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7650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27652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27654_2314609296">
            <w:r>
              <w:rPr>
                <w:webHidden/>
                <w:rStyle w:val="IndexLink"/>
                <w:rtl w:val="true"/>
              </w:rPr>
              <w:t>[</w:t>
            </w:r>
            <w:r>
              <w:rPr>
                <w:rStyle w:val="IndexLink"/>
                <w:rtl w:val="true"/>
              </w:rPr>
              <w:t>تتمة المکاسب المحرمة</w:t>
            </w:r>
            <w:r>
              <w:rPr>
                <w:rStyle w:val="IndexLink"/>
                <w:rtl w:val="true"/>
              </w:rPr>
              <w:t>]</w:t>
              <w:tab/>
            </w:r>
            <w:r>
              <w:rPr>
                <w:rStyle w:val="IndexLink"/>
              </w:rPr>
              <w:t>7</w:t>
            </w:r>
          </w:hyperlink>
        </w:p>
        <w:p>
          <w:pPr>
            <w:pStyle w:val="Contents3"/>
            <w:tabs>
              <w:tab w:val="clear" w:pos="8459"/>
              <w:tab w:val="right" w:pos="9026" w:leader="dot"/>
            </w:tabs>
            <w:rPr/>
          </w:pPr>
          <w:hyperlink w:anchor="__RefHeading___Toc5027656_2314609296">
            <w:r>
              <w:rPr>
                <w:webHidden/>
                <w:rStyle w:val="IndexLink"/>
                <w:rtl w:val="true"/>
              </w:rPr>
              <w:t>[</w:t>
            </w:r>
            <w:r>
              <w:rPr>
                <w:rStyle w:val="IndexLink"/>
                <w:rtl w:val="true"/>
              </w:rPr>
              <w:t>تتمة النوع الرابع</w:t>
            </w:r>
            <w:r>
              <w:rPr>
                <w:rStyle w:val="IndexLink"/>
                <w:rtl w:val="true"/>
              </w:rPr>
              <w:t>]</w:t>
              <w:tab/>
            </w:r>
            <w:r>
              <w:rPr>
                <w:rStyle w:val="IndexLink"/>
              </w:rPr>
              <w:t>7</w:t>
            </w:r>
          </w:hyperlink>
        </w:p>
        <w:p>
          <w:pPr>
            <w:pStyle w:val="Contents4"/>
            <w:tabs>
              <w:tab w:val="clear" w:pos="8176"/>
              <w:tab w:val="right" w:pos="9026" w:leader="dot"/>
            </w:tabs>
            <w:rPr/>
          </w:pPr>
          <w:hyperlink w:anchor="__RefHeading___Toc5027658_2314609296">
            <w:r>
              <w:rPr>
                <w:webHidden/>
                <w:rStyle w:val="IndexLink"/>
                <w:rtl w:val="true"/>
              </w:rPr>
              <w:t>[</w:t>
            </w:r>
            <w:r>
              <w:rPr>
                <w:rStyle w:val="IndexLink"/>
                <w:rtl w:val="true"/>
              </w:rPr>
              <w:t>المسألة</w:t>
            </w:r>
            <w:r>
              <w:rPr>
                <w:rStyle w:val="IndexLink"/>
                <w:rtl w:val="true"/>
              </w:rPr>
              <w:t>]</w:t>
            </w:r>
            <w:r>
              <w:rPr>
                <w:rStyle w:val="IndexLink"/>
                <w:rtl w:val="true"/>
              </w:rPr>
              <w:t>السابعة عشر القیافة حرام</w:t>
            </w:r>
            <w:r>
              <w:rPr>
                <w:rStyle w:val="IndexLink"/>
                <w:rtl w:val="true"/>
              </w:rPr>
              <w:tab/>
            </w:r>
            <w:r>
              <w:rPr>
                <w:rStyle w:val="IndexLink"/>
              </w:rPr>
              <w:t>7</w:t>
            </w:r>
          </w:hyperlink>
        </w:p>
        <w:p>
          <w:pPr>
            <w:pStyle w:val="Contents4"/>
            <w:tabs>
              <w:tab w:val="clear" w:pos="8176"/>
              <w:tab w:val="right" w:pos="9026" w:leader="dot"/>
            </w:tabs>
            <w:rPr/>
          </w:pPr>
          <w:hyperlink w:anchor="__RefHeading___Toc5027660_2314609296">
            <w:r>
              <w:rPr>
                <w:webHidden/>
                <w:rStyle w:val="IndexLink"/>
                <w:rtl w:val="true"/>
              </w:rPr>
              <w:t>المسألة</w:t>
            </w:r>
            <w:r>
              <w:rPr>
                <w:rStyle w:val="IndexLink"/>
                <w:rtl w:val="true"/>
              </w:rPr>
              <w:t>]</w:t>
            </w:r>
            <w:r>
              <w:rPr>
                <w:rStyle w:val="IndexLink"/>
                <w:rtl w:val="true"/>
              </w:rPr>
              <w:t>الثامنة عشر</w:t>
            </w:r>
            <w:r>
              <w:rPr>
                <w:rStyle w:val="IndexLink"/>
                <w:rtl w:val="true"/>
              </w:rPr>
              <w:tab/>
            </w:r>
            <w:r>
              <w:rPr>
                <w:rStyle w:val="IndexLink"/>
              </w:rPr>
              <w:t>11</w:t>
            </w:r>
          </w:hyperlink>
        </w:p>
        <w:p>
          <w:pPr>
            <w:pStyle w:val="Contents5"/>
            <w:tabs>
              <w:tab w:val="clear" w:pos="7892"/>
              <w:tab w:val="right" w:pos="9026" w:leader="dot"/>
            </w:tabs>
            <w:rPr/>
          </w:pPr>
          <w:hyperlink w:anchor="__RefHeading___Toc5027662_2314609296">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5027664_2314609296">
            <w:r>
              <w:rPr>
                <w:webHidden/>
                <w:rStyle w:val="IndexLink"/>
                <w:rtl w:val="true"/>
              </w:rPr>
              <w:t>[</w:t>
            </w:r>
            <w:r>
              <w:rPr>
                <w:rStyle w:val="IndexLink"/>
                <w:rtl w:val="true"/>
              </w:rPr>
              <w:t>الکلام فی المقام الأوّل</w:t>
            </w:r>
            <w:r>
              <w:rPr>
                <w:rStyle w:val="IndexLink"/>
                <w:rtl w:val="true"/>
              </w:rPr>
              <w:t>] [</w:t>
            </w:r>
            <w:r>
              <w:rPr>
                <w:rStyle w:val="IndexLink"/>
                <w:rtl w:val="true"/>
              </w:rPr>
              <w:t>أی أنه من الکبائر</w:t>
            </w:r>
            <w:r>
              <w:rPr>
                <w:rStyle w:val="IndexLink"/>
                <w:rtl w:val="true"/>
              </w:rPr>
              <w:t>]</w:t>
              <w:tab/>
            </w:r>
            <w:r>
              <w:rPr>
                <w:rStyle w:val="IndexLink"/>
              </w:rPr>
              <w:t>11</w:t>
            </w:r>
          </w:hyperlink>
        </w:p>
        <w:p>
          <w:pPr>
            <w:pStyle w:val="Contents5"/>
            <w:tabs>
              <w:tab w:val="clear" w:pos="7892"/>
              <w:tab w:val="right" w:pos="9026" w:leader="dot"/>
            </w:tabs>
            <w:rPr/>
          </w:pPr>
          <w:hyperlink w:anchor="__RefHeading___Toc5027666_2314609296">
            <w:r>
              <w:rPr>
                <w:webHidden/>
                <w:rStyle w:val="IndexLink"/>
                <w:rtl w:val="true"/>
              </w:rPr>
              <w:t>أمّا الکلام فی المقام الثانی و هو مسوّغات الکذب</w:t>
            </w:r>
            <w:r>
              <w:rPr>
                <w:rStyle w:val="IndexLink"/>
                <w:rtl w:val="true"/>
              </w:rPr>
              <w:tab/>
            </w:r>
            <w:r>
              <w:rPr>
                <w:rStyle w:val="IndexLink"/>
              </w:rPr>
              <w:t>21</w:t>
            </w:r>
          </w:hyperlink>
        </w:p>
        <w:p>
          <w:pPr>
            <w:pStyle w:val="Contents6"/>
            <w:tabs>
              <w:tab w:val="clear" w:pos="7609"/>
              <w:tab w:val="right" w:pos="9026" w:leader="dot"/>
            </w:tabs>
            <w:rPr/>
          </w:pPr>
          <w:hyperlink w:anchor="__RefHeading___Toc5027668_2314609296">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5027670_2314609296">
            <w:r>
              <w:rPr>
                <w:webHidden/>
                <w:rStyle w:val="IndexLink"/>
                <w:rtl w:val="true"/>
              </w:rPr>
              <w:t>أحدهما</w:t>
            </w:r>
            <w:r>
              <w:rPr>
                <w:rStyle w:val="IndexLink"/>
                <w:rtl w:val="true"/>
              </w:rPr>
              <w:t>-</w:t>
            </w:r>
            <w:r>
              <w:rPr>
                <w:rStyle w:val="IndexLink"/>
                <w:rtl w:val="true"/>
              </w:rPr>
              <w:t>الضرورة إلیه</w:t>
            </w:r>
            <w:r>
              <w:rPr>
                <w:rStyle w:val="IndexLink"/>
                <w:rtl w:val="true"/>
              </w:rPr>
              <w:t>:</w:t>
              <w:tab/>
            </w:r>
            <w:r>
              <w:rPr>
                <w:rStyle w:val="IndexLink"/>
              </w:rPr>
              <w:t>21</w:t>
            </w:r>
          </w:hyperlink>
        </w:p>
        <w:p>
          <w:pPr>
            <w:pStyle w:val="Contents6"/>
            <w:tabs>
              <w:tab w:val="clear" w:pos="7609"/>
              <w:tab w:val="right" w:pos="9026" w:leader="dot"/>
            </w:tabs>
            <w:rPr/>
          </w:pPr>
          <w:hyperlink w:anchor="__RefHeading___Toc5027672_2314609296">
            <w:r>
              <w:rPr>
                <w:webHidden/>
                <w:rStyle w:val="IndexLink"/>
                <w:rtl w:val="true"/>
              </w:rPr>
              <w:t>الثانی من مسوّغات الکذب إرادة الإصلاح</w:t>
            </w:r>
            <w:r>
              <w:rPr>
                <w:rStyle w:val="IndexLink"/>
                <w:rtl w:val="true"/>
              </w:rPr>
              <w:t>:</w:t>
              <w:tab/>
            </w:r>
            <w:r>
              <w:rPr>
                <w:rStyle w:val="IndexLink"/>
              </w:rPr>
              <w:t>31</w:t>
            </w:r>
          </w:hyperlink>
        </w:p>
        <w:p>
          <w:pPr>
            <w:pStyle w:val="Contents4"/>
            <w:tabs>
              <w:tab w:val="clear" w:pos="8176"/>
              <w:tab w:val="right" w:pos="9026" w:leader="dot"/>
            </w:tabs>
            <w:rPr/>
          </w:pPr>
          <w:hyperlink w:anchor="__RefHeading___Toc5027674_2314609296">
            <w:r>
              <w:rPr>
                <w:webHidden/>
                <w:rStyle w:val="IndexLink"/>
                <w:rtl w:val="true"/>
              </w:rPr>
              <w:t>[</w:t>
            </w:r>
            <w:r>
              <w:rPr>
                <w:rStyle w:val="IndexLink"/>
                <w:rtl w:val="true"/>
              </w:rPr>
              <w:t>المسألة</w:t>
            </w:r>
            <w:r>
              <w:rPr>
                <w:rStyle w:val="IndexLink"/>
                <w:rtl w:val="true"/>
              </w:rPr>
              <w:t>]</w:t>
            </w:r>
            <w:r>
              <w:rPr>
                <w:rStyle w:val="IndexLink"/>
                <w:rtl w:val="true"/>
              </w:rPr>
              <w:t>التاسعة عشر الکهانة حرام،</w:t>
            </w:r>
            <w:r>
              <w:rPr>
                <w:rStyle w:val="IndexLink"/>
                <w:rtl w:val="true"/>
              </w:rPr>
              <w:tab/>
            </w:r>
            <w:r>
              <w:rPr>
                <w:rStyle w:val="IndexLink"/>
              </w:rPr>
              <w:t>33</w:t>
            </w:r>
          </w:hyperlink>
        </w:p>
        <w:p>
          <w:pPr>
            <w:pStyle w:val="Contents4"/>
            <w:tabs>
              <w:tab w:val="clear" w:pos="8176"/>
              <w:tab w:val="right" w:pos="9026" w:leader="dot"/>
            </w:tabs>
            <w:rPr/>
          </w:pPr>
          <w:hyperlink w:anchor="__RefHeading___Toc5027676_2314609296">
            <w:r>
              <w:rPr>
                <w:webHidden/>
                <w:rStyle w:val="IndexLink"/>
                <w:rtl w:val="true"/>
              </w:rPr>
              <w:t>المسألة</w:t>
            </w:r>
            <w:r>
              <w:rPr>
                <w:rStyle w:val="IndexLink"/>
                <w:rtl w:val="true"/>
              </w:rPr>
              <w:t>]</w:t>
            </w:r>
            <w:r>
              <w:rPr>
                <w:rStyle w:val="IndexLink"/>
                <w:rtl w:val="true"/>
              </w:rPr>
              <w:t>العشرون اللّهو حرام</w:t>
            </w:r>
            <w:r>
              <w:rPr>
                <w:rStyle w:val="IndexLink"/>
                <w:rtl w:val="true"/>
              </w:rPr>
              <w:tab/>
            </w:r>
            <w:r>
              <w:rPr>
                <w:rStyle w:val="IndexLink"/>
              </w:rPr>
              <w:t>40</w:t>
            </w:r>
          </w:hyperlink>
        </w:p>
        <w:p>
          <w:pPr>
            <w:pStyle w:val="Contents4"/>
            <w:tabs>
              <w:tab w:val="clear" w:pos="8176"/>
              <w:tab w:val="right" w:pos="9026" w:leader="dot"/>
            </w:tabs>
            <w:rPr/>
          </w:pPr>
          <w:hyperlink w:anchor="__RefHeading___Toc5027678_2314609296">
            <w:r>
              <w:rPr>
                <w:webHidden/>
                <w:rStyle w:val="IndexLink"/>
                <w:rtl w:val="true"/>
              </w:rPr>
              <w:t>المسألة</w:t>
            </w:r>
            <w:r>
              <w:rPr>
                <w:rStyle w:val="IndexLink"/>
                <w:rtl w:val="true"/>
              </w:rPr>
              <w:t>]</w:t>
            </w:r>
            <w:r>
              <w:rPr>
                <w:rStyle w:val="IndexLink"/>
                <w:rtl w:val="true"/>
              </w:rPr>
              <w:t>الحادیة و العشرون مدح من لا یستحق المدح،أو یستحق الذم</w:t>
            </w:r>
            <w:r>
              <w:rPr>
                <w:rStyle w:val="IndexLink"/>
                <w:rtl w:val="true"/>
              </w:rPr>
              <w:t>.</w:t>
              <w:tab/>
            </w:r>
            <w:r>
              <w:rPr>
                <w:rStyle w:val="IndexLink"/>
              </w:rPr>
              <w:t>49</w:t>
            </w:r>
          </w:hyperlink>
        </w:p>
        <w:p>
          <w:pPr>
            <w:pStyle w:val="Contents4"/>
            <w:tabs>
              <w:tab w:val="clear" w:pos="8176"/>
              <w:tab w:val="right" w:pos="9026" w:leader="dot"/>
            </w:tabs>
            <w:rPr/>
          </w:pPr>
          <w:hyperlink w:anchor="__RefHeading___Toc5027680_2314609296">
            <w:r>
              <w:rPr>
                <w:webHidden/>
                <w:rStyle w:val="IndexLink"/>
                <w:rtl w:val="true"/>
              </w:rPr>
              <w:t>المسألة</w:t>
            </w:r>
            <w:r>
              <w:rPr>
                <w:rStyle w:val="IndexLink"/>
                <w:rtl w:val="true"/>
              </w:rPr>
              <w:t>]</w:t>
            </w:r>
            <w:r>
              <w:rPr>
                <w:rStyle w:val="IndexLink"/>
                <w:rtl w:val="true"/>
              </w:rPr>
              <w:t>الثانیة و العشرون معونة الظالمین فی ظلمهم</w:t>
            </w:r>
            <w:r>
              <w:rPr>
                <w:rStyle w:val="IndexLink"/>
                <w:rtl w:val="true"/>
              </w:rPr>
              <w:tab/>
            </w:r>
            <w:r>
              <w:rPr>
                <w:rStyle w:val="IndexLink"/>
              </w:rPr>
              <w:t>51</w:t>
            </w:r>
          </w:hyperlink>
        </w:p>
        <w:p>
          <w:pPr>
            <w:pStyle w:val="Contents4"/>
            <w:tabs>
              <w:tab w:val="clear" w:pos="8176"/>
              <w:tab w:val="right" w:pos="9026" w:leader="dot"/>
            </w:tabs>
            <w:rPr/>
          </w:pPr>
          <w:hyperlink w:anchor="__RefHeading___Toc5027682_2314609296">
            <w:r>
              <w:rPr>
                <w:webHidden/>
                <w:rStyle w:val="IndexLink"/>
                <w:rtl w:val="true"/>
              </w:rPr>
              <w:t>[</w:t>
            </w:r>
            <w:r>
              <w:rPr>
                <w:rStyle w:val="IndexLink"/>
                <w:rtl w:val="true"/>
              </w:rPr>
              <w:t>المسألة</w:t>
            </w:r>
            <w:r>
              <w:rPr>
                <w:rStyle w:val="IndexLink"/>
                <w:rtl w:val="true"/>
              </w:rPr>
              <w:t>]</w:t>
            </w:r>
            <w:r>
              <w:rPr>
                <w:rStyle w:val="IndexLink"/>
                <w:rtl w:val="true"/>
              </w:rPr>
              <w:t>الثالثة و العشرون النَّجش</w:t>
            </w:r>
            <w:r>
              <w:rPr>
                <w:rStyle w:val="IndexLink"/>
                <w:rtl w:val="true"/>
              </w:rPr>
              <w:t>-</w:t>
              <w:tab/>
            </w:r>
            <w:r>
              <w:rPr>
                <w:rStyle w:val="IndexLink"/>
              </w:rPr>
              <w:t>58</w:t>
            </w:r>
          </w:hyperlink>
        </w:p>
        <w:p>
          <w:pPr>
            <w:pStyle w:val="Contents4"/>
            <w:tabs>
              <w:tab w:val="clear" w:pos="8176"/>
              <w:tab w:val="right" w:pos="9026" w:leader="dot"/>
            </w:tabs>
            <w:rPr/>
          </w:pPr>
          <w:hyperlink w:anchor="__RefHeading___Toc5027684_2314609296">
            <w:r>
              <w:rPr>
                <w:webHidden/>
                <w:rStyle w:val="IndexLink"/>
                <w:rtl w:val="true"/>
              </w:rPr>
              <w:t>المسألة</w:t>
            </w:r>
            <w:r>
              <w:rPr>
                <w:rStyle w:val="IndexLink"/>
                <w:rtl w:val="true"/>
              </w:rPr>
              <w:t>]</w:t>
            </w:r>
            <w:r>
              <w:rPr>
                <w:rStyle w:val="IndexLink"/>
                <w:rtl w:val="true"/>
              </w:rPr>
              <w:t>الرابعة و العشرون النمیمة</w:t>
            </w:r>
            <w:r>
              <w:rPr>
                <w:rStyle w:val="IndexLink"/>
                <w:rtl w:val="true"/>
              </w:rPr>
              <w:tab/>
            </w:r>
            <w:r>
              <w:rPr>
                <w:rStyle w:val="IndexLink"/>
              </w:rPr>
              <w:t>60</w:t>
            </w:r>
          </w:hyperlink>
        </w:p>
        <w:p>
          <w:pPr>
            <w:pStyle w:val="Contents4"/>
            <w:tabs>
              <w:tab w:val="clear" w:pos="8176"/>
              <w:tab w:val="right" w:pos="9026" w:leader="dot"/>
            </w:tabs>
            <w:rPr/>
          </w:pPr>
          <w:hyperlink w:anchor="__RefHeading___Toc5027686_2314609296">
            <w:r>
              <w:rPr>
                <w:webHidden/>
                <w:rStyle w:val="IndexLink"/>
                <w:rtl w:val="true"/>
              </w:rPr>
              <w:t>المسألة</w:t>
            </w:r>
            <w:r>
              <w:rPr>
                <w:rStyle w:val="IndexLink"/>
                <w:rtl w:val="true"/>
              </w:rPr>
              <w:t>]</w:t>
            </w:r>
            <w:r>
              <w:rPr>
                <w:rStyle w:val="IndexLink"/>
                <w:rtl w:val="true"/>
              </w:rPr>
              <w:t>الخامسة و العشرون النوح بالباطل،</w:t>
            </w:r>
            <w:r>
              <w:rPr>
                <w:rStyle w:val="IndexLink"/>
                <w:rtl w:val="true"/>
              </w:rPr>
              <w:tab/>
            </w:r>
            <w:r>
              <w:rPr>
                <w:rStyle w:val="IndexLink"/>
              </w:rPr>
              <w:t>63</w:t>
            </w:r>
          </w:hyperlink>
        </w:p>
        <w:p>
          <w:pPr>
            <w:pStyle w:val="Contents4"/>
            <w:tabs>
              <w:tab w:val="clear" w:pos="8176"/>
              <w:tab w:val="right" w:pos="9026" w:leader="dot"/>
            </w:tabs>
            <w:rPr/>
          </w:pPr>
          <w:hyperlink w:anchor="__RefHeading___Toc5027688_2314609296">
            <w:r>
              <w:rPr>
                <w:webHidden/>
                <w:rStyle w:val="IndexLink"/>
                <w:rtl w:val="true"/>
              </w:rPr>
              <w:t>المسألة السادسة و العشرون الولایة من قبل الجائر</w:t>
            </w:r>
            <w:r>
              <w:rPr>
                <w:rStyle w:val="IndexLink"/>
                <w:rtl w:val="true"/>
              </w:rPr>
              <w:tab/>
            </w:r>
            <w:r>
              <w:rPr>
                <w:rStyle w:val="IndexLink"/>
              </w:rPr>
              <w:t>65</w:t>
            </w:r>
          </w:hyperlink>
        </w:p>
        <w:p>
          <w:pPr>
            <w:pStyle w:val="Contents5"/>
            <w:tabs>
              <w:tab w:val="clear" w:pos="7892"/>
              <w:tab w:val="right" w:pos="9026" w:leader="dot"/>
            </w:tabs>
            <w:rPr/>
          </w:pPr>
          <w:hyperlink w:anchor="__RefHeading___Toc5027690_231460929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027692_2314609296">
            <w:r>
              <w:rPr>
                <w:webHidden/>
                <w:rStyle w:val="IndexLink"/>
                <w:rtl w:val="true"/>
              </w:rPr>
              <w:t>ثم إنّه یسوّغ الولایة المذکورة أمران</w:t>
            </w:r>
            <w:r>
              <w:rPr>
                <w:rStyle w:val="IndexLink"/>
                <w:rtl w:val="true"/>
              </w:rPr>
              <w:t>:</w:t>
              <w:tab/>
            </w:r>
            <w:r>
              <w:rPr>
                <w:rStyle w:val="IndexLink"/>
              </w:rPr>
              <w:t>68</w:t>
            </w:r>
          </w:hyperlink>
        </w:p>
        <w:p>
          <w:pPr>
            <w:pStyle w:val="Contents6"/>
            <w:tabs>
              <w:tab w:val="clear" w:pos="7609"/>
              <w:tab w:val="right" w:pos="9026" w:leader="dot"/>
            </w:tabs>
            <w:rPr/>
          </w:pPr>
          <w:hyperlink w:anchor="__RefHeading___Toc5027694_2314609296">
            <w:r>
              <w:rPr>
                <w:webHidden/>
                <w:rStyle w:val="IndexLink"/>
                <w:rtl w:val="true"/>
              </w:rPr>
              <w:t xml:space="preserve">أحدهما </w:t>
            </w:r>
            <w:r>
              <w:rPr>
                <w:rStyle w:val="IndexLink"/>
                <w:rtl w:val="true"/>
              </w:rPr>
              <w:t>-</w:t>
            </w:r>
            <w:r>
              <w:rPr>
                <w:rStyle w:val="IndexLink"/>
                <w:rtl w:val="true"/>
              </w:rPr>
              <w:t>القیام بمصالح العباد،</w:t>
            </w:r>
            <w:r>
              <w:rPr>
                <w:rStyle w:val="IndexLink"/>
                <w:rtl w:val="true"/>
              </w:rPr>
              <w:tab/>
            </w:r>
            <w:r>
              <w:rPr>
                <w:rStyle w:val="IndexLink"/>
              </w:rPr>
              <w:t>68</w:t>
            </w:r>
          </w:hyperlink>
        </w:p>
        <w:p>
          <w:pPr>
            <w:pStyle w:val="Contents6"/>
            <w:tabs>
              <w:tab w:val="clear" w:pos="7609"/>
              <w:tab w:val="right" w:pos="9026" w:leader="dot"/>
            </w:tabs>
            <w:rPr/>
          </w:pPr>
          <w:hyperlink w:anchor="__RefHeading___Toc5027696_2314609296">
            <w:r>
              <w:rPr>
                <w:webHidden/>
                <w:rStyle w:val="IndexLink"/>
                <w:rtl w:val="true"/>
              </w:rPr>
              <w:t>الثانی ممّا یسوّغ الولایة الإکراه علیه بالتوعید</w:t>
            </w:r>
            <w:r>
              <w:rPr>
                <w:rStyle w:val="IndexLink"/>
                <w:rtl w:val="true"/>
              </w:rPr>
              <w:tab/>
            </w:r>
            <w:r>
              <w:rPr>
                <w:rStyle w:val="IndexLink"/>
              </w:rPr>
              <w:t>81</w:t>
            </w:r>
          </w:hyperlink>
        </w:p>
        <w:p>
          <w:pPr>
            <w:pStyle w:val="Contents5"/>
            <w:tabs>
              <w:tab w:val="clear" w:pos="7892"/>
              <w:tab w:val="right" w:pos="9026" w:leader="dot"/>
            </w:tabs>
            <w:rPr/>
          </w:pPr>
          <w:hyperlink w:anchor="__RefHeading___Toc5027698_2314609296">
            <w:r>
              <w:rPr>
                <w:webHidden/>
                <w:rStyle w:val="IndexLink"/>
                <w:rtl w:val="true"/>
              </w:rPr>
              <w:t>و ینبغی التنبیه علی أُمور</w:t>
            </w:r>
            <w:r>
              <w:rPr>
                <w:rStyle w:val="IndexLink"/>
                <w:rtl w:val="true"/>
              </w:rPr>
              <w:t>:</w:t>
              <w:tab/>
            </w:r>
            <w:r>
              <w:rPr>
                <w:rStyle w:val="IndexLink"/>
              </w:rPr>
              <w:t>82</w:t>
            </w:r>
          </w:hyperlink>
        </w:p>
        <w:p>
          <w:pPr>
            <w:pStyle w:val="Contents6"/>
            <w:tabs>
              <w:tab w:val="clear" w:pos="7609"/>
              <w:tab w:val="right" w:pos="9026" w:leader="dot"/>
            </w:tabs>
            <w:rPr/>
          </w:pPr>
          <w:hyperlink w:anchor="__RefHeading___Toc5027700_2314609296">
            <w:r>
              <w:rPr>
                <w:webHidden/>
                <w:rStyle w:val="IndexLink"/>
                <w:rtl w:val="true"/>
              </w:rPr>
              <w:t>الأوّل أنّه کما یباح بالإکراه نفس الولایة المحرّمة،کذلک یباح به ما یلزمها من المحرّمات الأُخر</w:t>
            </w:r>
            <w:r>
              <w:rPr>
                <w:rStyle w:val="IndexLink"/>
                <w:rtl w:val="true"/>
              </w:rPr>
              <w:tab/>
            </w:r>
            <w:r>
              <w:rPr>
                <w:rStyle w:val="IndexLink"/>
              </w:rPr>
              <w:t>82</w:t>
            </w:r>
          </w:hyperlink>
        </w:p>
        <w:p>
          <w:pPr>
            <w:pStyle w:val="Contents6"/>
            <w:tabs>
              <w:tab w:val="clear" w:pos="7609"/>
              <w:tab w:val="right" w:pos="9026" w:leader="dot"/>
            </w:tabs>
            <w:rPr/>
          </w:pPr>
          <w:hyperlink w:anchor="__RefHeading___Toc5027702_2314609296">
            <w:r>
              <w:rPr>
                <w:webHidden/>
                <w:rStyle w:val="IndexLink"/>
                <w:rtl w:val="true"/>
              </w:rPr>
              <w:t>الثانی أنّ الإکراه یتحقّق بالتوعّد بالضرر علی ترک المکرَه علیه،</w:t>
            </w:r>
            <w:r>
              <w:rPr>
                <w:rStyle w:val="IndexLink"/>
                <w:rtl w:val="true"/>
              </w:rPr>
              <w:tab/>
            </w:r>
            <w:r>
              <w:rPr>
                <w:rStyle w:val="IndexLink"/>
              </w:rPr>
              <w:t>86</w:t>
            </w:r>
          </w:hyperlink>
        </w:p>
        <w:p>
          <w:pPr>
            <w:pStyle w:val="Contents6"/>
            <w:tabs>
              <w:tab w:val="clear" w:pos="7609"/>
              <w:tab w:val="right" w:pos="9026" w:leader="dot"/>
            </w:tabs>
            <w:rPr/>
          </w:pPr>
          <w:hyperlink w:anchor="__RefHeading___Toc5027704_2314609296">
            <w:r>
              <w:rPr>
                <w:webHidden/>
                <w:rStyle w:val="IndexLink"/>
                <w:rtl w:val="true"/>
              </w:rPr>
              <w:t xml:space="preserve">الثالث </w:t>
            </w:r>
            <w:r>
              <w:rPr>
                <w:rStyle w:val="IndexLink"/>
                <w:rtl w:val="true"/>
              </w:rPr>
              <w:t>[</w:t>
            </w:r>
            <w:r>
              <w:rPr>
                <w:rStyle w:val="IndexLink"/>
                <w:rtl w:val="true"/>
              </w:rPr>
              <w:t>هل یعتبر العجز عن التفصی من المکره علیه؟</w:t>
            </w:r>
            <w:r>
              <w:rPr>
                <w:rStyle w:val="IndexLink"/>
                <w:rtl w:val="true"/>
              </w:rPr>
              <w:t>]</w:t>
              <w:tab/>
            </w:r>
            <w:r>
              <w:rPr>
                <w:rStyle w:val="IndexLink"/>
              </w:rPr>
              <w:t>91</w:t>
            </w:r>
          </w:hyperlink>
        </w:p>
        <w:p>
          <w:pPr>
            <w:pStyle w:val="Contents6"/>
            <w:tabs>
              <w:tab w:val="clear" w:pos="7609"/>
              <w:tab w:val="right" w:pos="9026" w:leader="dot"/>
            </w:tabs>
            <w:rPr/>
          </w:pPr>
          <w:hyperlink w:anchor="__RefHeading___Toc5027706_2314609296">
            <w:r>
              <w:rPr>
                <w:webHidden/>
                <w:rStyle w:val="IndexLink"/>
                <w:rtl w:val="true"/>
              </w:rPr>
              <w:t>الرابع أنّ قبول الولایة مع الضرر المالی الذی لا یضرّ بالحال رخصة، لا عزیمة،</w:t>
            </w:r>
            <w:r>
              <w:rPr>
                <w:rStyle w:val="IndexLink"/>
                <w:rtl w:val="true"/>
              </w:rPr>
              <w:tab/>
            </w:r>
            <w:r>
              <w:rPr>
                <w:rStyle w:val="IndexLink"/>
              </w:rPr>
              <w:t>94</w:t>
            </w:r>
          </w:hyperlink>
        </w:p>
        <w:p>
          <w:pPr>
            <w:pStyle w:val="Contents6"/>
            <w:tabs>
              <w:tab w:val="clear" w:pos="7609"/>
              <w:tab w:val="right" w:pos="9026" w:leader="dot"/>
            </w:tabs>
            <w:rPr/>
          </w:pPr>
          <w:hyperlink w:anchor="__RefHeading___Toc5027708_2314609296">
            <w:r>
              <w:rPr>
                <w:webHidden/>
                <w:rStyle w:val="IndexLink"/>
                <w:rtl w:val="true"/>
              </w:rPr>
              <w:t>الخامس لا یباح بالإکراه قتل المؤمن و لو توعّد علی ترکه بالقتل إجماعاً،</w:t>
            </w:r>
            <w:r>
              <w:rPr>
                <w:rStyle w:val="IndexLink"/>
                <w:rtl w:val="true"/>
              </w:rPr>
              <w:tab/>
            </w:r>
            <w:r>
              <w:rPr>
                <w:rStyle w:val="IndexLink"/>
              </w:rPr>
              <w:t>94</w:t>
            </w:r>
          </w:hyperlink>
        </w:p>
        <w:p>
          <w:pPr>
            <w:pStyle w:val="Contents5"/>
            <w:tabs>
              <w:tab w:val="clear" w:pos="7892"/>
              <w:tab w:val="right" w:pos="9026" w:leader="dot"/>
            </w:tabs>
            <w:rPr/>
          </w:pPr>
          <w:hyperlink w:anchor="__RefHeading___Toc5027710_2314609296">
            <w:r>
              <w:rPr>
                <w:webHidden/>
                <w:rStyle w:val="IndexLink"/>
                <w:rtl w:val="true"/>
              </w:rPr>
              <w:t>خاتمة فی ما ینبغی للوالی العمل به فی نفسه و فی رعیّته</w:t>
            </w:r>
            <w:r>
              <w:rPr>
                <w:rStyle w:val="IndexLink"/>
                <w:rtl w:val="true"/>
              </w:rPr>
              <w:tab/>
            </w:r>
            <w:r>
              <w:rPr>
                <w:rStyle w:val="IndexLink"/>
              </w:rPr>
              <w:t>97</w:t>
            </w:r>
          </w:hyperlink>
        </w:p>
        <w:p>
          <w:pPr>
            <w:pStyle w:val="Contents4"/>
            <w:tabs>
              <w:tab w:val="clear" w:pos="8176"/>
              <w:tab w:val="right" w:pos="9026" w:leader="dot"/>
            </w:tabs>
            <w:rPr/>
          </w:pPr>
          <w:hyperlink w:anchor="__RefHeading___Toc5027712_2314609296">
            <w:r>
              <w:rPr>
                <w:webHidden/>
                <w:rStyle w:val="IndexLink"/>
                <w:rtl w:val="true"/>
              </w:rPr>
              <w:t>المسألة السابعة و العشرون هجاء المؤمن</w:t>
            </w:r>
            <w:r>
              <w:rPr>
                <w:rStyle w:val="IndexLink"/>
                <w:rtl w:val="true"/>
              </w:rPr>
              <w:tab/>
            </w:r>
            <w:r>
              <w:rPr>
                <w:rStyle w:val="IndexLink"/>
              </w:rPr>
              <w:t>112</w:t>
            </w:r>
          </w:hyperlink>
        </w:p>
        <w:p>
          <w:pPr>
            <w:pStyle w:val="Contents4"/>
            <w:tabs>
              <w:tab w:val="clear" w:pos="8176"/>
              <w:tab w:val="right" w:pos="9026" w:leader="dot"/>
            </w:tabs>
            <w:rPr/>
          </w:pPr>
          <w:hyperlink w:anchor="__RefHeading___Toc5027714_2314609296">
            <w:r>
              <w:rPr>
                <w:webHidden/>
                <w:rStyle w:val="IndexLink"/>
                <w:rtl w:val="true"/>
              </w:rPr>
              <w:t>المسألة الثامنة و العشرون الهُجر</w:t>
            </w:r>
            <w:r>
              <w:rPr>
                <w:rStyle w:val="IndexLink"/>
                <w:rtl w:val="true"/>
              </w:rPr>
              <w:tab/>
            </w:r>
            <w:r>
              <w:rPr>
                <w:rStyle w:val="IndexLink"/>
              </w:rPr>
              <w:t>115</w:t>
            </w:r>
          </w:hyperlink>
        </w:p>
        <w:p>
          <w:pPr>
            <w:pStyle w:val="Contents3"/>
            <w:tabs>
              <w:tab w:val="clear" w:pos="8459"/>
              <w:tab w:val="right" w:pos="9026" w:leader="dot"/>
            </w:tabs>
            <w:rPr/>
          </w:pPr>
          <w:hyperlink w:anchor="__RefHeading___Toc5027716_2314609296">
            <w:r>
              <w:rPr>
                <w:webHidden/>
                <w:rStyle w:val="IndexLink"/>
                <w:rtl w:val="true"/>
              </w:rPr>
              <w:t>النوع الخامس ممّا یحرم التکسّب به</w:t>
            </w:r>
            <w:r>
              <w:rPr>
                <w:rStyle w:val="IndexLink"/>
                <w:rtl w:val="true"/>
              </w:rPr>
              <w:tab/>
            </w:r>
            <w:r>
              <w:rPr>
                <w:rStyle w:val="IndexLink"/>
              </w:rPr>
              <w:t>117</w:t>
            </w:r>
          </w:hyperlink>
        </w:p>
        <w:p>
          <w:pPr>
            <w:pStyle w:val="Contents4"/>
            <w:tabs>
              <w:tab w:val="clear" w:pos="8176"/>
              <w:tab w:val="right" w:pos="9026" w:leader="dot"/>
            </w:tabs>
            <w:rPr/>
          </w:pPr>
          <w:hyperlink w:anchor="__RefHeading___Toc5027718_231460929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027720_2314609296">
            <w:r>
              <w:rPr>
                <w:webHidden/>
                <w:rStyle w:val="IndexLink"/>
                <w:rtl w:val="true"/>
              </w:rPr>
              <w:t>[</w:t>
            </w:r>
            <w:r>
              <w:rPr>
                <w:rStyle w:val="IndexLink"/>
                <w:rtl w:val="true"/>
              </w:rPr>
              <w:t>حرمة التکسب بالواجبات</w:t>
            </w:r>
            <w:r>
              <w:rPr>
                <w:rStyle w:val="IndexLink"/>
                <w:rtl w:val="true"/>
              </w:rPr>
              <w:t>]</w:t>
              <w:tab/>
            </w:r>
            <w:r>
              <w:rPr>
                <w:rStyle w:val="IndexLink"/>
              </w:rPr>
              <w:t>118</w:t>
            </w:r>
          </w:hyperlink>
        </w:p>
        <w:p>
          <w:pPr>
            <w:pStyle w:val="Contents5"/>
            <w:tabs>
              <w:tab w:val="clear" w:pos="7892"/>
              <w:tab w:val="right" w:pos="9026" w:leader="dot"/>
            </w:tabs>
            <w:rPr/>
          </w:pPr>
          <w:hyperlink w:anchor="__RefHeading___Toc5027722_2314609296">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027724_2314609296">
            <w:r>
              <w:rPr>
                <w:webHidden/>
                <w:rStyle w:val="IndexLink"/>
                <w:rtl w:val="true"/>
              </w:rPr>
              <w:t>[</w:t>
            </w:r>
            <w:r>
              <w:rPr>
                <w:rStyle w:val="IndexLink"/>
                <w:rtl w:val="true"/>
              </w:rPr>
              <w:t>القربة فی العبادات المستأجرة</w:t>
            </w:r>
            <w:r>
              <w:rPr>
                <w:rStyle w:val="IndexLink"/>
                <w:rtl w:val="true"/>
              </w:rPr>
              <w:t>]</w:t>
              <w:tab/>
            </w:r>
            <w:r>
              <w:rPr>
                <w:rStyle w:val="IndexLink"/>
              </w:rPr>
              <w:t>121</w:t>
            </w:r>
          </w:hyperlink>
        </w:p>
        <w:p>
          <w:pPr>
            <w:pStyle w:val="Contents5"/>
            <w:tabs>
              <w:tab w:val="clear" w:pos="7892"/>
              <w:tab w:val="right" w:pos="9026" w:leader="dot"/>
            </w:tabs>
            <w:rPr/>
          </w:pPr>
          <w:hyperlink w:anchor="__RefHeading___Toc5027726_2314609296">
            <w:r>
              <w:rPr>
                <w:webHidden/>
                <w:rStyle w:val="IndexLink"/>
                <w:rtl w:val="true"/>
              </w:rPr>
              <w:t>[</w:t>
            </w:r>
            <w:r>
              <w:rPr>
                <w:rStyle w:val="IndexLink"/>
                <w:rtl w:val="true"/>
              </w:rPr>
              <w:t>الإشکال علی أخذ الأجرة علی الصناعات التی یتوقف علیها النظام</w:t>
            </w:r>
            <w:r>
              <w:rPr>
                <w:rStyle w:val="IndexLink"/>
                <w:rtl w:val="true"/>
              </w:rPr>
              <w:t>]</w:t>
              <w:tab/>
            </w:r>
            <w:r>
              <w:rPr>
                <w:rStyle w:val="IndexLink"/>
              </w:rPr>
              <w:t>130</w:t>
            </w:r>
          </w:hyperlink>
        </w:p>
        <w:p>
          <w:pPr>
            <w:pStyle w:val="Contents6"/>
            <w:tabs>
              <w:tab w:val="clear" w:pos="7609"/>
              <w:tab w:val="right" w:pos="9026" w:leader="dot"/>
            </w:tabs>
            <w:rPr/>
          </w:pPr>
          <w:hyperlink w:anchor="__RefHeading___Toc5027728_2314609296">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027730_2314609296">
            <w:r>
              <w:rPr>
                <w:webHidden/>
                <w:rStyle w:val="IndexLink"/>
                <w:rtl w:val="true"/>
              </w:rPr>
              <w:t>و قد تُفُصّی منه</w:t>
            </w:r>
            <w:r>
              <w:rPr>
                <w:rStyle w:val="IndexLink"/>
                <w:rtl w:val="true"/>
              </w:rPr>
              <w:tab/>
            </w:r>
            <w:r>
              <w:rPr>
                <w:rStyle w:val="IndexLink"/>
              </w:rPr>
              <w:t>130</w:t>
            </w:r>
          </w:hyperlink>
        </w:p>
        <w:p>
          <w:pPr>
            <w:pStyle w:val="Contents6"/>
            <w:tabs>
              <w:tab w:val="clear" w:pos="7609"/>
              <w:tab w:val="right" w:pos="9026" w:leader="dot"/>
            </w:tabs>
            <w:rPr/>
          </w:pPr>
          <w:hyperlink w:anchor="__RefHeading___Toc5027732_2314609296">
            <w:r>
              <w:rPr>
                <w:webHidden/>
                <w:rStyle w:val="IndexLink"/>
                <w:rtl w:val="true"/>
              </w:rPr>
              <w:t>أحدها</w:t>
            </w:r>
            <w:r>
              <w:rPr>
                <w:rStyle w:val="IndexLink"/>
                <w:rtl w:val="true"/>
              </w:rPr>
              <w:t>-</w:t>
            </w:r>
            <w:r>
              <w:rPr>
                <w:rStyle w:val="IndexLink"/>
                <w:rtl w:val="true"/>
              </w:rPr>
              <w:t>الالتزام بخروج ذلک</w:t>
            </w:r>
            <w:r>
              <w:rPr>
                <w:rStyle w:val="IndexLink"/>
                <w:rtl w:val="true"/>
              </w:rPr>
              <w:tab/>
            </w:r>
            <w:r>
              <w:rPr>
                <w:rStyle w:val="IndexLink"/>
              </w:rPr>
              <w:t>130</w:t>
            </w:r>
          </w:hyperlink>
        </w:p>
        <w:p>
          <w:pPr>
            <w:pStyle w:val="Contents6"/>
            <w:tabs>
              <w:tab w:val="clear" w:pos="7609"/>
              <w:tab w:val="right" w:pos="9026" w:leader="dot"/>
            </w:tabs>
            <w:rPr/>
          </w:pPr>
          <w:hyperlink w:anchor="__RefHeading___Toc5027734_2314609296">
            <w:r>
              <w:rPr>
                <w:webHidden/>
                <w:rStyle w:val="IndexLink"/>
                <w:rtl w:val="true"/>
              </w:rPr>
              <w:t>الثانی</w:t>
            </w:r>
            <w:r>
              <w:rPr>
                <w:rStyle w:val="IndexLink"/>
                <w:rtl w:val="true"/>
              </w:rPr>
              <w:t>-</w:t>
            </w:r>
            <w:r>
              <w:rPr>
                <w:rStyle w:val="IndexLink"/>
                <w:rtl w:val="true"/>
              </w:rPr>
              <w:t>الالتزام بجواز</w:t>
            </w:r>
            <w:r>
              <w:rPr>
                <w:rStyle w:val="IndexLink"/>
                <w:rtl w:val="true"/>
              </w:rPr>
              <w:tab/>
            </w:r>
            <w:r>
              <w:rPr>
                <w:rStyle w:val="IndexLink"/>
              </w:rPr>
              <w:t>130</w:t>
            </w:r>
          </w:hyperlink>
        </w:p>
        <w:p>
          <w:pPr>
            <w:pStyle w:val="Contents6"/>
            <w:tabs>
              <w:tab w:val="clear" w:pos="7609"/>
              <w:tab w:val="right" w:pos="9026" w:leader="dot"/>
            </w:tabs>
            <w:rPr/>
          </w:pPr>
          <w:hyperlink w:anchor="__RefHeading___Toc5027736_2314609296">
            <w:r>
              <w:rPr>
                <w:webHidden/>
                <w:rStyle w:val="IndexLink"/>
                <w:rtl w:val="true"/>
              </w:rPr>
              <w:t>الثالث</w:t>
            </w:r>
            <w:r>
              <w:rPr>
                <w:rStyle w:val="IndexLink"/>
                <w:rtl w:val="true"/>
              </w:rPr>
              <w:t>-</w:t>
            </w:r>
            <w:r>
              <w:rPr>
                <w:rStyle w:val="IndexLink"/>
                <w:rtl w:val="true"/>
              </w:rPr>
              <w:t>ما عن المحقق الثانی من اختصاص جواز الأخذ بصورة قیام من به الکفایة،</w:t>
            </w:r>
            <w:r>
              <w:rPr>
                <w:rStyle w:val="IndexLink"/>
                <w:rtl w:val="true"/>
              </w:rPr>
              <w:tab/>
            </w:r>
            <w:r>
              <w:rPr>
                <w:rStyle w:val="IndexLink"/>
              </w:rPr>
              <w:t>131</w:t>
            </w:r>
          </w:hyperlink>
        </w:p>
        <w:p>
          <w:pPr>
            <w:pStyle w:val="Contents6"/>
            <w:tabs>
              <w:tab w:val="clear" w:pos="7609"/>
              <w:tab w:val="right" w:pos="9026" w:leader="dot"/>
            </w:tabs>
            <w:rPr/>
          </w:pPr>
          <w:hyperlink w:anchor="__RefHeading___Toc5027738_2314609296">
            <w:r>
              <w:rPr>
                <w:webHidden/>
                <w:rStyle w:val="IndexLink"/>
                <w:rtl w:val="true"/>
              </w:rPr>
              <w:t>الرابع</w:t>
            </w:r>
            <w:r>
              <w:rPr>
                <w:rStyle w:val="IndexLink"/>
                <w:rtl w:val="true"/>
              </w:rPr>
              <w:t>-</w:t>
            </w:r>
            <w:r>
              <w:rPr>
                <w:rStyle w:val="IndexLink"/>
                <w:rtl w:val="true"/>
              </w:rPr>
              <w:t>ما فی مفتاح الکرامة من أنّ المنع مختصّ بالواجبات الکفائیة المقصودة لذاتها،</w:t>
            </w:r>
            <w:r>
              <w:rPr>
                <w:rStyle w:val="IndexLink"/>
                <w:rtl w:val="true"/>
              </w:rPr>
              <w:tab/>
            </w:r>
            <w:r>
              <w:rPr>
                <w:rStyle w:val="IndexLink"/>
              </w:rPr>
              <w:t>131</w:t>
            </w:r>
          </w:hyperlink>
        </w:p>
        <w:p>
          <w:pPr>
            <w:pStyle w:val="Contents6"/>
            <w:tabs>
              <w:tab w:val="clear" w:pos="7609"/>
              <w:tab w:val="right" w:pos="9026" w:leader="dot"/>
            </w:tabs>
            <w:rPr/>
          </w:pPr>
          <w:hyperlink w:anchor="__RefHeading___Toc5027740_2314609296">
            <w:r>
              <w:rPr>
                <w:webHidden/>
                <w:rStyle w:val="IndexLink"/>
                <w:rtl w:val="true"/>
              </w:rPr>
              <w:t>الخامس</w:t>
            </w:r>
            <w:r>
              <w:rPr>
                <w:rStyle w:val="IndexLink"/>
                <w:rtl w:val="true"/>
              </w:rPr>
              <w:t>-</w:t>
            </w:r>
            <w:r>
              <w:rPr>
                <w:rStyle w:val="IndexLink"/>
                <w:rtl w:val="true"/>
              </w:rPr>
              <w:t>أنّ المنع عن أخذ الأُجرة علی الصناعات الواجبة لإقامة النظام یوجب اختلال النظام؛</w:t>
            </w:r>
            <w:r>
              <w:rPr>
                <w:rStyle w:val="IndexLink"/>
                <w:rtl w:val="true"/>
              </w:rPr>
              <w:tab/>
            </w:r>
            <w:r>
              <w:rPr>
                <w:rStyle w:val="IndexLink"/>
              </w:rPr>
              <w:t>131</w:t>
            </w:r>
          </w:hyperlink>
        </w:p>
        <w:p>
          <w:pPr>
            <w:pStyle w:val="Contents6"/>
            <w:tabs>
              <w:tab w:val="clear" w:pos="7609"/>
              <w:tab w:val="right" w:pos="9026" w:leader="dot"/>
            </w:tabs>
            <w:rPr/>
          </w:pPr>
          <w:hyperlink w:anchor="__RefHeading___Toc5027742_2314609296">
            <w:r>
              <w:rPr>
                <w:webHidden/>
                <w:rStyle w:val="IndexLink"/>
                <w:rtl w:val="true"/>
              </w:rPr>
              <w:t>السادس</w:t>
            </w:r>
            <w:r>
              <w:rPr>
                <w:rStyle w:val="IndexLink"/>
                <w:rtl w:val="true"/>
              </w:rPr>
              <w:t>-</w:t>
            </w:r>
            <w:r>
              <w:rPr>
                <w:rStyle w:val="IndexLink"/>
                <w:rtl w:val="true"/>
              </w:rPr>
              <w:t>أنّ الوجوب فی هذه الأُمور مشروط بالعوض</w:t>
            </w:r>
            <w:r>
              <w:rPr>
                <w:rStyle w:val="IndexLink"/>
                <w:rtl w:val="true"/>
              </w:rPr>
              <w:t>.</w:t>
              <w:tab/>
            </w:r>
            <w:r>
              <w:rPr>
                <w:rStyle w:val="IndexLink"/>
              </w:rPr>
              <w:t>132</w:t>
            </w:r>
          </w:hyperlink>
        </w:p>
        <w:p>
          <w:pPr>
            <w:pStyle w:val="Contents6"/>
            <w:tabs>
              <w:tab w:val="clear" w:pos="7609"/>
              <w:tab w:val="right" w:pos="9026" w:leader="dot"/>
            </w:tabs>
            <w:rPr/>
          </w:pPr>
          <w:hyperlink w:anchor="__RefHeading___Toc5027744_2314609296">
            <w:r>
              <w:rPr>
                <w:webHidden/>
                <w:rStyle w:val="IndexLink"/>
                <w:rtl w:val="true"/>
              </w:rPr>
              <w:t>السابع</w:t>
            </w:r>
            <w:r>
              <w:rPr>
                <w:rStyle w:val="IndexLink"/>
                <w:rtl w:val="true"/>
              </w:rPr>
              <w:t>-</w:t>
            </w:r>
            <w:r>
              <w:rPr>
                <w:rStyle w:val="IndexLink"/>
                <w:rtl w:val="true"/>
              </w:rPr>
              <w:t>أنّ وجوب الصناعات المذکورة لم یثبت من حیث ذاتها،</w:t>
            </w:r>
            <w:r>
              <w:rPr>
                <w:rStyle w:val="IndexLink"/>
                <w:rtl w:val="true"/>
              </w:rPr>
              <w:tab/>
            </w:r>
            <w:r>
              <w:rPr>
                <w:rStyle w:val="IndexLink"/>
              </w:rPr>
              <w:t>133</w:t>
            </w:r>
          </w:hyperlink>
        </w:p>
        <w:p>
          <w:pPr>
            <w:pStyle w:val="Contents5"/>
            <w:tabs>
              <w:tab w:val="clear" w:pos="7892"/>
              <w:tab w:val="right" w:pos="9026" w:leader="dot"/>
            </w:tabs>
            <w:rPr/>
          </w:pPr>
          <w:hyperlink w:anchor="__RefHeading___Toc5027746_2314609296">
            <w:r>
              <w:rPr>
                <w:webHidden/>
                <w:rStyle w:val="IndexLink"/>
                <w:rtl w:val="true"/>
              </w:rPr>
              <w:t>و أمّا باذل المال للمضطر</w:t>
            </w:r>
            <w:r>
              <w:rPr>
                <w:rStyle w:val="IndexLink"/>
                <w:rtl w:val="true"/>
              </w:rPr>
              <w:tab/>
            </w:r>
            <w:r>
              <w:rPr>
                <w:rStyle w:val="IndexLink"/>
              </w:rPr>
              <w:t>135</w:t>
            </w:r>
          </w:hyperlink>
        </w:p>
        <w:p>
          <w:pPr>
            <w:pStyle w:val="Contents5"/>
            <w:tabs>
              <w:tab w:val="clear" w:pos="7892"/>
              <w:tab w:val="right" w:pos="9026" w:leader="dot"/>
            </w:tabs>
            <w:rPr/>
          </w:pPr>
          <w:hyperlink w:anchor="__RefHeading___Toc5027748_2314609296">
            <w:r>
              <w:rPr>
                <w:webHidden/>
                <w:rStyle w:val="IndexLink"/>
                <w:rtl w:val="true"/>
              </w:rPr>
              <w:t>و أمّا رجوع الاُمّ المرضعة بعوض إرضاع اللّبإ مع وجوبه علیها</w:t>
            </w:r>
            <w:r>
              <w:rPr>
                <w:rStyle w:val="IndexLink"/>
                <w:rtl w:val="true"/>
              </w:rPr>
              <w:tab/>
            </w:r>
            <w:r>
              <w:rPr>
                <w:rStyle w:val="IndexLink"/>
              </w:rPr>
              <w:t>135</w:t>
            </w:r>
          </w:hyperlink>
        </w:p>
        <w:p>
          <w:pPr>
            <w:pStyle w:val="Contents5"/>
            <w:tabs>
              <w:tab w:val="clear" w:pos="7892"/>
              <w:tab w:val="right" w:pos="9026" w:leader="dot"/>
            </w:tabs>
            <w:rPr/>
          </w:pPr>
          <w:hyperlink w:anchor="__RefHeading___Toc5027750_2314609296">
            <w:r>
              <w:rPr>
                <w:webHidden/>
                <w:rStyle w:val="IndexLink"/>
                <w:rtl w:val="true"/>
              </w:rPr>
              <w:t>و من هذا الباب أخذ الطبیب الأُجرة علی حضوره عند المریض إذا تعیّن علیه علاجه؛</w:t>
            </w:r>
            <w:r>
              <w:rPr>
                <w:rStyle w:val="IndexLink"/>
                <w:rtl w:val="true"/>
              </w:rPr>
              <w:tab/>
            </w:r>
            <w:r>
              <w:rPr>
                <w:rStyle w:val="IndexLink"/>
              </w:rPr>
              <w:t>135</w:t>
            </w:r>
          </w:hyperlink>
        </w:p>
        <w:p>
          <w:pPr>
            <w:pStyle w:val="Contents5"/>
            <w:tabs>
              <w:tab w:val="clear" w:pos="7892"/>
              <w:tab w:val="right" w:pos="9026" w:leader="dot"/>
            </w:tabs>
            <w:rPr/>
          </w:pPr>
          <w:hyperlink w:anchor="__RefHeading___Toc5027752_2314609296">
            <w:r>
              <w:rPr>
                <w:webHidden/>
                <w:rStyle w:val="IndexLink"/>
                <w:rtl w:val="true"/>
              </w:rPr>
              <w:t>[</w:t>
            </w:r>
            <w:r>
              <w:rPr>
                <w:rStyle w:val="IndexLink"/>
                <w:rtl w:val="true"/>
              </w:rPr>
              <w:t>عدم جواز الأخذ فی الکفائی لو علم کونه حقا للغیر</w:t>
            </w:r>
            <w:r>
              <w:rPr>
                <w:rStyle w:val="IndexLink"/>
                <w:rtl w:val="true"/>
              </w:rPr>
              <w:t>]</w:t>
              <w:tab/>
            </w:r>
            <w:r>
              <w:rPr>
                <w:rStyle w:val="IndexLink"/>
              </w:rPr>
              <w:t>136</w:t>
            </w:r>
          </w:hyperlink>
        </w:p>
        <w:p>
          <w:pPr>
            <w:pStyle w:val="Contents4"/>
            <w:tabs>
              <w:tab w:val="clear" w:pos="8176"/>
              <w:tab w:val="right" w:pos="9026" w:leader="dot"/>
            </w:tabs>
            <w:rPr/>
          </w:pPr>
          <w:hyperlink w:anchor="__RefHeading___Toc5027754_2314609296">
            <w:r>
              <w:rPr>
                <w:webHidden/>
                <w:rStyle w:val="IndexLink"/>
                <w:rtl w:val="true"/>
              </w:rPr>
              <w:t>و أمّا المکروه و المباح</w:t>
            </w:r>
            <w:r>
              <w:rPr>
                <w:rStyle w:val="IndexLink"/>
                <w:rtl w:val="true"/>
              </w:rPr>
              <w:tab/>
            </w:r>
            <w:r>
              <w:rPr>
                <w:rStyle w:val="IndexLink"/>
              </w:rPr>
              <w:t>136</w:t>
            </w:r>
          </w:hyperlink>
        </w:p>
        <w:p>
          <w:pPr>
            <w:pStyle w:val="Contents4"/>
            <w:tabs>
              <w:tab w:val="clear" w:pos="8176"/>
              <w:tab w:val="right" w:pos="9026" w:leader="dot"/>
            </w:tabs>
            <w:rPr/>
          </w:pPr>
          <w:hyperlink w:anchor="__RefHeading___Toc5027756_2314609296">
            <w:r>
              <w:rPr>
                <w:webHidden/>
                <w:rStyle w:val="IndexLink"/>
                <w:rtl w:val="true"/>
              </w:rPr>
              <w:t>و أمّا المستحبّ</w:t>
            </w:r>
            <w:r>
              <w:rPr>
                <w:rStyle w:val="IndexLink"/>
                <w:rtl w:val="true"/>
              </w:rPr>
              <w:t>-</w:t>
              <w:tab/>
            </w:r>
            <w:r>
              <w:rPr>
                <w:rStyle w:val="IndexLink"/>
              </w:rPr>
              <w:t>136</w:t>
            </w:r>
          </w:hyperlink>
        </w:p>
        <w:p>
          <w:pPr>
            <w:pStyle w:val="Contents4"/>
            <w:tabs>
              <w:tab w:val="clear" w:pos="8176"/>
              <w:tab w:val="right" w:pos="9026" w:leader="dot"/>
            </w:tabs>
            <w:rPr/>
          </w:pPr>
          <w:hyperlink w:anchor="__RefHeading___Toc5027758_2314609296">
            <w:r>
              <w:rPr>
                <w:webHidden/>
                <w:rStyle w:val="IndexLink"/>
                <w:rtl w:val="true"/>
              </w:rPr>
              <w:t>[</w:t>
            </w:r>
            <w:r>
              <w:rPr>
                <w:rStyle w:val="IndexLink"/>
                <w:rtl w:val="true"/>
              </w:rPr>
              <w:t>عدم جواز إتیان ما وجب بالإجارة عن نفسه</w:t>
            </w:r>
            <w:r>
              <w:rPr>
                <w:rStyle w:val="IndexLink"/>
                <w:rtl w:val="true"/>
              </w:rPr>
              <w:t>]</w:t>
              <w:tab/>
            </w:r>
            <w:r>
              <w:rPr>
                <w:rStyle w:val="IndexLink"/>
              </w:rPr>
              <w:t>140</w:t>
            </w:r>
          </w:hyperlink>
        </w:p>
        <w:p>
          <w:pPr>
            <w:pStyle w:val="Contents4"/>
            <w:tabs>
              <w:tab w:val="clear" w:pos="8176"/>
              <w:tab w:val="right" w:pos="9026" w:leader="dot"/>
            </w:tabs>
            <w:rPr/>
          </w:pPr>
          <w:hyperlink w:anchor="__RefHeading___Toc5027760_2314609296">
            <w:r>
              <w:rPr>
                <w:webHidden/>
                <w:rStyle w:val="IndexLink"/>
                <w:rtl w:val="true"/>
              </w:rPr>
              <w:t>[</w:t>
            </w:r>
            <w:r>
              <w:rPr>
                <w:rStyle w:val="IndexLink"/>
                <w:rtl w:val="true"/>
              </w:rPr>
              <w:t>أخذ الأجرة علی الأذان</w:t>
            </w:r>
            <w:r>
              <w:rPr>
                <w:rStyle w:val="IndexLink"/>
                <w:rtl w:val="true"/>
              </w:rPr>
              <w:t>]</w:t>
              <w:tab/>
            </w:r>
            <w:r>
              <w:rPr>
                <w:rStyle w:val="IndexLink"/>
              </w:rPr>
              <w:t>142</w:t>
            </w:r>
          </w:hyperlink>
        </w:p>
        <w:p>
          <w:pPr>
            <w:pStyle w:val="Contents4"/>
            <w:tabs>
              <w:tab w:val="clear" w:pos="8176"/>
              <w:tab w:val="right" w:pos="9026" w:leader="dot"/>
            </w:tabs>
            <w:rPr/>
          </w:pPr>
          <w:hyperlink w:anchor="__RefHeading___Toc5027762_2314609296">
            <w:r>
              <w:rPr>
                <w:webHidden/>
                <w:rStyle w:val="IndexLink"/>
                <w:rtl w:val="true"/>
              </w:rPr>
              <w:t>[</w:t>
            </w:r>
            <w:r>
              <w:rPr>
                <w:rStyle w:val="IndexLink"/>
                <w:rtl w:val="true"/>
              </w:rPr>
              <w:t>أخذ الأجرة علی الإمامة</w:t>
            </w:r>
            <w:r>
              <w:rPr>
                <w:rStyle w:val="IndexLink"/>
                <w:rtl w:val="true"/>
              </w:rPr>
              <w:t>]</w:t>
              <w:tab/>
            </w:r>
            <w:r>
              <w:rPr>
                <w:rStyle w:val="IndexLink"/>
              </w:rPr>
              <w:t>144</w:t>
            </w:r>
          </w:hyperlink>
        </w:p>
        <w:p>
          <w:pPr>
            <w:pStyle w:val="Contents4"/>
            <w:tabs>
              <w:tab w:val="clear" w:pos="8176"/>
              <w:tab w:val="right" w:pos="9026" w:leader="dot"/>
            </w:tabs>
            <w:rPr/>
          </w:pPr>
          <w:hyperlink w:anchor="__RefHeading___Toc5027764_2314609296">
            <w:r>
              <w:rPr>
                <w:webHidden/>
                <w:rStyle w:val="IndexLink"/>
                <w:rtl w:val="true"/>
              </w:rPr>
              <w:t>ثمّ إنّ من الواجبات التی یحرم أخذ الأُجرة علیها</w:t>
            </w:r>
            <w:r>
              <w:rPr>
                <w:rStyle w:val="IndexLink"/>
                <w:rtl w:val="true"/>
              </w:rPr>
              <w:tab/>
            </w:r>
            <w:r>
              <w:rPr>
                <w:rStyle w:val="IndexLink"/>
              </w:rPr>
              <w:t>144</w:t>
            </w:r>
          </w:hyperlink>
        </w:p>
        <w:p>
          <w:pPr>
            <w:pStyle w:val="Contents4"/>
            <w:tabs>
              <w:tab w:val="clear" w:pos="8176"/>
              <w:tab w:val="right" w:pos="9026" w:leader="dot"/>
            </w:tabs>
            <w:rPr/>
          </w:pPr>
          <w:hyperlink w:anchor="__RefHeading___Toc5027766_2314609296">
            <w:r>
              <w:rPr>
                <w:webHidden/>
                <w:rStyle w:val="IndexLink"/>
                <w:rtl w:val="true"/>
              </w:rPr>
              <w:t>[</w:t>
            </w:r>
            <w:r>
              <w:rPr>
                <w:rStyle w:val="IndexLink"/>
                <w:rtl w:val="true"/>
              </w:rPr>
              <w:t>حکم الارتزاق من بیت المال</w:t>
            </w:r>
            <w:r>
              <w:rPr>
                <w:rStyle w:val="IndexLink"/>
                <w:rtl w:val="true"/>
              </w:rPr>
              <w:t>]</w:t>
              <w:tab/>
            </w:r>
            <w:r>
              <w:rPr>
                <w:rStyle w:val="IndexLink"/>
              </w:rPr>
              <w:t>146</w:t>
            </w:r>
          </w:hyperlink>
        </w:p>
        <w:p>
          <w:pPr>
            <w:pStyle w:val="Contents3"/>
            <w:tabs>
              <w:tab w:val="clear" w:pos="8459"/>
              <w:tab w:val="right" w:pos="9026" w:leader="dot"/>
            </w:tabs>
            <w:rPr/>
          </w:pPr>
          <w:hyperlink w:anchor="__RefHeading___Toc5027768_2314609296">
            <w:r>
              <w:rPr>
                <w:webHidden/>
                <w:rStyle w:val="IndexLink"/>
                <w:rtl w:val="true"/>
              </w:rPr>
              <w:t>خاتمة تشتمل علی مسائل</w:t>
            </w:r>
            <w:r>
              <w:rPr>
                <w:rStyle w:val="IndexLink"/>
                <w:rtl w:val="true"/>
              </w:rPr>
              <w:tab/>
            </w:r>
            <w:r>
              <w:rPr>
                <w:rStyle w:val="IndexLink"/>
              </w:rPr>
              <w:t>148</w:t>
            </w:r>
          </w:hyperlink>
        </w:p>
        <w:p>
          <w:pPr>
            <w:pStyle w:val="Contents4"/>
            <w:tabs>
              <w:tab w:val="clear" w:pos="8176"/>
              <w:tab w:val="right" w:pos="9026" w:leader="dot"/>
            </w:tabs>
            <w:rPr/>
          </w:pPr>
          <w:hyperlink w:anchor="__RefHeading___Toc5027770_2314609296">
            <w:r>
              <w:rPr>
                <w:webHidden/>
                <w:rStyle w:val="IndexLink"/>
                <w:rtl w:val="true"/>
              </w:rPr>
              <w:t>الأُولی صرّح جماعة</w:t>
            </w:r>
            <w:r>
              <w:rPr>
                <w:rStyle w:val="IndexLink"/>
                <w:rtl w:val="true"/>
              </w:rPr>
              <w:t>-</w:t>
            </w:r>
            <w:r>
              <w:rPr>
                <w:rStyle w:val="IndexLink"/>
                <w:rtl w:val="true"/>
              </w:rPr>
              <w:t>کما عن النهایة</w:t>
            </w:r>
            <w:r>
              <w:rPr>
                <w:rStyle w:val="IndexLink"/>
                <w:rtl w:val="true"/>
              </w:rPr>
              <w:tab/>
            </w:r>
            <w:r>
              <w:rPr>
                <w:rStyle w:val="IndexLink"/>
              </w:rPr>
              <w:t>148</w:t>
            </w:r>
          </w:hyperlink>
        </w:p>
        <w:p>
          <w:pPr>
            <w:pStyle w:val="Contents5"/>
            <w:tabs>
              <w:tab w:val="clear" w:pos="7892"/>
              <w:tab w:val="right" w:pos="9026" w:leader="dot"/>
            </w:tabs>
            <w:rPr/>
          </w:pPr>
          <w:hyperlink w:anchor="__RefHeading___Toc5027772_2314609296">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027774_2314609296">
            <w:r>
              <w:rPr>
                <w:webHidden/>
                <w:rStyle w:val="IndexLink"/>
                <w:rtl w:val="true"/>
              </w:rPr>
              <w:t>بقی الکلام فی المراد من حرمة البیع و الشراء،</w:t>
            </w:r>
            <w:r>
              <w:rPr>
                <w:rStyle w:val="IndexLink"/>
                <w:rtl w:val="true"/>
              </w:rPr>
              <w:tab/>
            </w:r>
            <w:r>
              <w:rPr>
                <w:rStyle w:val="IndexLink"/>
              </w:rPr>
              <w:t>153</w:t>
            </w:r>
          </w:hyperlink>
        </w:p>
        <w:p>
          <w:pPr>
            <w:pStyle w:val="Contents5"/>
            <w:tabs>
              <w:tab w:val="clear" w:pos="7892"/>
              <w:tab w:val="right" w:pos="9026" w:leader="dot"/>
            </w:tabs>
            <w:rPr/>
          </w:pPr>
          <w:hyperlink w:anchor="__RefHeading___Toc5027776_2314609296">
            <w:r>
              <w:rPr>
                <w:webHidden/>
                <w:rStyle w:val="IndexLink"/>
                <w:rtl w:val="true"/>
              </w:rPr>
              <w:t>[</w:t>
            </w:r>
            <w:r>
              <w:rPr>
                <w:rStyle w:val="IndexLink"/>
                <w:rtl w:val="true"/>
              </w:rPr>
              <w:t>بیع المصحف من الکافر و تملک الکفار للمصاحف</w:t>
            </w:r>
            <w:r>
              <w:rPr>
                <w:rStyle w:val="IndexLink"/>
                <w:rtl w:val="true"/>
              </w:rPr>
              <w:t>]</w:t>
              <w:tab/>
            </w:r>
            <w:r>
              <w:rPr>
                <w:rStyle w:val="IndexLink"/>
              </w:rPr>
              <w:t>154</w:t>
            </w:r>
          </w:hyperlink>
        </w:p>
        <w:p>
          <w:pPr>
            <w:pStyle w:val="Contents5"/>
            <w:tabs>
              <w:tab w:val="clear" w:pos="7892"/>
              <w:tab w:val="right" w:pos="9026" w:leader="dot"/>
            </w:tabs>
            <w:rPr/>
          </w:pPr>
          <w:hyperlink w:anchor="__RefHeading___Toc5027778_2314609296">
            <w:r>
              <w:rPr>
                <w:webHidden/>
                <w:rStyle w:val="IndexLink"/>
                <w:rtl w:val="true"/>
              </w:rPr>
              <w:t>و الظاهر أنّ أبعاض المصحف فی حکم الکلّ إذا کانت مستقلّة</w:t>
            </w:r>
            <w:r>
              <w:rPr>
                <w:rStyle w:val="IndexLink"/>
                <w:rtl w:val="true"/>
              </w:rPr>
              <w:tab/>
            </w:r>
            <w:r>
              <w:rPr>
                <w:rStyle w:val="IndexLink"/>
              </w:rPr>
              <w:t>156</w:t>
            </w:r>
          </w:hyperlink>
        </w:p>
        <w:p>
          <w:pPr>
            <w:pStyle w:val="Contents5"/>
            <w:tabs>
              <w:tab w:val="clear" w:pos="7892"/>
              <w:tab w:val="right" w:pos="9026" w:leader="dot"/>
            </w:tabs>
            <w:rPr/>
          </w:pPr>
          <w:hyperlink w:anchor="__RefHeading___Toc5027780_2314609296">
            <w:r>
              <w:rPr>
                <w:webHidden/>
                <w:rStyle w:val="IndexLink"/>
                <w:rtl w:val="true"/>
              </w:rPr>
              <w:t>و فی إلحاق الأدعیة المشتملة علی أسماء اللّه تعالی</w:t>
            </w:r>
            <w:r>
              <w:rPr>
                <w:rStyle w:val="IndexLink"/>
                <w:rtl w:val="true"/>
              </w:rPr>
              <w:t>-</w:t>
              <w:tab/>
            </w:r>
            <w:r>
              <w:rPr>
                <w:rStyle w:val="IndexLink"/>
              </w:rPr>
              <w:t>156</w:t>
            </w:r>
          </w:hyperlink>
        </w:p>
        <w:p>
          <w:pPr>
            <w:pStyle w:val="Contents5"/>
            <w:tabs>
              <w:tab w:val="clear" w:pos="7892"/>
              <w:tab w:val="right" w:pos="9026" w:leader="dot"/>
            </w:tabs>
            <w:rPr/>
          </w:pPr>
          <w:hyperlink w:anchor="__RefHeading___Toc5027782_2314609296">
            <w:r>
              <w:rPr>
                <w:webHidden/>
                <w:rStyle w:val="IndexLink"/>
                <w:rtl w:val="true"/>
              </w:rPr>
              <w:t>و فی إلحاق الأحادیث النبویّة بالقرآن</w:t>
            </w:r>
            <w:r>
              <w:rPr>
                <w:rStyle w:val="IndexLink"/>
                <w:rtl w:val="true"/>
              </w:rPr>
              <w:tab/>
            </w:r>
            <w:r>
              <w:rPr>
                <w:rStyle w:val="IndexLink"/>
              </w:rPr>
              <w:t>156</w:t>
            </w:r>
          </w:hyperlink>
        </w:p>
        <w:p>
          <w:pPr>
            <w:pStyle w:val="Contents4"/>
            <w:tabs>
              <w:tab w:val="clear" w:pos="8176"/>
              <w:tab w:val="right" w:pos="9026" w:leader="dot"/>
            </w:tabs>
            <w:rPr/>
          </w:pPr>
          <w:hyperlink w:anchor="__RefHeading___Toc5027784_2314609296">
            <w:r>
              <w:rPr>
                <w:webHidden/>
                <w:rStyle w:val="IndexLink"/>
                <w:rtl w:val="true"/>
              </w:rPr>
              <w:t>المسألة</w:t>
            </w:r>
            <w:r>
              <w:rPr>
                <w:rStyle w:val="IndexLink"/>
                <w:rtl w:val="true"/>
              </w:rPr>
              <w:t>]</w:t>
            </w:r>
            <w:r>
              <w:rPr>
                <w:rStyle w:val="IndexLink"/>
                <w:rtl w:val="true"/>
              </w:rPr>
              <w:t>الثانیة جوائز السلطان و عمّاله،</w:t>
            </w:r>
            <w:r>
              <w:rPr>
                <w:rStyle w:val="IndexLink"/>
                <w:rtl w:val="true"/>
              </w:rPr>
              <w:tab/>
            </w:r>
            <w:r>
              <w:rPr>
                <w:rStyle w:val="IndexLink"/>
              </w:rPr>
              <w:t>158</w:t>
            </w:r>
          </w:hyperlink>
        </w:p>
        <w:p>
          <w:pPr>
            <w:pStyle w:val="Contents5"/>
            <w:tabs>
              <w:tab w:val="clear" w:pos="7892"/>
              <w:tab w:val="right" w:pos="9026" w:leader="dot"/>
            </w:tabs>
            <w:rPr/>
          </w:pPr>
          <w:hyperlink w:anchor="__RefHeading___Toc5027786_231460929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027788_2314609296">
            <w:r>
              <w:rPr>
                <w:webHidden/>
                <w:rStyle w:val="IndexLink"/>
                <w:rtl w:val="true"/>
              </w:rPr>
              <w:t>فالصور أربع</w:t>
            </w:r>
            <w:r>
              <w:rPr>
                <w:rStyle w:val="IndexLink"/>
                <w:rtl w:val="true"/>
              </w:rPr>
              <w:t>:</w:t>
              <w:tab/>
            </w:r>
            <w:r>
              <w:rPr>
                <w:rStyle w:val="IndexLink"/>
              </w:rPr>
              <w:t>158</w:t>
            </w:r>
          </w:hyperlink>
        </w:p>
        <w:p>
          <w:pPr>
            <w:pStyle w:val="Contents6"/>
            <w:tabs>
              <w:tab w:val="clear" w:pos="7609"/>
              <w:tab w:val="right" w:pos="9026" w:leader="dot"/>
            </w:tabs>
            <w:rPr/>
          </w:pPr>
          <w:hyperlink w:anchor="__RefHeading___Toc5027790_2314609296">
            <w:r>
              <w:rPr>
                <w:webHidden/>
                <w:rStyle w:val="IndexLink"/>
                <w:rtl w:val="true"/>
              </w:rPr>
              <w:t>أمّا الاُولی،</w:t>
            </w:r>
            <w:r>
              <w:rPr>
                <w:rStyle w:val="IndexLink"/>
                <w:rtl w:val="true"/>
              </w:rPr>
              <w:tab/>
            </w:r>
            <w:r>
              <w:rPr>
                <w:rStyle w:val="IndexLink"/>
              </w:rPr>
              <w:t>158</w:t>
            </w:r>
          </w:hyperlink>
        </w:p>
        <w:p>
          <w:pPr>
            <w:pStyle w:val="Contents6"/>
            <w:tabs>
              <w:tab w:val="clear" w:pos="7609"/>
              <w:tab w:val="right" w:pos="9026" w:leader="dot"/>
            </w:tabs>
            <w:rPr/>
          </w:pPr>
          <w:hyperlink w:anchor="__RefHeading___Toc5027792_2314609296">
            <w:r>
              <w:rPr>
                <w:webHidden/>
                <w:rStyle w:val="IndexLink"/>
                <w:rtl w:val="true"/>
              </w:rPr>
              <w:t xml:space="preserve">و أمّا الثانیة، </w:t>
            </w:r>
            <w:r>
              <w:rPr>
                <w:rStyle w:val="IndexLink"/>
                <w:rtl w:val="true"/>
              </w:rPr>
              <w:t>[</w:t>
            </w:r>
            <w:r>
              <w:rPr>
                <w:rStyle w:val="IndexLink"/>
                <w:rtl w:val="true"/>
              </w:rPr>
              <w:t>ان یعلم بوجود مال محرم للجائر لکن لا یعلم بکون الجائزة منها</w:t>
            </w:r>
            <w:r>
              <w:rPr>
                <w:rStyle w:val="IndexLink"/>
                <w:rtl w:val="true"/>
              </w:rPr>
              <w:t>]</w:t>
              <w:tab/>
            </w:r>
            <w:r>
              <w:rPr>
                <w:rStyle w:val="IndexLink"/>
              </w:rPr>
              <w:t>160</w:t>
            </w:r>
          </w:hyperlink>
        </w:p>
        <w:p>
          <w:pPr>
            <w:pStyle w:val="Contents6"/>
            <w:tabs>
              <w:tab w:val="clear" w:pos="7609"/>
              <w:tab w:val="right" w:pos="9026" w:leader="dot"/>
            </w:tabs>
            <w:rPr/>
          </w:pPr>
          <w:hyperlink w:anchor="__RefHeading___Toc5027794_2314609296">
            <w:r>
              <w:rPr>
                <w:webHidden/>
                <w:rStyle w:val="IndexLink"/>
                <w:rtl w:val="true"/>
              </w:rPr>
              <w:t>[</w:t>
            </w:r>
            <w:r>
              <w:rPr>
                <w:rStyle w:val="IndexLink"/>
                <w:rtl w:val="true"/>
              </w:rPr>
              <w:t>الحالة الأولی أن تکون الشبهة غیر محصورة</w:t>
            </w:r>
            <w:r>
              <w:rPr>
                <w:rStyle w:val="IndexLink"/>
                <w:rtl w:val="true"/>
              </w:rPr>
              <w:t>]</w:t>
              <w:tab/>
            </w:r>
            <w:r>
              <w:rPr>
                <w:rStyle w:val="IndexLink"/>
              </w:rPr>
              <w:t>160</w:t>
            </w:r>
          </w:hyperlink>
        </w:p>
        <w:p>
          <w:pPr>
            <w:pStyle w:val="Contents6"/>
            <w:tabs>
              <w:tab w:val="clear" w:pos="7609"/>
              <w:tab w:val="right" w:pos="9026" w:leader="dot"/>
            </w:tabs>
            <w:rPr/>
          </w:pPr>
          <w:hyperlink w:anchor="__RefHeading___Toc5027796_2314609296">
            <w:r>
              <w:rPr>
                <w:webHidden/>
                <w:rStyle w:val="IndexLink"/>
                <w:rtl w:val="true"/>
              </w:rPr>
              <w:t>[</w:t>
            </w:r>
            <w:r>
              <w:rPr>
                <w:rStyle w:val="IndexLink"/>
                <w:rtl w:val="true"/>
              </w:rPr>
              <w:t>الحالة الثانیة</w:t>
            </w:r>
            <w:r>
              <w:rPr>
                <w:rStyle w:val="IndexLink"/>
                <w:rtl w:val="true"/>
              </w:rPr>
              <w:t>]</w:t>
              <w:tab/>
            </w:r>
            <w:r>
              <w:rPr>
                <w:rStyle w:val="IndexLink"/>
              </w:rPr>
              <w:t>167</w:t>
            </w:r>
          </w:hyperlink>
        </w:p>
        <w:p>
          <w:pPr>
            <w:pStyle w:val="Contents6"/>
            <w:tabs>
              <w:tab w:val="clear" w:pos="7609"/>
              <w:tab w:val="right" w:pos="9026" w:leader="dot"/>
            </w:tabs>
            <w:rPr/>
          </w:pPr>
          <w:hyperlink w:anchor="__RefHeading___Toc5027798_2314609296">
            <w:r>
              <w:rPr>
                <w:webHidden/>
                <w:rStyle w:val="IndexLink"/>
                <w:rtl w:val="true"/>
              </w:rPr>
              <w:t>الصورة الثالثة</w:t>
            </w:r>
            <w:r>
              <w:rPr>
                <w:rStyle w:val="IndexLink"/>
                <w:rtl w:val="true"/>
              </w:rPr>
              <w:t>:</w:t>
            </w:r>
            <w:r>
              <w:rPr>
                <w:rStyle w:val="IndexLink"/>
                <w:rtl w:val="true"/>
              </w:rPr>
              <w:t>أن</w:t>
            </w:r>
            <w:r>
              <w:rPr>
                <w:rStyle w:val="IndexLink"/>
                <w:rtl w:val="true"/>
              </w:rPr>
              <w:tab/>
            </w:r>
            <w:r>
              <w:rPr>
                <w:rStyle w:val="IndexLink"/>
              </w:rPr>
              <w:t>175</w:t>
            </w:r>
          </w:hyperlink>
        </w:p>
        <w:p>
          <w:pPr>
            <w:pStyle w:val="Contents6"/>
            <w:tabs>
              <w:tab w:val="clear" w:pos="7609"/>
              <w:tab w:val="right" w:pos="9026" w:leader="dot"/>
            </w:tabs>
            <w:rPr/>
          </w:pPr>
          <w:hyperlink w:anchor="__RefHeading___Toc5027800_2314609296">
            <w:r>
              <w:rPr>
                <w:webHidden/>
                <w:rStyle w:val="IndexLink"/>
                <w:rtl w:val="true"/>
              </w:rPr>
              <w:t>و أمّا الصورة الرابعة</w:t>
            </w:r>
            <w:r>
              <w:rPr>
                <w:rStyle w:val="IndexLink"/>
                <w:rtl w:val="true"/>
              </w:rPr>
              <w:t>:</w:t>
            </w:r>
            <w:r>
              <w:rPr>
                <w:rStyle w:val="IndexLink"/>
                <w:rtl w:val="true"/>
              </w:rPr>
              <w:t>و هو</w:t>
            </w:r>
            <w:r>
              <w:rPr>
                <w:rStyle w:val="IndexLink"/>
                <w:rtl w:val="true"/>
              </w:rPr>
              <w:tab/>
            </w:r>
            <w:r>
              <w:rPr>
                <w:rStyle w:val="IndexLink"/>
              </w:rPr>
              <w:t>190</w:t>
            </w:r>
          </w:hyperlink>
        </w:p>
        <w:p>
          <w:pPr>
            <w:pStyle w:val="Contents4"/>
            <w:tabs>
              <w:tab w:val="clear" w:pos="8176"/>
              <w:tab w:val="right" w:pos="9026" w:leader="dot"/>
            </w:tabs>
            <w:rPr/>
          </w:pPr>
          <w:hyperlink w:anchor="__RefHeading___Toc5027802_2314609296">
            <w:r>
              <w:rPr>
                <w:webHidden/>
                <w:rStyle w:val="IndexLink"/>
                <w:rtl w:val="true"/>
              </w:rPr>
              <w:t>المسألة</w:t>
            </w:r>
            <w:r>
              <w:rPr>
                <w:rStyle w:val="IndexLink"/>
                <w:rtl w:val="true"/>
              </w:rPr>
              <w:t>]</w:t>
            </w:r>
            <w:r>
              <w:rPr>
                <w:rStyle w:val="IndexLink"/>
                <w:rtl w:val="true"/>
              </w:rPr>
              <w:t>الثالثة ما یأخذه السلطان المستحلّ لأخذ الخراج و المقاسمة من الأراضی باسمهما و من الأنعام باسم الزکاة،</w:t>
            </w:r>
            <w:r>
              <w:rPr>
                <w:rStyle w:val="IndexLink"/>
                <w:rtl w:val="true"/>
              </w:rPr>
              <w:tab/>
            </w:r>
            <w:r>
              <w:rPr>
                <w:rStyle w:val="IndexLink"/>
              </w:rPr>
              <w:t>194</w:t>
            </w:r>
          </w:hyperlink>
        </w:p>
        <w:p>
          <w:pPr>
            <w:pStyle w:val="Contents5"/>
            <w:tabs>
              <w:tab w:val="clear" w:pos="7892"/>
              <w:tab w:val="right" w:pos="9026" w:leader="dot"/>
            </w:tabs>
            <w:rPr/>
          </w:pPr>
          <w:hyperlink w:anchor="__RefHeading___Toc5027804_2314609296">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027806_2314609296">
            <w:r>
              <w:rPr>
                <w:webHidden/>
                <w:rStyle w:val="IndexLink"/>
                <w:rtl w:val="true"/>
              </w:rPr>
              <w:t>و ینبغی</w:t>
            </w:r>
            <w:r>
              <w:rPr>
                <w:rStyle w:val="IndexLink"/>
                <w:rtl w:val="true"/>
              </w:rPr>
              <w:tab/>
            </w:r>
            <w:r>
              <w:rPr>
                <w:rStyle w:val="IndexLink"/>
              </w:rPr>
              <w:t>204</w:t>
            </w:r>
          </w:hyperlink>
        </w:p>
        <w:p>
          <w:pPr>
            <w:pStyle w:val="Contents6"/>
            <w:tabs>
              <w:tab w:val="clear" w:pos="7609"/>
              <w:tab w:val="right" w:pos="9026" w:leader="dot"/>
            </w:tabs>
            <w:rPr/>
          </w:pPr>
          <w:hyperlink w:anchor="__RefHeading___Toc5027808_231460929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5027810_2314609296">
            <w:r>
              <w:rPr>
                <w:webHidden/>
                <w:rStyle w:val="IndexLink"/>
                <w:rtl w:val="true"/>
              </w:rPr>
              <w:t>الأوّل إنّ ظاهر عبارات الأکثر،بل الکلّ</w:t>
            </w:r>
            <w:r>
              <w:rPr>
                <w:rStyle w:val="IndexLink"/>
                <w:rtl w:val="true"/>
              </w:rPr>
              <w:t>:</w:t>
            </w:r>
            <w:r>
              <w:rPr>
                <w:rStyle w:val="IndexLink"/>
                <w:rtl w:val="true"/>
              </w:rPr>
              <w:t>أنّ الحکم مختصّ بما یأخذه السلطان،</w:t>
            </w:r>
            <w:r>
              <w:rPr>
                <w:rStyle w:val="IndexLink"/>
                <w:rtl w:val="true"/>
              </w:rPr>
              <w:tab/>
            </w:r>
            <w:r>
              <w:rPr>
                <w:rStyle w:val="IndexLink"/>
              </w:rPr>
              <w:t>204</w:t>
            </w:r>
          </w:hyperlink>
        </w:p>
        <w:p>
          <w:pPr>
            <w:pStyle w:val="Contents6"/>
            <w:tabs>
              <w:tab w:val="clear" w:pos="7609"/>
              <w:tab w:val="right" w:pos="9026" w:leader="dot"/>
            </w:tabs>
            <w:rPr/>
          </w:pPr>
          <w:hyperlink w:anchor="__RefHeading___Toc5027812_2314609296">
            <w:r>
              <w:rPr>
                <w:webHidden/>
                <w:rStyle w:val="IndexLink"/>
                <w:rtl w:val="true"/>
              </w:rPr>
              <w:t>الثانی هل یختصّ حکم الخراج من حیث الخروج عن قاعدة کونه مالاً مغصوباً محرّماً بمن ینتقل إلیه،</w:t>
            </w:r>
            <w:r>
              <w:rPr>
                <w:rStyle w:val="IndexLink"/>
                <w:rtl w:val="true"/>
              </w:rPr>
              <w:tab/>
            </w:r>
            <w:r>
              <w:rPr>
                <w:rStyle w:val="IndexLink"/>
              </w:rPr>
              <w:t>207</w:t>
            </w:r>
          </w:hyperlink>
        </w:p>
        <w:p>
          <w:pPr>
            <w:pStyle w:val="Contents6"/>
            <w:tabs>
              <w:tab w:val="clear" w:pos="7609"/>
              <w:tab w:val="right" w:pos="9026" w:leader="dot"/>
            </w:tabs>
            <w:rPr/>
          </w:pPr>
          <w:hyperlink w:anchor="__RefHeading___Toc5027814_2314609296">
            <w:r>
              <w:rPr>
                <w:webHidden/>
                <w:rStyle w:val="IndexLink"/>
                <w:rtl w:val="true"/>
              </w:rPr>
              <w:t>الثالث أنّ ظاهر الأخبار</w:t>
            </w:r>
            <w:r>
              <w:rPr>
                <w:rStyle w:val="IndexLink"/>
                <w:rtl w:val="true"/>
              </w:rPr>
              <w:tab/>
            </w:r>
            <w:r>
              <w:rPr>
                <w:rStyle w:val="IndexLink"/>
              </w:rPr>
              <w:t>218</w:t>
            </w:r>
          </w:hyperlink>
        </w:p>
        <w:p>
          <w:pPr>
            <w:pStyle w:val="Contents6"/>
            <w:tabs>
              <w:tab w:val="clear" w:pos="7609"/>
              <w:tab w:val="right" w:pos="9026" w:leader="dot"/>
            </w:tabs>
            <w:rPr/>
          </w:pPr>
          <w:hyperlink w:anchor="__RefHeading___Toc5027816_2314609296">
            <w:r>
              <w:rPr>
                <w:webHidden/>
                <w:rStyle w:val="IndexLink"/>
                <w:rtl w:val="true"/>
              </w:rPr>
              <w:t>الرابع ظاهر الأخبار و منصرف کلمات الأصحاب</w:t>
            </w:r>
            <w:r>
              <w:rPr>
                <w:rStyle w:val="IndexLink"/>
                <w:rtl w:val="true"/>
              </w:rPr>
              <w:t>:</w:t>
            </w:r>
            <w:r>
              <w:rPr>
                <w:rStyle w:val="IndexLink"/>
                <w:rtl w:val="true"/>
              </w:rPr>
              <w:t>الاختصاص بالسلطان المدّعی للرئاسة العامّة و عمّاله،</w:t>
            </w:r>
            <w:r>
              <w:rPr>
                <w:rStyle w:val="IndexLink"/>
                <w:rtl w:val="true"/>
              </w:rPr>
              <w:tab/>
            </w:r>
            <w:r>
              <w:rPr>
                <w:rStyle w:val="IndexLink"/>
              </w:rPr>
              <w:t>220</w:t>
            </w:r>
          </w:hyperlink>
        </w:p>
        <w:p>
          <w:pPr>
            <w:pStyle w:val="Contents6"/>
            <w:tabs>
              <w:tab w:val="clear" w:pos="7609"/>
              <w:tab w:val="right" w:pos="9026" w:leader="dot"/>
            </w:tabs>
            <w:rPr/>
          </w:pPr>
          <w:hyperlink w:anchor="__RefHeading___Toc5027818_2314609296">
            <w:r>
              <w:rPr>
                <w:webHidden/>
                <w:rStyle w:val="IndexLink"/>
                <w:rtl w:val="true"/>
              </w:rPr>
              <w:t>الخامس الظاهر أنّه لا یعتبر فی حِلّ الخراج المأخوذ أن یکون المأخوذ منه ممّن یعتقد استحقاق الآخذ للأخذ،</w:t>
            </w:r>
            <w:r>
              <w:rPr>
                <w:rStyle w:val="IndexLink"/>
                <w:rtl w:val="true"/>
              </w:rPr>
              <w:tab/>
            </w:r>
            <w:r>
              <w:rPr>
                <w:rStyle w:val="IndexLink"/>
              </w:rPr>
              <w:t>225</w:t>
            </w:r>
          </w:hyperlink>
        </w:p>
        <w:p>
          <w:pPr>
            <w:pStyle w:val="Contents6"/>
            <w:tabs>
              <w:tab w:val="clear" w:pos="7609"/>
              <w:tab w:val="right" w:pos="9026" w:leader="dot"/>
            </w:tabs>
            <w:rPr/>
          </w:pPr>
          <w:hyperlink w:anchor="__RefHeading___Toc5027820_2314609296">
            <w:r>
              <w:rPr>
                <w:webHidden/>
                <w:rStyle w:val="IndexLink"/>
                <w:rtl w:val="true"/>
              </w:rPr>
              <w:t>السادس لیس للخراج قدر معیّن،</w:t>
            </w:r>
            <w:r>
              <w:rPr>
                <w:rStyle w:val="IndexLink"/>
                <w:rtl w:val="true"/>
              </w:rPr>
              <w:tab/>
            </w:r>
            <w:r>
              <w:rPr>
                <w:rStyle w:val="IndexLink"/>
              </w:rPr>
              <w:t>227</w:t>
            </w:r>
          </w:hyperlink>
        </w:p>
        <w:p>
          <w:pPr>
            <w:pStyle w:val="Contents6"/>
            <w:tabs>
              <w:tab w:val="clear" w:pos="7609"/>
              <w:tab w:val="right" w:pos="9026" w:leader="dot"/>
            </w:tabs>
            <w:rPr/>
          </w:pPr>
          <w:hyperlink w:anchor="__RefHeading___Toc5027822_2314609296">
            <w:r>
              <w:rPr>
                <w:webHidden/>
                <w:rStyle w:val="IndexLink"/>
                <w:rtl w:val="true"/>
              </w:rPr>
              <w:t>السابع ظاهر إطلاق الأصحاب</w:t>
            </w:r>
            <w:r>
              <w:rPr>
                <w:rStyle w:val="IndexLink"/>
                <w:rtl w:val="true"/>
              </w:rPr>
              <w:t>:</w:t>
            </w:r>
            <w:r>
              <w:rPr>
                <w:rStyle w:val="IndexLink"/>
                <w:rtl w:val="true"/>
              </w:rPr>
              <w:t>أنّه لا یشترط فی مَن یصل إلیه الخراج أو الزکاة من السلطان علی وجه الهدیّة،</w:t>
            </w:r>
            <w:r>
              <w:rPr>
                <w:rStyle w:val="IndexLink"/>
                <w:rtl w:val="true"/>
              </w:rPr>
              <w:tab/>
            </w:r>
            <w:r>
              <w:rPr>
                <w:rStyle w:val="IndexLink"/>
              </w:rPr>
              <w:t>229</w:t>
            </w:r>
          </w:hyperlink>
        </w:p>
        <w:p>
          <w:pPr>
            <w:pStyle w:val="Contents6"/>
            <w:tabs>
              <w:tab w:val="clear" w:pos="7609"/>
              <w:tab w:val="right" w:pos="9026" w:leader="dot"/>
            </w:tabs>
            <w:rPr/>
          </w:pPr>
          <w:hyperlink w:anchor="__RefHeading___Toc5027824_2314609296">
            <w:r>
              <w:rPr>
                <w:webHidden/>
                <w:rStyle w:val="IndexLink"/>
                <w:rtl w:val="true"/>
              </w:rPr>
              <w:t>الثامن أنّ کون الأرض خراجیة</w:t>
            </w:r>
            <w:r>
              <w:rPr>
                <w:rStyle w:val="IndexLink"/>
                <w:rtl w:val="true"/>
              </w:rPr>
              <w:tab/>
            </w:r>
            <w:r>
              <w:rPr>
                <w:rStyle w:val="IndexLink"/>
              </w:rPr>
              <w:t>232</w:t>
            </w:r>
          </w:hyperlink>
        </w:p>
        <w:p>
          <w:pPr>
            <w:pStyle w:val="Contents6"/>
            <w:tabs>
              <w:tab w:val="clear" w:pos="7609"/>
              <w:tab w:val="right" w:pos="9026" w:leader="dot"/>
            </w:tabs>
            <w:rPr/>
          </w:pPr>
          <w:hyperlink w:anchor="__RefHeading___Toc5027826_2314609296">
            <w:r>
              <w:rPr>
                <w:webHidden/>
                <w:rStyle w:val="IndexLink"/>
                <w:rtl w:val="true"/>
              </w:rPr>
              <w:t>الأوّل</w:t>
            </w:r>
            <w:r>
              <w:rPr>
                <w:rStyle w:val="IndexLink"/>
                <w:rtl w:val="true"/>
              </w:rPr>
              <w:t>:</w:t>
            </w:r>
            <w:r>
              <w:rPr>
                <w:rStyle w:val="IndexLink"/>
                <w:rtl w:val="true"/>
              </w:rPr>
              <w:t>کونها مفتوحةً عَنوَةً،أو صلحاً علی أن تکون</w:t>
            </w:r>
            <w:r>
              <w:rPr>
                <w:rStyle w:val="IndexLink"/>
                <w:rtl w:val="true"/>
              </w:rPr>
              <w:tab/>
            </w:r>
            <w:r>
              <w:rPr>
                <w:rStyle w:val="IndexLink"/>
              </w:rPr>
              <w:t>232</w:t>
            </w:r>
          </w:hyperlink>
        </w:p>
        <w:p>
          <w:pPr>
            <w:pStyle w:val="Contents6"/>
            <w:tabs>
              <w:tab w:val="clear" w:pos="7609"/>
              <w:tab w:val="right" w:pos="9026" w:leader="dot"/>
            </w:tabs>
            <w:rPr/>
          </w:pPr>
          <w:hyperlink w:anchor="__RefHeading___Toc5027828_2314609296">
            <w:r>
              <w:rPr>
                <w:webHidden/>
                <w:rStyle w:val="IndexLink"/>
                <w:rtl w:val="true"/>
              </w:rPr>
              <w:t>الثانی</w:t>
            </w:r>
            <w:r>
              <w:rPr>
                <w:rStyle w:val="IndexLink"/>
                <w:rtl w:val="true"/>
              </w:rPr>
              <w:t>:</w:t>
            </w:r>
            <w:r>
              <w:rPr>
                <w:rStyle w:val="IndexLink"/>
                <w:rtl w:val="true"/>
              </w:rPr>
              <w:t>أن یکون الفتح بإذن الإمام علیه السلام،</w:t>
            </w:r>
            <w:r>
              <w:rPr>
                <w:rStyle w:val="IndexLink"/>
                <w:rtl w:val="true"/>
              </w:rPr>
              <w:tab/>
            </w:r>
            <w:r>
              <w:rPr>
                <w:rStyle w:val="IndexLink"/>
              </w:rPr>
              <w:t>236</w:t>
            </w:r>
          </w:hyperlink>
        </w:p>
        <w:p>
          <w:pPr>
            <w:pStyle w:val="Contents6"/>
            <w:tabs>
              <w:tab w:val="clear" w:pos="7609"/>
              <w:tab w:val="right" w:pos="9026" w:leader="dot"/>
            </w:tabs>
            <w:rPr/>
          </w:pPr>
          <w:hyperlink w:anchor="__RefHeading___Toc5027830_2314609296">
            <w:r>
              <w:rPr>
                <w:webHidden/>
                <w:rStyle w:val="IndexLink"/>
                <w:rtl w:val="true"/>
              </w:rPr>
              <w:t>الثالث</w:t>
            </w:r>
            <w:r>
              <w:rPr>
                <w:rStyle w:val="IndexLink"/>
                <w:rtl w:val="true"/>
              </w:rPr>
              <w:t>:</w:t>
            </w:r>
            <w:r>
              <w:rPr>
                <w:rStyle w:val="IndexLink"/>
                <w:rtl w:val="true"/>
              </w:rPr>
              <w:t>أن یثبت کون الأرض المفتوحة عَنوَة بإذن الإمام علیه السلام محیاة حال الفتح،</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4_191498"/>
      <w:bookmarkStart w:id="1" w:name="pg19674_191498"/>
      <w:bookmarkEnd w:id="1"/>
    </w:p>
    <w:p>
      <w:pPr>
        <w:pStyle w:val="Heading2"/>
        <w:numPr>
          <w:ilvl w:val="1"/>
          <w:numId w:val="1"/>
        </w:numPr>
        <w:rPr/>
      </w:pPr>
      <w:bookmarkStart w:id="2" w:name="pg19674_191498"/>
      <w:bookmarkStart w:id="3" w:name="__RefHeading___Toc502765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7652_2314609296"/>
      <w:bookmarkStart w:id="6" w:name="_Toc2"/>
      <w:bookmarkEnd w:id="5"/>
      <w:r>
        <w:rPr>
          <w:rtl w:val="true"/>
        </w:rPr>
        <w:t>اشاره</w:t>
      </w:r>
      <w:bookmarkStart w:id="7" w:name="pg19674_191504"/>
      <w:bookmarkEnd w:id="6"/>
    </w:p>
    <w:p>
      <w:pPr>
        <w:pStyle w:val="Heading2"/>
        <w:numPr>
          <w:ilvl w:val="1"/>
          <w:numId w:val="1"/>
        </w:numPr>
        <w:rPr/>
      </w:pPr>
      <w:bookmarkStart w:id="8" w:name="__RefHeading___Toc5027654_2314609296"/>
      <w:bookmarkStart w:id="9" w:name="_Toc3"/>
      <w:bookmarkEnd w:id="7"/>
      <w:bookmarkEnd w:id="8"/>
      <w:r>
        <w:rPr>
          <w:rtl w:val="true"/>
        </w:rPr>
        <w:t>[</w:t>
      </w:r>
      <w:r>
        <w:rPr>
          <w:rtl w:val="true"/>
        </w:rPr>
        <w:t>تتمة المکاسب المحرمة</w:t>
      </w:r>
      <w:r>
        <w:rPr>
          <w:rtl w:val="true"/>
        </w:rPr>
        <w:t>]</w:t>
      </w:r>
      <w:bookmarkEnd w:id="9"/>
    </w:p>
    <w:p>
      <w:pPr>
        <w:pStyle w:val="Heading3"/>
        <w:numPr>
          <w:ilvl w:val="2"/>
          <w:numId w:val="1"/>
        </w:numPr>
        <w:rPr/>
      </w:pPr>
      <w:bookmarkStart w:id="10" w:name="__RefHeading___Toc5027656_2314609296"/>
      <w:bookmarkStart w:id="11" w:name="_Toc4"/>
      <w:bookmarkEnd w:id="10"/>
      <w:r>
        <w:rPr>
          <w:rtl w:val="true"/>
        </w:rPr>
        <w:t>[</w:t>
      </w:r>
      <w:r>
        <w:rPr>
          <w:rtl w:val="true"/>
        </w:rPr>
        <w:t>تتمة النوع الرابع</w:t>
      </w:r>
      <w:r>
        <w:rPr>
          <w:rtl w:val="true"/>
        </w:rPr>
        <w:t>]</w:t>
      </w:r>
      <w:bookmarkEnd w:id="11"/>
    </w:p>
    <w:p>
      <w:pPr>
        <w:pStyle w:val="Heading4"/>
        <w:numPr>
          <w:ilvl w:val="3"/>
          <w:numId w:val="1"/>
        </w:numPr>
        <w:rPr/>
      </w:pPr>
      <w:bookmarkStart w:id="12" w:name="__RefHeading___Toc5027658_2314609296"/>
      <w:bookmarkStart w:id="13" w:name="_Toc5"/>
      <w:bookmarkEnd w:id="12"/>
      <w:r>
        <w:rPr>
          <w:rtl w:val="true"/>
        </w:rPr>
        <w:t>[</w:t>
      </w:r>
      <w:r>
        <w:rPr>
          <w:rtl w:val="true"/>
        </w:rPr>
        <w:t>المسألة</w:t>
      </w:r>
      <w:r>
        <w:rPr>
          <w:rtl w:val="true"/>
        </w:rPr>
        <w:t>]</w:t>
      </w:r>
      <w:r>
        <w:rPr>
          <w:rtl w:val="true"/>
        </w:rPr>
        <w:t>السابعة عشر القیافة حرام</w:t>
      </w:r>
      <w:bookmarkEnd w:id="13"/>
    </w:p>
    <w:p>
      <w:pPr>
        <w:pStyle w:val="BookText"/>
        <w:rPr/>
      </w:pPr>
      <w:r>
        <w:rPr>
          <w:rFonts w:ascii="IRNazanin" w:hAnsi="IRNazanin" w:eastAsia="IRNazanin"/>
          <w:color w:val="111111"/>
          <w:sz w:val="28"/>
          <w:sz w:val="28"/>
          <w:szCs w:val="28"/>
          <w:rtl w:val="true"/>
          <w:lang w:bidi="fa-IR"/>
        </w:rPr>
        <w:t xml:space="preserve">فی الجملة،نسبه فی الحدائق إلی الأصحاب </w:t>
      </w:r>
      <w:r>
        <w:rPr>
          <w:rStyle w:val="FootnoteAnchor"/>
          <w:rtl w:val="true"/>
        </w:rPr>
        <w:footnoteReference w:id="2"/>
      </w: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خلافاً </w:t>
      </w:r>
      <w:r>
        <w:rPr>
          <w:rStyle w:val="FootnoteAnchor"/>
          <w:rtl w:val="true"/>
        </w:rPr>
        <w:footnoteReference w:id="3"/>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القائف کما عن الصحاح و القاموس و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یعرف الآثار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النهایة و مجمع البحرین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یعرف شَبَه الرجل بأخیه و أبیه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 و المسالک کما عن إیضاح النافع و المیسیّة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إلحاق الناس بعضهم ببعض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فی الدروس و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w:t>
      </w:r>
      <w:r>
        <w:rPr>
          <w:rStyle w:val="FootnoteAnchor"/>
          <w:rtl w:val="true"/>
        </w:rPr>
        <w:footnoteReference w:id="8"/>
      </w:r>
      <w:r>
        <w:rPr>
          <w:rFonts w:ascii="IRNazanin" w:hAnsi="IRNazanin" w:eastAsia="IRNazanin"/>
          <w:color w:val="111111"/>
          <w:sz w:val="28"/>
          <w:sz w:val="28"/>
          <w:szCs w:val="28"/>
          <w:rtl w:val="true"/>
          <w:lang w:bidi="fa-IR"/>
        </w:rPr>
        <w:t xml:space="preserve">التنقیح حرمتها بما إذا ترتب علیها محرّم </w:t>
      </w:r>
      <w:r>
        <w:rPr>
          <w:rStyle w:val="FootnoteAnchor"/>
          <w:rtl w:val="true"/>
        </w:rPr>
        <w:footnoteReference w:id="9"/>
      </w:r>
      <w:r>
        <w:rPr>
          <w:rFonts w:ascii="IRNazanin" w:hAnsi="IRNazanin" w:eastAsia="IRNazanin"/>
          <w:color w:val="111111"/>
          <w:sz w:val="28"/>
          <w:sz w:val="28"/>
          <w:szCs w:val="28"/>
          <w:rtl w:val="true"/>
          <w:lang w:bidi="fa-IR"/>
        </w:rPr>
        <w:t>،و الظاهر أنّه مراد الکلّ،و إلّا فمجرّد حصول الاعتقاد العلمی أو الظنّی بنسب شخص لا دلیل علی تحریمه؛و لذا نهی فی بعض الأخبار عن إتیان القائف و الأخذ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تأتیهم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بقول قائفٍ</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افتری بعض العامّة علی رسول اللّه صلّی اللّه علیه و آله و سلم فی أنّه قضی بقول القافة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أُنکر ذلک علیهم فی الأخبار،کما یشهد به ما عن الکافی</w:t>
      </w:r>
    </w:p>
    <w:p>
      <w:pPr>
        <w:pStyle w:val="BookText"/>
        <w:rPr/>
      </w:pPr>
      <w:r>
        <w:rPr>
          <w:rFonts w:ascii="IRNazanin" w:hAnsi="IRNazanin" w:eastAsia="IRNazanin"/>
          <w:color w:val="111111"/>
          <w:sz w:val="28"/>
          <w:sz w:val="28"/>
          <w:szCs w:val="28"/>
          <w:rtl w:val="true"/>
          <w:lang w:bidi="fa-IR"/>
        </w:rPr>
        <w:t xml:space="preserve">عن زکریا بن یحیی بن نعمان المصری </w:t>
      </w:r>
      <w:r>
        <w:rPr>
          <w:rStyle w:val="FootnoteAnchor"/>
          <w:rtl w:val="true"/>
        </w:rPr>
        <w:footnoteReference w:id="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جعفر یحدّث الحسن بن الحسین بن 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نصر اللّه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بغی علیه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عمومته بغینا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صنعتم،فإنّی لم أحضرکم؟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إخوته و نحن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قضی بالقافة،فبیننا و بینک القافة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أنتم إلیهم،و أمّا أنا فلا،و لا تُعلموهم لما دعوتموهم إلیه،و لیکونوا فی بیوتکم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جاءوا و قعدنا فی البستان و اصطفّ عمومته و إخوته و أخواته</w:t>
      </w:r>
    </w:p>
    <w:p>
      <w:pPr>
        <w:pStyle w:val="BookText"/>
        <w:rPr/>
      </w:pPr>
      <w:r>
        <w:rPr>
          <w:rFonts w:ascii="IRNazanin" w:hAnsi="IRNazanin" w:eastAsia="IRNazanin"/>
          <w:color w:val="111111"/>
          <w:sz w:val="28"/>
          <w:sz w:val="28"/>
          <w:szCs w:val="28"/>
          <w:rtl w:val="true"/>
          <w:lang w:bidi="fa-IR"/>
        </w:rPr>
        <w:t>و أخذوا الرضا علیه السلام و ألبسوه جبّة من صوف و 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وضعوا علی عنقه مسحاة،و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البستان کأنّک 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جاءوا بأبی جعفر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هذا الغلام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هنا أب،و لکن هذا عم أبیه،و هذا عمّه،و هذه عمّته،و إن یکن له هنا أب فهو صاحب البستان؛فإنّ قدمیه و قدمیه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أبو الحسن علیه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فمصصت ریق أبی جعفر علیه السلام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إمامی</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نقلناه بطوله تیمّناً</w:t>
      </w:r>
      <w:r>
        <w:rPr>
          <w:rFonts w:eastAsia="IRNazanin" w:cs="IRNazanin"/>
          <w:color w:val="111111"/>
          <w:sz w:val="28"/>
          <w:szCs w:val="28"/>
          <w:rtl w:val="true"/>
          <w:lang w:bidi="fa-IR"/>
        </w:rPr>
        <w:t>.</w:t>
      </w:r>
      <w:bookmarkStart w:id="14" w:name="pg19674_191508"/>
    </w:p>
    <w:p>
      <w:pPr>
        <w:pStyle w:val="BookText"/>
        <w:rPr/>
      </w:pPr>
      <w:bookmarkEnd w:id="1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5027660_2314609296"/>
      <w:bookmarkStart w:id="16" w:name="_Toc6"/>
      <w:bookmarkEnd w:id="15"/>
      <w:r>
        <w:rPr>
          <w:rtl w:val="true"/>
        </w:rPr>
        <w:t>المسألة</w:t>
      </w:r>
      <w:r>
        <w:rPr>
          <w:rtl w:val="true"/>
        </w:rPr>
        <w:t>]</w:t>
      </w:r>
      <w:r>
        <w:rPr>
          <w:rtl w:val="true"/>
        </w:rPr>
        <w:t>الثامنة عشر</w:t>
      </w:r>
      <w:bookmarkEnd w:id="16"/>
    </w:p>
    <w:p>
      <w:pPr>
        <w:pStyle w:val="Heading5"/>
        <w:numPr>
          <w:ilvl w:val="4"/>
          <w:numId w:val="1"/>
        </w:numPr>
        <w:rPr/>
      </w:pPr>
      <w:bookmarkStart w:id="17" w:name="__RefHeading___Toc5027662_231460929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الکذب حرام بضرورة العقول و الأدیان،و یدلّ علیه الأدلّة الأربعة،إلّا أنّ الذی ینبغی الکلام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6"/>
      </w:r>
      <w:r>
        <w:rPr>
          <w:rFonts w:ascii="Amiri" w:hAnsi="Amiri" w:eastAsia="Amiri" w:cs="Amiri"/>
          <w:color w:val="111111"/>
          <w:sz w:val="28"/>
          <w:sz w:val="28"/>
          <w:szCs w:val="28"/>
          <w:rtl w:val="true"/>
          <w:lang w:bidi="ar-SA"/>
        </w:rPr>
        <w:t>فی مسوّغاته</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5027664_2314609296"/>
      <w:bookmarkStart w:id="20" w:name="_Toc8"/>
      <w:bookmarkEnd w:id="19"/>
      <w:r>
        <w:rPr>
          <w:rtl w:val="true"/>
        </w:rPr>
        <w:t>[</w:t>
      </w:r>
      <w:r>
        <w:rPr>
          <w:rtl w:val="true"/>
        </w:rPr>
        <w:t>الکلام فی المقام الأوّل</w:t>
      </w:r>
      <w:r>
        <w:rPr>
          <w:rtl w:val="true"/>
        </w:rPr>
        <w:t>] [</w:t>
      </w:r>
      <w:r>
        <w:rPr>
          <w:rtl w:val="true"/>
        </w:rPr>
        <w:t>أی أنه من الکبائر</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غیر واحد من الأخبار کالمرویِّ فی العیون بسندٍ </w:t>
      </w:r>
      <w:r>
        <w:rPr>
          <w:rStyle w:val="FootnoteAnchor"/>
          <w:rtl w:val="true"/>
        </w:rPr>
        <w:footnoteReference w:id="17"/>
      </w:r>
      <w:r>
        <w:rPr>
          <w:rFonts w:ascii="IRNazanin" w:hAnsi="IRNazanin" w:eastAsia="IRNazanin"/>
          <w:color w:val="111111"/>
          <w:sz w:val="28"/>
          <w:sz w:val="28"/>
          <w:szCs w:val="28"/>
          <w:rtl w:val="true"/>
          <w:lang w:bidi="fa-IR"/>
        </w:rPr>
        <w:t xml:space="preserve">عن الفضل بن شاذان لا یقصر عن الصحیح </w:t>
      </w:r>
      <w:r>
        <w:rPr>
          <w:rStyle w:val="FootnoteAnchor"/>
          <w:rtl w:val="true"/>
        </w:rPr>
        <w:footnoteReference w:id="18"/>
      </w:r>
      <w:r>
        <w:rPr>
          <w:rFonts w:ascii="IRNazanin" w:hAnsi="IRNazanin" w:eastAsia="IRNazanin"/>
          <w:color w:val="111111"/>
          <w:sz w:val="28"/>
          <w:sz w:val="28"/>
          <w:szCs w:val="28"/>
          <w:rtl w:val="true"/>
          <w:lang w:bidi="fa-IR"/>
        </w:rPr>
        <w:t xml:space="preserve">،و المرویّ عن الأعمش فی حدیث شرائع الدین </w:t>
      </w:r>
      <w:r>
        <w:rPr>
          <w:rStyle w:val="FootnoteAnchor"/>
          <w:rtl w:val="true"/>
        </w:rPr>
        <w:footnoteReference w:id="19"/>
      </w:r>
      <w:r>
        <w:rPr>
          <w:rFonts w:ascii="IRNazanin" w:hAnsi="IRNazanin" w:eastAsia="IRNazanin"/>
          <w:color w:val="111111"/>
          <w:sz w:val="28"/>
          <w:sz w:val="28"/>
          <w:szCs w:val="28"/>
          <w:rtl w:val="true"/>
          <w:lang w:bidi="fa-IR"/>
        </w:rPr>
        <w:t>عدّه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الموثّقة بعثمان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للشرّ أقفالاً،و جعل مفاتیح تلک الأقفال الشراب،و الکذب شرٌّ من الشراب</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بأکبر الکبائر؟الإشراک باللّه،و عقوق الوالدین،و قول الزور</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إذا کذب بغیر عذر لعنه سبعون ألف مَلَک،و خرج من قلبه نَتْنٌ حتی یبلغ العرش،و کتب اللّه علیه بتلک الکذبة سبعین زِنْیَة،أهونها کمن یزنی مع امّه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عن العسکری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کلّها فی بیت واحد،و جُعل مفتاحها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فإنّ مفتاح الخبائث کلّها کبیرة لا محالة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الاستدلال علی کونه من الکبائر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w:t>
      </w:r>
      <w:r>
        <w:rPr>
          <w:rStyle w:val="FootnoteAnchor"/>
          <w:rtl w:val="true"/>
        </w:rPr>
        <w:footnoteReference w:id="24"/>
      </w:r>
      <w:r>
        <w:rPr>
          <w:rFonts w:ascii="Amiri" w:hAnsi="Amiri" w:eastAsia="Amiri" w:cs="Amiri"/>
          <w:color w:val="111111"/>
          <w:sz w:val="28"/>
          <w:sz w:val="28"/>
          <w:szCs w:val="28"/>
          <w:rtl w:val="true"/>
          <w:lang w:bidi="ar-SA"/>
        </w:rPr>
        <w:t>،فجعل الکاذبَ غیرَ مؤمن بآیات اللّه،کافراً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لذلک کلِّه أطلق جماعة کالفاضلین </w:t>
      </w:r>
      <w:r>
        <w:rPr>
          <w:rStyle w:val="FootnoteAnchor"/>
          <w:rtl w:val="true"/>
        </w:rPr>
        <w:footnoteReference w:id="25"/>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26"/>
      </w:r>
      <w:r>
        <w:rPr>
          <w:rFonts w:ascii="IRNazanin" w:hAnsi="IRNazanin" w:eastAsia="IRNazanin"/>
          <w:color w:val="111111"/>
          <w:sz w:val="28"/>
          <w:sz w:val="28"/>
          <w:szCs w:val="28"/>
          <w:rtl w:val="true"/>
          <w:lang w:bidi="fa-IR"/>
        </w:rPr>
        <w:t>فی ظاهر کلماتهم کونه من الکبائر،من غیر فرق بین أن یترتّب علی الخبر الکاذب مفسدة أو لا یترتب علیه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 عن النبی صلّی اللّه علیه و آله و سلم فی وصیته لأبی ذر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للذی یحدّث فیکذب،لیُضحِکَ القوم،ویلٌ له،ویلٌ له، ویلٌ 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،فإنّ الأکاذیب المضحکة لا یترتّب علیها غالباً إیقاع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الأخبار ما یظهر منه عدم کونه علی الإطلاق کبیرة،مثل روایة أبی خدیجة،عن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تعالی و رسوله من الکبائر</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ظاهرة فی اختصاص </w:t>
      </w:r>
      <w:r>
        <w:rPr>
          <w:rStyle w:val="FootnoteAnchor"/>
          <w:rtl w:val="true"/>
        </w:rPr>
        <w:footnoteReference w:id="30"/>
      </w:r>
      <w:r>
        <w:rPr>
          <w:rFonts w:ascii="IRNazanin" w:hAnsi="IRNazanin" w:eastAsia="IRNazanin"/>
          <w:color w:val="111111"/>
          <w:sz w:val="28"/>
          <w:sz w:val="28"/>
          <w:szCs w:val="28"/>
          <w:rtl w:val="true"/>
          <w:lang w:bidi="fa-IR"/>
        </w:rPr>
        <w:t xml:space="preserve">الکبیرة بهذا الکذب الخاص،لکن یمکن حملها علی کون هذا </w:t>
      </w:r>
      <w:r>
        <w:rPr>
          <w:rStyle w:val="FootnoteAnchor"/>
          <w:rtl w:val="true"/>
        </w:rPr>
        <w:footnoteReference w:id="31"/>
      </w:r>
      <w:r>
        <w:rPr>
          <w:rFonts w:ascii="IRNazanin" w:hAnsi="IRNazanin" w:eastAsia="IRNazanin"/>
          <w:color w:val="111111"/>
          <w:sz w:val="28"/>
          <w:sz w:val="28"/>
          <w:szCs w:val="28"/>
          <w:rtl w:val="true"/>
          <w:lang w:bidi="fa-IR"/>
        </w:rPr>
        <w:t>الکذب الخاص من الکبائر الشدیدة العظیمة،و لعلّ هذا أولی من تقیید المطلقات المتقدّمة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سیف بن عمیرة،عن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یقول علی بن الحسین علیهما السلام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الکذب،الصغیر منه و الکبیر، فی کلّ جِد و هَزْل؛فإنّ الرجل إذا کذب فی الصغیر اجترأ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عظم الکذب باعتبار ما یترتّب علیه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هو الذی یکذب فی الشیء؟قال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لا،ما من أحد إلّا و یکون منه ذلک،و لکن المطبوع </w:t>
      </w:r>
      <w:r>
        <w:rPr>
          <w:rStyle w:val="FootnoteAnchor"/>
          <w:rtl w:val="true"/>
        </w:rPr>
        <w:footnoteReference w:id="33"/>
      </w:r>
      <w:r>
        <w:rPr>
          <w:rFonts w:ascii="IRNazanin" w:hAnsi="IRNazanin" w:eastAsia="IRNazanin"/>
          <w:color w:val="111111"/>
          <w:sz w:val="28"/>
          <w:sz w:val="28"/>
          <w:szCs w:val="28"/>
          <w:rtl w:val="true"/>
          <w:lang w:bidi="fa-IR"/>
        </w:rPr>
        <w:t>علی الکذب</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الکذب من اللّمم الذی یصدر من کل أحد،لا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الحارث الأعور،عن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من الکذب 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هَزْل،و لا یَعِدَنَّ </w:t>
      </w:r>
      <w:r>
        <w:rPr>
          <w:rStyle w:val="FootnoteAnchor"/>
          <w:rtl w:val="true"/>
        </w:rPr>
        <w:footnoteReference w:id="36"/>
      </w:r>
      <w:r>
        <w:rPr>
          <w:rFonts w:ascii="IRNazanin" w:hAnsi="IRNazanin" w:eastAsia="IRNazanin"/>
          <w:color w:val="111111"/>
          <w:sz w:val="28"/>
          <w:sz w:val="28"/>
          <w:szCs w:val="28"/>
          <w:rtl w:val="true"/>
          <w:lang w:bidi="fa-IR"/>
        </w:rPr>
        <w:t>أحدکُم صبیّه ثم لا یفی له،إنّ الکذب یهدی إلی الفجور،و الفجور یهدی إلی النار،و ما زال أحدکم یکذب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أیضاً إشعار بأنّ مجرّد الکذب لیس فجوراً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یَعِدَنَّ أحدکم صبیّه ثم لا یفی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یراد به</w:t>
      </w:r>
    </w:p>
    <w:p>
      <w:pPr>
        <w:pStyle w:val="BookText"/>
        <w:rPr/>
      </w:pPr>
      <w:r>
        <w:rPr>
          <w:rFonts w:ascii="IRNazanin" w:hAnsi="IRNazanin" w:eastAsia="IRNazanin"/>
          <w:color w:val="111111"/>
          <w:sz w:val="28"/>
          <w:sz w:val="28"/>
          <w:szCs w:val="28"/>
          <w:rtl w:val="true"/>
          <w:lang w:bidi="fa-IR"/>
        </w:rPr>
        <w:t>النهی عن الوعد مع إضمار عدم الوفاء،و هو المراد ظاهراً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کونه کذباً حقیقیّا،و أنّ إطلاق الکذب علیه فی الروایة لکونه فی حکمه من حیث الحرمة،أو لأنّ الوعد مستلزم للإخبار بوقوع الفعل،کما أنّ سائر الإنشاءات کذلک؛و لذا ذکر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الکذب و إن کان من صفات الخبر،إلّا أنّ حکمه یجری فی الإنشاء المنبئ عنه،کمدح المذموم،و ذم الممدوح،و تمنّی المکاره </w:t>
      </w:r>
      <w:r>
        <w:rPr>
          <w:rStyle w:val="FootnoteAnchor"/>
          <w:rtl w:val="true"/>
        </w:rPr>
        <w:footnoteReference w:id="39"/>
      </w:r>
      <w:r>
        <w:rPr>
          <w:rFonts w:ascii="IRNazanin" w:hAnsi="IRNazanin" w:eastAsia="IRNazanin"/>
          <w:color w:val="111111"/>
          <w:sz w:val="28"/>
          <w:sz w:val="28"/>
          <w:szCs w:val="28"/>
          <w:rtl w:val="true"/>
          <w:lang w:bidi="fa-IR"/>
        </w:rPr>
        <w:t xml:space="preserve">،و ترجّی غیر المتوقّع،و إیجاب غیر الموجب،و ندب غیر النادب،و وعد غیر العازم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کان،فالظاهر عدم دخول خلف الوعد فی الکذب؛لعدم کونه من مقولة الکلام،نعم،هو کذب للوعد،بمعنی جعله مخالفاً للواقع، کما أنّ إنجاز الوعد صدق له،بمعنی جعله مطابقاً للواقع،فیقال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غیر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الکذب بهذا المعنی لیس محرّماً علی المشهور و إن کان غیر واحد من الأخبار ظاهراً فی حرمته </w:t>
      </w:r>
      <w:r>
        <w:rPr>
          <w:rStyle w:val="FootnoteAnchor"/>
          <w:rtl w:val="true"/>
        </w:rPr>
        <w:footnoteReference w:id="41"/>
      </w:r>
      <w:r>
        <w:rPr>
          <w:rFonts w:ascii="IRNazanin" w:hAnsi="IRNazanin" w:eastAsia="IRNazanin"/>
          <w:color w:val="111111"/>
          <w:sz w:val="28"/>
          <w:sz w:val="28"/>
          <w:szCs w:val="28"/>
          <w:rtl w:val="true"/>
          <w:lang w:bidi="fa-IR"/>
        </w:rPr>
        <w:t>،و فی بعضها الاستشهاد بالآیة المتقدمة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الخبرین الأخیرین خصوصاً المرسلة حرمة الکذب حتی فی الهَزْل،و یمکن أن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فی مقام الهَزْل،و أمّا نفس</w:t>
      </w:r>
    </w:p>
    <w:p>
      <w:pPr>
        <w:pStyle w:val="BookText"/>
        <w:rPr/>
      </w:pPr>
      <w:r>
        <w:rPr>
          <w:rFonts w:ascii="IRNazanin" w:hAnsi="IRNazanin" w:eastAsia="IRNazanin"/>
          <w:color w:val="111111"/>
          <w:sz w:val="28"/>
          <w:sz w:val="28"/>
          <w:szCs w:val="28"/>
          <w:rtl w:val="true"/>
          <w:lang w:bidi="fa-IR"/>
        </w:rPr>
        <w:t xml:space="preserve">الهَزْل و هو الکلام الفاقد للقصد إلی تحقق مدلوله فلا یبعد أنّه غیر محرّم مع نصب القرینة علی إرادة الهَزْل کما صرّح به بعض </w:t>
      </w:r>
      <w:r>
        <w:rPr>
          <w:rStyle w:val="FootnoteAnchor"/>
          <w:rtl w:val="true"/>
        </w:rPr>
        <w:footnoteReference w:id="42"/>
      </w:r>
      <w:r>
        <w:rPr>
          <w:rFonts w:ascii="Amiri" w:hAnsi="Amiri" w:eastAsia="Amiri" w:cs="Amiri"/>
          <w:color w:val="111111"/>
          <w:sz w:val="28"/>
          <w:sz w:val="28"/>
          <w:szCs w:val="28"/>
          <w:rtl w:val="true"/>
          <w:lang w:bidi="ar-SA"/>
        </w:rPr>
        <w:t xml:space="preserve">و لعلّه </w:t>
      </w:r>
      <w:r>
        <w:rPr>
          <w:rStyle w:val="FootnoteAnchor"/>
          <w:rtl w:val="true"/>
        </w:rPr>
        <w:footnoteReference w:id="43"/>
      </w:r>
      <w:r>
        <w:rPr>
          <w:rFonts w:ascii="IRNazanin" w:hAnsi="IRNazanin" w:eastAsia="IRNazanin"/>
          <w:color w:val="111111"/>
          <w:sz w:val="28"/>
          <w:sz w:val="28"/>
          <w:szCs w:val="28"/>
          <w:rtl w:val="true"/>
          <w:lang w:bidi="fa-IR"/>
        </w:rPr>
        <w:t>لانصراف الکذب إلی الخبر المقصود،و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الخبرین علی مطلق المرجوحیّة،و یحتمل غیر بعید حرمته؛لعموم ما تقدّم،خصوصاً الخبرین الأخیرین،و النبویّ فی وصیّة أبی ذر رضی اللّه عنه </w:t>
      </w:r>
      <w:r>
        <w:rPr>
          <w:rStyle w:val="FootnoteAnchor"/>
          <w:rtl w:val="true"/>
        </w:rPr>
        <w:footnoteReference w:id="44"/>
      </w:r>
      <w:r>
        <w:rPr>
          <w:rFonts w:ascii="IRNazanin" w:hAnsi="IRNazanin" w:eastAsia="IRNazanin"/>
          <w:color w:val="111111"/>
          <w:sz w:val="28"/>
          <w:sz w:val="28"/>
          <w:szCs w:val="28"/>
          <w:rtl w:val="true"/>
          <w:lang w:bidi="fa-IR"/>
        </w:rPr>
        <w:t>لأنّ الأکاذیب المضحکة أکثرها من قبیل 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الخصال بسنده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زعیم بیت فی أعلی الجنّة،و بیت فی وسط الجنّة،و بیت فی ریاض الجنّة لمن ترک المراء و إن کان مُحقّاً،و لمن ترک الکذب و إن کان هازلاً،و لمن حسن خلقه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الرجل طعم الإیمان حتّی یترک الکذب هَزْله و جِدّه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ینبغی الإشکال فی أنّ المبالغة فی الادّعاء و إن بلغت ما بلغت،لیست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یدخل فیه إذا کانت فی غیر محلّها،کما لو مدح إنساناً </w:t>
      </w:r>
      <w:r>
        <w:rPr>
          <w:rStyle w:val="FootnoteAnchor"/>
          <w:rtl w:val="true"/>
        </w:rPr>
        <w:footnoteReference w:id="47"/>
      </w:r>
      <w:r>
        <w:rPr>
          <w:rFonts w:ascii="IRNazanin" w:hAnsi="IRNazanin" w:eastAsia="IRNazanin"/>
          <w:color w:val="111111"/>
          <w:sz w:val="28"/>
          <w:sz w:val="28"/>
          <w:szCs w:val="28"/>
          <w:rtl w:val="true"/>
          <w:lang w:bidi="fa-IR"/>
        </w:rPr>
        <w:t>قبیح المنظر و شبّه وجهه بالقمر،إلّا إذا بنی علی کونه کذلک فی نظر المادح؛فإنّ الأنظار تختلف فی التحسین و التقبیح کالذوائق فی المطعومات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التوریة،و هی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بلفظٍ معنیً مطابقاً للواقع و قصد من إلقائه أن یفهم المخاطب منه خلاف ذلک،مما هو ظاهر فیه عند مطلق المخاطب،أو المخاطب الخاص کما لو قلت فی مقام إنکار ما قلته فی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ما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فَهِم المخاطب النافیة،و کما لو استأذن رجل بالباب فقال الخادم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موضع خالٍ فی البیت </w:t>
      </w:r>
      <w:r>
        <w:rPr>
          <w:rStyle w:val="FootnoteAnchor"/>
          <w:rtl w:val="true"/>
        </w:rPr>
        <w:footnoteReference w:id="49"/>
      </w:r>
      <w:r>
        <w:rPr>
          <w:rFonts w:ascii="IRNazanin" w:hAnsi="IRNazanin" w:eastAsia="IRNazanin"/>
          <w:color w:val="111111"/>
          <w:sz w:val="28"/>
          <w:sz w:val="28"/>
          <w:szCs w:val="28"/>
          <w:rtl w:val="true"/>
          <w:lang w:bidi="fa-IR"/>
        </w:rPr>
        <w:t>،و 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ما أکلت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بذلک حالة النوم أو حالة الصلاة،إلی غیر ذلک فلا ینبغی الإشکال فی عدم کونها من الکذب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صرّح الأصحاب فیما سیأتی من وجوب التوریة عند الضرورة </w:t>
      </w:r>
      <w:r>
        <w:rPr>
          <w:rStyle w:val="FootnoteAnchor"/>
          <w:rtl w:val="true"/>
        </w:rPr>
        <w:footnoteReference w:id="50"/>
      </w:r>
      <w:r>
        <w:rPr>
          <w:rFonts w:ascii="Amiri" w:hAnsi="Amiri" w:eastAsia="Amiri" w:cs="Amiri"/>
          <w:color w:val="111111"/>
          <w:sz w:val="28"/>
          <w:sz w:val="28"/>
          <w:szCs w:val="28"/>
          <w:rtl w:val="true"/>
          <w:lang w:bidi="ar-SA"/>
        </w:rPr>
        <w:t xml:space="preserve">،بأنّه یورّی </w:t>
      </w:r>
      <w:r>
        <w:rPr>
          <w:rStyle w:val="FootnoteAnchor"/>
          <w:rtl w:val="true"/>
        </w:rPr>
        <w:footnoteReference w:id="51"/>
      </w:r>
      <w:r>
        <w:rPr>
          <w:rFonts w:ascii="IRNazanin" w:hAnsi="IRNazanin" w:eastAsia="IRNazanin"/>
          <w:color w:val="111111"/>
          <w:sz w:val="28"/>
          <w:sz w:val="28"/>
          <w:szCs w:val="28"/>
          <w:rtl w:val="true"/>
          <w:lang w:bidi="fa-IR"/>
        </w:rPr>
        <w:t>بما یخرجه من الکذب،بل اعترض جامع المقاصد علی قول العلّامة فی القواعد فی مسألة الودیعة إذا طالبها ظالم،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الحلف کاذباً،و تجب التوریة علی العارف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p>
    <w:p>
      <w:pPr>
        <w:pStyle w:val="BookText"/>
        <w:rPr/>
      </w:pPr>
      <w:r>
        <w:rPr>
          <w:rFonts w:ascii="Amiri" w:hAnsi="Amiri" w:eastAsia="Amiri" w:cs="Amiri"/>
          <w:color w:val="111111"/>
          <w:sz w:val="28"/>
          <w:sz w:val="28"/>
          <w:szCs w:val="28"/>
          <w:rtl w:val="true"/>
          <w:lang w:bidi="ar-SA"/>
        </w:rPr>
        <w:t xml:space="preserve">العبارة لا تخلو من </w:t>
      </w:r>
      <w:r>
        <w:rPr>
          <w:rStyle w:val="FootnoteAnchor"/>
          <w:rtl w:val="true"/>
        </w:rPr>
        <w:footnoteReference w:id="52"/>
      </w:r>
      <w:r>
        <w:rPr>
          <w:rFonts w:ascii="IRNazanin" w:hAnsi="IRNazanin" w:eastAsia="IRNazanin"/>
          <w:color w:val="111111"/>
          <w:sz w:val="28"/>
          <w:sz w:val="28"/>
          <w:szCs w:val="28"/>
          <w:rtl w:val="true"/>
          <w:lang w:bidi="fa-IR"/>
        </w:rPr>
        <w:t xml:space="preserve">مناقشة،حیث تقتضی ثبوت الکذب مع التوریة، و معلوم أن لا کذب معها </w:t>
      </w:r>
      <w:r>
        <w:rPr>
          <w:rStyle w:val="FootnoteAnchor"/>
          <w:rtl w:val="true"/>
        </w:rPr>
        <w:footnoteReference w:id="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باعتبار معناه و هو المستعمل فیه کلامه لیس مخالفاً للواقع،و إنّما فهم المخاطب من کلامه أمراً مخالفاً للواقع لم یقصده المتکلم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ترتّب علیها مفسدة حرمت من تلک الجهة،اللّهم إلّا أن یدّعی أنّ مفسدة الکذب و هی الإغراء موجودة فیها،و هو ممنوع؛لأنّ الکذب محرّم،لا لمجرّد 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الأفاضل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اتصاف الخبر بالصدق و الکذب هو ما یفهم من ظاهر الکلام،لا ما هو المراد منه،فلو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نصب قرینة،فهو متّصف بالکذب و إن لم یکن المراد مخالفاً للواقع،انتهی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اتصاف الخبر فی الواقع،فقد تقدّم أنّه دائر مدار موافقة مراد المخبر و مخالفته للواقع؛لأنّه معنی الخبر و المقصود منه،دون ظاهره الذی لم یقصد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اتصافه عند الواصف،فهو حقّ مع فرض جهله بإرادة خلاف الظاهر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توصیفه حینئذٍ باعتقاد أنّ هذا هو مراد المخبر و مقصوده،</w:t>
      </w:r>
    </w:p>
    <w:p>
      <w:pPr>
        <w:pStyle w:val="BookText"/>
        <w:rPr/>
      </w:pPr>
      <w:r>
        <w:rPr>
          <w:rFonts w:ascii="IRNazanin" w:hAnsi="IRNazanin" w:eastAsia="IRNazanin"/>
          <w:color w:val="111111"/>
          <w:sz w:val="28"/>
          <w:sz w:val="28"/>
          <w:szCs w:val="28"/>
          <w:rtl w:val="true"/>
          <w:lang w:bidi="fa-IR"/>
        </w:rPr>
        <w:t>فیرجع الأمر إلی إناطة الاتصاف بمراد المتکلم و إن کان الطریق إلیه اعتقاد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سلب الکذب عن التوریة ما روی فی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الصادق علیه السلام عن قول اللّه عزّ و جلّ فی قصّة إبراهیم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کَبِیرُهُمْ هٰذٰا فَسْئَلُوهُمْ إِنْ کٰانُوا یَنْطِقُونَ </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فعله </w:t>
      </w:r>
      <w:r>
        <w:rPr>
          <w:rStyle w:val="FootnoteAnchor"/>
          <w:rtl w:val="true"/>
        </w:rPr>
        <w:footnoteReference w:id="56"/>
      </w:r>
      <w:r>
        <w:rPr>
          <w:rFonts w:ascii="IRNazanin" w:hAnsi="IRNazanin" w:eastAsia="IRNazanin"/>
          <w:color w:val="111111"/>
          <w:sz w:val="28"/>
          <w:sz w:val="28"/>
          <w:szCs w:val="28"/>
          <w:rtl w:val="true"/>
          <w:lang w:bidi="fa-IR"/>
        </w:rPr>
        <w:t>کبیرهم و ما کذب إبراهیم،قیل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یَنْطِقُونَ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نطقوا فکبیرهم فعل،و إن لم ینطقوا فلم یفعل کبیرهم شیئاً؛فما نطقوا و ما کذب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سرقوا یوسف من أبیه،أ لا تری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نَفْقِدُ صُوٰاعَ الْمَلِکِ </w:t>
      </w:r>
      <w:r>
        <w:rPr>
          <w:rStyle w:val="FootnoteAnchor"/>
          <w:rtl w:val="true"/>
        </w:rPr>
        <w:footnoteReference w:id="58"/>
      </w:r>
      <w:r>
        <w:rPr>
          <w:rFonts w:ascii="IRNazanin" w:hAnsi="IRNazanin" w:eastAsia="IRNazanin"/>
          <w:color w:val="111111"/>
          <w:sz w:val="28"/>
          <w:sz w:val="28"/>
          <w:szCs w:val="28"/>
          <w:rtl w:val="true"/>
          <w:lang w:bidi="fa-IR"/>
        </w:rPr>
        <w:t>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صواع الملک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قول اللّه عز و جل حکایة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Style w:val="FootnoteAnchor"/>
          <w:rtl w:val="true"/>
        </w:rPr>
        <w:footnoteReference w:id="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سقیماً و ما کذب،إنّما عنی سقیماً فی دینه،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مرتاداً</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مستطرفات السرائر من کتاب ابن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یُستأذن علیه،فیقول </w:t>
      </w:r>
      <w:r>
        <w:rPr>
          <w:rStyle w:val="FootnoteAnchor"/>
          <w:rtl w:val="true"/>
        </w:rPr>
        <w:footnoteReference w:id="61"/>
      </w:r>
      <w:r>
        <w:rPr>
          <w:rFonts w:ascii="IRNazanin" w:hAnsi="IRNazanin" w:eastAsia="IRNazanin"/>
          <w:color w:val="111111"/>
          <w:sz w:val="28"/>
          <w:sz w:val="28"/>
          <w:szCs w:val="28"/>
          <w:rtl w:val="true"/>
          <w:lang w:bidi="fa-IR"/>
        </w:rPr>
        <w:t>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هو ها هنا،فقال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بأس،لیس بکذب</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فإنَّ سلب الکذب مبنیّ علی أن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خالٍ من الدار؛إذ لا وجه له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باب الحِیَل من کتاب الطلاق للمبسوط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واحداً من الصحابة صحب واحداً آخر،فاعترضهما فی الطریق أعداء المصحوب، فأنکر الصاحب أنّه هو،فأحلفوه،فحلف لهم أنّه أخوه،فلمّا أتی النبی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صدقت،المسلم أخو المسلم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یظهر منه ذلک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21" w:name="pg19674_191518"/>
    </w:p>
    <w:p>
      <w:pPr>
        <w:pStyle w:val="Heading5"/>
        <w:numPr>
          <w:ilvl w:val="4"/>
          <w:numId w:val="1"/>
        </w:numPr>
        <w:rPr/>
      </w:pPr>
      <w:bookmarkStart w:id="22" w:name="__RefHeading___Toc5027666_2314609296"/>
      <w:bookmarkStart w:id="23" w:name="_Toc9"/>
      <w:bookmarkEnd w:id="21"/>
      <w:bookmarkEnd w:id="22"/>
      <w:r>
        <w:rPr>
          <w:rtl w:val="true"/>
        </w:rPr>
        <w:t>أمّا الکلام فی المقام الثانی و هو مسوّغات الکذب</w:t>
      </w:r>
      <w:bookmarkEnd w:id="23"/>
    </w:p>
    <w:p>
      <w:pPr>
        <w:pStyle w:val="Heading6"/>
        <w:numPr>
          <w:ilvl w:val="5"/>
          <w:numId w:val="1"/>
        </w:numPr>
        <w:rPr/>
      </w:pPr>
      <w:bookmarkStart w:id="24" w:name="__RefHeading___Toc5027668_2314609296"/>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فاعلم أنّه یسوغ الکذب لوجهین</w:t>
      </w:r>
      <w:r>
        <w:rPr>
          <w:rFonts w:eastAsia="IRNazanin" w:cs="IRNazanin"/>
          <w:color w:val="111111"/>
          <w:sz w:val="28"/>
          <w:szCs w:val="28"/>
          <w:rtl w:val="true"/>
          <w:lang w:bidi="fa-IR"/>
        </w:rPr>
        <w:t>:</w:t>
      </w:r>
    </w:p>
    <w:p>
      <w:pPr>
        <w:pStyle w:val="Heading6"/>
        <w:numPr>
          <w:ilvl w:val="5"/>
          <w:numId w:val="1"/>
        </w:numPr>
        <w:rPr/>
      </w:pPr>
      <w:bookmarkStart w:id="26" w:name="__RefHeading___Toc5027670_2314609296"/>
      <w:bookmarkStart w:id="27" w:name="_Toc11"/>
      <w:bookmarkEnd w:id="26"/>
      <w:r>
        <w:rPr>
          <w:rtl w:val="true"/>
        </w:rPr>
        <w:t>أحدهما</w:t>
      </w:r>
      <w:r>
        <w:rPr>
          <w:rtl w:val="true"/>
        </w:rPr>
        <w:t>-</w:t>
      </w:r>
      <w:r>
        <w:rPr>
          <w:rtl w:val="true"/>
        </w:rPr>
        <w:t>الضرورة إلیه</w:t>
      </w:r>
      <w:r>
        <w:rPr>
          <w:rtl w:val="true"/>
        </w:rPr>
        <w:t>:</w:t>
      </w:r>
      <w:bookmarkEnd w:id="27"/>
    </w:p>
    <w:p>
      <w:pPr>
        <w:pStyle w:val="BookText"/>
        <w:rPr/>
      </w:pPr>
      <w:r>
        <w:rPr>
          <w:rFonts w:ascii="Amiri" w:hAnsi="Amiri" w:eastAsia="Amiri" w:cs="Amiri"/>
          <w:color w:val="111111"/>
          <w:sz w:val="28"/>
          <w:sz w:val="28"/>
          <w:szCs w:val="28"/>
          <w:rtl w:val="true"/>
          <w:lang w:bidi="ar-SA"/>
        </w:rPr>
        <w:t>فیسوغ معها بالأدلّة الأربعة،قال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قد أحلّه اللّه لمن اضطرّ إلیه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أنّ الضرورات تبیح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فی ذلک أکثر من أن تحصی،و قد استفاضت أو تواترت بجواز الحلف کاذباً لدفع الضرر البدنی أو المالی عن نفسه أو أخیه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أظهر من أن یدّعی أو یحکی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العقل مستقلّ بوجوب ارتکاب أقلّ القبیحین مع بقائه علی قبحه، أو انتفاء قبحه؛لغلبة الآخر علیه،علی القولین </w:t>
      </w:r>
      <w:r>
        <w:rPr>
          <w:rStyle w:val="FootnoteAnchor"/>
          <w:rtl w:val="true"/>
        </w:rPr>
        <w:footnoteReference w:id="69"/>
      </w:r>
      <w:r>
        <w:rPr>
          <w:rFonts w:ascii="IRNazanin" w:hAnsi="IRNazanin" w:eastAsia="IRNazanin"/>
          <w:color w:val="111111"/>
          <w:sz w:val="28"/>
          <w:sz w:val="28"/>
          <w:szCs w:val="28"/>
          <w:rtl w:val="true"/>
          <w:lang w:bidi="fa-IR"/>
        </w:rPr>
        <w:t>فی کون القبح العقلی</w:t>
      </w:r>
    </w:p>
    <w:p>
      <w:pPr>
        <w:pStyle w:val="BookText"/>
        <w:rPr/>
      </w:pPr>
      <w:r>
        <w:rPr>
          <w:rFonts w:ascii="IRNazanin" w:hAnsi="IRNazanin" w:eastAsia="IRNazanin"/>
          <w:color w:val="111111"/>
          <w:sz w:val="28"/>
          <w:sz w:val="28"/>
          <w:szCs w:val="28"/>
          <w:rtl w:val="true"/>
          <w:lang w:bidi="fa-IR"/>
        </w:rPr>
        <w:t>مطلقاً،أو فی خصوص الکذب لأجل الذات،أو بالوجوه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ذلک کلّه،إنّما الإشکال و الخلاف فی أنّه هل یجب حینئذٍ التوریة لمن یقدر علیها،أم لا؟ظاهر المشهور هو الأوّل،کما یظهر من المقنعة </w:t>
      </w:r>
      <w:r>
        <w:rPr>
          <w:rStyle w:val="FootnoteAnchor"/>
          <w:rtl w:val="true"/>
        </w:rPr>
        <w:footnoteReference w:id="70"/>
      </w:r>
      <w:r>
        <w:rPr>
          <w:rFonts w:ascii="IRNazanin" w:hAnsi="IRNazanin" w:eastAsia="IRNazanin"/>
          <w:color w:val="111111"/>
          <w:sz w:val="28"/>
          <w:sz w:val="28"/>
          <w:szCs w:val="28"/>
          <w:rtl w:val="true"/>
          <w:lang w:bidi="fa-IR"/>
        </w:rPr>
        <w:t xml:space="preserve">و المبسوط </w:t>
      </w:r>
      <w:r>
        <w:rPr>
          <w:rStyle w:val="FootnoteAnchor"/>
          <w:rtl w:val="true"/>
        </w:rPr>
        <w:footnoteReference w:id="71"/>
      </w:r>
      <w:r>
        <w:rPr>
          <w:rFonts w:ascii="IRNazanin" w:hAnsi="IRNazanin" w:eastAsia="IRNazanin"/>
          <w:color w:val="111111"/>
          <w:sz w:val="28"/>
          <w:sz w:val="28"/>
          <w:szCs w:val="28"/>
          <w:rtl w:val="true"/>
          <w:lang w:bidi="fa-IR"/>
        </w:rPr>
        <w:t xml:space="preserve">و الغنیة </w:t>
      </w:r>
      <w:r>
        <w:rPr>
          <w:rStyle w:val="FootnoteAnchor"/>
          <w:rtl w:val="true"/>
        </w:rPr>
        <w:footnoteReference w:id="72"/>
      </w:r>
      <w:r>
        <w:rPr>
          <w:rFonts w:ascii="IRNazanin" w:hAnsi="IRNazanin" w:eastAsia="IRNazanin"/>
          <w:color w:val="111111"/>
          <w:sz w:val="28"/>
          <w:sz w:val="28"/>
          <w:szCs w:val="28"/>
          <w:rtl w:val="true"/>
          <w:lang w:bidi="fa-IR"/>
        </w:rPr>
        <w:t xml:space="preserve">و السرائر </w:t>
      </w:r>
      <w:r>
        <w:rPr>
          <w:rStyle w:val="FootnoteAnchor"/>
          <w:rtl w:val="true"/>
        </w:rPr>
        <w:footnoteReference w:id="73"/>
      </w:r>
      <w:r>
        <w:rPr>
          <w:rFonts w:ascii="IRNazanin" w:hAnsi="IRNazanin" w:eastAsia="IRNazanin"/>
          <w:color w:val="111111"/>
          <w:sz w:val="28"/>
          <w:sz w:val="28"/>
          <w:szCs w:val="28"/>
          <w:rtl w:val="true"/>
          <w:lang w:bidi="fa-IR"/>
        </w:rPr>
        <w:t xml:space="preserve">و الشرائع </w:t>
      </w:r>
      <w:r>
        <w:rPr>
          <w:rStyle w:val="FootnoteAnchor"/>
          <w:rtl w:val="true"/>
        </w:rPr>
        <w:footnoteReference w:id="74"/>
      </w:r>
      <w:r>
        <w:rPr>
          <w:rFonts w:ascii="IRNazanin" w:hAnsi="IRNazanin" w:eastAsia="IRNazanin"/>
          <w:color w:val="111111"/>
          <w:sz w:val="28"/>
          <w:sz w:val="28"/>
          <w:szCs w:val="28"/>
          <w:rtl w:val="true"/>
          <w:lang w:bidi="fa-IR"/>
        </w:rPr>
        <w:t xml:space="preserve">و القواعد </w:t>
      </w:r>
      <w:r>
        <w:rPr>
          <w:rStyle w:val="FootnoteAnchor"/>
          <w:rtl w:val="true"/>
        </w:rPr>
        <w:footnoteReference w:id="75"/>
      </w:r>
      <w:r>
        <w:rPr>
          <w:rFonts w:ascii="Amiri" w:hAnsi="Amiri" w:eastAsia="Amiri" w:cs="Amiri"/>
          <w:color w:val="111111"/>
          <w:sz w:val="28"/>
          <w:sz w:val="28"/>
          <w:szCs w:val="28"/>
          <w:rtl w:val="true"/>
          <w:lang w:bidi="ar-SA"/>
        </w:rPr>
        <w:t xml:space="preserve">و اللمعة و شرحها </w:t>
      </w:r>
      <w:r>
        <w:rPr>
          <w:rStyle w:val="FootnoteAnchor"/>
          <w:rtl w:val="true"/>
        </w:rPr>
        <w:footnoteReference w:id="76"/>
      </w:r>
      <w:r>
        <w:rPr>
          <w:rFonts w:ascii="IRNazanin" w:hAnsi="IRNazanin" w:eastAsia="IRNazanin"/>
          <w:color w:val="111111"/>
          <w:sz w:val="28"/>
          <w:sz w:val="28"/>
          <w:szCs w:val="28"/>
          <w:rtl w:val="true"/>
          <w:lang w:bidi="fa-IR"/>
        </w:rPr>
        <w:t xml:space="preserve">و التحریر </w:t>
      </w:r>
      <w:r>
        <w:rPr>
          <w:rStyle w:val="FootnoteAnchor"/>
          <w:rtl w:val="true"/>
        </w:rPr>
        <w:footnoteReference w:id="7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8"/>
      </w:r>
      <w:r>
        <w:rPr>
          <w:rFonts w:ascii="IRNazanin" w:hAnsi="IRNazanin" w:eastAsia="IRNazanin"/>
          <w:color w:val="111111"/>
          <w:sz w:val="28"/>
          <w:sz w:val="28"/>
          <w:szCs w:val="28"/>
          <w:rtl w:val="true"/>
          <w:lang w:bidi="fa-IR"/>
        </w:rPr>
        <w:t xml:space="preserve">و الریاض </w:t>
      </w:r>
      <w:r>
        <w:rPr>
          <w:rStyle w:val="FootnoteAnchor"/>
          <w:rtl w:val="true"/>
        </w:rPr>
        <w:footnoteReference w:id="79"/>
      </w:r>
      <w:r>
        <w:rPr>
          <w:rFonts w:ascii="IRNazanin" w:hAnsi="IRNazanin" w:eastAsia="IRNazanin"/>
          <w:color w:val="111111"/>
          <w:sz w:val="28"/>
          <w:sz w:val="28"/>
          <w:szCs w:val="28"/>
          <w:rtl w:val="true"/>
          <w:lang w:bidi="fa-IR"/>
        </w:rPr>
        <w:t xml:space="preserve">و محکیّ مجمع البرهان </w:t>
      </w:r>
      <w:r>
        <w:rPr>
          <w:rStyle w:val="FootnoteAnchor"/>
          <w:rtl w:val="true"/>
        </w:rPr>
        <w:footnoteReference w:id="80"/>
      </w:r>
      <w:r>
        <w:rPr>
          <w:rFonts w:ascii="IRNazanin" w:hAnsi="IRNazanin" w:eastAsia="IRNazanin"/>
          <w:color w:val="111111"/>
          <w:sz w:val="28"/>
          <w:sz w:val="28"/>
          <w:szCs w:val="28"/>
          <w:rtl w:val="true"/>
          <w:lang w:bidi="fa-IR"/>
        </w:rPr>
        <w:t>فی مسألة جواز الحلف لدفع الظالم عن الودیعة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کانت عنده أمانة فطالبه ظالم فلیجحد،و إن استحلفه ظالم علی ذلک فلیحلف،و یورّی فی نفسه بما یخرجه عن الکذب إلی أن قال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یحسن التوریة و کان نیّته حفظ</w:t>
      </w:r>
    </w:p>
    <w:p>
      <w:pPr>
        <w:pStyle w:val="BookText"/>
        <w:rPr/>
      </w:pPr>
      <w:r>
        <w:rPr>
          <w:rFonts w:ascii="IRNazanin" w:hAnsi="IRNazanin" w:eastAsia="IRNazanin"/>
          <w:color w:val="111111"/>
          <w:sz w:val="28"/>
          <w:sz w:val="28"/>
          <w:szCs w:val="28"/>
          <w:rtl w:val="true"/>
          <w:lang w:bidi="fa-IR"/>
        </w:rPr>
        <w:t xml:space="preserve">الأمانة أجزأته النیّة و کان مأجوراً </w:t>
      </w:r>
      <w:r>
        <w:rPr>
          <w:rStyle w:val="FootnoteAnchor"/>
          <w:rtl w:val="true"/>
        </w:rPr>
        <w:footnoteReference w:id="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 فی هذه المسألة أعنی مطالبة الظالم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قنع الظالم منه بیمینه،فله أن یحلف و یورّی فی ذلک </w:t>
      </w:r>
      <w:r>
        <w:rPr>
          <w:rStyle w:val="FootnoteAnchor"/>
          <w:rtl w:val="true"/>
        </w:rPr>
        <w:footnoteReference w:id="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له أن یحلف أنّه لیس عنده ودیعة و یورّی فی یمینه بما یسلم به من الکذب،بدلیل إجماع الشیعة </w:t>
      </w:r>
      <w:r>
        <w:rPr>
          <w:rStyle w:val="FootnoteAnchor"/>
          <w:rtl w:val="true"/>
        </w:rPr>
        <w:footnoteReference w:id="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مورّیاً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التوریة علی العارف بها </w:t>
      </w:r>
      <w:r>
        <w:rPr>
          <w:rStyle w:val="FootnoteAnchor"/>
          <w:rtl w:val="true"/>
        </w:rPr>
        <w:footnoteReference w:id="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 فی باب الحِیَل من 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أنکر الاستدانة خوفاً من الإقرار بالإبراء،أو القضاء جاز الحلف مع صدقه، بشرط التوریة بما یخرجه عن الکذب </w:t>
      </w:r>
      <w:r>
        <w:rPr>
          <w:rStyle w:val="FootnoteAnchor"/>
          <w:rtl w:val="true"/>
        </w:rPr>
        <w:footnoteReference w:id="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یحلف علیه فیورّی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فی شرحها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 فی باب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التوریة بما یخرجه عن </w:t>
      </w:r>
      <w:r>
        <w:rPr>
          <w:rStyle w:val="FootnoteAnchor"/>
          <w:rtl w:val="true"/>
        </w:rPr>
        <w:footnoteReference w:id="90"/>
      </w:r>
      <w:r>
        <w:rPr>
          <w:rFonts w:ascii="IRNazanin" w:hAnsi="IRNazanin" w:eastAsia="IRNazanin"/>
          <w:color w:val="111111"/>
          <w:sz w:val="28"/>
          <w:sz w:val="28"/>
          <w:szCs w:val="28"/>
          <w:rtl w:val="true"/>
          <w:lang w:bidi="fa-IR"/>
        </w:rPr>
        <w:t xml:space="preserve">الکذب </w:t>
      </w:r>
      <w:r>
        <w:rPr>
          <w:rStyle w:val="FootnoteAnchor"/>
          <w:rtl w:val="true"/>
        </w:rPr>
        <w:footnoteReference w:id="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الکذب حرام،و لم یحصل الاضطرار إلیه مع القدرة علی التوریة،فیدخل تحت العمومات </w:t>
      </w:r>
      <w:r>
        <w:rPr>
          <w:rStyle w:val="FootnoteAnchor"/>
          <w:rtl w:val="true"/>
        </w:rPr>
        <w:footnoteReference w:id="92"/>
      </w:r>
      <w:r>
        <w:rPr>
          <w:rFonts w:ascii="IRNazanin" w:hAnsi="IRNazanin" w:eastAsia="IRNazanin"/>
          <w:color w:val="111111"/>
          <w:sz w:val="28"/>
          <w:sz w:val="28"/>
          <w:szCs w:val="28"/>
          <w:rtl w:val="true"/>
          <w:lang w:bidi="fa-IR"/>
        </w:rPr>
        <w:t>،مع أن قبح الکذب عقلیّ،فلا یسوغ إلّا مع تحقّق عنوانٍ حَسَنٍ فی ضمنه یغلب حسنه علی قبحه،و یتوقّف تحقّقه علی تحقّقه،و لا یکون التوقف إلّا مع العجز عن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جیّد،إلّا أنّ مقتضی إطلاقات أدلّة الترخیص فی الحلف کاذباً لدفع الضرر البدنی أو المالی عن نفسه أو أخیه،عدم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السکونی عن جعفر عن أبیه عن آبائه عن علی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باللّه کاذباً و نجِّ أخاک من القتل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إسماعیل بن سعد الأشعری عن أبی 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یخاف علی ماله من السلطان،فیحلف له لینجو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یحلف الرجل علی مال أخیه کما یحلف علی مال نفسه </w:t>
      </w:r>
      <w:r>
        <w:rPr>
          <w:rStyle w:val="FootnoteAnchor"/>
          <w:rtl w:val="true"/>
        </w:rPr>
        <w:footnoteReference w:id="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وجهین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الیمین التی یؤجر علیها الرجل إذا حلف کاذباً</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6"/>
      </w:r>
      <w:r>
        <w:rPr>
          <w:rFonts w:ascii="IRNazanin" w:hAnsi="IRNazanin" w:eastAsia="IRNazanin"/>
          <w:color w:val="111111"/>
          <w:sz w:val="28"/>
          <w:sz w:val="28"/>
          <w:szCs w:val="28"/>
          <w:rtl w:val="true"/>
          <w:lang w:bidi="fa-IR"/>
        </w:rPr>
        <w:t>لم تلزمه الکفارة،فهو أن یحلف الرجل فی خلاص امرئ مسلم،أو خلاص ماله من متعدٍّ یتعدّی علیه من لصّ،أو غیره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زرارة بابن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نمرّ علی هؤلاء القوم، فیستحلفونا علی أموالنا و قد أدّینا زکاتها؟فقال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خفت فاحلف لهم بما شاءوا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حلف الرجل تقیّة </w:t>
      </w:r>
      <w:r>
        <w:rPr>
          <w:rStyle w:val="FootnoteAnchor"/>
          <w:rtl w:val="true"/>
        </w:rPr>
        <w:footnoteReference w:id="99"/>
      </w:r>
      <w:r>
        <w:rPr>
          <w:rFonts w:ascii="IRNazanin" w:hAnsi="IRNazanin" w:eastAsia="IRNazanin"/>
          <w:color w:val="111111"/>
          <w:sz w:val="28"/>
          <w:sz w:val="28"/>
          <w:szCs w:val="28"/>
          <w:rtl w:val="true"/>
          <w:lang w:bidi="fa-IR"/>
        </w:rPr>
        <w:t xml:space="preserve">لم یضرّه إذا هو </w:t>
      </w:r>
      <w:r>
        <w:rPr>
          <w:rStyle w:val="FootnoteAnchor"/>
          <w:rtl w:val="true"/>
        </w:rPr>
        <w:footnoteReference w:id="100"/>
      </w:r>
      <w:r>
        <w:rPr>
          <w:rFonts w:ascii="IRNazanin" w:hAnsi="IRNazanin" w:eastAsia="IRNazanin"/>
          <w:color w:val="111111"/>
          <w:sz w:val="28"/>
          <w:sz w:val="28"/>
          <w:szCs w:val="28"/>
          <w:rtl w:val="true"/>
          <w:lang w:bidi="fa-IR"/>
        </w:rPr>
        <w:t xml:space="preserve">أُکره،أو اضطر </w:t>
      </w:r>
      <w:r>
        <w:rPr>
          <w:rStyle w:val="FootnoteAnchor"/>
          <w:rtl w:val="true"/>
        </w:rPr>
        <w:footnoteReference w:id="101"/>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شیء ممّا </w:t>
      </w:r>
      <w:r>
        <w:rPr>
          <w:rStyle w:val="FootnoteAnchor"/>
          <w:rtl w:val="true"/>
        </w:rPr>
        <w:footnoteReference w:id="102"/>
      </w:r>
      <w:r>
        <w:rPr>
          <w:rFonts w:ascii="Amiri" w:hAnsi="Amiri" w:eastAsia="Amiri" w:cs="Amiri"/>
          <w:color w:val="111111"/>
          <w:sz w:val="28"/>
          <w:sz w:val="28"/>
          <w:szCs w:val="28"/>
          <w:rtl w:val="true"/>
          <w:lang w:bidi="ar-SA"/>
        </w:rPr>
        <w:t>حرّم اللّه إلّا و قد أحلّه لمن اضطر إلیه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الواردة فی هذا الباب </w:t>
      </w:r>
      <w:r>
        <w:rPr>
          <w:rStyle w:val="FootnoteAnchor"/>
          <w:rtl w:val="true"/>
        </w:rPr>
        <w:footnoteReference w:id="104"/>
      </w:r>
      <w:r>
        <w:rPr>
          <w:rFonts w:ascii="IRNazanin" w:hAnsi="IRNazanin" w:eastAsia="IRNazanin"/>
          <w:color w:val="111111"/>
          <w:sz w:val="28"/>
          <w:sz w:val="28"/>
          <w:szCs w:val="28"/>
          <w:rtl w:val="true"/>
          <w:lang w:bidi="fa-IR"/>
        </w:rPr>
        <w:t xml:space="preserve">و فیما یأتی </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جواز الکذب فی الإصلاح،التی یصعب علی الفقیه التزام تقییدها بصورة عدم القدرة علی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 العقل بقبح الکذب فی غیر مقام توقّف تحقّق المصلحة الراجحة علیه،فهو و إن کان مسلّماً إلّا أنّه یمکن القول بالعفو عنه شرعاً؛للأخبار المذکورة،کما عفی عن الکذب فی الإصلاح،و عن السّب و التبرّی مع الإکراه،مع أنّه قبیح عقلاً أیضاً،مع أن إیجاب التوریة علی القادر لا یخلو عن التزام ما یعسر </w:t>
      </w:r>
      <w:r>
        <w:rPr>
          <w:rStyle w:val="FootnoteAnchor"/>
          <w:rtl w:val="true"/>
        </w:rPr>
        <w:footnoteReference w:id="106"/>
      </w:r>
      <w:r>
        <w:rPr>
          <w:rFonts w:ascii="IRNazanin" w:hAnsi="IRNazanin" w:eastAsia="IRNazanin"/>
          <w:color w:val="111111"/>
          <w:sz w:val="28"/>
          <w:sz w:val="28"/>
          <w:szCs w:val="28"/>
          <w:rtl w:val="true"/>
          <w:lang w:bidi="fa-IR"/>
        </w:rPr>
        <w:t>کما لا یخفی،فلو قیل بتوسعة الشارع علی العباد بعدم ترتیب الآثار علی الکذب فی ما نحن فیه و إن قدر علی التوریة،کان حسناً،إلّا أنّ الاحتیاط فی خلافه،بل هو المطابق للقواعد لو لا استبعاد التقیید فی هذه المطلقات؛لأنّ النسبة بین هذه المطلقات،و بین ما دلّ کالروایة الأخیرة و غیرها علی اختصاص الجواز بصورة الاضطرار المستلزم للمنع مع عدمه مطلقاً،عموم من وجه،فیرجع إلی عمومات حرمة الکذب،فتأمّل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إمکان منع الاستبعاد المذکور؛لأنّ مورد الأخبار عدم الالتفات إلی التوریة فی مقام الضرورة إلی الکذب؛إذ مع الالتفات فالغالب اختیارها؛إذ لا داعی إلی العدول عنها إلی الکذب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أکثر الأصحاب مع تقییدهم جواز الکذب بعدم القدرة </w:t>
      </w:r>
      <w:r>
        <w:rPr>
          <w:rStyle w:val="FootnoteAnchor"/>
          <w:rtl w:val="true"/>
        </w:rPr>
        <w:footnoteReference w:id="107"/>
      </w:r>
      <w:r>
        <w:rPr>
          <w:rFonts w:ascii="IRNazanin" w:hAnsi="IRNazanin" w:eastAsia="IRNazanin"/>
          <w:color w:val="111111"/>
          <w:sz w:val="28"/>
          <w:sz w:val="28"/>
          <w:szCs w:val="28"/>
          <w:rtl w:val="true"/>
          <w:lang w:bidi="fa-IR"/>
        </w:rPr>
        <w:t xml:space="preserve">علی التوریة </w:t>
      </w:r>
      <w:r>
        <w:rPr>
          <w:rStyle w:val="FootnoteAnchor"/>
          <w:rtl w:val="true"/>
        </w:rPr>
        <w:footnoteReference w:id="108"/>
      </w:r>
      <w:r>
        <w:rPr>
          <w:rFonts w:ascii="IRNazanin" w:hAnsi="IRNazanin" w:eastAsia="IRNazanin"/>
          <w:color w:val="111111"/>
          <w:sz w:val="28"/>
          <w:sz w:val="28"/>
          <w:szCs w:val="28"/>
          <w:rtl w:val="true"/>
          <w:lang w:bidi="fa-IR"/>
        </w:rPr>
        <w:t>،أطلقوا القول بلغویة ما أکره علیه،من العقود</w:t>
      </w:r>
    </w:p>
    <w:p>
      <w:pPr>
        <w:pStyle w:val="BookText"/>
        <w:rPr/>
      </w:pPr>
      <w:r>
        <w:rPr>
          <w:rFonts w:ascii="IRNazanin" w:hAnsi="IRNazanin" w:eastAsia="IRNazanin"/>
          <w:color w:val="111111"/>
          <w:sz w:val="28"/>
          <w:sz w:val="28"/>
          <w:szCs w:val="28"/>
          <w:rtl w:val="true"/>
          <w:lang w:bidi="fa-IR"/>
        </w:rPr>
        <w:t xml:space="preserve">و الإیقاعات و الأقوال المحرّمة کالسبّ و التبرّی،من دون تقیید بصورة عدم التمکن من التوریة </w:t>
      </w:r>
      <w:r>
        <w:rPr>
          <w:rStyle w:val="FootnoteAnchor"/>
          <w:rtl w:val="true"/>
        </w:rPr>
        <w:footnoteReference w:id="109"/>
      </w:r>
      <w:r>
        <w:rPr>
          <w:rFonts w:ascii="Amiri" w:hAnsi="Amiri" w:eastAsia="Amiri" w:cs="Amiri"/>
          <w:color w:val="111111"/>
          <w:sz w:val="28"/>
          <w:sz w:val="28"/>
          <w:szCs w:val="28"/>
          <w:rtl w:val="true"/>
          <w:lang w:bidi="ar-SA"/>
        </w:rPr>
        <w:t xml:space="preserve">،بل صرّح </w:t>
      </w:r>
      <w:r>
        <w:rPr>
          <w:rStyle w:val="FootnoteAnchor"/>
          <w:rtl w:val="true"/>
        </w:rPr>
        <w:footnoteReference w:id="110"/>
      </w:r>
      <w:r>
        <w:rPr>
          <w:rFonts w:ascii="IRNazanin" w:hAnsi="IRNazanin" w:eastAsia="IRNazanin"/>
          <w:color w:val="111111"/>
          <w:sz w:val="28"/>
          <w:sz w:val="28"/>
          <w:szCs w:val="28"/>
          <w:rtl w:val="true"/>
          <w:lang w:bidi="fa-IR"/>
        </w:rPr>
        <w:t xml:space="preserve">بعض هؤلاء کالشهید فی الروضة </w:t>
      </w:r>
      <w:r>
        <w:rPr>
          <w:rStyle w:val="FootnoteAnchor"/>
          <w:rtl w:val="true"/>
        </w:rPr>
        <w:footnoteReference w:id="111"/>
      </w:r>
      <w:r>
        <w:rPr>
          <w:rFonts w:ascii="IRNazanin" w:hAnsi="IRNazanin" w:eastAsia="IRNazanin"/>
          <w:color w:val="111111"/>
          <w:sz w:val="28"/>
          <w:sz w:val="28"/>
          <w:szCs w:val="28"/>
          <w:rtl w:val="true"/>
          <w:lang w:bidi="fa-IR"/>
        </w:rPr>
        <w:t xml:space="preserve">و المسالک </w:t>
      </w:r>
      <w:r>
        <w:rPr>
          <w:rStyle w:val="FootnoteAnchor"/>
          <w:rtl w:val="true"/>
        </w:rPr>
        <w:footnoteReference w:id="112"/>
      </w:r>
      <w:r>
        <w:rPr>
          <w:rFonts w:ascii="IRNazanin" w:hAnsi="IRNazanin" w:eastAsia="IRNazanin"/>
          <w:color w:val="111111"/>
          <w:sz w:val="28"/>
          <w:sz w:val="28"/>
          <w:szCs w:val="28"/>
          <w:rtl w:val="true"/>
          <w:lang w:bidi="fa-IR"/>
        </w:rPr>
        <w:t xml:space="preserve">فی باب الطلاق </w:t>
      </w:r>
      <w:r>
        <w:rPr>
          <w:rStyle w:val="FootnoteAnchor"/>
          <w:rtl w:val="true"/>
        </w:rPr>
        <w:footnoteReference w:id="113"/>
      </w:r>
      <w:r>
        <w:rPr>
          <w:rFonts w:ascii="IRNazanin" w:hAnsi="IRNazanin" w:eastAsia="IRNazanin"/>
          <w:color w:val="111111"/>
          <w:sz w:val="28"/>
          <w:sz w:val="28"/>
          <w:szCs w:val="28"/>
          <w:rtl w:val="true"/>
          <w:lang w:bidi="fa-IR"/>
        </w:rPr>
        <w:t xml:space="preserve">بعدم اعتبار العجز عنها، بل فی کلام بعضٍ ما یُشعر بالاتفاق علیه </w:t>
      </w:r>
      <w:r>
        <w:rPr>
          <w:rStyle w:val="FootnoteAnchor"/>
          <w:rtl w:val="true"/>
        </w:rPr>
        <w:footnoteReference w:id="114"/>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المکره علی البیع إنّما أکره علی التلفّظ بالصیغة،و أمّا إرادة المعنی فممّا لا تقبل الإکراه،فإذا أراده مع القدرة علی عدم إرادته </w:t>
      </w:r>
      <w:r>
        <w:rPr>
          <w:rStyle w:val="FootnoteAnchor"/>
          <w:rtl w:val="true"/>
        </w:rPr>
        <w:footnoteReference w:id="115"/>
      </w:r>
      <w:r>
        <w:rPr>
          <w:rFonts w:ascii="IRNazanin" w:hAnsi="IRNazanin" w:eastAsia="IRNazanin"/>
          <w:color w:val="111111"/>
          <w:sz w:val="28"/>
          <w:sz w:val="28"/>
          <w:szCs w:val="28"/>
          <w:rtl w:val="true"/>
          <w:lang w:bidi="fa-IR"/>
        </w:rPr>
        <w:t>فقد اختاره، فالإکراه علی البیع الواقعی یختصّ بغیر القادر علی التوریة؛لعدم المعرفة بها،أو عدم الالتفات إلیها،کما أنّ الاضطرار إلی الکذب یختصّ بغیر القادر علیها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یفرّق بین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الإکراه إنّما یتعلّق بالبیع الحقیقی،أو الطلاق الحقیقی،غایة الأمر قدرة المکره علی التفصّی عنه بإیقاع الصورة من دون إرادة المعنی،لکنه غیر 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الأخبار خالیة عن اعتبار العجز عن التفصّی بهذا الوجه،لم یعتبر ذلک</w:t>
      </w:r>
    </w:p>
    <w:p>
      <w:pPr>
        <w:pStyle w:val="BookText"/>
        <w:rPr/>
      </w:pPr>
      <w:r>
        <w:rPr>
          <w:rFonts w:ascii="IRNazanin" w:hAnsi="IRNazanin" w:eastAsia="IRNazanin"/>
          <w:color w:val="111111"/>
          <w:sz w:val="28"/>
          <w:sz w:val="28"/>
          <w:szCs w:val="28"/>
          <w:rtl w:val="true"/>
          <w:lang w:bidi="fa-IR"/>
        </w:rPr>
        <w:t>فی حکم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الکذب؛فإنّه لم یسوَّغ إلّا عند الاضطرار إلیه،و لا اضطرار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کان الإکراه من أفراد الاضطرار بأن کان المعتبر فی تحقّق موضوعه عرفاً أو لغةً العجز عن التفصّی کما ادّعاه بعض </w:t>
      </w:r>
      <w:r>
        <w:rPr>
          <w:rStyle w:val="FootnoteAnchor"/>
          <w:rtl w:val="true"/>
        </w:rPr>
        <w:footnoteReference w:id="116"/>
      </w:r>
      <w:r>
        <w:rPr>
          <w:rFonts w:ascii="IRNazanin" w:hAnsi="IRNazanin" w:eastAsia="IRNazanin"/>
          <w:color w:val="111111"/>
          <w:sz w:val="28"/>
          <w:sz w:val="28"/>
          <w:szCs w:val="28"/>
          <w:rtl w:val="true"/>
          <w:lang w:bidi="fa-IR"/>
        </w:rPr>
        <w:t xml:space="preserve">،أو قلنا باختصاص رفع حکمه بصورة الاضطرار،بأن کان عدم ترتّب الأثر علی المکره علیه من حیث إنّه مضطر إلیه لدفع الضرر المتوعّد علیه به عن النفس و المال کان ینبغی فیه اعتبار العجز عن </w:t>
      </w:r>
      <w:r>
        <w:rPr>
          <w:rStyle w:val="FootnoteAnchor"/>
          <w:rtl w:val="true"/>
        </w:rPr>
        <w:footnoteReference w:id="117"/>
      </w:r>
      <w:r>
        <w:rPr>
          <w:rFonts w:ascii="IRNazanin" w:hAnsi="IRNazanin" w:eastAsia="IRNazanin"/>
          <w:color w:val="111111"/>
          <w:sz w:val="28"/>
          <w:sz w:val="28"/>
          <w:szCs w:val="28"/>
          <w:rtl w:val="true"/>
          <w:lang w:bidi="fa-IR"/>
        </w:rPr>
        <w:t>التوریة؛لعدم الاضطرار مع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المکره إذا قصد المعنی مع التمکن من التوریة،صدق علی ما أوقع أنّه مکره علیه،فیدخل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المضطر،فإذا کذب مع القدرة علی التوریة،لم یصدق أنّه مضطر إلیه،فلا 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مذاق المشهور من انحصار جواز الکذب بصورة الاضطرار إلیه حتی من جهة العجز عن التوریة،و أما علی ما استظهرناه</w:t>
      </w:r>
    </w:p>
    <w:p>
      <w:pPr>
        <w:pStyle w:val="BookText"/>
        <w:rPr/>
      </w:pPr>
      <w:r>
        <w:rPr>
          <w:rFonts w:ascii="IRNazanin" w:hAnsi="IRNazanin" w:eastAsia="IRNazanin"/>
          <w:color w:val="111111"/>
          <w:sz w:val="28"/>
          <w:sz w:val="28"/>
          <w:szCs w:val="28"/>
          <w:rtl w:val="true"/>
          <w:lang w:bidi="fa-IR"/>
        </w:rPr>
        <w:t xml:space="preserve">من الأخبار </w:t>
      </w:r>
      <w:r>
        <w:rPr>
          <w:rStyle w:val="FootnoteAnchor"/>
          <w:rtl w:val="true"/>
        </w:rPr>
        <w:footnoteReference w:id="120"/>
      </w:r>
      <w:r>
        <w:rPr>
          <w:rFonts w:ascii="IRNazanin" w:hAnsi="IRNazanin" w:eastAsia="IRNazanin"/>
          <w:color w:val="111111"/>
          <w:sz w:val="28"/>
          <w:sz w:val="28"/>
          <w:szCs w:val="28"/>
          <w:rtl w:val="true"/>
          <w:lang w:bidi="fa-IR"/>
        </w:rPr>
        <w:t xml:space="preserve">کما اعترف به جماعة </w:t>
      </w:r>
      <w:r>
        <w:rPr>
          <w:rStyle w:val="FootnoteAnchor"/>
          <w:rtl w:val="true"/>
        </w:rPr>
        <w:footnoteReference w:id="121"/>
      </w:r>
      <w:r>
        <w:rPr>
          <w:rFonts w:ascii="IRNazanin" w:hAnsi="IRNazanin" w:eastAsia="IRNazanin"/>
          <w:color w:val="111111"/>
          <w:sz w:val="28"/>
          <w:sz w:val="28"/>
          <w:szCs w:val="28"/>
          <w:rtl w:val="true"/>
          <w:lang w:bidi="fa-IR"/>
        </w:rPr>
        <w:t>من جوازه مع الاضطرار إلیه من غیر جهة العجز عن التوریة،فلا فرق بینه و بین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الظاهر أنّ أدلّة نفی الإکراه راجعة إلی الاضطرار،لکن </w:t>
      </w:r>
      <w:r>
        <w:rPr>
          <w:rStyle w:val="FootnoteAnchor"/>
          <w:rtl w:val="true"/>
        </w:rPr>
        <w:footnoteReference w:id="122"/>
      </w:r>
      <w:r>
        <w:rPr>
          <w:rFonts w:ascii="IRNazanin" w:hAnsi="IRNazanin" w:eastAsia="IRNazanin"/>
          <w:color w:val="111111"/>
          <w:sz w:val="28"/>
          <w:sz w:val="28"/>
          <w:szCs w:val="28"/>
          <w:rtl w:val="true"/>
          <w:lang w:bidi="fa-IR"/>
        </w:rPr>
        <w:t>من غیر جهة التوریة، فالشارع رخّص فی ترک التوریة فی کلّ کلام مضطر إلیه للإکراه علیه أو دفع الضرر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لکن الأحوط التوریة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الضرر المسوّغ للکذب هو المسوّغ لسائر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نعم،یستحب تحمّل الضرر المالی الذی لا یُجحِف،و علیه یحمل قول أمیر المؤمنین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الإیمان أن تؤثر الصدق حیث یضرّک،علی الکذب حیث ینفعک</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الأقوال الصادرة عن أئمتنا صلوات اللّه علیهم فی مقام التقیة فی بیان الأحکام،مثل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ثوب أصابه خمر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نحو ذلک،و إن أمکن حمله علی الکذب لمصلحة بناءً علی ما استظهرنا</w:t>
      </w:r>
    </w:p>
    <w:p>
      <w:pPr>
        <w:pStyle w:val="BookText"/>
        <w:rPr/>
      </w:pPr>
      <w:r>
        <w:rPr>
          <w:rFonts w:ascii="IRNazanin" w:hAnsi="IRNazanin" w:eastAsia="IRNazanin"/>
          <w:color w:val="111111"/>
          <w:sz w:val="28"/>
          <w:sz w:val="28"/>
          <w:szCs w:val="28"/>
          <w:rtl w:val="true"/>
          <w:lang w:bidi="fa-IR"/>
        </w:rPr>
        <w:t>جوازه من الأخبار</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،إلّا أنّ الألیق بشأنهم علیهم السلام هو الحمل علی إرادة خلاف ظواهرها من دون نصب قرینة،بأن یرید من جواز الصلاة فی الثوب المذکور جوازها عند تعذّر الغَسل و الاضطرار إلی اللبس،و قد صرّحوا بإرادة المحامل البعیدة فی بعض الموارد،مثل أنّه ذکر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النافلة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المخاطب،ثم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أردت صلاة الوتر علی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یعلم أنّه إذا دار الأمر فی بعض المواضع بین الحمل علی التقیة و الحمل علی الاستحباب،کما فی الأمر بالوضوء عقیب بعض ما قال العامّة بکونه حدثاً </w:t>
      </w:r>
      <w:r>
        <w:rPr>
          <w:rStyle w:val="FootnoteAnchor"/>
          <w:rtl w:val="true"/>
        </w:rPr>
        <w:footnoteReference w:id="127"/>
      </w:r>
      <w:r>
        <w:rPr>
          <w:rFonts w:ascii="IRNazanin" w:hAnsi="IRNazanin" w:eastAsia="IRNazanin"/>
          <w:color w:val="111111"/>
          <w:sz w:val="28"/>
          <w:sz w:val="28"/>
          <w:szCs w:val="28"/>
          <w:rtl w:val="true"/>
          <w:lang w:bidi="fa-IR"/>
        </w:rPr>
        <w:t>،تعیّن الثانی؛لأنّ التقیة تتأدّی بإرادة المجاز و إخفاء القرینة</w:t>
      </w:r>
      <w:r>
        <w:rPr>
          <w:rFonts w:eastAsia="IRNazanin" w:cs="IRNazanin"/>
          <w:color w:val="111111"/>
          <w:sz w:val="28"/>
          <w:szCs w:val="28"/>
          <w:rtl w:val="true"/>
          <w:lang w:bidi="fa-IR"/>
        </w:rPr>
        <w:t>.</w:t>
      </w:r>
      <w:bookmarkStart w:id="28" w:name="pg19674_191528"/>
    </w:p>
    <w:p>
      <w:pPr>
        <w:pStyle w:val="Heading6"/>
        <w:numPr>
          <w:ilvl w:val="5"/>
          <w:numId w:val="1"/>
        </w:numPr>
        <w:rPr/>
      </w:pPr>
      <w:bookmarkStart w:id="29" w:name="__RefHeading___Toc5027672_2314609296"/>
      <w:bookmarkStart w:id="30" w:name="_Toc12"/>
      <w:bookmarkEnd w:id="28"/>
      <w:bookmarkEnd w:id="29"/>
      <w:r>
        <w:rPr>
          <w:rtl w:val="true"/>
        </w:rPr>
        <w:t>الثانی من مسوّغات الکذب إرادة الإصلاح</w:t>
      </w:r>
      <w:r>
        <w:rPr>
          <w:rtl w:val="true"/>
        </w:rPr>
        <w:t>:</w:t>
      </w:r>
      <w:bookmarkEnd w:id="30"/>
    </w:p>
    <w:p>
      <w:pPr>
        <w:pStyle w:val="BookText"/>
        <w:rPr/>
      </w:pPr>
      <w:r>
        <w:rPr>
          <w:rFonts w:ascii="IRNazanin" w:hAnsi="IRNazanin" w:eastAsia="IRNazanin"/>
          <w:color w:val="111111"/>
          <w:sz w:val="28"/>
          <w:sz w:val="28"/>
          <w:szCs w:val="28"/>
          <w:rtl w:val="true"/>
          <w:lang w:bidi="fa-IR"/>
        </w:rPr>
        <w:t>و قد استفاضت الأخبار بجواز الکذب عند إرادة الإصلاح،ففی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روایة معاویة بن حکم </w:t>
      </w:r>
      <w:r>
        <w:rPr>
          <w:rStyle w:val="FootnoteAnchor"/>
          <w:rtl w:val="true"/>
        </w:rPr>
        <w:footnoteReference w:id="129"/>
      </w:r>
      <w:r>
        <w:rPr>
          <w:rFonts w:ascii="IRNazanin" w:hAnsi="IRNazanin" w:eastAsia="IRNazanin"/>
          <w:color w:val="111111"/>
          <w:sz w:val="28"/>
          <w:sz w:val="28"/>
          <w:szCs w:val="28"/>
          <w:rtl w:val="true"/>
          <w:lang w:bidi="fa-IR"/>
        </w:rPr>
        <w:t xml:space="preserve">،عن أبیه،عن جدّه،عن أبی عبد اللّه علیه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عیسی بن حنّان </w:t>
      </w:r>
      <w:r>
        <w:rPr>
          <w:rStyle w:val="FootnoteAnchor"/>
          <w:rtl w:val="true"/>
        </w:rPr>
        <w:footnoteReference w:id="131"/>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مسؤول عنه صاحبه یوماً،إلّا کذباً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کائد </w:t>
      </w:r>
      <w:r>
        <w:rPr>
          <w:rStyle w:val="FootnoteAnchor"/>
          <w:rtl w:val="true"/>
        </w:rPr>
        <w:footnoteReference w:id="132"/>
      </w:r>
      <w:r>
        <w:rPr>
          <w:rFonts w:ascii="IRNazanin" w:hAnsi="IRNazanin" w:eastAsia="IRNazanin"/>
          <w:color w:val="111111"/>
          <w:sz w:val="28"/>
          <w:sz w:val="28"/>
          <w:szCs w:val="28"/>
          <w:rtl w:val="true"/>
          <w:lang w:bidi="fa-IR"/>
        </w:rPr>
        <w:t xml:space="preserve">فی حربه فهو موضوع عنه،و </w:t>
      </w:r>
      <w:r>
        <w:rPr>
          <w:rStyle w:val="FootnoteAnchor"/>
          <w:rtl w:val="true"/>
        </w:rPr>
        <w:footnoteReference w:id="133"/>
      </w:r>
      <w:r>
        <w:rPr>
          <w:rFonts w:ascii="IRNazanin" w:hAnsi="IRNazanin" w:eastAsia="IRNazanin"/>
          <w:color w:val="111111"/>
          <w:sz w:val="28"/>
          <w:sz w:val="28"/>
          <w:szCs w:val="28"/>
          <w:rtl w:val="true"/>
          <w:lang w:bidi="fa-IR"/>
        </w:rPr>
        <w:t xml:space="preserve">رجل أصلح بین اثنین،یلقی هذا بغیر ما یلقی </w:t>
      </w:r>
      <w:r>
        <w:rPr>
          <w:rStyle w:val="FootnoteAnchor"/>
          <w:rtl w:val="true"/>
        </w:rPr>
        <w:footnoteReference w:id="134"/>
      </w:r>
      <w:r>
        <w:rPr>
          <w:rFonts w:ascii="IRNazanin" w:hAnsi="IRNazanin" w:eastAsia="IRNazanin"/>
          <w:color w:val="111111"/>
          <w:sz w:val="28"/>
          <w:sz w:val="28"/>
          <w:szCs w:val="28"/>
          <w:rtl w:val="true"/>
          <w:lang w:bidi="fa-IR"/>
        </w:rPr>
        <w:t xml:space="preserve">هذا،یرید بذلک الإصلاح،و </w:t>
      </w:r>
      <w:r>
        <w:rPr>
          <w:rStyle w:val="FootnoteAnchor"/>
          <w:rtl w:val="true"/>
        </w:rPr>
        <w:footnoteReference w:id="135"/>
      </w:r>
      <w:r>
        <w:rPr>
          <w:rFonts w:ascii="Amiri" w:hAnsi="Amiri" w:eastAsia="Amiri" w:cs="Amiri"/>
          <w:color w:val="111111"/>
          <w:sz w:val="28"/>
          <w:sz w:val="28"/>
          <w:szCs w:val="28"/>
          <w:rtl w:val="true"/>
          <w:lang w:bidi="ar-SA"/>
        </w:rPr>
        <w:t xml:space="preserve">رجل وَعَدَ أهله </w:t>
      </w:r>
      <w:r>
        <w:rPr>
          <w:rStyle w:val="FootnoteAnchor"/>
          <w:rtl w:val="true"/>
        </w:rPr>
        <w:footnoteReference w:id="136"/>
      </w:r>
      <w:r>
        <w:rPr>
          <w:rFonts w:ascii="IRNazanin" w:hAnsi="IRNazanin" w:eastAsia="IRNazanin"/>
          <w:color w:val="111111"/>
          <w:sz w:val="28"/>
          <w:sz w:val="28"/>
          <w:szCs w:val="28"/>
          <w:rtl w:val="true"/>
          <w:lang w:bidi="fa-IR"/>
        </w:rPr>
        <w:t>و هو لا یرید أن یتم لهم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 هذه الروایة فی استثناء هذه الثلاثة،روایات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الواسطی،عن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صدق،و کذب،و إصلاح بین الناس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و ما </w:t>
      </w:r>
      <w:r>
        <w:rPr>
          <w:rStyle w:val="FootnoteAnchor"/>
          <w:rtl w:val="true"/>
        </w:rPr>
        <w:footnoteReference w:id="140"/>
      </w:r>
      <w:r>
        <w:rPr>
          <w:rFonts w:ascii="IRNazanin" w:hAnsi="IRNazanin" w:eastAsia="IRNazanin"/>
          <w:color w:val="111111"/>
          <w:sz w:val="28"/>
          <w:sz w:val="28"/>
          <w:szCs w:val="28"/>
          <w:rtl w:val="true"/>
          <w:lang w:bidi="fa-IR"/>
        </w:rPr>
        <w:t>الإصلاح بین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من الرجل کلاماً یبلغه فتخبث </w:t>
      </w:r>
      <w:r>
        <w:rPr>
          <w:rStyle w:val="FootnoteAnchor"/>
          <w:rtl w:val="true"/>
        </w:rPr>
        <w:footnoteReference w:id="141"/>
      </w:r>
      <w:r>
        <w:rPr>
          <w:rFonts w:ascii="IRNazanin" w:hAnsi="IRNazanin" w:eastAsia="IRNazanin"/>
          <w:color w:val="111111"/>
          <w:sz w:val="28"/>
          <w:sz w:val="28"/>
          <w:szCs w:val="28"/>
          <w:rtl w:val="true"/>
          <w:lang w:bidi="fa-IR"/>
        </w:rPr>
        <w:t>نفسه،فتقول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قال فیک من الخیر کذا و کذا، خلاف ما سمعته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الصدوق فی کتاب الإخوان بسنده 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لیصدق علی أخیه فیصیبه عنت من صدقه فیکون کذّاباً عند اللّه،و إنّ الرجل لیکذب علی أخیه یرید به نفعه فیکون عند اللّه صادقاً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الأخبار المذکورة عدم وجوب التوریة،و لم أرَ من اعتبر العجز عنها فی جواز الکذب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الأخبار المذکورة بصورة العجز عنها فی غایة البعد،و إن کان مراعاته مقتضی الاحتیاط</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44"/>
      </w:r>
      <w:r>
        <w:rPr>
          <w:rFonts w:ascii="IRNazanin" w:hAnsi="IRNazanin" w:eastAsia="IRNazanin"/>
          <w:color w:val="111111"/>
          <w:sz w:val="28"/>
          <w:sz w:val="28"/>
          <w:szCs w:val="28"/>
          <w:rtl w:val="true"/>
          <w:lang w:bidi="fa-IR"/>
        </w:rPr>
        <w:t xml:space="preserve">إنّه قد ورد فی أخبار کثیرة جواز الوعد الکاذب مع الزوجة،بل مطلق الأهل </w:t>
      </w:r>
      <w:r>
        <w:rPr>
          <w:rStyle w:val="FootnoteAnchor"/>
          <w:rtl w:val="true"/>
        </w:rPr>
        <w:footnoteReference w:id="14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1" w:name="pg19674_191530"/>
    </w:p>
    <w:p>
      <w:pPr>
        <w:pStyle w:val="Heading4"/>
        <w:numPr>
          <w:ilvl w:val="3"/>
          <w:numId w:val="1"/>
        </w:numPr>
        <w:rPr/>
      </w:pPr>
      <w:bookmarkStart w:id="32" w:name="__RefHeading___Toc5027674_2314609296"/>
      <w:bookmarkStart w:id="33" w:name="_Toc13"/>
      <w:bookmarkEnd w:id="31"/>
      <w:bookmarkEnd w:id="32"/>
      <w:r>
        <w:rPr>
          <w:rtl w:val="true"/>
        </w:rPr>
        <w:t>[</w:t>
      </w:r>
      <w:r>
        <w:rPr>
          <w:rtl w:val="true"/>
        </w:rPr>
        <w:t>المسألة</w:t>
      </w:r>
      <w:r>
        <w:rPr>
          <w:rtl w:val="true"/>
        </w:rPr>
        <w:t>]</w:t>
      </w:r>
      <w:r>
        <w:rPr>
          <w:rtl w:val="true"/>
        </w:rPr>
        <w:t>التاسعة عشر الکهانة حرام،</w:t>
      </w:r>
      <w:bookmarkEnd w:id="33"/>
    </w:p>
    <w:p>
      <w:pPr>
        <w:pStyle w:val="BookText"/>
        <w:rPr/>
      </w:pPr>
      <w:r>
        <w:rPr>
          <w:rFonts w:ascii="IRNazanin" w:hAnsi="IRNazanin" w:eastAsia="IRNazanin"/>
          <w:color w:val="111111"/>
          <w:sz w:val="28"/>
          <w:sz w:val="28"/>
          <w:szCs w:val="28"/>
          <w:rtl w:val="true"/>
          <w:lang w:bidi="fa-IR"/>
        </w:rPr>
        <w:t xml:space="preserve">و هی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کَهَنَ یَکْهُنُ ککتب یکتب کتابة کما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تکهَّن،قال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کهُن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،کهانة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کاهناً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القاموس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کَهَنَ یَکْهُنُ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کهانة بالفتح</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الکاهن من یتعاطی الخبر عن الکائنات فی مستقبل الزمان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فی العرب کهنة،فمنهم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یزعم أنّ له تابعاً من الجنّ یُلقی إلیه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یزعم أنّه یعرف الأُمور بمقدّمات و أسباب یستدلّ بها علی مواقعها من کلام من سأله،أو فِعلِه،</w:t>
      </w:r>
    </w:p>
    <w:p>
      <w:pPr>
        <w:pStyle w:val="BookText"/>
        <w:rPr/>
      </w:pPr>
      <w:r>
        <w:rPr>
          <w:rFonts w:ascii="Amiri" w:hAnsi="Amiri" w:eastAsia="Amiri" w:cs="Amiri"/>
          <w:color w:val="111111"/>
          <w:sz w:val="28"/>
          <w:sz w:val="28"/>
          <w:szCs w:val="28"/>
          <w:rtl w:val="true"/>
          <w:lang w:bidi="ar-SA"/>
        </w:rPr>
        <w:t>أو حاله،و هذا یخصّونه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المحکیّ </w:t>
      </w:r>
      <w:r>
        <w:rPr>
          <w:rStyle w:val="FootnoteAnchor"/>
          <w:rtl w:val="true"/>
        </w:rPr>
        <w:footnoteReference w:id="151"/>
      </w:r>
      <w:r>
        <w:rPr>
          <w:rFonts w:ascii="IRNazanin" w:hAnsi="IRNazanin" w:eastAsia="IRNazanin"/>
          <w:color w:val="111111"/>
          <w:sz w:val="28"/>
          <w:sz w:val="28"/>
          <w:szCs w:val="28"/>
          <w:rtl w:val="true"/>
          <w:lang w:bidi="fa-IR"/>
        </w:rPr>
        <w:t>عن الأکثر فی تعریف الکاهن ما فی القواعد،من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له رَئیٌّ من الجنّ یأتیه الأخبار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153"/>
      </w:r>
      <w:r>
        <w:rPr>
          <w:rFonts w:ascii="IRNazanin" w:hAnsi="IRNazanin" w:eastAsia="IRNazanin"/>
          <w:color w:val="111111"/>
          <w:sz w:val="28"/>
          <w:sz w:val="28"/>
          <w:szCs w:val="28"/>
          <w:rtl w:val="true"/>
          <w:lang w:bidi="fa-IR"/>
        </w:rPr>
        <w:t xml:space="preserve">،و نسبه فی التحریر </w:t>
      </w:r>
      <w:r>
        <w:rPr>
          <w:rStyle w:val="FootnoteAnchor"/>
          <w:rtl w:val="true"/>
        </w:rPr>
        <w:footnoteReference w:id="154"/>
      </w:r>
      <w:r>
        <w:rPr>
          <w:rFonts w:ascii="IRNazanin" w:hAnsi="IRNazanin" w:eastAsia="IRNazanin"/>
          <w:color w:val="111111"/>
          <w:sz w:val="28"/>
          <w:sz w:val="28"/>
          <w:szCs w:val="28"/>
          <w:rtl w:val="true"/>
          <w:lang w:bidi="fa-IR"/>
        </w:rPr>
        <w:t xml:space="preserve">إلی القیل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 علی فعیل من رأی،یقال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رَئِیّ القوم،أی صاحب رأیهم،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یکسر راؤه إتباعاً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الرَّئیّ </w:t>
      </w:r>
      <w:r>
        <w:rPr>
          <w:rStyle w:val="FootnoteAnchor"/>
          <w:rtl w:val="true"/>
        </w:rPr>
        <w:footnoteReference w:id="157"/>
      </w:r>
      <w:r>
        <w:rPr>
          <w:rFonts w:ascii="Amiri" w:hAnsi="Amiri" w:eastAsia="Amiri" w:cs="Amiri"/>
          <w:color w:val="111111"/>
          <w:sz w:val="28"/>
          <w:sz w:val="28"/>
          <w:szCs w:val="28"/>
          <w:rtl w:val="true"/>
          <w:lang w:bidi="ar-SA"/>
        </w:rPr>
        <w:t>کغنیّ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جنّی یری فَیُحَب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للتابع من الجن رَئِیّ بوزن کَمِیّ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الطبرسی فی الاحتجاج فی جملة الأسئلة التی سأل</w:t>
      </w:r>
    </w:p>
    <w:p>
      <w:pPr>
        <w:pStyle w:val="BookText"/>
        <w:rPr/>
      </w:pPr>
      <w:r>
        <w:rPr>
          <w:rFonts w:ascii="IRNazanin" w:hAnsi="IRNazanin" w:eastAsia="IRNazanin"/>
          <w:color w:val="111111"/>
          <w:sz w:val="28"/>
          <w:sz w:val="28"/>
          <w:szCs w:val="28"/>
          <w:rtl w:val="true"/>
          <w:lang w:bidi="fa-IR"/>
        </w:rPr>
        <w:t>الزندیق عنها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أصل الکهانة،و من أین یخبر الناس بما یحدث؟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الکهانة کانت فی الجاهلیة فی کلّ حین فترة من الرسل،کان الکاهن بمنزلة الحاکم یحتکمون إلیه فیما یشتبه علیهم من الأُمور بینهم،فیخبرهم بأشیاء </w:t>
      </w:r>
      <w:r>
        <w:rPr>
          <w:rStyle w:val="FootnoteAnchor"/>
          <w:rtl w:val="true"/>
        </w:rPr>
        <w:footnoteReference w:id="160"/>
      </w:r>
      <w:r>
        <w:rPr>
          <w:rFonts w:ascii="IRNazanin" w:hAnsi="IRNazanin" w:eastAsia="IRNazanin"/>
          <w:color w:val="111111"/>
          <w:sz w:val="28"/>
          <w:sz w:val="28"/>
          <w:szCs w:val="28"/>
          <w:rtl w:val="true"/>
          <w:lang w:bidi="fa-IR"/>
        </w:rPr>
        <w:t xml:space="preserve">تحدث،و ذلک فی </w:t>
      </w:r>
      <w:r>
        <w:rPr>
          <w:rStyle w:val="FootnoteAnchor"/>
          <w:rtl w:val="true"/>
        </w:rPr>
        <w:footnoteReference w:id="161"/>
      </w:r>
      <w:r>
        <w:rPr>
          <w:rFonts w:ascii="Amiri" w:hAnsi="Amiri" w:eastAsia="Amiri" w:cs="Amiri"/>
          <w:color w:val="111111"/>
          <w:sz w:val="28"/>
          <w:sz w:val="28"/>
          <w:szCs w:val="28"/>
          <w:rtl w:val="true"/>
          <w:lang w:bidi="ar-SA"/>
        </w:rPr>
        <w:t>وجوه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فِراسة العین،و ذکاء القلب،و وسوسة النفس،و فِطنة الروح،مع قذفٍ فی قلبه؛لأنّ ما یحدث فی الأرض من الحوادث الظاهرة فذلک یعلم </w:t>
      </w:r>
      <w:r>
        <w:rPr>
          <w:rStyle w:val="FootnoteAnchor"/>
          <w:rtl w:val="true"/>
        </w:rPr>
        <w:footnoteReference w:id="162"/>
      </w:r>
      <w:r>
        <w:rPr>
          <w:rFonts w:ascii="IRNazanin" w:hAnsi="IRNazanin" w:eastAsia="IRNazanin"/>
          <w:color w:val="111111"/>
          <w:sz w:val="28"/>
          <w:sz w:val="28"/>
          <w:szCs w:val="28"/>
          <w:rtl w:val="true"/>
          <w:lang w:bidi="fa-IR"/>
        </w:rPr>
        <w:t>الشیطان و یؤدّیه إلی الکاهن،و یخبره بما یحدث فی المنازل و الأطراف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أخبار السماء،فإنّ الشیاطین کانت تقعد مقاعد استراق السمع إذ ذاک،و هی لا تحجب و لا ترجم بالنجوم،و إنّما مُنعت من استراق السمع لئلّا یقع فی الأرض سبب یشاکل </w:t>
      </w:r>
      <w:r>
        <w:rPr>
          <w:rStyle w:val="FootnoteAnchor"/>
          <w:rtl w:val="true"/>
        </w:rPr>
        <w:footnoteReference w:id="163"/>
      </w:r>
      <w:r>
        <w:rPr>
          <w:rFonts w:ascii="IRNazanin" w:hAnsi="IRNazanin" w:eastAsia="IRNazanin"/>
          <w:color w:val="111111"/>
          <w:sz w:val="28"/>
          <w:sz w:val="28"/>
          <w:szCs w:val="28"/>
          <w:rtl w:val="true"/>
          <w:lang w:bidi="fa-IR"/>
        </w:rPr>
        <w:t xml:space="preserve">الوحی من خبر السماء،فیلبس </w:t>
      </w:r>
      <w:r>
        <w:rPr>
          <w:rStyle w:val="FootnoteAnchor"/>
          <w:rtl w:val="true"/>
        </w:rPr>
        <w:footnoteReference w:id="164"/>
      </w:r>
      <w:r>
        <w:rPr>
          <w:rFonts w:ascii="IRNazanin" w:hAnsi="IRNazanin" w:eastAsia="IRNazanin"/>
          <w:color w:val="111111"/>
          <w:sz w:val="28"/>
          <w:sz w:val="28"/>
          <w:szCs w:val="28"/>
          <w:rtl w:val="true"/>
          <w:lang w:bidi="fa-IR"/>
        </w:rPr>
        <w:t>علی أهل الأرض ما جاءهم عن اللّه تعالی لإثبات الحجّة و نفی الشبهة،و کان الشیطان یسترق الکلمة الواحدة من خبر</w:t>
      </w:r>
    </w:p>
    <w:p>
      <w:pPr>
        <w:pStyle w:val="BookText"/>
        <w:rPr/>
      </w:pPr>
      <w:r>
        <w:rPr>
          <w:rFonts w:ascii="IRNazanin" w:hAnsi="IRNazanin" w:eastAsia="IRNazanin"/>
          <w:color w:val="111111"/>
          <w:sz w:val="28"/>
          <w:sz w:val="28"/>
          <w:szCs w:val="28"/>
          <w:rtl w:val="true"/>
          <w:lang w:bidi="fa-IR"/>
        </w:rPr>
        <w:t xml:space="preserve">السماء بما یحدث اللّه </w:t>
      </w:r>
      <w:r>
        <w:rPr>
          <w:rStyle w:val="FootnoteAnchor"/>
          <w:rtl w:val="true"/>
        </w:rPr>
        <w:footnoteReference w:id="165"/>
      </w:r>
      <w:r>
        <w:rPr>
          <w:rFonts w:ascii="IRNazanin" w:hAnsi="IRNazanin" w:eastAsia="IRNazanin"/>
          <w:color w:val="111111"/>
          <w:sz w:val="28"/>
          <w:sz w:val="28"/>
          <w:szCs w:val="28"/>
          <w:rtl w:val="true"/>
          <w:lang w:bidi="fa-IR"/>
        </w:rPr>
        <w:t xml:space="preserve">فی خلقه فیختطفها،ثمّ یهبط بها إلی الأرض،فیقذفها إلی الکاهن،فإذا قد زاد کلمات من عنده،فیخلط الحق بالباطل،فما أصاب الکاهن من خبر ممّا کان </w:t>
      </w:r>
      <w:r>
        <w:rPr>
          <w:rStyle w:val="FootnoteAnchor"/>
          <w:rtl w:val="true"/>
        </w:rPr>
        <w:footnoteReference w:id="166"/>
      </w:r>
      <w:r>
        <w:rPr>
          <w:rFonts w:ascii="IRNazanin" w:hAnsi="IRNazanin" w:eastAsia="IRNazanin"/>
          <w:color w:val="111111"/>
          <w:sz w:val="28"/>
          <w:sz w:val="28"/>
          <w:szCs w:val="28"/>
          <w:rtl w:val="true"/>
          <w:lang w:bidi="fa-IR"/>
        </w:rPr>
        <w:t xml:space="preserve">یخبر به </w:t>
      </w:r>
      <w:r>
        <w:rPr>
          <w:rStyle w:val="FootnoteAnchor"/>
          <w:rtl w:val="true"/>
        </w:rPr>
        <w:footnoteReference w:id="167"/>
      </w:r>
      <w:r>
        <w:rPr>
          <w:rFonts w:ascii="IRNazanin" w:hAnsi="IRNazanin" w:eastAsia="IRNazanin"/>
          <w:color w:val="111111"/>
          <w:sz w:val="28"/>
          <w:sz w:val="28"/>
          <w:szCs w:val="28"/>
          <w:rtl w:val="true"/>
          <w:lang w:bidi="fa-IR"/>
        </w:rPr>
        <w:t xml:space="preserve">فهو </w:t>
      </w:r>
      <w:r>
        <w:rPr>
          <w:rStyle w:val="FootnoteAnchor"/>
          <w:rtl w:val="true"/>
        </w:rPr>
        <w:footnoteReference w:id="168"/>
      </w:r>
      <w:r>
        <w:rPr>
          <w:rFonts w:ascii="IRNazanin" w:hAnsi="IRNazanin" w:eastAsia="IRNazanin"/>
          <w:color w:val="111111"/>
          <w:sz w:val="28"/>
          <w:sz w:val="28"/>
          <w:szCs w:val="28"/>
          <w:rtl w:val="true"/>
          <w:lang w:bidi="fa-IR"/>
        </w:rPr>
        <w:t>ما أدّاه إلیه شیطانه ممّا سمعه،و ما أخطأ فیه فهو من باطل ما زاد فیه،فمنذ منعت الشیاطین عن استراق السمع انقطعت الکهانة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الیوم إنّما تؤدّی الشیاطین إلی کُهّانها أخباراً للناس </w:t>
      </w:r>
      <w:r>
        <w:rPr>
          <w:rStyle w:val="FootnoteAnchor"/>
          <w:rtl w:val="true"/>
        </w:rPr>
        <w:footnoteReference w:id="169"/>
      </w:r>
      <w:r>
        <w:rPr>
          <w:rFonts w:ascii="Amiri" w:hAnsi="Amiri" w:eastAsia="Amiri" w:cs="Amiri"/>
          <w:color w:val="111111"/>
          <w:sz w:val="28"/>
          <w:sz w:val="28"/>
          <w:szCs w:val="28"/>
          <w:rtl w:val="true"/>
          <w:lang w:bidi="ar-SA"/>
        </w:rPr>
        <w:t xml:space="preserve">ممّا </w:t>
      </w:r>
      <w:r>
        <w:rPr>
          <w:rStyle w:val="FootnoteAnchor"/>
          <w:rtl w:val="true"/>
        </w:rPr>
        <w:footnoteReference w:id="170"/>
      </w:r>
      <w:r>
        <w:rPr>
          <w:rFonts w:ascii="IRNazanin" w:hAnsi="IRNazanin" w:eastAsia="IRNazanin"/>
          <w:color w:val="111111"/>
          <w:sz w:val="28"/>
          <w:sz w:val="28"/>
          <w:szCs w:val="28"/>
          <w:rtl w:val="true"/>
          <w:lang w:bidi="fa-IR"/>
        </w:rPr>
        <w:t xml:space="preserve">یتحدّثون به و ما یحدّثونه </w:t>
      </w:r>
      <w:r>
        <w:rPr>
          <w:rStyle w:val="FootnoteAnchor"/>
          <w:rtl w:val="true"/>
        </w:rPr>
        <w:footnoteReference w:id="171"/>
      </w:r>
      <w:r>
        <w:rPr>
          <w:rFonts w:ascii="IRNazanin" w:hAnsi="IRNazanin" w:eastAsia="IRNazanin"/>
          <w:color w:val="111111"/>
          <w:sz w:val="28"/>
          <w:sz w:val="28"/>
          <w:szCs w:val="28"/>
          <w:rtl w:val="true"/>
          <w:lang w:bidi="fa-IR"/>
        </w:rPr>
        <w:t xml:space="preserve">،و الشیاطین تؤدّی إلی الشیاطین ما یحدث فی البعد من الحوادث،من سارق سرق،و من </w:t>
      </w:r>
      <w:r>
        <w:rPr>
          <w:rStyle w:val="FootnoteAnchor"/>
          <w:rtl w:val="true"/>
        </w:rPr>
        <w:footnoteReference w:id="172"/>
      </w:r>
      <w:r>
        <w:rPr>
          <w:rFonts w:ascii="IRNazanin" w:hAnsi="IRNazanin" w:eastAsia="IRNazanin"/>
          <w:color w:val="111111"/>
          <w:sz w:val="28"/>
          <w:sz w:val="28"/>
          <w:szCs w:val="28"/>
          <w:rtl w:val="true"/>
          <w:lang w:bidi="fa-IR"/>
        </w:rPr>
        <w:t xml:space="preserve">قاتل قتل،و من </w:t>
      </w:r>
      <w:r>
        <w:rPr>
          <w:rStyle w:val="FootnoteAnchor"/>
          <w:rtl w:val="true"/>
        </w:rPr>
        <w:footnoteReference w:id="173"/>
      </w:r>
      <w:r>
        <w:rPr>
          <w:rFonts w:ascii="IRNazanin" w:hAnsi="IRNazanin" w:eastAsia="IRNazanin"/>
          <w:color w:val="111111"/>
          <w:sz w:val="28"/>
          <w:sz w:val="28"/>
          <w:szCs w:val="28"/>
          <w:rtl w:val="true"/>
          <w:lang w:bidi="fa-IR"/>
        </w:rPr>
        <w:t xml:space="preserve">غائب غاب،و هم أیضاً بمنزلة الناس </w:t>
      </w:r>
      <w:r>
        <w:rPr>
          <w:rStyle w:val="FootnoteAnchor"/>
          <w:rtl w:val="true"/>
        </w:rPr>
        <w:footnoteReference w:id="174"/>
      </w:r>
      <w:r>
        <w:rPr>
          <w:rFonts w:ascii="IRNazanin" w:hAnsi="IRNazanin" w:eastAsia="IRNazanin"/>
          <w:color w:val="111111"/>
          <w:sz w:val="28"/>
          <w:sz w:val="28"/>
          <w:szCs w:val="28"/>
          <w:rtl w:val="true"/>
          <w:lang w:bidi="fa-IR"/>
        </w:rPr>
        <w:t>صدوق و 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قذفٍ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قیداً للأخیر،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الکهانة بغیر قذف الشیاطین،کما هو ظاهر</w:t>
      </w:r>
    </w:p>
    <w:p>
      <w:pPr>
        <w:pStyle w:val="BookText"/>
        <w:rPr/>
      </w:pPr>
      <w:r>
        <w:rPr>
          <w:rFonts w:ascii="IRNazanin" w:hAnsi="IRNazanin" w:eastAsia="IRNazanin"/>
          <w:color w:val="111111"/>
          <w:sz w:val="28"/>
          <w:sz w:val="28"/>
          <w:szCs w:val="28"/>
          <w:rtl w:val="true"/>
          <w:lang w:bidi="fa-IR"/>
        </w:rPr>
        <w:t xml:space="preserve">ما تقدم عن النهایة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یکون قیداً لجمیع الوجوه المذکورة،فیکون المراد ترکّب أخبار الکاهن ممّا یقذفه الشیطان،و ما یحدث </w:t>
      </w:r>
      <w:r>
        <w:rPr>
          <w:rStyle w:val="FootnoteAnchor"/>
          <w:rtl w:val="true"/>
        </w:rPr>
        <w:footnoteReference w:id="177"/>
      </w:r>
      <w:r>
        <w:rPr>
          <w:rFonts w:ascii="IRNazanin" w:hAnsi="IRNazanin" w:eastAsia="IRNazanin"/>
          <w:color w:val="111111"/>
          <w:sz w:val="28"/>
          <w:sz w:val="28"/>
          <w:szCs w:val="28"/>
          <w:rtl w:val="true"/>
          <w:lang w:bidi="fa-IR"/>
        </w:rPr>
        <w:t>فی نفسه،لتلک الوجوه و غیرها،کما یدلّ علیه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کلمات من عنده فیخلط الحقّ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ما عن المُغْرِب من أنّ الکهانة فی العرب کانت قبل المبعث </w:t>
      </w:r>
      <w:r>
        <w:rPr>
          <w:rStyle w:val="FootnoteAnchor"/>
          <w:rtl w:val="true"/>
        </w:rPr>
        <w:footnoteReference w:id="178"/>
      </w:r>
      <w:r>
        <w:rPr>
          <w:rFonts w:ascii="IRNazanin" w:hAnsi="IRNazanin" w:eastAsia="IRNazanin"/>
          <w:color w:val="111111"/>
          <w:sz w:val="28"/>
          <w:sz w:val="28"/>
          <w:szCs w:val="28"/>
          <w:rtl w:val="true"/>
          <w:lang w:bidi="fa-IR"/>
        </w:rPr>
        <w:t xml:space="preserve">،قبل منع الشیاطین </w:t>
      </w:r>
      <w:r>
        <w:rPr>
          <w:rStyle w:val="FootnoteAnchor"/>
          <w:rtl w:val="true"/>
        </w:rPr>
        <w:footnoteReference w:id="179"/>
      </w:r>
      <w:r>
        <w:rPr>
          <w:rFonts w:ascii="IRNazanin" w:hAnsi="IRNazanin" w:eastAsia="IRNazanin"/>
          <w:color w:val="111111"/>
          <w:sz w:val="28"/>
          <w:sz w:val="28"/>
          <w:szCs w:val="28"/>
          <w:rtl w:val="true"/>
          <w:lang w:bidi="fa-IR"/>
        </w:rPr>
        <w:t xml:space="preserve">عن استراق السمع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w:t>
      </w:r>
      <w:r>
        <w:rPr>
          <w:rStyle w:val="FootnoteAnchor"/>
          <w:rtl w:val="true"/>
        </w:rPr>
        <w:footnoteReference w:id="181"/>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تؤدّی الشیاطین إلی کهّانها أخباراً للناس</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قوله علیه السلام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قذفٍ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صدق الکاهن علی من لا یخبر إلّا بإخبار الأرض،فیکون المراد من الکهانة المنقطعة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 الکاملة التی یکون الکاهن بها حاکماً فی جمیع ما یتحاکمون إلیه من المشتبهات،کما ذُکر فی أول الروایة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خلاف فی حرمة الکهانة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المرویِّ عن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تکهَّن،أو تُکُهِّن له فقد بریء من دین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الکاهن کالساحر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النجوم یدعو إلی الکهانة</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مستطرفات السرائر،عن کتاب المشیخة للحسن بن محبوب،عن الهیثم،قال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عندنا بالجزیرة رجلاً ربما أخبر من یأتیه یسأله عن الشیء یسرق،أو شبه ذلک،فنسأله؟ </w:t>
      </w:r>
      <w:r>
        <w:rPr>
          <w:rStyle w:val="FootnoteAnchor"/>
          <w:rtl w:val="true"/>
        </w:rPr>
        <w:footnoteReference w:id="18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إلی ساحر أو کاهن أو کذّاب یصدّقه فیما یقول </w:t>
      </w:r>
      <w:r>
        <w:rPr>
          <w:rStyle w:val="FootnoteAnchor"/>
          <w:rtl w:val="true"/>
        </w:rPr>
        <w:footnoteReference w:id="186"/>
      </w:r>
      <w:r>
        <w:rPr>
          <w:rFonts w:ascii="IRNazanin" w:hAnsi="IRNazanin" w:eastAsia="IRNazanin"/>
          <w:color w:val="111111"/>
          <w:sz w:val="28"/>
          <w:sz w:val="28"/>
          <w:szCs w:val="28"/>
          <w:rtl w:val="true"/>
          <w:lang w:bidi="fa-IR"/>
        </w:rPr>
        <w:t xml:space="preserve">،فقد کفر بما أنزل اللّه من کتاب، الخبر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هذه الصحیحة أنّ الإخبار عن الغائبات علی سبیل الجزم محرّم مطلقاً،سواء کان بالکهانة أو بغیرها؛لأنّه علیه السلام جعل المخبر بالشیء الغائب بین الساحر و الکاهن و الکذّاب،و جعل الکلّ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النهی فی النبوی المرویِّ فی الفقیه فی حدیث المناهی أنّه صلّی اللّه علیه و آله و سلم نهی عن إتیان العرّاف،و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و صدّقه فقد بریء ممّا أنزل اللّه علی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من النهایة أنّ المخبر عن الغائبات فی المستقبل کاهن و یخصّ باسم العرّاف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روایة الاحتجاج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یقع فی الأرض سبب یشاکل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فإنّ ظاهره کون ذلک مبغوضاً للشارع من أیّ سبب کان،فتبیّن من ذلک أنّ الإخبار عن الغائبات بمجرّد السؤال عنها من غیر النظر </w:t>
      </w:r>
      <w:r>
        <w:rPr>
          <w:rStyle w:val="FootnoteAnchor"/>
          <w:rtl w:val="true"/>
        </w:rPr>
        <w:footnoteReference w:id="192"/>
      </w:r>
      <w:r>
        <w:rPr>
          <w:rFonts w:ascii="IRNazanin" w:hAnsi="IRNazanin" w:eastAsia="IRNazanin"/>
          <w:color w:val="111111"/>
          <w:sz w:val="28"/>
          <w:sz w:val="28"/>
          <w:szCs w:val="28"/>
          <w:rtl w:val="true"/>
          <w:lang w:bidi="fa-IR"/>
        </w:rPr>
        <w:t xml:space="preserve">فی بعض ما صحّ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الجفر و الرمل محرّم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لذا عدّ صاحب المفاتیح من المحرّمات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الإخبار عن الغائبات علی سبیل الجزم لغیر نبیّ،أو وصیّ نبیّ،سواء کان بالتنجیم،أو الکهانة،أو القیافة،أو غیر ذلک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34" w:name="pg19674_191538"/>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5027676_2314609296"/>
      <w:bookmarkStart w:id="36" w:name="_Toc14"/>
      <w:bookmarkEnd w:id="35"/>
      <w:r>
        <w:rPr>
          <w:rtl w:val="true"/>
        </w:rPr>
        <w:t>المسألة</w:t>
      </w:r>
      <w:r>
        <w:rPr>
          <w:rtl w:val="true"/>
        </w:rPr>
        <w:t>]</w:t>
      </w:r>
      <w:r>
        <w:rPr>
          <w:rtl w:val="true"/>
        </w:rPr>
        <w:t>العشرون اللّهو حرام</w:t>
      </w:r>
      <w:bookmarkEnd w:id="36"/>
    </w:p>
    <w:p>
      <w:pPr>
        <w:pStyle w:val="BookText"/>
        <w:rPr/>
      </w:pPr>
      <w:r>
        <w:rPr>
          <w:rFonts w:ascii="IRNazanin" w:hAnsi="IRNazanin" w:eastAsia="IRNazanin"/>
          <w:color w:val="111111"/>
          <w:sz w:val="28"/>
          <w:sz w:val="28"/>
          <w:szCs w:val="28"/>
          <w:rtl w:val="true"/>
          <w:lang w:bidi="fa-IR"/>
        </w:rPr>
        <w:t xml:space="preserve">،علی ما یظهر من المبسوط </w:t>
      </w:r>
      <w:r>
        <w:rPr>
          <w:rStyle w:val="FootnoteAnchor"/>
          <w:rtl w:val="true"/>
        </w:rPr>
        <w:footnoteReference w:id="19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5"/>
      </w:r>
      <w:r>
        <w:rPr>
          <w:rFonts w:ascii="IRNazanin" w:hAnsi="IRNazanin" w:eastAsia="IRNazanin"/>
          <w:color w:val="111111"/>
          <w:sz w:val="28"/>
          <w:sz w:val="28"/>
          <w:szCs w:val="28"/>
          <w:rtl w:val="true"/>
          <w:lang w:bidi="fa-IR"/>
        </w:rPr>
        <w:t xml:space="preserve">و المعتبر </w:t>
      </w:r>
      <w:r>
        <w:rPr>
          <w:rStyle w:val="FootnoteAnchor"/>
          <w:rtl w:val="true"/>
        </w:rPr>
        <w:footnoteReference w:id="196"/>
      </w:r>
      <w:r>
        <w:rPr>
          <w:rFonts w:ascii="IRNazanin" w:hAnsi="IRNazanin" w:eastAsia="IRNazanin"/>
          <w:color w:val="111111"/>
          <w:sz w:val="28"/>
          <w:sz w:val="28"/>
          <w:szCs w:val="28"/>
          <w:rtl w:val="true"/>
          <w:lang w:bidi="fa-IR"/>
        </w:rPr>
        <w:t xml:space="preserve">و القواعد </w:t>
      </w:r>
      <w:r>
        <w:rPr>
          <w:rStyle w:val="FootnoteAnchor"/>
          <w:rtl w:val="true"/>
        </w:rPr>
        <w:footnoteReference w:id="197"/>
      </w:r>
      <w:r>
        <w:rPr>
          <w:rFonts w:ascii="IRNazanin" w:hAnsi="IRNazanin" w:eastAsia="IRNazanin"/>
          <w:color w:val="111111"/>
          <w:sz w:val="28"/>
          <w:sz w:val="28"/>
          <w:szCs w:val="28"/>
          <w:rtl w:val="true"/>
          <w:lang w:bidi="fa-IR"/>
        </w:rPr>
        <w:t xml:space="preserve">و الذکری </w:t>
      </w:r>
      <w:r>
        <w:rPr>
          <w:rStyle w:val="FootnoteAnchor"/>
          <w:rtl w:val="true"/>
        </w:rPr>
        <w:footnoteReference w:id="198"/>
      </w:r>
      <w:r>
        <w:rPr>
          <w:rFonts w:ascii="IRNazanin" w:hAnsi="IRNazanin" w:eastAsia="IRNazanin"/>
          <w:color w:val="111111"/>
          <w:sz w:val="28"/>
          <w:sz w:val="28"/>
          <w:szCs w:val="28"/>
          <w:rtl w:val="true"/>
          <w:lang w:bidi="fa-IR"/>
        </w:rPr>
        <w:t xml:space="preserve">و الجعفریة </w:t>
      </w:r>
      <w:r>
        <w:rPr>
          <w:rStyle w:val="FootnoteAnchor"/>
          <w:rtl w:val="true"/>
        </w:rPr>
        <w:footnoteReference w:id="199"/>
      </w:r>
      <w:r>
        <w:rPr>
          <w:rFonts w:ascii="IRNazanin" w:hAnsi="IRNazanin" w:eastAsia="IRNazanin"/>
          <w:color w:val="111111"/>
          <w:sz w:val="28"/>
          <w:sz w:val="28"/>
          <w:szCs w:val="28"/>
          <w:rtl w:val="true"/>
          <w:lang w:bidi="fa-IR"/>
        </w:rPr>
        <w:t>و غیرها؛حیث علّلوا لزوم الإتمام فی سفر الصید بکونه محرّماً من حیث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الواجب و الندب،و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سفر المعصیة،و عدّ من أمثلتها مَن طلب الصید للّهو و البطر </w:t>
      </w:r>
      <w:r>
        <w:rPr>
          <w:rStyle w:val="FootnoteAnchor"/>
          <w:rtl w:val="true"/>
        </w:rPr>
        <w:footnoteReference w:id="200"/>
      </w:r>
      <w:r>
        <w:rPr>
          <w:rFonts w:ascii="IRNazanin" w:hAnsi="IRNazanin" w:eastAsia="IRNazanin"/>
          <w:color w:val="111111"/>
          <w:sz w:val="28"/>
          <w:sz w:val="28"/>
          <w:szCs w:val="28"/>
          <w:rtl w:val="true"/>
          <w:lang w:bidi="fa-IR"/>
        </w:rPr>
        <w:t xml:space="preserve">،و نحوه بعینه عبارة السرائر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اللاهی بسفره کالمتنزّه بصیده بطراً،</w:t>
      </w:r>
    </w:p>
    <w:p>
      <w:pPr>
        <w:pStyle w:val="BookText"/>
        <w:rPr/>
      </w:pPr>
      <w:r>
        <w:rPr>
          <w:rFonts w:ascii="IRNazanin" w:hAnsi="IRNazanin" w:eastAsia="IRNazanin"/>
          <w:color w:val="111111"/>
          <w:sz w:val="28"/>
          <w:sz w:val="28"/>
          <w:szCs w:val="28"/>
          <w:rtl w:val="true"/>
          <w:lang w:bidi="fa-IR"/>
        </w:rPr>
        <w:t xml:space="preserve">لا یترخّص؛لنا أنّ اللهو حرام فالسفر له معصیة </w:t>
      </w:r>
      <w:r>
        <w:rPr>
          <w:rStyle w:val="FootnoteAnchor"/>
          <w:rtl w:val="true"/>
        </w:rPr>
        <w:footnoteReference w:id="2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شروط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السفر،فلا یرخّص العاصی بسفره کتابع الجائر و المتصیّد لهواً </w:t>
      </w:r>
      <w:r>
        <w:rPr>
          <w:rStyle w:val="FootnoteAnchor"/>
          <w:rtl w:val="true"/>
        </w:rPr>
        <w:footnoteReference w:id="2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فی کتاب 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الحلبی الرمی عن </w:t>
      </w:r>
      <w:r>
        <w:rPr>
          <w:rStyle w:val="FootnoteAnchor"/>
          <w:rtl w:val="true"/>
        </w:rPr>
        <w:footnoteReference w:id="204"/>
      </w:r>
      <w:r>
        <w:rPr>
          <w:rFonts w:ascii="IRNazanin" w:hAnsi="IRNazanin" w:eastAsia="IRNazanin"/>
          <w:color w:val="111111"/>
          <w:sz w:val="28"/>
          <w:sz w:val="28"/>
          <w:szCs w:val="28"/>
          <w:rtl w:val="true"/>
          <w:lang w:bidi="fa-IR"/>
        </w:rPr>
        <w:t xml:space="preserve">قوس الجلاهق </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الإطلاق لیس بجید،بل ینبغی تقییده باللّهو و البطر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الحلّی فی مسألة اللعب بالحمام بغیر رهان بحرمته،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اللعب بجمیع الأشیاء قبیح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حرمة مطلق اللعب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انتصر فی الریاض للحلّی بأنّ ما دلّ علی قبح اللعب،و ورد بذمّة من الآیات و الروایات،أظهر من أن یخفی،فإذا ثبت القبح </w:t>
      </w:r>
      <w:r>
        <w:rPr>
          <w:rStyle w:val="FootnoteAnchor"/>
          <w:rtl w:val="true"/>
        </w:rPr>
        <w:footnoteReference w:id="209"/>
      </w:r>
      <w:r>
        <w:rPr>
          <w:rFonts w:ascii="IRNazanin" w:hAnsi="IRNazanin" w:eastAsia="IRNazanin"/>
          <w:color w:val="111111"/>
          <w:sz w:val="28"/>
          <w:sz w:val="28"/>
          <w:szCs w:val="28"/>
          <w:rtl w:val="true"/>
          <w:lang w:bidi="fa-IR"/>
        </w:rPr>
        <w:t>ثبت النهی،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شذوذه بحیث کاد أن یکون مخالفاً للإجماع لکان المصیر إلی قوله لیس بذلک البعید </w:t>
      </w:r>
      <w:r>
        <w:rPr>
          <w:rStyle w:val="FootnoteAnchor"/>
          <w:rtl w:val="true"/>
        </w:rPr>
        <w:footnoteReference w:id="2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القول بجواز خصوص هذا اللعب،و شذوذ</w:t>
      </w:r>
    </w:p>
    <w:p>
      <w:pPr>
        <w:pStyle w:val="BookText"/>
        <w:rPr/>
      </w:pPr>
      <w:r>
        <w:rPr>
          <w:rFonts w:ascii="IRNazanin" w:hAnsi="IRNazanin" w:eastAsia="IRNazanin"/>
          <w:color w:val="111111"/>
          <w:sz w:val="28"/>
          <w:sz w:val="28"/>
          <w:szCs w:val="28"/>
          <w:rtl w:val="true"/>
          <w:lang w:bidi="fa-IR"/>
        </w:rPr>
        <w:t>القول بحرمته مع دعوی کثرة الروایات،بل الآیات علی حرمة مطلق اللهو؛لأجل النصّ علی الجواز فیه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من یلعب بالحمام</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فی الریاض أیضاً تبعاً للمهذّب </w:t>
      </w:r>
      <w:r>
        <w:rPr>
          <w:rStyle w:val="FootnoteAnchor"/>
          <w:rtl w:val="true"/>
        </w:rPr>
        <w:footnoteReference w:id="212"/>
      </w:r>
      <w:r>
        <w:rPr>
          <w:rFonts w:ascii="IRNazanin" w:hAnsi="IRNazanin" w:eastAsia="IRNazanin"/>
          <w:color w:val="111111"/>
          <w:sz w:val="28"/>
          <w:sz w:val="28"/>
          <w:szCs w:val="28"/>
          <w:rtl w:val="true"/>
          <w:lang w:bidi="fa-IR"/>
        </w:rPr>
        <w:t xml:space="preserve">علی حرمة المسابقة بغیر المنصوص علی </w:t>
      </w:r>
      <w:r>
        <w:rPr>
          <w:rStyle w:val="FootnoteAnchor"/>
          <w:rtl w:val="true"/>
        </w:rPr>
        <w:footnoteReference w:id="213"/>
      </w:r>
      <w:r>
        <w:rPr>
          <w:rFonts w:ascii="IRNazanin" w:hAnsi="IRNazanin" w:eastAsia="IRNazanin"/>
          <w:color w:val="111111"/>
          <w:sz w:val="28"/>
          <w:sz w:val="28"/>
          <w:szCs w:val="28"/>
          <w:rtl w:val="true"/>
          <w:lang w:bidi="fa-IR"/>
        </w:rPr>
        <w:t>جوازه بغیر عوض،بما دلّ علی تحریم اللهو و اللعب،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لکونها منه بلا تأمّل </w:t>
      </w:r>
      <w:r>
        <w:rPr>
          <w:rStyle w:val="FootnoteAnchor"/>
          <w:rtl w:val="true"/>
        </w:rPr>
        <w:footnoteReference w:id="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الظاهرة فی حرمة اللّهو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قوله </w:t>
      </w:r>
      <w:r>
        <w:rPr>
          <w:rStyle w:val="FootnoteAnchor"/>
          <w:rtl w:val="true"/>
        </w:rPr>
        <w:footnoteReference w:id="215"/>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یکون منه و فیه الفساد محضاً،و لا یکون منه و لا فیه </w:t>
      </w:r>
      <w:r>
        <w:rPr>
          <w:rStyle w:val="FootnoteAnchor"/>
          <w:rtl w:val="true"/>
        </w:rPr>
        <w:footnoteReference w:id="216"/>
      </w:r>
      <w:r>
        <w:rPr>
          <w:rFonts w:ascii="IRNazanin" w:hAnsi="IRNazanin" w:eastAsia="IRNazanin"/>
          <w:color w:val="111111"/>
          <w:sz w:val="28"/>
          <w:sz w:val="28"/>
          <w:szCs w:val="28"/>
          <w:rtl w:val="true"/>
          <w:lang w:bidi="fa-IR"/>
        </w:rPr>
        <w:t>شیء من وجوه الصلاح، فحرام تعلیمه و تعلّمه و العمل به و أخذ الأُجرة علیه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روایة الأعمش،حیث عدّ فی الکبائر الاشتغال بالملاهی التی تصدّ عن ذکر اللّه کالغناء و ضرب الأوتار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فإنّ الملاهی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وصفاً،لا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آلة؛لأنّه لا یناسب التمثیل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 الاشتغال بالملاهی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العیون الواردة فی الکبائر </w:t>
      </w:r>
      <w:r>
        <w:rPr>
          <w:rStyle w:val="FootnoteAnchor"/>
          <w:rtl w:val="true"/>
        </w:rPr>
        <w:footnoteReference w:id="220"/>
      </w:r>
      <w:r>
        <w:rPr>
          <w:rFonts w:ascii="IRNazanin" w:hAnsi="IRNazanin" w:eastAsia="IRNazanin"/>
          <w:color w:val="111111"/>
          <w:sz w:val="28"/>
          <w:sz w:val="28"/>
          <w:szCs w:val="28"/>
          <w:rtl w:val="true"/>
          <w:lang w:bidi="fa-IR"/>
        </w:rPr>
        <w:t>،و هی حسنة کالصحیحة بل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روایات القمار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المَیْسِر</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جواب من خرج فی السفر یطلب </w:t>
      </w:r>
      <w:r>
        <w:rPr>
          <w:rStyle w:val="FootnoteAnchor"/>
          <w:rtl w:val="true"/>
        </w:rPr>
        <w:footnoteReference w:id="222"/>
      </w:r>
      <w:r>
        <w:rPr>
          <w:rFonts w:ascii="IRNazanin" w:hAnsi="IRNazanin" w:eastAsia="IRNazanin"/>
          <w:color w:val="111111"/>
          <w:sz w:val="28"/>
          <w:sz w:val="28"/>
          <w:szCs w:val="28"/>
          <w:rtl w:val="true"/>
          <w:lang w:bidi="fa-IR"/>
        </w:rPr>
        <w:t>الصید بالبزاة و الصقور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فی لهو،لا یقصّر</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روایة الغناء فی حدیث الرضا علیه السلام فی جواب من سأله عن السماع،فقال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لأهل الحجاز فیه رأیاً و هو فی حیّز اللهو</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من زعم أنّ النبی صلّی اللّه علیه و آله و سلم رخّص فی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جئناکم جئناکم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علی أنّ اللّهو من الباطل </w:t>
      </w:r>
      <w:r>
        <w:rPr>
          <w:rStyle w:val="FootnoteAnchor"/>
          <w:rtl w:val="true"/>
        </w:rPr>
        <w:footnoteReference w:id="228"/>
      </w:r>
      <w:r>
        <w:rPr>
          <w:rFonts w:ascii="IRNazanin" w:hAnsi="IRNazanin" w:eastAsia="IRNazanin"/>
          <w:color w:val="111111"/>
          <w:sz w:val="28"/>
          <w:sz w:val="28"/>
          <w:szCs w:val="28"/>
          <w:rtl w:val="true"/>
          <w:lang w:bidi="fa-IR"/>
        </w:rPr>
        <w:t xml:space="preserve">بضمیمة ما یظهر منه حرمة الباطل،کما تقدم فی روایات الغناء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لهو المؤمن من الباطل </w:t>
      </w:r>
      <w:r>
        <w:rPr>
          <w:rStyle w:val="FootnoteAnchor"/>
          <w:rtl w:val="true"/>
        </w:rPr>
        <w:footnoteReference w:id="230"/>
      </w:r>
      <w:r>
        <w:rPr>
          <w:rFonts w:ascii="Amiri" w:hAnsi="Amiri" w:eastAsia="Amiri" w:cs="Amiri"/>
          <w:color w:val="111111"/>
          <w:sz w:val="28"/>
          <w:sz w:val="28"/>
          <w:szCs w:val="28"/>
          <w:rtl w:val="true"/>
          <w:lang w:bidi="ar-SA"/>
        </w:rPr>
        <w:t>ما خلا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المسابقة،و ملاعبة الرجل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علی بن جعفر علیه السلام،عن أخیه،قال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اللعب بالأربعة عشر و شبهها،قال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نستحبّ </w:t>
      </w:r>
      <w:r>
        <w:rPr>
          <w:rStyle w:val="FootnoteAnchor"/>
          <w:rtl w:val="true"/>
        </w:rPr>
        <w:footnoteReference w:id="232"/>
      </w:r>
      <w:r>
        <w:rPr>
          <w:rFonts w:ascii="IRNazanin" w:hAnsi="IRNazanin" w:eastAsia="IRNazanin"/>
          <w:color w:val="111111"/>
          <w:sz w:val="28"/>
          <w:sz w:val="28"/>
          <w:szCs w:val="28"/>
          <w:rtl w:val="true"/>
          <w:lang w:bidi="fa-IR"/>
        </w:rPr>
        <w:t>شیئاً من اللعب غیر الرهان و الرمی</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یقف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حرمة اللعب بآلات اللهو الظاهر أنّه من حیث اللهو،لا من حیث خصوص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آدم شمت به إبلیس و قابیل،فاجتمعا فی الأرض فجعل إبلیس و قابیل المعازف و الملاهی شماتة بآدم علی نبینا و آله و علیه السلام،فکلّ ما کان فی الأرض من هذا الضرب الذی یتلذّذ به الناس فإنّما هو من ذلک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IRNazanin" w:hAnsi="IRNazanin" w:eastAsia="IRNazanin"/>
          <w:color w:val="111111"/>
          <w:sz w:val="28"/>
          <w:sz w:val="28"/>
          <w:szCs w:val="28"/>
          <w:rtl w:val="true"/>
          <w:lang w:bidi="fa-IR"/>
        </w:rPr>
        <w:t>فإنّ فیه إشارة إلی أنّ المناط هو مطلق التلهّی و التلذّذ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یؤیّده ما تقدّم </w:t>
      </w:r>
      <w:r>
        <w:rPr>
          <w:rStyle w:val="FootnoteAnchor"/>
          <w:rtl w:val="true"/>
        </w:rPr>
        <w:footnoteReference w:id="236"/>
      </w:r>
      <w:r>
        <w:rPr>
          <w:rFonts w:ascii="IRNazanin" w:hAnsi="IRNazanin" w:eastAsia="IRNazanin"/>
          <w:color w:val="111111"/>
          <w:sz w:val="28"/>
          <w:sz w:val="28"/>
          <w:szCs w:val="28"/>
          <w:rtl w:val="true"/>
          <w:lang w:bidi="fa-IR"/>
        </w:rPr>
        <w:t xml:space="preserve">من أنّ المشهور حرمة المسابقة علی ما عدا المنصوص بغیر عوض؛فإنّ الظاهر أنّه لا وجه له عدا کونه لهواً و إن لم یصرّحوا بذلک عدا القلیل منهم،کما تقدّم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نعم،صرّح العلّامة فی التذکرة بحرمة المسابقة علی جمیع الملاعب کما تقدّم نقل کلامه فی مسألة القمار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هذا،و لکن الإشکال فی معنی اللّهو،فإنّه إن أُرید به مطلق اللعب کما یظهر من الصحاح </w:t>
      </w:r>
      <w:r>
        <w:rPr>
          <w:rStyle w:val="FootnoteAnchor"/>
          <w:rtl w:val="true"/>
        </w:rPr>
        <w:footnoteReference w:id="239"/>
      </w:r>
      <w:r>
        <w:rPr>
          <w:rFonts w:ascii="IRNazanin" w:hAnsi="IRNazanin" w:eastAsia="IRNazanin"/>
          <w:color w:val="111111"/>
          <w:sz w:val="28"/>
          <w:sz w:val="28"/>
          <w:szCs w:val="28"/>
          <w:rtl w:val="true"/>
          <w:lang w:bidi="fa-IR"/>
        </w:rPr>
        <w:t xml:space="preserve">و القاموس </w:t>
      </w:r>
      <w:r>
        <w:rPr>
          <w:rStyle w:val="FootnoteAnchor"/>
          <w:rtl w:val="true"/>
        </w:rPr>
        <w:footnoteReference w:id="240"/>
      </w:r>
      <w:r>
        <w:rPr>
          <w:rFonts w:ascii="IRNazanin" w:hAnsi="IRNazanin" w:eastAsia="IRNazanin"/>
          <w:color w:val="111111"/>
          <w:sz w:val="28"/>
          <w:sz w:val="28"/>
          <w:szCs w:val="28"/>
          <w:rtl w:val="true"/>
          <w:lang w:bidi="fa-IR"/>
        </w:rPr>
        <w:t xml:space="preserve">فالظاهر أنّ القول بحرمته شاذّ مخالف للمشهور و السیرة؛فإنّ اللعب هی </w:t>
      </w:r>
      <w:r>
        <w:rPr>
          <w:rStyle w:val="FootnoteAnchor"/>
          <w:rtl w:val="true"/>
        </w:rPr>
        <w:footnoteReference w:id="241"/>
      </w:r>
      <w:r>
        <w:rPr>
          <w:rFonts w:ascii="IRNazanin" w:hAnsi="IRNazanin" w:eastAsia="IRNazanin"/>
          <w:color w:val="111111"/>
          <w:sz w:val="28"/>
          <w:sz w:val="28"/>
          <w:szCs w:val="28"/>
          <w:rtl w:val="true"/>
          <w:lang w:bidi="fa-IR"/>
        </w:rPr>
        <w:t xml:space="preserve">الحرکة لا لغرض عقلائی </w:t>
      </w:r>
      <w:r>
        <w:rPr>
          <w:rStyle w:val="FootnoteAnchor"/>
          <w:rtl w:val="true"/>
        </w:rPr>
        <w:footnoteReference w:id="242"/>
      </w:r>
      <w:r>
        <w:rPr>
          <w:rFonts w:ascii="IRNazanin" w:hAnsi="IRNazanin" w:eastAsia="IRNazanin"/>
          <w:color w:val="111111"/>
          <w:sz w:val="28"/>
          <w:sz w:val="28"/>
          <w:szCs w:val="28"/>
          <w:rtl w:val="true"/>
          <w:lang w:bidi="fa-IR"/>
        </w:rPr>
        <w:t xml:space="preserve">، و </w:t>
      </w:r>
      <w:r>
        <w:rPr>
          <w:rStyle w:val="FootnoteAnchor"/>
          <w:rtl w:val="true"/>
        </w:rPr>
        <w:footnoteReference w:id="243"/>
      </w:r>
      <w:r>
        <w:rPr>
          <w:rFonts w:ascii="IRNazanin" w:hAnsi="IRNazanin" w:eastAsia="IRNazanin"/>
          <w:color w:val="111111"/>
          <w:sz w:val="28"/>
          <w:sz w:val="28"/>
          <w:szCs w:val="28"/>
          <w:rtl w:val="true"/>
          <w:lang w:bidi="fa-IR"/>
        </w:rPr>
        <w:t>لا خلاف ظاهراً فی عدم حرمته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نعم،لو خُصَّ اللّهو بما یکون عن </w:t>
      </w:r>
      <w:r>
        <w:rPr>
          <w:rStyle w:val="FootnoteAnchor"/>
          <w:rtl w:val="true"/>
        </w:rPr>
        <w:footnoteReference w:id="244"/>
      </w:r>
      <w:r>
        <w:rPr>
          <w:rFonts w:ascii="IRNazanin" w:hAnsi="IRNazanin" w:eastAsia="IRNazanin"/>
          <w:color w:val="111111"/>
          <w:sz w:val="28"/>
          <w:sz w:val="28"/>
          <w:szCs w:val="28"/>
          <w:rtl w:val="true"/>
          <w:lang w:bidi="fa-IR"/>
        </w:rPr>
        <w:t>بَطَرٍ و فسّر بشدّة الفرح کان الأقوی تحریمه،و یدخل فی ذلک الرقص و التصفیق،و الضرب بالطشت بدل الدفّ،و کلّ ما یفید فائدة آلات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جعل مطلق الحرکات التی لا یتعلق بها غرض عقلائی </w:t>
      </w:r>
      <w:r>
        <w:rPr>
          <w:rStyle w:val="FootnoteAnchor"/>
          <w:rtl w:val="true"/>
        </w:rPr>
        <w:footnoteReference w:id="245"/>
      </w:r>
      <w:r>
        <w:rPr>
          <w:rFonts w:ascii="IRNazanin" w:hAnsi="IRNazanin" w:eastAsia="IRNazanin"/>
          <w:color w:val="111111"/>
          <w:sz w:val="28"/>
          <w:sz w:val="28"/>
          <w:szCs w:val="28"/>
          <w:rtl w:val="true"/>
          <w:lang w:bidi="fa-IR"/>
        </w:rPr>
        <w:t>مع انبعاثها عن القوی الشهویة،ففی حرمته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 عنوانین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اللعب،فقد عرفت أنّ ظاهر بعضٍ ترادفهما </w:t>
      </w:r>
      <w:r>
        <w:rPr>
          <w:rStyle w:val="FootnoteAnchor"/>
          <w:rtl w:val="true"/>
        </w:rPr>
        <w:footnoteReference w:id="246"/>
      </w:r>
      <w:r>
        <w:rPr>
          <w:rFonts w:ascii="IRNazanin" w:hAnsi="IRNazanin" w:eastAsia="IRNazanin"/>
          <w:color w:val="111111"/>
          <w:sz w:val="28"/>
          <w:sz w:val="28"/>
          <w:szCs w:val="28"/>
          <w:rtl w:val="true"/>
          <w:lang w:bidi="fa-IR"/>
        </w:rPr>
        <w:t xml:space="preserve">،و لکن مقتضی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تعاطفهما فی غیر موضع من الکتاب العزیز </w:t>
      </w:r>
      <w:r>
        <w:rPr>
          <w:rStyle w:val="FootnoteAnchor"/>
          <w:rtl w:val="true"/>
        </w:rPr>
        <w:footnoteReference w:id="248"/>
      </w:r>
      <w:r>
        <w:rPr>
          <w:rFonts w:ascii="IRNazanin" w:hAnsi="IRNazanin" w:eastAsia="IRNazanin"/>
          <w:color w:val="111111"/>
          <w:sz w:val="28"/>
          <w:sz w:val="28"/>
          <w:szCs w:val="28"/>
          <w:rtl w:val="true"/>
          <w:lang w:bidi="fa-IR"/>
        </w:rPr>
        <w:t>تغایرهما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لعلهما من قبیل الفقیر و المسکین </w:t>
      </w:r>
      <w:r>
        <w:rPr>
          <w:rStyle w:val="FootnoteAnchor"/>
          <w:rtl w:val="true"/>
        </w:rPr>
        <w:footnoteReference w:id="249"/>
      </w:r>
      <w:r>
        <w:rPr>
          <w:rFonts w:ascii="IRNazanin" w:hAnsi="IRNazanin" w:eastAsia="IRNazanin"/>
          <w:color w:val="111111"/>
          <w:sz w:val="28"/>
          <w:sz w:val="28"/>
          <w:szCs w:val="28"/>
          <w:rtl w:val="true"/>
          <w:lang w:bidi="fa-IR"/>
        </w:rPr>
        <w:t>إذا اجتمعا افترقا،و إذا افترقا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اللعب یشمل مثل حرکات الأطفال الغیر المنبعثة عن القوی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 ما تلتذّ به النفس،و ینبعث عن القوی الشهویة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غیر واحد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الْحَیٰاةُ الدُّنْیٰا لَعِبٌ وَ لَهْوٌ وَ زِینَةٌ </w:t>
      </w:r>
      <w:r>
        <w:rPr>
          <w:rStyle w:val="FootnoteAnchor"/>
          <w:rtl w:val="true"/>
        </w:rPr>
        <w:footnoteReference w:id="250"/>
      </w:r>
      <w:r>
        <w:rPr>
          <w:rFonts w:ascii="IRNazanin" w:hAnsi="IRNazanin" w:eastAsia="IRNazanin"/>
          <w:color w:val="111111"/>
          <w:sz w:val="28"/>
          <w:sz w:val="28"/>
          <w:szCs w:val="28"/>
          <w:rtl w:val="true"/>
          <w:lang w:bidi="fa-IR"/>
        </w:rPr>
        <w:t xml:space="preserve">الآیة،بیان ملاذّ الدنیا علی ترتیب تدرّجه فی العمر،و قد جعلوا لکلّ واحد منها ثمان سنین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کان،فلم أجد من أفتی بحرمة اللعب عدا الحلّی علی ما عرفت من کلامه </w:t>
      </w:r>
      <w:r>
        <w:rPr>
          <w:rStyle w:val="FootnoteAnchor"/>
          <w:rtl w:val="true"/>
        </w:rPr>
        <w:footnoteReference w:id="252"/>
      </w:r>
      <w:r>
        <w:rPr>
          <w:rFonts w:ascii="IRNazanin" w:hAnsi="IRNazanin" w:eastAsia="IRNazanin"/>
          <w:color w:val="111111"/>
          <w:sz w:val="28"/>
          <w:sz w:val="28"/>
          <w:szCs w:val="28"/>
          <w:rtl w:val="true"/>
          <w:lang w:bidi="fa-IR"/>
        </w:rPr>
        <w:t>،و لعلّه یرید اللّهو،و إلّا فالأقوی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اللغو،فإن جعل مرادف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 الأخبار کان فی حکمه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محمد بن أبی عبّاد المتقدّمة </w:t>
      </w:r>
      <w:r>
        <w:rPr>
          <w:rStyle w:val="FootnoteAnchor"/>
          <w:rtl w:val="true"/>
        </w:rPr>
        <w:footnoteReference w:id="253"/>
      </w:r>
      <w:r>
        <w:rPr>
          <w:rFonts w:ascii="IRNazanin" w:hAnsi="IRNazanin" w:eastAsia="IRNazanin"/>
          <w:color w:val="111111"/>
          <w:sz w:val="28"/>
          <w:sz w:val="28"/>
          <w:szCs w:val="28"/>
          <w:rtl w:val="true"/>
          <w:lang w:bidi="fa-IR"/>
        </w:rPr>
        <w:t>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السماع فی حیّز اللّهو و الباطل،أما سمعت قول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روایة أبی أیوب </w:t>
      </w:r>
      <w:r>
        <w:rPr>
          <w:rStyle w:val="FootnoteAnchor"/>
          <w:rtl w:val="true"/>
        </w:rPr>
        <w:footnoteReference w:id="256"/>
      </w:r>
      <w:r>
        <w:rPr>
          <w:rFonts w:ascii="IRNazanin" w:hAnsi="IRNazanin" w:eastAsia="IRNazanin"/>
          <w:color w:val="111111"/>
          <w:sz w:val="28"/>
          <w:sz w:val="28"/>
          <w:szCs w:val="28"/>
          <w:rtl w:val="true"/>
          <w:lang w:bidi="fa-IR"/>
        </w:rPr>
        <w:t>،حیث أراد باللّغو الغناء مستشهداً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مطلق الحرکات اللّاغیة،فالأقوی فیها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خالد الکابلی،عن سیّد الساجدین،تفسیر الذنوب التی تهتک العِصَم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الخمر،و اللعب بالقمار،و تعاطی ما یُضحک الناس من اللّغو و المزاح،و ذکر عیوب الناس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النبی صلّی اللّه علیه و آله و سلم لأبی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لیتکلّم بالکلمة فیُضحک الناس فیهوی ما بین السماء و الأرض</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37" w:name="pg19674_191548"/>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5027678_2314609296"/>
      <w:bookmarkStart w:id="39" w:name="_Toc15"/>
      <w:bookmarkEnd w:id="38"/>
      <w:r>
        <w:rPr>
          <w:rtl w:val="true"/>
        </w:rPr>
        <w:t>المسألة</w:t>
      </w:r>
      <w:r>
        <w:rPr>
          <w:rtl w:val="true"/>
        </w:rPr>
        <w:t>]</w:t>
      </w:r>
      <w:r>
        <w:rPr>
          <w:rtl w:val="true"/>
        </w:rPr>
        <w:t>الحادیة و العشرون مدح من لا یستحق المدح،أو یستحق الذم</w:t>
      </w:r>
      <w:r>
        <w:rPr>
          <w:rtl w:val="true"/>
        </w:rPr>
        <w:t>.</w:t>
      </w:r>
      <w:bookmarkEnd w:id="39"/>
    </w:p>
    <w:p>
      <w:pPr>
        <w:pStyle w:val="BookText"/>
        <w:rPr/>
      </w:pPr>
      <w:r>
        <w:rPr>
          <w:rFonts w:ascii="IRNazanin" w:hAnsi="IRNazanin" w:eastAsia="IRNazanin"/>
          <w:color w:val="111111"/>
          <w:sz w:val="28"/>
          <w:sz w:val="28"/>
          <w:szCs w:val="28"/>
          <w:rtl w:val="true"/>
          <w:lang w:bidi="fa-IR"/>
        </w:rPr>
        <w:t xml:space="preserve">ذکره العلّامة فی المکاسب المحرّمة </w:t>
      </w:r>
      <w:r>
        <w:rPr>
          <w:rStyle w:val="FootnoteAnchor"/>
          <w:rtl w:val="true"/>
        </w:rPr>
        <w:footnoteReference w:id="259"/>
      </w:r>
      <w:r>
        <w:rPr>
          <w:rFonts w:ascii="IRNazanin" w:hAnsi="IRNazanin" w:eastAsia="IRNazanin"/>
          <w:color w:val="111111"/>
          <w:sz w:val="28"/>
          <w:sz w:val="28"/>
          <w:szCs w:val="28"/>
          <w:rtl w:val="true"/>
          <w:lang w:bidi="fa-IR"/>
        </w:rPr>
        <w:t>،و الوجه فیه واضح من جهة قبحه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من الشرع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عظّم صاحب دنیا </w:t>
      </w:r>
      <w:r>
        <w:rPr>
          <w:rStyle w:val="FootnoteAnchor"/>
          <w:rtl w:val="true"/>
        </w:rPr>
        <w:footnoteReference w:id="261"/>
      </w:r>
      <w:r>
        <w:rPr>
          <w:rFonts w:ascii="IRNazanin" w:hAnsi="IRNazanin" w:eastAsia="IRNazanin"/>
          <w:color w:val="111111"/>
          <w:sz w:val="28"/>
          <w:sz w:val="28"/>
          <w:szCs w:val="28"/>
          <w:rtl w:val="true"/>
          <w:lang w:bidi="fa-IR"/>
        </w:rPr>
        <w:t>و أحبّه طمعاً فی دنیاه،سخط اللّه علیه،و کان فی درجته مع قارون فی التابوت الأسفل من النار</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النبوی الآخر الوارد فی حدیث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سلطاناً</w:t>
      </w:r>
    </w:p>
    <w:p>
      <w:pPr>
        <w:pStyle w:val="BookText"/>
        <w:rPr/>
      </w:pPr>
      <w:r>
        <w:rPr>
          <w:rFonts w:ascii="Amiri" w:hAnsi="Amiri" w:eastAsia="Amiri" w:cs="Amiri"/>
          <w:color w:val="111111"/>
          <w:sz w:val="28"/>
          <w:sz w:val="28"/>
          <w:szCs w:val="28"/>
          <w:rtl w:val="true"/>
          <w:lang w:bidi="ar-SA"/>
        </w:rPr>
        <w:t xml:space="preserve">جائراً،أو تخفّف و </w:t>
      </w:r>
      <w:r>
        <w:rPr>
          <w:rStyle w:val="FootnoteAnchor"/>
          <w:rtl w:val="true"/>
        </w:rPr>
        <w:footnoteReference w:id="263"/>
      </w:r>
      <w:r>
        <w:rPr>
          <w:rFonts w:ascii="IRNazanin" w:hAnsi="IRNazanin" w:eastAsia="IRNazanin"/>
          <w:color w:val="111111"/>
          <w:sz w:val="28"/>
          <w:sz w:val="28"/>
          <w:szCs w:val="28"/>
          <w:rtl w:val="true"/>
          <w:lang w:bidi="fa-IR"/>
        </w:rPr>
        <w:t>تضعضع له طمعاً فیه،کان قرینه فی النار</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هذه الأدلّة حرمة المدح طمعاً فی الممدوح،و أمّا لدفع شرّه فهو واجب،و قد ورد فی عدة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شرار الناس الذین یُکرَمون اتقاء شرّهم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40" w:name="pg19674_191550"/>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027680_2314609296"/>
      <w:bookmarkStart w:id="42" w:name="_Toc16"/>
      <w:bookmarkEnd w:id="41"/>
      <w:r>
        <w:rPr>
          <w:rtl w:val="true"/>
        </w:rPr>
        <w:t>المسألة</w:t>
      </w:r>
      <w:r>
        <w:rPr>
          <w:rtl w:val="true"/>
        </w:rPr>
        <w:t>]</w:t>
      </w:r>
      <w:r>
        <w:rPr>
          <w:rtl w:val="true"/>
        </w:rPr>
        <w:t>الثانیة و العشرون معونة الظالمین فی ظلمهم</w:t>
      </w:r>
      <w:bookmarkEnd w:id="42"/>
    </w:p>
    <w:p>
      <w:pPr>
        <w:pStyle w:val="BookText"/>
        <w:rPr/>
      </w:pPr>
      <w:r>
        <w:rPr>
          <w:rFonts w:ascii="Amiri" w:hAnsi="Amiri" w:eastAsia="Amiri" w:cs="Amiri"/>
          <w:color w:val="111111"/>
          <w:sz w:val="28"/>
          <w:sz w:val="28"/>
          <w:szCs w:val="28"/>
          <w:rtl w:val="true"/>
          <w:lang w:bidi="ar-SA"/>
        </w:rPr>
        <w:t xml:space="preserve">حرام بالأدلّة الأربعة،و هو </w:t>
      </w:r>
      <w:r>
        <w:rPr>
          <w:rStyle w:val="FootnoteAnchor"/>
          <w:rtl w:val="true"/>
        </w:rPr>
        <w:footnoteReference w:id="266"/>
      </w:r>
      <w:r>
        <w:rPr>
          <w:rFonts w:ascii="IRNazanin" w:hAnsi="IRNazanin" w:eastAsia="IRNazanin"/>
          <w:color w:val="111111"/>
          <w:sz w:val="28"/>
          <w:sz w:val="28"/>
          <w:szCs w:val="28"/>
          <w:rtl w:val="true"/>
          <w:lang w:bidi="fa-IR"/>
        </w:rPr>
        <w:t>من الکبائر، فعن کتاب الشیخ ورّام بن أبی فراس،قال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ظالم لیعینه و هو یعلم أنّه ظالم فقد خرج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الظلمة، أین أعوان الظلمة،أین أشباه الظلمة حتی من بری لهم قلماً أو لاق لهم دواة،فیجتمعون فی تابوت من حدید،ثمّ یرمی بهم فی جهنم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النبوی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علّق سوطاً بین یدی سلطان جائر جعلها </w:t>
      </w:r>
      <w:r>
        <w:rPr>
          <w:rStyle w:val="FootnoteAnchor"/>
          <w:rtl w:val="true"/>
        </w:rPr>
        <w:footnoteReference w:id="268"/>
      </w:r>
      <w:r>
        <w:rPr>
          <w:rFonts w:ascii="Amiri" w:hAnsi="Amiri" w:eastAsia="Amiri" w:cs="Amiri"/>
          <w:color w:val="111111"/>
          <w:sz w:val="28"/>
          <w:sz w:val="28"/>
          <w:szCs w:val="28"/>
          <w:rtl w:val="true"/>
          <w:lang w:bidi="ar-SA"/>
        </w:rPr>
        <w:t xml:space="preserve">اللّه حیّةً طولها سبعون </w:t>
      </w:r>
      <w:r>
        <w:rPr>
          <w:rStyle w:val="FootnoteAnchor"/>
          <w:rtl w:val="true"/>
        </w:rPr>
        <w:footnoteReference w:id="269"/>
      </w:r>
      <w:r>
        <w:rPr>
          <w:rFonts w:ascii="IRNazanin" w:hAnsi="IRNazanin" w:eastAsia="IRNazanin"/>
          <w:color w:val="111111"/>
          <w:sz w:val="28"/>
          <w:sz w:val="28"/>
          <w:szCs w:val="28"/>
          <w:rtl w:val="true"/>
          <w:lang w:bidi="fa-IR"/>
        </w:rPr>
        <w:t xml:space="preserve">ألف ذراع،فیسلّطها </w:t>
      </w:r>
      <w:r>
        <w:rPr>
          <w:rStyle w:val="FootnoteAnchor"/>
          <w:rtl w:val="true"/>
        </w:rPr>
        <w:footnoteReference w:id="270"/>
      </w:r>
      <w:r>
        <w:rPr>
          <w:rFonts w:ascii="Amiri" w:hAnsi="Amiri" w:eastAsia="Amiri" w:cs="Amiri"/>
          <w:color w:val="111111"/>
          <w:sz w:val="28"/>
          <w:sz w:val="28"/>
          <w:szCs w:val="28"/>
          <w:rtl w:val="true"/>
          <w:lang w:bidi="ar-SA"/>
        </w:rPr>
        <w:t>اللّه علیه</w:t>
      </w:r>
    </w:p>
    <w:p>
      <w:pPr>
        <w:pStyle w:val="BookText"/>
        <w:rPr/>
      </w:pPr>
      <w:r>
        <w:rPr>
          <w:rFonts w:ascii="Amiri" w:hAnsi="Amiri" w:eastAsia="Amiri" w:cs="Amiri"/>
          <w:color w:val="111111"/>
          <w:sz w:val="28"/>
          <w:sz w:val="28"/>
          <w:szCs w:val="28"/>
          <w:rtl w:val="true"/>
          <w:lang w:bidi="ar-SA"/>
        </w:rPr>
        <w:t>فی نار جهنم خالداً فیها مخلّداً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معونتهم فی غیر المحرّمات،فظاهر کثیر من الأخبار حرمتها أیضاً کبعض ما تقدم،و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 أنّی عقدت لهم عقدة،أو وکیت لهم وکاءً و أنّ لی ما بین لابتیها،لا </w:t>
      </w:r>
      <w:r>
        <w:rPr>
          <w:rStyle w:val="FootnoteAnchor"/>
          <w:rtl w:val="true"/>
        </w:rPr>
        <w:footnoteReference w:id="273"/>
      </w:r>
      <w:r>
        <w:rPr>
          <w:rFonts w:ascii="IRNazanin" w:hAnsi="IRNazanin" w:eastAsia="IRNazanin"/>
          <w:color w:val="111111"/>
          <w:sz w:val="28"/>
          <w:sz w:val="28"/>
          <w:szCs w:val="28"/>
          <w:rtl w:val="true"/>
          <w:lang w:bidi="fa-IR"/>
        </w:rPr>
        <w:t xml:space="preserve">و لا مدّة بقلم،إنّ أعوان الظلمة یوم القیامة فی سرادق من نار حتی یفرغ اللّه من الحساب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المشهور عدم الحرمة؛حیث قیّدوا المعونة المحرّمة بکونها فی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التحریم مع عدّ الشخص من الأعوان؛فإنّ مجرّد إعانتهم علی بناء المسجد لیست محرّمة،إلّا أنّه إذا عدّ الشخص معماراً للظالم أو بنّاءً له و لو فی خصوص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صار هذا العمل منصباً له فی باب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محرّماً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ما ورد فی ذمّ أعوان الظلمة </w:t>
      </w:r>
      <w:r>
        <w:rPr>
          <w:rStyle w:val="FootnoteAnchor"/>
          <w:rtl w:val="true"/>
        </w:rPr>
        <w:footnoteReference w:id="276"/>
      </w:r>
      <w:r>
        <w:rPr>
          <w:rFonts w:ascii="IRNazanin" w:hAnsi="IRNazanin" w:eastAsia="IRNazanin"/>
          <w:color w:val="111111"/>
          <w:sz w:val="28"/>
          <w:sz w:val="28"/>
          <w:szCs w:val="28"/>
          <w:rtl w:val="true"/>
          <w:lang w:bidi="fa-IR"/>
        </w:rPr>
        <w:t>،و قول</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سوّد اسمه فی دیوان ولد سابع </w:t>
      </w:r>
      <w:r>
        <w:rPr>
          <w:rStyle w:val="FootnoteAnchor"/>
          <w:rtl w:val="true"/>
        </w:rPr>
        <w:footnoteReference w:id="277"/>
      </w:r>
      <w:r>
        <w:rPr>
          <w:rFonts w:ascii="IRNazanin" w:hAnsi="IRNazanin" w:eastAsia="IRNazanin"/>
          <w:color w:val="111111"/>
          <w:sz w:val="28"/>
          <w:sz w:val="28"/>
          <w:szCs w:val="28"/>
          <w:rtl w:val="true"/>
          <w:lang w:bidi="fa-IR"/>
        </w:rPr>
        <w:t>حشره اللّه یوم القیامة خنزیراً</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اقترب عبد من سلطان جائر </w:t>
      </w:r>
      <w:r>
        <w:rPr>
          <w:rStyle w:val="FootnoteAnchor"/>
          <w:rtl w:val="true"/>
        </w:rPr>
        <w:footnoteReference w:id="279"/>
      </w:r>
      <w:r>
        <w:rPr>
          <w:rFonts w:ascii="Amiri" w:hAnsi="Amiri" w:eastAsia="Amiri" w:cs="Amiri"/>
          <w:color w:val="111111"/>
          <w:sz w:val="28"/>
          <w:sz w:val="28"/>
          <w:szCs w:val="28"/>
          <w:rtl w:val="true"/>
          <w:lang w:bidi="ar-SA"/>
        </w:rPr>
        <w:t>إلّا تباعد من اللّه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أبواب السلطان و حواشیها فإنّ أقربکم من أبواب السلطان و حواشیها أبعدکم عن اللّه تعالی</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 له فی المباحات لأُجرة أو تبرّعاً،من غیر أن یُعدّ معیناً له فی ذلک،فضلاً من أن یُعدّ من أعوانه،فالأولی عدم الحرمة؛ للأصل و عدم الدلیل عدا ظاهر بعض الأخبار،مثل روایة ابن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عبد اللّه علیه السلام إذ دخل علیه رجل من أصحابنا </w:t>
      </w:r>
      <w:r>
        <w:rPr>
          <w:rStyle w:val="FootnoteAnchor"/>
          <w:rtl w:val="true"/>
        </w:rPr>
        <w:footnoteReference w:id="282"/>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Style w:val="FootnoteAnchor"/>
          <w:rtl w:val="true"/>
        </w:rPr>
        <w:footnoteReference w:id="283"/>
      </w:r>
      <w:r>
        <w:rPr>
          <w:rFonts w:ascii="IRNazanin" w:hAnsi="IRNazanin" w:eastAsia="IRNazanin"/>
          <w:color w:val="111111"/>
          <w:sz w:val="28"/>
          <w:sz w:val="28"/>
          <w:szCs w:val="28"/>
          <w:rtl w:val="true"/>
          <w:lang w:bidi="fa-IR"/>
        </w:rPr>
        <w:t>،ربما أصاب الرجل منّا الضیق و الشدّة فیدعی إلی البناء یبنیه،أو النهر یکریه،أو المسنّاة یصلحها، فما تقول فی ذلک؟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أنّی عقدت</w:t>
      </w:r>
    </w:p>
    <w:p>
      <w:pPr>
        <w:pStyle w:val="BookText"/>
        <w:rPr/>
      </w:pPr>
      <w:r>
        <w:rPr>
          <w:rFonts w:ascii="IRNazanin" w:hAnsi="IRNazanin" w:eastAsia="IRNazanin"/>
          <w:color w:val="111111"/>
          <w:sz w:val="28"/>
          <w:sz w:val="28"/>
          <w:szCs w:val="28"/>
          <w:rtl w:val="true"/>
          <w:lang w:bidi="fa-IR"/>
        </w:rPr>
        <w:t>لهم عقدة أو وکیت لهم وکاءً و أنّ لی ما بین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تقدّم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عذافر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عذافر بلغنی أنّک تعامل أبا أیوب و أبا الربیع،فما حالک إذا نودی بک فی أعوان الظلمة؟قال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فَوَجَمَ </w:t>
      </w:r>
      <w:r>
        <w:rPr>
          <w:rStyle w:val="FootnoteAnchor"/>
          <w:rtl w:val="true"/>
        </w:rPr>
        <w:footnoteReference w:id="285"/>
      </w:r>
      <w:r>
        <w:rPr>
          <w:rFonts w:ascii="IRNazanin" w:hAnsi="IRNazanin" w:eastAsia="IRNazanin"/>
          <w:color w:val="111111"/>
          <w:sz w:val="28"/>
          <w:sz w:val="28"/>
          <w:szCs w:val="28"/>
          <w:rtl w:val="true"/>
          <w:lang w:bidi="fa-IR"/>
        </w:rPr>
        <w:t xml:space="preserve">أبی،فقال له </w:t>
      </w:r>
      <w:r>
        <w:rPr>
          <w:rStyle w:val="FootnoteAnchor"/>
          <w:rtl w:val="true"/>
        </w:rPr>
        <w:footnoteReference w:id="286"/>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ما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عذافر إنّما خوّفتک بما خوّفنی اللّه عزّ و 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أبی فما زال مغموماً مکروباً حتی مات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صفوان بن مهران الجمّال،قال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الحسن الأوّل </w:t>
      </w:r>
      <w:r>
        <w:rPr>
          <w:rStyle w:val="FootnoteAnchor"/>
          <w:rtl w:val="true"/>
        </w:rPr>
        <w:footnoteReference w:id="288"/>
      </w:r>
      <w:r>
        <w:rPr>
          <w:rFonts w:ascii="IRNazanin" w:hAnsi="IRNazanin" w:eastAsia="IRNazanin"/>
          <w:color w:val="111111"/>
          <w:sz w:val="28"/>
          <w:sz w:val="28"/>
          <w:szCs w:val="28"/>
          <w:rtl w:val="true"/>
          <w:lang w:bidi="fa-IR"/>
        </w:rPr>
        <w:t>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شیئاً واحداً،فقلت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فداک،أیّ شیء؟قال 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إکراؤک جِمالَک من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هارون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أکریته أشِراً و لا بَطَراً و لا لصیدٍ </w:t>
      </w:r>
      <w:r>
        <w:rPr>
          <w:rStyle w:val="FootnoteAnchor"/>
          <w:rtl w:val="true"/>
        </w:rPr>
        <w:footnoteReference w:id="290"/>
      </w:r>
      <w:r>
        <w:rPr>
          <w:rFonts w:ascii="IRNazanin" w:hAnsi="IRNazanin" w:eastAsia="IRNazanin"/>
          <w:color w:val="111111"/>
          <w:sz w:val="28"/>
          <w:sz w:val="28"/>
          <w:szCs w:val="28"/>
          <w:rtl w:val="true"/>
          <w:lang w:bidi="fa-IR"/>
        </w:rPr>
        <w:t xml:space="preserve">و لا للهو </w:t>
      </w:r>
      <w:r>
        <w:rPr>
          <w:rStyle w:val="FootnoteAnchor"/>
          <w:rtl w:val="true"/>
        </w:rPr>
        <w:footnoteReference w:id="291"/>
      </w:r>
      <w:r>
        <w:rPr>
          <w:rFonts w:ascii="IRNazanin" w:hAnsi="IRNazanin" w:eastAsia="IRNazanin"/>
          <w:color w:val="111111"/>
          <w:sz w:val="28"/>
          <w:sz w:val="28"/>
          <w:szCs w:val="28"/>
          <w:rtl w:val="true"/>
          <w:lang w:bidi="fa-IR"/>
        </w:rPr>
        <w:t xml:space="preserve">،و لکن أکریته لهذا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أتولّاه بنفسی و لکن أبعث معه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صفوان،أ یقع کراؤک علیهم؟قلت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تحبّ بقاءهم حتی یخرج کراؤک؟قلت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92"/>
      </w:r>
      <w:r>
        <w:rPr>
          <w:rFonts w:ascii="IRNazanin" w:hAnsi="IRNazanin" w:eastAsia="IRNazanin"/>
          <w:color w:val="111111"/>
          <w:sz w:val="28"/>
          <w:sz w:val="28"/>
          <w:szCs w:val="28"/>
          <w:rtl w:val="true"/>
          <w:lang w:bidi="fa-IR"/>
        </w:rPr>
        <w:t>أحب بقاءهم فهو منهم،و من کان منهم کان وروده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و بعت </w:t>
      </w:r>
      <w:r>
        <w:rPr>
          <w:rStyle w:val="FootnoteAnchor"/>
          <w:rtl w:val="true"/>
        </w:rPr>
        <w:footnoteReference w:id="293"/>
      </w:r>
      <w:r>
        <w:rPr>
          <w:rFonts w:ascii="IRNazanin" w:hAnsi="IRNazanin" w:eastAsia="IRNazanin"/>
          <w:color w:val="111111"/>
          <w:sz w:val="28"/>
          <w:sz w:val="28"/>
          <w:szCs w:val="28"/>
          <w:rtl w:val="true"/>
          <w:lang w:bidi="fa-IR"/>
        </w:rPr>
        <w:t xml:space="preserve">جمالی عن آخرها،فبلغ ذلک إلی </w:t>
      </w:r>
      <w:r>
        <w:rPr>
          <w:rStyle w:val="FootnoteAnchor"/>
          <w:rtl w:val="true"/>
        </w:rPr>
        <w:footnoteReference w:id="294"/>
      </w:r>
      <w:r>
        <w:rPr>
          <w:rFonts w:ascii="IRNazanin" w:hAnsi="IRNazanin" w:eastAsia="IRNazanin"/>
          <w:color w:val="111111"/>
          <w:sz w:val="28"/>
          <w:sz w:val="28"/>
          <w:szCs w:val="28"/>
          <w:rtl w:val="true"/>
          <w:lang w:bidi="fa-IR"/>
        </w:rPr>
        <w:t>هارون،فدعانی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صفوان،بلغنی أنّک بعت جِمالک؟قلت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شیخ کبیر،و أنّ الغلمان لا یقومون </w:t>
      </w:r>
      <w:r>
        <w:rPr>
          <w:rStyle w:val="FootnoteAnchor"/>
          <w:rtl w:val="true"/>
        </w:rPr>
        <w:footnoteReference w:id="295"/>
      </w:r>
      <w:r>
        <w:rPr>
          <w:rFonts w:ascii="IRNazanin" w:hAnsi="IRNazanin" w:eastAsia="IRNazanin"/>
          <w:color w:val="111111"/>
          <w:sz w:val="28"/>
          <w:sz w:val="28"/>
          <w:szCs w:val="28"/>
          <w:rtl w:val="true"/>
          <w:lang w:bidi="fa-IR"/>
        </w:rPr>
        <w:t>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هیهات،إنّی لأعلم من أشار علیک بهذا </w:t>
      </w:r>
      <w:r>
        <w:rPr>
          <w:rStyle w:val="FootnoteAnchor"/>
          <w:rtl w:val="true"/>
        </w:rPr>
        <w:footnoteReference w:id="296"/>
      </w:r>
      <w:r>
        <w:rPr>
          <w:rFonts w:ascii="IRNazanin" w:hAnsi="IRNazanin" w:eastAsia="IRNazanin"/>
          <w:color w:val="111111"/>
          <w:sz w:val="28"/>
          <w:sz w:val="28"/>
          <w:szCs w:val="28"/>
          <w:rtl w:val="true"/>
          <w:lang w:bidi="fa-IR"/>
        </w:rPr>
        <w:t xml:space="preserve">،إنما أشار علیک </w:t>
      </w:r>
      <w:r>
        <w:rPr>
          <w:rStyle w:val="FootnoteAnchor"/>
          <w:rtl w:val="true"/>
        </w:rPr>
        <w:footnoteReference w:id="297"/>
      </w:r>
      <w:r>
        <w:rPr>
          <w:rFonts w:ascii="IRNazanin" w:hAnsi="IRNazanin" w:eastAsia="IRNazanin"/>
          <w:color w:val="111111"/>
          <w:sz w:val="28"/>
          <w:sz w:val="28"/>
          <w:szCs w:val="28"/>
          <w:rtl w:val="true"/>
          <w:lang w:bidi="fa-IR"/>
        </w:rPr>
        <w:t>بهذا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 </w:t>
      </w:r>
      <w:r>
        <w:rPr>
          <w:rStyle w:val="FootnoteAnchor"/>
          <w:rtl w:val="true"/>
        </w:rPr>
        <w:footnoteReference w:id="298"/>
      </w:r>
      <w:r>
        <w:rPr>
          <w:rFonts w:ascii="IRNazanin" w:hAnsi="IRNazanin" w:eastAsia="IRNazanin"/>
          <w:color w:val="111111"/>
          <w:sz w:val="28"/>
          <w:sz w:val="28"/>
          <w:szCs w:val="28"/>
          <w:rtl w:val="true"/>
          <w:lang w:bidi="fa-IR"/>
        </w:rPr>
        <w:t>و لموسی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هذا عنک،و اللّه لو لا </w:t>
      </w:r>
      <w:r>
        <w:rPr>
          <w:rStyle w:val="FootnoteAnchor"/>
          <w:rtl w:val="true"/>
        </w:rPr>
        <w:footnoteReference w:id="299"/>
      </w:r>
      <w:r>
        <w:rPr>
          <w:rFonts w:ascii="IRNazanin" w:hAnsi="IRNazanin" w:eastAsia="IRNazanin"/>
          <w:color w:val="111111"/>
          <w:sz w:val="28"/>
          <w:sz w:val="28"/>
          <w:szCs w:val="28"/>
          <w:rtl w:val="true"/>
          <w:lang w:bidi="fa-IR"/>
        </w:rPr>
        <w:t>حسن صحبتک لقتلتک</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تفسیر الرکون إلی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الرجل یأتی السلطان فیحبّ بقاءه إلی أن یدخل یده فی کیسه فیعطیه </w:t>
      </w:r>
      <w:r>
        <w:rPr>
          <w:rStyle w:val="FootnoteAnchor"/>
          <w:rtl w:val="true"/>
        </w:rPr>
        <w:footnoteReference w:id="301"/>
      </w:r>
      <w:r>
        <w:rPr>
          <w:rFonts w:ascii="IRNazanin" w:hAnsi="IRNazanin" w:eastAsia="IRNazanin"/>
          <w:color w:val="111111"/>
          <w:sz w:val="28"/>
          <w:sz w:val="28"/>
          <w:szCs w:val="28"/>
          <w:rtl w:val="true"/>
          <w:lang w:bidi="fa-IR"/>
        </w:rPr>
        <w:t>،و غیر ذلک ممّا ظاهره وجوب التجنّب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لمّا قیل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أخیط للسلطان ثیابه،فهل ترانی بذلک داخلاً فی أعوان الظلمة؟قال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المعین من یبیعک الإبر و الخیوط،و أمّا أنت فمن </w:t>
      </w:r>
      <w:r>
        <w:rPr>
          <w:rStyle w:val="FootnoteAnchor"/>
          <w:rtl w:val="true"/>
        </w:rPr>
        <w:footnoteReference w:id="302"/>
      </w:r>
      <w:r>
        <w:rPr>
          <w:rFonts w:ascii="Amiri" w:hAnsi="Amiri" w:eastAsia="Amiri" w:cs="Amiri"/>
          <w:color w:val="111111"/>
          <w:sz w:val="28"/>
          <w:sz w:val="28"/>
          <w:szCs w:val="28"/>
          <w:rtl w:val="true"/>
          <w:lang w:bidi="ar-SA"/>
        </w:rPr>
        <w:t xml:space="preserve">الظلمة أنفسهم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سلیمان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عن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الدخول فی أعمالهم،و العون لهم،و السعی فی حوائجهم عدیل الکفر، و النظر إلیهم علی العمد من الکبائر التی یستحقّ </w:t>
      </w:r>
      <w:r>
        <w:rPr>
          <w:rStyle w:val="FootnoteAnchor"/>
          <w:rtl w:val="true"/>
        </w:rPr>
        <w:footnoteReference w:id="304"/>
      </w:r>
      <w:r>
        <w:rPr>
          <w:rFonts w:ascii="IRNazanin" w:hAnsi="IRNazanin" w:eastAsia="IRNazanin"/>
          <w:color w:val="111111"/>
          <w:sz w:val="28"/>
          <w:sz w:val="28"/>
          <w:szCs w:val="28"/>
          <w:rtl w:val="true"/>
          <w:lang w:bidi="fa-IR"/>
        </w:rPr>
        <w:t>بها النار</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ممّا ذکر لا ینهض دلیلاً لتحریم العمل لهم علی غیر جهة المعونة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الروایة الأُولی </w:t>
      </w:r>
      <w:r>
        <w:rPr>
          <w:rStyle w:val="FootnoteAnchor"/>
          <w:rtl w:val="true"/>
        </w:rPr>
        <w:footnoteReference w:id="306"/>
      </w:r>
      <w:r>
        <w:rPr>
          <w:rFonts w:ascii="IRNazanin" w:hAnsi="IRNazanin" w:eastAsia="IRNazanin"/>
          <w:color w:val="111111"/>
          <w:sz w:val="28"/>
          <w:sz w:val="28"/>
          <w:szCs w:val="28"/>
          <w:rtl w:val="true"/>
          <w:lang w:bidi="fa-IR"/>
        </w:rPr>
        <w:t>،فلأنّ التعبیر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الکراهة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أعوان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باب التنبیه علی أن القرب إلی الظلمة و المخالطة معهم مرجوح،و إلّا فلیس من یعمل لهم الأعمال المذکورة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مرّة أو مرّتین،خصوصاً مع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 من أعوانهم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یقال فی روایة عذافر،مع احتمال أن تکون </w:t>
      </w:r>
      <w:r>
        <w:rPr>
          <w:rStyle w:val="FootnoteAnchor"/>
          <w:rtl w:val="true"/>
        </w:rPr>
        <w:footnoteReference w:id="307"/>
      </w:r>
      <w:r>
        <w:rPr>
          <w:rFonts w:ascii="IRNazanin" w:hAnsi="IRNazanin" w:eastAsia="IRNazanin"/>
          <w:color w:val="111111"/>
          <w:sz w:val="28"/>
          <w:sz w:val="28"/>
          <w:szCs w:val="28"/>
          <w:rtl w:val="true"/>
          <w:lang w:bidi="fa-IR"/>
        </w:rPr>
        <w:t>معاملة عذافر مع أبی أیّوب و أبی الربیع علی وجه یکون معدوداً من أعوانهم و 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صفوان،فالظاهر منها أنّ نفس المعاملة معهم لیست محرّمة،بل من حیث محبّة بقائهم و إن لم تکن معهم معاملة،و لا یخفی علی الفَطِن العارف بأسالیب الکلام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بقاءهم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به من أحبّهم مثل محبّة صفوان بقاءهم حتّی یخرج کراؤه،بل هذا من باب المبالغة فی الاجتناب عن مخالطتهم حتّی لا یفضی ذلک إلی صیرورتهم من أعوانهم،و أن یشرب القلب حبّهم؛لأن القلوب مجبولة علی حبّ من أحسن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من العمل للظلمة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 لهم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یعدّ معه </w:t>
      </w:r>
      <w:r>
        <w:rPr>
          <w:rStyle w:val="FootnoteAnchor"/>
          <w:rtl w:val="true"/>
        </w:rPr>
        <w:footnoteReference w:id="308"/>
      </w:r>
      <w:r>
        <w:rPr>
          <w:rFonts w:ascii="IRNazanin" w:hAnsi="IRNazanin" w:eastAsia="IRNazanin"/>
          <w:color w:val="111111"/>
          <w:sz w:val="28"/>
          <w:sz w:val="28"/>
          <w:szCs w:val="28"/>
          <w:rtl w:val="true"/>
          <w:lang w:bidi="fa-IR"/>
        </w:rPr>
        <w:t>من أعوانهم،و المنسوبین إلیهم،بأن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خیّاط السلطان،و هذا معماره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عدا ذلک فلا دلیل معتبر علی تحریمه</w:t>
      </w:r>
      <w:r>
        <w:rPr>
          <w:rFonts w:eastAsia="IRNazanin" w:cs="IRNazanin"/>
          <w:color w:val="111111"/>
          <w:sz w:val="28"/>
          <w:szCs w:val="28"/>
          <w:rtl w:val="true"/>
          <w:lang w:bidi="fa-IR"/>
        </w:rPr>
        <w:t>.</w:t>
      </w:r>
      <w:bookmarkStart w:id="43" w:name="pg19674_191558"/>
    </w:p>
    <w:p>
      <w:pPr>
        <w:pStyle w:val="Heading4"/>
        <w:numPr>
          <w:ilvl w:val="3"/>
          <w:numId w:val="1"/>
        </w:numPr>
        <w:rPr/>
      </w:pPr>
      <w:bookmarkStart w:id="44" w:name="__RefHeading___Toc5027682_2314609296"/>
      <w:bookmarkStart w:id="45" w:name="_Toc17"/>
      <w:bookmarkEnd w:id="43"/>
      <w:bookmarkEnd w:id="44"/>
      <w:r>
        <w:rPr>
          <w:rtl w:val="true"/>
        </w:rPr>
        <w:t>[</w:t>
      </w:r>
      <w:r>
        <w:rPr>
          <w:rtl w:val="true"/>
        </w:rPr>
        <w:t>المسألة</w:t>
      </w:r>
      <w:r>
        <w:rPr>
          <w:rtl w:val="true"/>
        </w:rPr>
        <w:t>]</w:t>
      </w:r>
      <w:r>
        <w:rPr>
          <w:rtl w:val="true"/>
        </w:rPr>
        <w:t>الثالثة و العشرون النَّجش</w:t>
      </w:r>
      <w:r>
        <w:rPr>
          <w:rtl w:val="true"/>
        </w:rPr>
        <w:t>-</w:t>
      </w:r>
      <w:bookmarkEnd w:id="45"/>
    </w:p>
    <w:p>
      <w:pPr>
        <w:pStyle w:val="BookText"/>
        <w:rPr/>
      </w:pPr>
      <w:r>
        <w:rPr>
          <w:rFonts w:ascii="IRNazanin" w:hAnsi="IRNazanin" w:eastAsia="IRNazanin"/>
          <w:color w:val="111111"/>
          <w:sz w:val="28"/>
          <w:sz w:val="28"/>
          <w:szCs w:val="28"/>
          <w:rtl w:val="true"/>
          <w:lang w:bidi="fa-IR"/>
        </w:rPr>
        <w:t>بالنون المفتوحة و الجیم الساکنة،أو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حرام؛لما فی النبوی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المنجبر بالإجماع المنقول عن جامع المقاصد </w:t>
      </w:r>
      <w:r>
        <w:rPr>
          <w:rStyle w:val="FootnoteAnchor"/>
          <w:rtl w:val="true"/>
        </w:rPr>
        <w:footnoteReference w:id="310"/>
      </w:r>
      <w:r>
        <w:rPr>
          <w:rFonts w:ascii="IRNazanin" w:hAnsi="IRNazanin" w:eastAsia="IRNazanin"/>
          <w:color w:val="111111"/>
          <w:sz w:val="28"/>
          <w:sz w:val="28"/>
          <w:szCs w:val="28"/>
          <w:rtl w:val="true"/>
          <w:lang w:bidi="fa-IR"/>
        </w:rPr>
        <w:t xml:space="preserve">و المنتهی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لعن الناجش و المنجوش له </w:t>
      </w:r>
      <w:r>
        <w:rPr>
          <w:rStyle w:val="FootnoteAnchor"/>
          <w:rtl w:val="true"/>
        </w:rPr>
        <w:footnoteReference w:id="312"/>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تناجشوا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العقل؛لأنّه غِشٌّ و تلبیس و إضرار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کما عن جماعة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الرجل فی ثمن السلعة و هو لا یرید شراءها؛لیسمعه غیره فیزید لزیادته،بشرط المواطاة مع</w:t>
      </w:r>
    </w:p>
    <w:p>
      <w:pPr>
        <w:pStyle w:val="BookText"/>
        <w:rPr/>
      </w:pPr>
      <w:r>
        <w:rPr>
          <w:rFonts w:ascii="IRNazanin" w:hAnsi="IRNazanin" w:eastAsia="IRNazanin"/>
          <w:color w:val="111111"/>
          <w:sz w:val="28"/>
          <w:sz w:val="28"/>
          <w:szCs w:val="28"/>
          <w:rtl w:val="true"/>
          <w:lang w:bidi="fa-IR"/>
        </w:rPr>
        <w:t xml:space="preserve">البائع،أو لا بشرطها،کما حکی عن بعض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w:t>
      </w:r>
      <w:r>
        <w:rPr>
          <w:rStyle w:val="FootnoteAnchor"/>
          <w:rtl w:val="true"/>
        </w:rPr>
        <w:footnoteReference w:id="316"/>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یمدح السلعة فی البیع لینفقها و یروّجها؛لمواطاة بینه و بین البائع،أو لا معها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حرمته بالتفسیر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لا مع المواطاة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 إلی دلیل،و حکی الکراهة عن بعض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46" w:name="pg19674_191560"/>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5027684_2314609296"/>
      <w:bookmarkStart w:id="48" w:name="_Toc18"/>
      <w:bookmarkEnd w:id="47"/>
      <w:r>
        <w:rPr>
          <w:rtl w:val="true"/>
        </w:rPr>
        <w:t>المسألة</w:t>
      </w:r>
      <w:r>
        <w:rPr>
          <w:rtl w:val="true"/>
        </w:rPr>
        <w:t>]</w:t>
      </w:r>
      <w:r>
        <w:rPr>
          <w:rtl w:val="true"/>
        </w:rPr>
        <w:t>الرابعة و العشرون النمیمة</w:t>
      </w:r>
      <w:bookmarkEnd w:id="48"/>
    </w:p>
    <w:p>
      <w:pPr>
        <w:pStyle w:val="BookText"/>
        <w:rPr/>
      </w:pPr>
      <w:r>
        <w:rPr>
          <w:rFonts w:ascii="Amiri" w:hAnsi="Amiri" w:eastAsia="Amiri" w:cs="Amiri"/>
          <w:color w:val="111111"/>
          <w:sz w:val="28"/>
          <w:sz w:val="28"/>
          <w:szCs w:val="28"/>
          <w:rtl w:val="true"/>
          <w:lang w:bidi="ar-SA"/>
        </w:rPr>
        <w:t>محرّمة بالأدلّة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نقل قول الغیر إلی المقول فیه،کأن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فلان فیک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من نَمَّ الحدیث،من باب قتل و ضرب،أی سعی به لإیقاع فتنة أو وحشة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هی من الکبائر،قال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یَقْطَعُونَ مٰا أَمَرَ اللّٰهُ بِهِ أَنْ یُوصَلَ وَ یُفْسِدُونَ فِی الْأَرْضِ أُولٰئِکَ لَهُمُ اللَّعْنَةُ وَ لَهُمْ سُوءُ الدّٰارِ </w:t>
      </w:r>
      <w:r>
        <w:rPr>
          <w:rStyle w:val="FootnoteAnchor"/>
          <w:rtl w:val="true"/>
        </w:rPr>
        <w:footnoteReference w:id="319"/>
      </w:r>
      <w:r>
        <w:rPr>
          <w:rFonts w:ascii="IRNazanin" w:hAnsi="IRNazanin" w:eastAsia="IRNazanin"/>
          <w:color w:val="111111"/>
          <w:sz w:val="28"/>
          <w:sz w:val="28"/>
          <w:szCs w:val="28"/>
          <w:rtl w:val="true"/>
          <w:lang w:bidi="fa-IR"/>
        </w:rPr>
        <w:t>، و النمّام قاطع لما أمر اللّه بصلته و مفسد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المرادة </w:t>
      </w:r>
      <w:r>
        <w:rPr>
          <w:rStyle w:val="FootnoteAnchor"/>
          <w:rtl w:val="true"/>
        </w:rPr>
        <w:footnoteReference w:id="321"/>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أَکْبَرُ مِنَ الْقَتْلِ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باب السحر </w:t>
      </w:r>
      <w:r>
        <w:rPr>
          <w:rStyle w:val="FootnoteAnchor"/>
          <w:rtl w:val="true"/>
        </w:rPr>
        <w:footnoteReference w:id="323"/>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رواه فی الاحتجاج فی وجوه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أکبر السحر النمیمة،یفرّق بها بین المتحابّین</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عقاب الأعمال،عن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فی نمیمة بین اثنین </w:t>
      </w:r>
      <w:r>
        <w:rPr>
          <w:rStyle w:val="FootnoteAnchor"/>
          <w:rtl w:val="true"/>
        </w:rPr>
        <w:footnoteReference w:id="325"/>
      </w:r>
      <w:r>
        <w:rPr>
          <w:rFonts w:ascii="IRNazanin" w:hAnsi="IRNazanin" w:eastAsia="IRNazanin"/>
          <w:color w:val="111111"/>
          <w:sz w:val="28"/>
          <w:sz w:val="28"/>
          <w:szCs w:val="28"/>
          <w:rtl w:val="true"/>
          <w:lang w:bidi="fa-IR"/>
        </w:rPr>
        <w:t>سلّط اللّه علیه فی قبره ناراً تحرقه،و إذا خرج من قبره سلّط اللّه علیه تنّیناً أسود ینهش لحمه حتی یدخل النار</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استفاضت الأخبار بعدم دخول النمّام الجنّة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کراهة المقول عنه لإظهار القول عند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دلّ علی حرمة الغیبة،و یتفاوت عقوبته بتفاوت ما یترتّب علیها من المفاسد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 النمیمة بالمعنی الأعم کشف ما یکره کشفه،سواء کرهه المنقول عنه أم المنقول إلیه،أم کرهه ثالث،و سواء کان الکشف بالقول أم بغیره من الکتابة و الرمز و الإیماء،و سواء کان المنقول من الأعمال أم من الأقوال،و سواء کان ذلک عیباً و نقصاناً علی المنقول عنه</w:t>
      </w:r>
    </w:p>
    <w:p>
      <w:pPr>
        <w:pStyle w:val="BookText"/>
        <w:rPr/>
      </w:pPr>
      <w:r>
        <w:rPr>
          <w:rFonts w:ascii="IRNazanin" w:hAnsi="IRNazanin" w:eastAsia="IRNazanin"/>
          <w:color w:val="111111"/>
          <w:sz w:val="28"/>
          <w:sz w:val="28"/>
          <w:szCs w:val="28"/>
          <w:rtl w:val="true"/>
          <w:lang w:bidi="fa-IR"/>
        </w:rPr>
        <w:t xml:space="preserve">أم لا،بل حقیقة النمیمة إفشاء السرّ،و هتک الستر عمّا یکره کشفه </w:t>
      </w:r>
      <w:r>
        <w:rPr>
          <w:rStyle w:val="FootnoteAnchor"/>
          <w:rtl w:val="true"/>
        </w:rPr>
        <w:footnoteReference w:id="328"/>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یباح ذلک </w:t>
      </w:r>
      <w:r>
        <w:rPr>
          <w:rStyle w:val="FootnoteAnchor"/>
          <w:rtl w:val="true"/>
        </w:rPr>
        <w:footnoteReference w:id="329"/>
      </w:r>
      <w:r>
        <w:rPr>
          <w:rFonts w:ascii="IRNazanin" w:hAnsi="IRNazanin" w:eastAsia="IRNazanin"/>
          <w:color w:val="111111"/>
          <w:sz w:val="28"/>
          <w:sz w:val="28"/>
          <w:szCs w:val="28"/>
          <w:rtl w:val="true"/>
          <w:lang w:bidi="fa-IR"/>
        </w:rPr>
        <w:t xml:space="preserve">لبعض المصالح التی هی آکد من مفسدة إفشاء السرّ،کما تقدم فی الغیبة </w:t>
      </w:r>
      <w:r>
        <w:rPr>
          <w:rStyle w:val="FootnoteAnchor"/>
          <w:rtl w:val="true"/>
        </w:rPr>
        <w:footnoteReference w:id="330"/>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قد تجب لإیقاع الفتنة بین المشرکین </w:t>
      </w:r>
      <w:r>
        <w:rPr>
          <w:rStyle w:val="FootnoteAnchor"/>
          <w:rtl w:val="true"/>
        </w:rPr>
        <w:footnoteReference w:id="331"/>
      </w:r>
      <w:r>
        <w:rPr>
          <w:rFonts w:ascii="IRNazanin" w:hAnsi="IRNazanin" w:eastAsia="IRNazanin"/>
          <w:color w:val="111111"/>
          <w:sz w:val="28"/>
          <w:sz w:val="28"/>
          <w:szCs w:val="28"/>
          <w:rtl w:val="true"/>
          <w:lang w:bidi="fa-IR"/>
        </w:rPr>
        <w:t>،لکن الکلام فی النمیمة علی المؤمنین</w:t>
      </w:r>
      <w:r>
        <w:rPr>
          <w:rFonts w:eastAsia="IRNazanin" w:cs="IRNazanin"/>
          <w:color w:val="111111"/>
          <w:sz w:val="28"/>
          <w:szCs w:val="28"/>
          <w:rtl w:val="true"/>
          <w:lang w:bidi="fa-IR"/>
        </w:rPr>
        <w:t>.</w:t>
      </w:r>
      <w:bookmarkStart w:id="49" w:name="pg19674_191564"/>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5027686_2314609296"/>
      <w:bookmarkStart w:id="51" w:name="_Toc19"/>
      <w:bookmarkEnd w:id="50"/>
      <w:r>
        <w:rPr>
          <w:rtl w:val="true"/>
        </w:rPr>
        <w:t>المسألة</w:t>
      </w:r>
      <w:r>
        <w:rPr>
          <w:rtl w:val="true"/>
        </w:rPr>
        <w:t>]</w:t>
      </w:r>
      <w:r>
        <w:rPr>
          <w:rtl w:val="true"/>
        </w:rPr>
        <w:t>الخامسة و العشرون النوح بالباطل،</w:t>
      </w:r>
      <w:bookmarkEnd w:id="51"/>
    </w:p>
    <w:p>
      <w:pPr>
        <w:pStyle w:val="BookText"/>
        <w:rPr/>
      </w:pPr>
      <w:r>
        <w:rPr>
          <w:rFonts w:ascii="IRNazanin" w:hAnsi="IRNazanin" w:eastAsia="IRNazanin"/>
          <w:color w:val="111111"/>
          <w:sz w:val="28"/>
          <w:sz w:val="28"/>
          <w:szCs w:val="28"/>
          <w:rtl w:val="true"/>
          <w:lang w:bidi="fa-IR"/>
        </w:rPr>
        <w:t xml:space="preserve">ذکره فی المکاسب المحرّمة الشیخان </w:t>
      </w:r>
      <w:r>
        <w:rPr>
          <w:rStyle w:val="FootnoteAnchor"/>
          <w:rtl w:val="true"/>
        </w:rPr>
        <w:footnoteReference w:id="332"/>
      </w:r>
      <w:r>
        <w:rPr>
          <w:rFonts w:ascii="Amiri" w:hAnsi="Amiri" w:eastAsia="Amiri" w:cs="Amiri"/>
          <w:color w:val="111111"/>
          <w:sz w:val="28"/>
          <w:sz w:val="28"/>
          <w:szCs w:val="28"/>
          <w:rtl w:val="true"/>
          <w:lang w:bidi="ar-SA"/>
        </w:rPr>
        <w:t xml:space="preserve">و سلّار </w:t>
      </w:r>
      <w:r>
        <w:rPr>
          <w:rStyle w:val="FootnoteAnchor"/>
          <w:rtl w:val="true"/>
        </w:rPr>
        <w:footnoteReference w:id="333"/>
      </w:r>
      <w:r>
        <w:rPr>
          <w:rFonts w:ascii="Amiri" w:hAnsi="Amiri" w:eastAsia="Amiri" w:cs="Amiri"/>
          <w:color w:val="111111"/>
          <w:sz w:val="28"/>
          <w:sz w:val="28"/>
          <w:szCs w:val="28"/>
          <w:rtl w:val="true"/>
          <w:lang w:bidi="ar-SA"/>
        </w:rPr>
        <w:t xml:space="preserve">و الحلّی </w:t>
      </w:r>
      <w:r>
        <w:rPr>
          <w:rStyle w:val="FootnoteAnchor"/>
          <w:rtl w:val="true"/>
        </w:rPr>
        <w:footnoteReference w:id="334"/>
      </w:r>
      <w:r>
        <w:rPr>
          <w:rFonts w:ascii="Amiri" w:hAnsi="Amiri" w:eastAsia="Amiri" w:cs="Amiri"/>
          <w:color w:val="111111"/>
          <w:sz w:val="28"/>
          <w:sz w:val="28"/>
          <w:szCs w:val="28"/>
          <w:rtl w:val="true"/>
          <w:lang w:bidi="ar-SA"/>
        </w:rPr>
        <w:t xml:space="preserve">و المحقّق </w:t>
      </w:r>
      <w:r>
        <w:rPr>
          <w:rStyle w:val="FootnoteAnchor"/>
          <w:rtl w:val="true"/>
        </w:rPr>
        <w:footnoteReference w:id="335"/>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حرمته من حیث الباطل،یعنی الکذب،و إلّا فهو فی نفسه لیس بمحرّم،و علی هذا التفصیل دلّ غیر واحد من الأخبار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المبسوط </w:t>
      </w:r>
      <w:r>
        <w:rPr>
          <w:rStyle w:val="FootnoteAnchor"/>
          <w:rtl w:val="true"/>
        </w:rPr>
        <w:footnoteReference w:id="338"/>
      </w:r>
      <w:r>
        <w:rPr>
          <w:rFonts w:ascii="Amiri" w:hAnsi="Amiri" w:eastAsia="Amiri" w:cs="Amiri"/>
          <w:color w:val="111111"/>
          <w:sz w:val="28"/>
          <w:sz w:val="28"/>
          <w:szCs w:val="28"/>
          <w:rtl w:val="true"/>
          <w:lang w:bidi="ar-SA"/>
        </w:rPr>
        <w:t xml:space="preserve">و ابن حمزة </w:t>
      </w:r>
      <w:r>
        <w:rPr>
          <w:rStyle w:val="FootnoteAnchor"/>
          <w:rtl w:val="true"/>
        </w:rPr>
        <w:footnoteReference w:id="339"/>
      </w:r>
      <w:r>
        <w:rPr>
          <w:rFonts w:ascii="IRNazanin" w:hAnsi="IRNazanin" w:eastAsia="IRNazanin"/>
          <w:color w:val="111111"/>
          <w:sz w:val="28"/>
          <w:sz w:val="28"/>
          <w:szCs w:val="28"/>
          <w:rtl w:val="true"/>
          <w:lang w:bidi="fa-IR"/>
        </w:rPr>
        <w:t xml:space="preserve">التحریم مطلقاً کبعض الأخبار </w:t>
      </w:r>
      <w:r>
        <w:rPr>
          <w:rStyle w:val="FootnoteAnchor"/>
          <w:rtl w:val="true"/>
        </w:rPr>
        <w:footnoteReference w:id="340"/>
      </w:r>
      <w:r>
        <w:rPr>
          <w:rFonts w:ascii="IRNazanin" w:hAnsi="IRNazanin" w:eastAsia="IRNazanin"/>
          <w:color w:val="111111"/>
          <w:sz w:val="28"/>
          <w:sz w:val="28"/>
          <w:szCs w:val="28"/>
          <w:rtl w:val="true"/>
          <w:lang w:bidi="fa-IR"/>
        </w:rPr>
        <w:t>، و کلاهما محمولان علی المقیّد؛جمعاً</w:t>
      </w:r>
      <w:r>
        <w:rPr>
          <w:rFonts w:eastAsia="IRNazanin" w:cs="IRNazanin"/>
          <w:color w:val="111111"/>
          <w:sz w:val="28"/>
          <w:szCs w:val="28"/>
          <w:rtl w:val="true"/>
          <w:lang w:bidi="fa-IR"/>
        </w:rPr>
        <w:t>.</w:t>
      </w:r>
      <w:bookmarkStart w:id="52" w:name="pg19674_191566"/>
    </w:p>
    <w:p>
      <w:pPr>
        <w:pStyle w:val="Heading4"/>
        <w:numPr>
          <w:ilvl w:val="3"/>
          <w:numId w:val="1"/>
        </w:numPr>
        <w:rPr/>
      </w:pPr>
      <w:bookmarkStart w:id="53" w:name="__RefHeading___Toc5027688_2314609296"/>
      <w:bookmarkStart w:id="54" w:name="_Toc20"/>
      <w:bookmarkEnd w:id="52"/>
      <w:bookmarkEnd w:id="53"/>
      <w:r>
        <w:rPr>
          <w:rtl w:val="true"/>
        </w:rPr>
        <w:t>المسألة السادسة و العشرون الولایة من قبل الجائر</w:t>
      </w:r>
      <w:bookmarkEnd w:id="54"/>
    </w:p>
    <w:p>
      <w:pPr>
        <w:pStyle w:val="Heading5"/>
        <w:numPr>
          <w:ilvl w:val="4"/>
          <w:numId w:val="1"/>
        </w:numPr>
        <w:rPr/>
      </w:pPr>
      <w:bookmarkStart w:id="55" w:name="__RefHeading___Toc5027690_2314609296"/>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صیرورته والیاً علی قوم منصوباً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محرّمة؛لأنّ الوالی من أعظم الأعوان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تقدّم </w:t>
      </w:r>
      <w:r>
        <w:rPr>
          <w:rStyle w:val="FootnoteAnchor"/>
          <w:rtl w:val="true"/>
        </w:rPr>
        <w:footnoteReference w:id="341"/>
      </w:r>
      <w:r>
        <w:rPr>
          <w:rFonts w:ascii="IRNazanin" w:hAnsi="IRNazanin" w:eastAsia="IRNazanin"/>
          <w:color w:val="111111"/>
          <w:sz w:val="28"/>
          <w:sz w:val="28"/>
          <w:szCs w:val="28"/>
          <w:rtl w:val="true"/>
          <w:lang w:bidi="fa-IR"/>
        </w:rPr>
        <w:t>فی روایة تحف العقول،من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الحرام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فولایة الوالی الجائر،و ولایة ولاته،فالعمل </w:t>
      </w:r>
      <w:r>
        <w:rPr>
          <w:rStyle w:val="FootnoteAnchor"/>
          <w:rtl w:val="true"/>
        </w:rPr>
        <w:footnoteReference w:id="342"/>
      </w:r>
      <w:r>
        <w:rPr>
          <w:rFonts w:ascii="IRNazanin" w:hAnsi="IRNazanin" w:eastAsia="IRNazanin"/>
          <w:color w:val="111111"/>
          <w:sz w:val="28"/>
          <w:sz w:val="28"/>
          <w:szCs w:val="28"/>
          <w:rtl w:val="true"/>
          <w:lang w:bidi="fa-IR"/>
        </w:rPr>
        <w:t xml:space="preserve">لهم و الکسب لهم بجهة الولایة معهم حرام محرّم،معذّب فاعل ذلک علی قلیل من فعله أو کثیر؛لأنّ کلّ شیء من جهة المعونة له </w:t>
      </w:r>
      <w:r>
        <w:rPr>
          <w:rStyle w:val="FootnoteAnchor"/>
          <w:rtl w:val="true"/>
        </w:rPr>
        <w:footnoteReference w:id="343"/>
      </w:r>
      <w:r>
        <w:rPr>
          <w:rFonts w:ascii="IRNazanin" w:hAnsi="IRNazanin" w:eastAsia="IRNazanin"/>
          <w:color w:val="111111"/>
          <w:sz w:val="28"/>
          <w:sz w:val="28"/>
          <w:szCs w:val="28"/>
          <w:rtl w:val="true"/>
          <w:lang w:bidi="fa-IR"/>
        </w:rPr>
        <w:t>معصیة کبیرة من الکبائر، و ذلک أنّ فی ولایة الوالی الجائر دروس الحقّ کلّه،و إحیاء الباطل کلّه، و إظهار الظلم و الجور و الفساد،و إبطال الکتب،و قتل الأنبیاء، و هدم المساجد،و تبدیل سنّة اللّه و شرائعه؛فلذلک حرم العمل معهم و معونتهم،و الکسب معهم إلّا بجهة الضرورة،نظیر الضرورة إلی الدم</w:t>
      </w:r>
    </w:p>
    <w:p>
      <w:pPr>
        <w:pStyle w:val="BookText"/>
        <w:rPr/>
      </w:pP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زیاد بن أبی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أهون ما یصنع اللّه عزّ و جلّ بمن تولّی لهم عملاً،أن یضرب علیه </w:t>
      </w:r>
      <w:r>
        <w:rPr>
          <w:rStyle w:val="FootnoteAnchor"/>
          <w:rtl w:val="true"/>
        </w:rPr>
        <w:footnoteReference w:id="345"/>
      </w:r>
      <w:r>
        <w:rPr>
          <w:rFonts w:ascii="IRNazanin" w:hAnsi="IRNazanin" w:eastAsia="IRNazanin"/>
          <w:color w:val="111111"/>
          <w:sz w:val="28"/>
          <w:sz w:val="28"/>
          <w:szCs w:val="28"/>
          <w:rtl w:val="true"/>
          <w:lang w:bidi="fa-IR"/>
        </w:rPr>
        <w:t xml:space="preserve">سرادق </w:t>
      </w:r>
      <w:r>
        <w:rPr>
          <w:rStyle w:val="FootnoteAnchor"/>
          <w:rtl w:val="true"/>
        </w:rPr>
        <w:footnoteReference w:id="346"/>
      </w:r>
      <w:r>
        <w:rPr>
          <w:rFonts w:ascii="IRNazanin" w:hAnsi="IRNazanin" w:eastAsia="IRNazanin"/>
          <w:color w:val="111111"/>
          <w:sz w:val="28"/>
          <w:sz w:val="28"/>
          <w:szCs w:val="28"/>
          <w:rtl w:val="true"/>
          <w:lang w:bidi="fa-IR"/>
        </w:rPr>
        <w:t xml:space="preserve">من نار إلی أن یفرغ اللّه من حساب الخلائق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الروایات کون الولایة محرّمة بنفسها مع قطع النظر عن ترتّب معصیة علیها </w:t>
      </w:r>
      <w:r>
        <w:rPr>
          <w:rStyle w:val="FootnoteAnchor"/>
          <w:rtl w:val="true"/>
        </w:rPr>
        <w:footnoteReference w:id="349"/>
      </w:r>
      <w:r>
        <w:rPr>
          <w:rFonts w:ascii="IRNazanin" w:hAnsi="IRNazanin" w:eastAsia="IRNazanin"/>
          <w:color w:val="111111"/>
          <w:sz w:val="28"/>
          <w:sz w:val="28"/>
          <w:szCs w:val="28"/>
          <w:rtl w:val="true"/>
          <w:lang w:bidi="fa-IR"/>
        </w:rPr>
        <w:t>من ظلم الغیر،مع أنّ الولایة عن الجائر لا تنفکّ عن المعصیة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فی بعض الأخبار إشارة إلی کونه من جهة الحرام الخارجی،ففی صحیحة داود بن زربیّ،قال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w:t>
      </w:r>
      <w:r>
        <w:rPr>
          <w:rStyle w:val="FootnoteAnchor"/>
          <w:rtl w:val="true"/>
        </w:rPr>
        <w:footnoteReference w:id="350"/>
      </w:r>
      <w:r>
        <w:rPr>
          <w:rFonts w:ascii="IRNazanin" w:hAnsi="IRNazanin" w:eastAsia="IRNazanin"/>
          <w:color w:val="111111"/>
          <w:sz w:val="28"/>
          <w:sz w:val="28"/>
          <w:szCs w:val="28"/>
          <w:rtl w:val="true"/>
          <w:lang w:bidi="fa-IR"/>
        </w:rPr>
        <w:t>مولی لعلی ابن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بالکوفة فقدم أبو عبد اللّه علیه السلام الحیرة،فأتیته،فقلت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لو کلّمت داود بن علی أو بعض هؤلاء،فأدخل </w:t>
      </w:r>
      <w:r>
        <w:rPr>
          <w:rStyle w:val="FootnoteAnchor"/>
          <w:rtl w:val="true"/>
        </w:rPr>
        <w:footnoteReference w:id="351"/>
      </w:r>
      <w:r>
        <w:rPr>
          <w:rFonts w:ascii="IRNazanin" w:hAnsi="IRNazanin" w:eastAsia="IRNazanin"/>
          <w:color w:val="111111"/>
          <w:sz w:val="28"/>
          <w:sz w:val="28"/>
          <w:szCs w:val="28"/>
          <w:rtl w:val="true"/>
          <w:lang w:bidi="fa-IR"/>
        </w:rPr>
        <w:t>فی بعض هذه الولایات،فقال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لأفعل، فانصرفت إلی منزلی فتفکرت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أحسبه أنّه منعنی إلّا مخافة أن</w:t>
      </w:r>
    </w:p>
    <w:p>
      <w:pPr>
        <w:pStyle w:val="BookText"/>
        <w:rPr/>
      </w:pPr>
      <w:r>
        <w:rPr>
          <w:rFonts w:ascii="Amiri" w:hAnsi="Amiri" w:eastAsia="Amiri" w:cs="Amiri"/>
          <w:color w:val="111111"/>
          <w:sz w:val="28"/>
          <w:sz w:val="28"/>
          <w:szCs w:val="28"/>
          <w:rtl w:val="true"/>
          <w:lang w:bidi="ar-SA"/>
        </w:rPr>
        <w:t xml:space="preserve">أظلم أو أجور،و اللّه لآتینّه و أعطینَّه </w:t>
      </w:r>
      <w:r>
        <w:rPr>
          <w:rStyle w:val="FootnoteAnchor"/>
          <w:rtl w:val="true"/>
        </w:rPr>
        <w:footnoteReference w:id="353"/>
      </w:r>
      <w:r>
        <w:rPr>
          <w:rFonts w:ascii="IRNazanin" w:hAnsi="IRNazanin" w:eastAsia="IRNazanin"/>
          <w:color w:val="111111"/>
          <w:sz w:val="28"/>
          <w:sz w:val="28"/>
          <w:szCs w:val="28"/>
          <w:rtl w:val="true"/>
          <w:lang w:bidi="fa-IR"/>
        </w:rPr>
        <w:t xml:space="preserve">الطلاق و العتاق و الایمان المغلّظة </w:t>
      </w:r>
      <w:r>
        <w:rPr>
          <w:rStyle w:val="FootnoteAnchor"/>
          <w:rtl w:val="true"/>
        </w:rPr>
        <w:footnoteReference w:id="354"/>
      </w:r>
      <w:r>
        <w:rPr>
          <w:rFonts w:ascii="Amiri" w:hAnsi="Amiri" w:eastAsia="Amiri" w:cs="Amiri"/>
          <w:color w:val="111111"/>
          <w:sz w:val="28"/>
          <w:sz w:val="28"/>
          <w:szCs w:val="28"/>
          <w:rtl w:val="true"/>
          <w:lang w:bidi="ar-SA"/>
        </w:rPr>
        <w:t>أن لا أجورنّ علی أحد،و لا أظلمنَّ،و لأعدلنَّ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إنّی فکّرت فی إبائک علیّ، و ظننت أنّک إنّما منعتنی </w:t>
      </w:r>
      <w:r>
        <w:rPr>
          <w:rStyle w:val="FootnoteAnchor"/>
          <w:rtl w:val="true"/>
        </w:rPr>
        <w:footnoteReference w:id="355"/>
      </w:r>
      <w:r>
        <w:rPr>
          <w:rFonts w:ascii="Amiri" w:hAnsi="Amiri" w:eastAsia="Amiri" w:cs="Amiri"/>
          <w:color w:val="111111"/>
          <w:sz w:val="28"/>
          <w:sz w:val="28"/>
          <w:szCs w:val="28"/>
          <w:rtl w:val="true"/>
          <w:lang w:bidi="ar-SA"/>
        </w:rPr>
        <w:t xml:space="preserve">مخافة أن أظلم أو أجور،و إنّ کلّ امرأة لی طالق،و کلّ مملوک لی حُرٌّ </w:t>
      </w:r>
      <w:r>
        <w:rPr>
          <w:rStyle w:val="FootnoteAnchor"/>
          <w:rtl w:val="true"/>
        </w:rPr>
        <w:footnoteReference w:id="356"/>
      </w:r>
      <w:r>
        <w:rPr>
          <w:rFonts w:ascii="IRNazanin" w:hAnsi="IRNazanin" w:eastAsia="IRNazanin"/>
          <w:color w:val="111111"/>
          <w:sz w:val="28"/>
          <w:sz w:val="28"/>
          <w:szCs w:val="28"/>
          <w:rtl w:val="true"/>
          <w:lang w:bidi="fa-IR"/>
        </w:rPr>
        <w:t xml:space="preserve">إن ظلمت أحداً،أو جُرت علی أحد </w:t>
      </w:r>
      <w:r>
        <w:rPr>
          <w:rStyle w:val="FootnoteAnchor"/>
          <w:rtl w:val="true"/>
        </w:rPr>
        <w:footnoteReference w:id="357"/>
      </w:r>
      <w:r>
        <w:rPr>
          <w:rFonts w:ascii="IRNazanin" w:hAnsi="IRNazanin" w:eastAsia="IRNazanin"/>
          <w:color w:val="111111"/>
          <w:sz w:val="28"/>
          <w:sz w:val="28"/>
          <w:szCs w:val="28"/>
          <w:rtl w:val="true"/>
          <w:lang w:bidi="fa-IR"/>
        </w:rPr>
        <w:t xml:space="preserve">، و إن </w:t>
      </w:r>
      <w:r>
        <w:rPr>
          <w:rStyle w:val="FootnoteAnchor"/>
          <w:rtl w:val="true"/>
        </w:rPr>
        <w:footnoteReference w:id="358"/>
      </w:r>
      <w:r>
        <w:rPr>
          <w:rFonts w:ascii="IRNazanin" w:hAnsi="IRNazanin" w:eastAsia="IRNazanin"/>
          <w:color w:val="111111"/>
          <w:sz w:val="28"/>
          <w:sz w:val="28"/>
          <w:szCs w:val="28"/>
          <w:rtl w:val="true"/>
          <w:lang w:bidi="fa-IR"/>
        </w:rPr>
        <w:t>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r>
        <w:rPr>
          <w:rStyle w:val="FootnoteAnchor"/>
          <w:rtl w:val="true"/>
        </w:rPr>
        <w:footnoteReference w:id="359"/>
      </w:r>
      <w:r>
        <w:rPr>
          <w:rFonts w:ascii="IRNazanin" w:hAnsi="IRNazanin" w:eastAsia="IRNazanin"/>
          <w:color w:val="111111"/>
          <w:sz w:val="28"/>
          <w:sz w:val="28"/>
          <w:szCs w:val="28"/>
          <w:rtl w:val="true"/>
          <w:lang w:bidi="fa-IR"/>
        </w:rPr>
        <w:t xml:space="preserve">قلت؟فأعدت علیه الأیمان،فنظر </w:t>
      </w:r>
      <w:r>
        <w:rPr>
          <w:rStyle w:val="FootnoteAnchor"/>
          <w:rtl w:val="true"/>
        </w:rPr>
        <w:footnoteReference w:id="360"/>
      </w:r>
      <w:r>
        <w:rPr>
          <w:rFonts w:ascii="IRNazanin" w:hAnsi="IRNazanin" w:eastAsia="IRNazanin"/>
          <w:color w:val="111111"/>
          <w:sz w:val="28"/>
          <w:sz w:val="28"/>
          <w:szCs w:val="28"/>
          <w:rtl w:val="true"/>
          <w:lang w:bidi="fa-IR"/>
        </w:rPr>
        <w:t>إلی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تنال هذه </w:t>
      </w:r>
      <w:r>
        <w:rPr>
          <w:rStyle w:val="FootnoteAnchor"/>
          <w:rtl w:val="true"/>
        </w:rPr>
        <w:footnoteReference w:id="361"/>
      </w:r>
      <w:r>
        <w:rPr>
          <w:rFonts w:ascii="IRNazanin" w:hAnsi="IRNazanin" w:eastAsia="IRNazanin"/>
          <w:color w:val="111111"/>
          <w:sz w:val="28"/>
          <w:sz w:val="28"/>
          <w:szCs w:val="28"/>
          <w:rtl w:val="true"/>
          <w:lang w:bidi="fa-IR"/>
        </w:rPr>
        <w:t xml:space="preserve">السماء أیسر علیک من ذلک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IRNazanin" w:hAnsi="IRNazanin" w:eastAsia="IRNazanin"/>
          <w:color w:val="111111"/>
          <w:sz w:val="28"/>
          <w:sz w:val="28"/>
          <w:szCs w:val="28"/>
          <w:rtl w:val="true"/>
          <w:lang w:bidi="fa-IR"/>
        </w:rPr>
        <w:t>بناء علی أنّ المشار إلیه هو العدل،و ترک الظلم،و یحتمل أن یکون هو الترخّص فی الدخول</w:t>
      </w:r>
      <w:r>
        <w:rPr>
          <w:rFonts w:eastAsia="IRNazanin" w:cs="IRNazanin"/>
          <w:color w:val="111111"/>
          <w:sz w:val="28"/>
          <w:szCs w:val="28"/>
          <w:rtl w:val="true"/>
          <w:lang w:bidi="fa-IR"/>
        </w:rPr>
        <w:t>.</w:t>
      </w:r>
      <w:bookmarkStart w:id="57" w:name="pg19674_191569"/>
    </w:p>
    <w:p>
      <w:pPr>
        <w:pStyle w:val="Heading5"/>
        <w:numPr>
          <w:ilvl w:val="4"/>
          <w:numId w:val="1"/>
        </w:numPr>
        <w:rPr/>
      </w:pPr>
      <w:bookmarkStart w:id="58" w:name="__RefHeading___Toc5027692_2314609296"/>
      <w:bookmarkStart w:id="59" w:name="_Toc22"/>
      <w:bookmarkEnd w:id="57"/>
      <w:bookmarkEnd w:id="58"/>
      <w:r>
        <w:rPr>
          <w:rtl w:val="true"/>
        </w:rPr>
        <w:t>ثم إنّه یسوّغ الولایة المذکورة أمران</w:t>
      </w:r>
      <w:r>
        <w:rPr>
          <w:rtl w:val="true"/>
        </w:rPr>
        <w:t>:</w:t>
      </w:r>
      <w:bookmarkEnd w:id="59"/>
    </w:p>
    <w:p>
      <w:pPr>
        <w:pStyle w:val="Heading6"/>
        <w:numPr>
          <w:ilvl w:val="5"/>
          <w:numId w:val="1"/>
        </w:numPr>
        <w:rPr/>
      </w:pPr>
      <w:bookmarkStart w:id="60" w:name="__RefHeading___Toc5027694_2314609296"/>
      <w:bookmarkStart w:id="61" w:name="_Toc23"/>
      <w:bookmarkEnd w:id="60"/>
      <w:r>
        <w:rPr>
          <w:rtl w:val="true"/>
        </w:rPr>
        <w:t xml:space="preserve">أحدهما </w:t>
      </w:r>
      <w:r>
        <w:rPr>
          <w:rtl w:val="true"/>
        </w:rPr>
        <w:t>-</w:t>
      </w:r>
      <w:r>
        <w:rPr>
          <w:rtl w:val="true"/>
        </w:rPr>
        <w:t>القیام بمصالح العباد،</w:t>
      </w:r>
      <w:bookmarkEnd w:id="61"/>
    </w:p>
    <w:p>
      <w:pPr>
        <w:pStyle w:val="BookText"/>
        <w:rPr/>
      </w:pPr>
      <w:r>
        <w:rPr>
          <w:rFonts w:ascii="IRNazanin" w:hAnsi="IRNazanin" w:eastAsia="IRNazanin"/>
          <w:color w:val="111111"/>
          <w:sz w:val="28"/>
          <w:sz w:val="28"/>
          <w:szCs w:val="28"/>
          <w:rtl w:val="true"/>
          <w:lang w:bidi="fa-IR"/>
        </w:rPr>
        <w:t xml:space="preserve">بلا خلاف،علی الظاهر المصرّح به فی المحکی </w:t>
      </w:r>
      <w:r>
        <w:rPr>
          <w:rStyle w:val="FootnoteAnchor"/>
          <w:rtl w:val="true"/>
        </w:rPr>
        <w:footnoteReference w:id="364"/>
      </w:r>
      <w:r>
        <w:rPr>
          <w:rFonts w:ascii="Amiri" w:hAnsi="Amiri" w:eastAsia="Amiri" w:cs="Amiri"/>
          <w:color w:val="111111"/>
          <w:sz w:val="28"/>
          <w:sz w:val="28"/>
          <w:szCs w:val="28"/>
          <w:rtl w:val="true"/>
          <w:lang w:bidi="ar-SA"/>
        </w:rPr>
        <w:t>عن بعض،حیث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تقلّد الأمر من قبل الجائر جائز إذا تمکّن معه من إیصال الحقّ لمستحقه،بالإجماع و السنّة الصحیحة،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الولایة إن کانت محرّمة لذاتها، کان </w:t>
      </w:r>
      <w:r>
        <w:rPr>
          <w:rStyle w:val="FootnoteAnchor"/>
          <w:rtl w:val="true"/>
        </w:rPr>
        <w:footnoteReference w:id="366"/>
      </w:r>
      <w:r>
        <w:rPr>
          <w:rFonts w:ascii="IRNazanin" w:hAnsi="IRNazanin" w:eastAsia="IRNazanin"/>
          <w:color w:val="111111"/>
          <w:sz w:val="28"/>
          <w:sz w:val="28"/>
          <w:szCs w:val="28"/>
          <w:rtl w:val="true"/>
          <w:lang w:bidi="fa-IR"/>
        </w:rPr>
        <w:t>ارتکابها لأجل المصالح و دفع المفاسد التی هی أهم من مفسدة انسلاک الشخص فی أعوان الظلمة بحسب الظاهر،و إن کانت لاستلزامها الظلم علی الغیر،فالمفروض عدم تحقّقه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الذی رواه الصدوق فی حدیث المناهی،قال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عرافة قومٍ اتی به یوم القیامة و یداه مغلولتان إلی عنقه،فإن قام فیهم بأمر اللّه تعالی أطلقه اللّه،و إن کان ظالماً یهوی به فی نار جهنم،و بئس المصیر</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 عرافة قوم و لم یحسن فیهم</w:t>
      </w:r>
    </w:p>
    <w:p>
      <w:pPr>
        <w:pStyle w:val="BookText"/>
        <w:rPr/>
      </w:pPr>
      <w:r>
        <w:rPr>
          <w:rFonts w:ascii="IRNazanin" w:hAnsi="IRNazanin" w:eastAsia="IRNazanin"/>
          <w:color w:val="111111"/>
          <w:sz w:val="28"/>
          <w:sz w:val="28"/>
          <w:szCs w:val="28"/>
          <w:rtl w:val="true"/>
          <w:lang w:bidi="fa-IR"/>
        </w:rPr>
        <w:t xml:space="preserve">حبس علی شفیر جهنم بکلّ </w:t>
      </w:r>
      <w:r>
        <w:rPr>
          <w:rStyle w:val="FootnoteAnchor"/>
          <w:rtl w:val="true"/>
        </w:rPr>
        <w:footnoteReference w:id="368"/>
      </w:r>
      <w:r>
        <w:rPr>
          <w:rFonts w:ascii="IRNazanin" w:hAnsi="IRNazanin" w:eastAsia="IRNazanin"/>
          <w:color w:val="111111"/>
          <w:sz w:val="28"/>
          <w:sz w:val="28"/>
          <w:szCs w:val="28"/>
          <w:rtl w:val="true"/>
          <w:lang w:bidi="fa-IR"/>
        </w:rPr>
        <w:t xml:space="preserve">یوم ألف سنة،و حشر و یداه مغلولتان </w:t>
      </w:r>
      <w:r>
        <w:rPr>
          <w:rStyle w:val="FootnoteAnchor"/>
          <w:rtl w:val="true"/>
        </w:rPr>
        <w:footnoteReference w:id="369"/>
      </w:r>
      <w:r>
        <w:rPr>
          <w:rFonts w:ascii="IRNazanin" w:hAnsi="IRNazanin" w:eastAsia="IRNazanin"/>
          <w:color w:val="111111"/>
          <w:sz w:val="28"/>
          <w:sz w:val="28"/>
          <w:szCs w:val="28"/>
          <w:rtl w:val="true"/>
          <w:lang w:bidi="fa-IR"/>
        </w:rPr>
        <w:t xml:space="preserve">إلی عنقه،فإن کان </w:t>
      </w:r>
      <w:r>
        <w:rPr>
          <w:rStyle w:val="FootnoteAnchor"/>
          <w:rtl w:val="true"/>
        </w:rPr>
        <w:footnoteReference w:id="370"/>
      </w:r>
      <w:r>
        <w:rPr>
          <w:rFonts w:ascii="IRNazanin" w:hAnsi="IRNazanin" w:eastAsia="IRNazanin"/>
          <w:color w:val="111111"/>
          <w:sz w:val="28"/>
          <w:sz w:val="28"/>
          <w:szCs w:val="28"/>
          <w:rtl w:val="true"/>
          <w:lang w:bidi="fa-IR"/>
        </w:rPr>
        <w:t>قام فیهم بأمر اللّه أطلقه اللّه،و إن کان ظالماً هوی به فی نار جهنم سبعین خریفاً</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من قِبل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زید الشحام،المحکیة عن الأمالی،عن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أمراً من أُمور الناس فعدل فیهم،و فتح بابه و رفع ستره، و نظر فی أُمور الناس،کان حقّا علی اللّه أن یؤمن روعته یوم القیامة و یدخله الجنّة</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زیاد بن أبی سلمة عن موسی بن جعفر </w:t>
      </w:r>
      <w:r>
        <w:rPr>
          <w:rStyle w:val="FootnoteAnchor"/>
          <w:rtl w:val="true"/>
        </w:rPr>
        <w:footnoteReference w:id="37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 لئن أسقط من شاهق </w:t>
      </w:r>
      <w:r>
        <w:rPr>
          <w:rStyle w:val="FootnoteAnchor"/>
          <w:rtl w:val="true"/>
        </w:rPr>
        <w:footnoteReference w:id="374"/>
      </w:r>
      <w:r>
        <w:rPr>
          <w:rFonts w:ascii="Amiri" w:hAnsi="Amiri" w:eastAsia="Amiri" w:cs="Amiri"/>
          <w:color w:val="111111"/>
          <w:sz w:val="28"/>
          <w:sz w:val="28"/>
          <w:szCs w:val="28"/>
          <w:rtl w:val="true"/>
          <w:lang w:bidi="ar-SA"/>
        </w:rPr>
        <w:t xml:space="preserve">فأتقطّع </w:t>
      </w:r>
      <w:r>
        <w:rPr>
          <w:rStyle w:val="FootnoteAnchor"/>
          <w:rtl w:val="true"/>
        </w:rPr>
        <w:footnoteReference w:id="375"/>
      </w:r>
      <w:r>
        <w:rPr>
          <w:rFonts w:ascii="Amiri" w:hAnsi="Amiri" w:eastAsia="Amiri" w:cs="Amiri"/>
          <w:color w:val="111111"/>
          <w:sz w:val="28"/>
          <w:sz w:val="28"/>
          <w:szCs w:val="28"/>
          <w:rtl w:val="true"/>
          <w:lang w:bidi="ar-SA"/>
        </w:rPr>
        <w:t>قطعة قطعة أحبّ إلیّ من</w:t>
      </w:r>
    </w:p>
    <w:p>
      <w:pPr>
        <w:pStyle w:val="BookText"/>
        <w:rPr/>
      </w:pPr>
      <w:r>
        <w:rPr>
          <w:rFonts w:ascii="IRNazanin" w:hAnsi="IRNazanin" w:eastAsia="IRNazanin"/>
          <w:color w:val="111111"/>
          <w:sz w:val="28"/>
          <w:sz w:val="28"/>
          <w:szCs w:val="28"/>
          <w:rtl w:val="true"/>
          <w:lang w:bidi="fa-IR"/>
        </w:rPr>
        <w:t xml:space="preserve">أن أتولّی لأحد منهم </w:t>
      </w:r>
      <w:r>
        <w:rPr>
          <w:rStyle w:val="FootnoteAnchor"/>
          <w:rtl w:val="true"/>
        </w:rPr>
        <w:footnoteReference w:id="376"/>
      </w:r>
      <w:r>
        <w:rPr>
          <w:rFonts w:ascii="IRNazanin" w:hAnsi="IRNazanin" w:eastAsia="IRNazanin"/>
          <w:color w:val="111111"/>
          <w:sz w:val="28"/>
          <w:sz w:val="28"/>
          <w:szCs w:val="28"/>
          <w:rtl w:val="true"/>
          <w:lang w:bidi="fa-IR"/>
        </w:rPr>
        <w:t>عملاً أو أطأ بساط رجلٍ منهم،إلّا لماذا؟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لتفریج کربة عن مؤمن </w:t>
      </w:r>
      <w:r>
        <w:rPr>
          <w:rStyle w:val="FootnoteAnchor"/>
          <w:rtl w:val="true"/>
        </w:rPr>
        <w:footnoteReference w:id="377"/>
      </w:r>
      <w:r>
        <w:rPr>
          <w:rFonts w:ascii="IRNazanin" w:hAnsi="IRNazanin" w:eastAsia="IRNazanin"/>
          <w:color w:val="111111"/>
          <w:sz w:val="28"/>
          <w:sz w:val="28"/>
          <w:szCs w:val="28"/>
          <w:rtl w:val="true"/>
          <w:lang w:bidi="fa-IR"/>
        </w:rPr>
        <w:t>، أو فکّ أسره،أو قضاء دینه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تبارک و تعالی مع السلطان أولیاء یدفع </w:t>
      </w:r>
      <w:r>
        <w:rPr>
          <w:rStyle w:val="FootnoteAnchor"/>
          <w:rtl w:val="true"/>
        </w:rPr>
        <w:footnoteReference w:id="379"/>
      </w:r>
      <w:r>
        <w:rPr>
          <w:rFonts w:ascii="IRNazanin" w:hAnsi="IRNazanin" w:eastAsia="IRNazanin"/>
          <w:color w:val="111111"/>
          <w:sz w:val="28"/>
          <w:sz w:val="28"/>
          <w:szCs w:val="28"/>
          <w:rtl w:val="true"/>
          <w:lang w:bidi="fa-IR"/>
        </w:rPr>
        <w:t>بهم عن أولیائه</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عتقاء اللّه من النار</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المقنع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عن رجلٍ یحبّ آل محمد و هو فی دیوان هؤلاء،فیقتل </w:t>
      </w:r>
      <w:r>
        <w:rPr>
          <w:rStyle w:val="FootnoteAnchor"/>
          <w:rtl w:val="true"/>
        </w:rPr>
        <w:footnoteReference w:id="385"/>
      </w:r>
      <w:r>
        <w:rPr>
          <w:rFonts w:ascii="IRNazanin" w:hAnsi="IRNazanin" w:eastAsia="IRNazanin"/>
          <w:color w:val="111111"/>
          <w:sz w:val="28"/>
          <w:sz w:val="28"/>
          <w:szCs w:val="28"/>
          <w:rtl w:val="true"/>
          <w:lang w:bidi="fa-IR"/>
        </w:rPr>
        <w:t>تحت رایتهم،قال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یحشره اللّه علی</w:t>
      </w:r>
    </w:p>
    <w:p>
      <w:pPr>
        <w:pStyle w:val="BookText"/>
        <w:rPr/>
      </w:pPr>
      <w:r>
        <w:rPr>
          <w:rFonts w:ascii="Amiri" w:hAnsi="Amiri" w:eastAsia="Amiri" w:cs="Amiri"/>
          <w:color w:val="111111"/>
          <w:sz w:val="28"/>
          <w:sz w:val="28"/>
          <w:szCs w:val="28"/>
          <w:rtl w:val="true"/>
          <w:lang w:bidi="ar-SA"/>
        </w:rPr>
        <w:t>نیّته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ظاهرها إباحة الولایة من حیث هی مع المواساة و الإحسان بالإخوان،فیکون نظیر الکذب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یظهر من بعضها </w:t>
      </w:r>
      <w:r>
        <w:rPr>
          <w:rStyle w:val="FootnoteAnchor"/>
          <w:rtl w:val="true"/>
        </w:rPr>
        <w:footnoteReference w:id="387"/>
      </w:r>
      <w:r>
        <w:rPr>
          <w:rFonts w:ascii="IRNazanin" w:hAnsi="IRNazanin" w:eastAsia="IRNazanin"/>
          <w:color w:val="111111"/>
          <w:sz w:val="28"/>
          <w:sz w:val="28"/>
          <w:szCs w:val="28"/>
          <w:rtl w:val="true"/>
          <w:lang w:bidi="fa-IR"/>
        </w:rPr>
        <w:t>الاستحباب،و ربما یظهر من بعضها أن الدخول أولاً غیر جائز إلّا أنّ الإحسان إلی الإخوان کفّارة له، کمرسلة الصدوق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روایة زیاد بن أبی سلمة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388"/>
      </w:r>
      <w:r>
        <w:rPr>
          <w:rFonts w:ascii="IRNazanin" w:hAnsi="IRNazanin" w:eastAsia="IRNazanin"/>
          <w:color w:val="111111"/>
          <w:sz w:val="28"/>
          <w:sz w:val="28"/>
          <w:szCs w:val="28"/>
          <w:rtl w:val="true"/>
          <w:lang w:bidi="fa-IR"/>
        </w:rPr>
        <w:t xml:space="preserve">وُلّیت شیئاً من أعمالهم فأحسن إلی إخوانک یکون </w:t>
      </w:r>
      <w:r>
        <w:rPr>
          <w:rStyle w:val="FootnoteAnchor"/>
          <w:rtl w:val="true"/>
        </w:rPr>
        <w:footnoteReference w:id="389"/>
      </w:r>
      <w:r>
        <w:rPr>
          <w:rFonts w:ascii="Amiri" w:hAnsi="Amiri" w:eastAsia="Amiri" w:cs="Amiri"/>
          <w:color w:val="111111"/>
          <w:sz w:val="28"/>
          <w:sz w:val="28"/>
          <w:szCs w:val="28"/>
          <w:rtl w:val="true"/>
          <w:lang w:bidi="ar-SA"/>
        </w:rPr>
        <w:t xml:space="preserve">واحدة </w:t>
      </w:r>
      <w:r>
        <w:rPr>
          <w:rStyle w:val="FootnoteAnchor"/>
          <w:rtl w:val="true"/>
        </w:rPr>
        <w:footnoteReference w:id="390"/>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الغیر المحرّمة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Style w:val="FootnoteAnchor"/>
          <w:rtl w:val="true"/>
        </w:rPr>
        <w:footnoteReference w:id="392"/>
      </w:r>
      <w:r>
        <w:rPr>
          <w:rFonts w:ascii="IRNazanin" w:hAnsi="IRNazanin" w:eastAsia="IRNazanin"/>
          <w:color w:val="111111"/>
          <w:sz w:val="28"/>
          <w:sz w:val="28"/>
          <w:szCs w:val="28"/>
          <w:rtl w:val="true"/>
          <w:lang w:bidi="fa-IR"/>
        </w:rPr>
        <w:t xml:space="preserve">مرجوحة،و هی ولایة من </w:t>
      </w:r>
      <w:r>
        <w:rPr>
          <w:rStyle w:val="FootnoteAnchor"/>
          <w:rtl w:val="true"/>
        </w:rPr>
        <w:footnoteReference w:id="393"/>
      </w:r>
      <w:r>
        <w:rPr>
          <w:rFonts w:ascii="IRNazanin" w:hAnsi="IRNazanin" w:eastAsia="IRNazanin"/>
          <w:color w:val="111111"/>
          <w:sz w:val="28"/>
          <w:sz w:val="28"/>
          <w:szCs w:val="28"/>
          <w:rtl w:val="true"/>
          <w:lang w:bidi="fa-IR"/>
        </w:rPr>
        <w:t>تولّی لهم لنظام معاشه قاصداً الإحسان فی خلال ذلک إلی المؤمنین و دفع الضرّ عنهم، ففی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جبّار إلّا و معه مؤمن یدفع اللّه به عن</w:t>
      </w:r>
    </w:p>
    <w:p>
      <w:pPr>
        <w:pStyle w:val="BookText"/>
        <w:rPr/>
      </w:pPr>
      <w:r>
        <w:rPr>
          <w:rFonts w:ascii="IRNazanin" w:hAnsi="IRNazanin" w:eastAsia="IRNazanin"/>
          <w:color w:val="111111"/>
          <w:sz w:val="28"/>
          <w:sz w:val="28"/>
          <w:szCs w:val="28"/>
          <w:rtl w:val="true"/>
          <w:lang w:bidi="fa-IR"/>
        </w:rPr>
        <w:t>المؤمنین،و هو أقلّهم حظّا فی الآخرة؛لصحبة الجبّار</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مستحبة،و هی ولایة من </w:t>
      </w:r>
      <w:r>
        <w:rPr>
          <w:rStyle w:val="FootnoteAnchor"/>
          <w:rtl w:val="true"/>
        </w:rPr>
        <w:footnoteReference w:id="395"/>
      </w:r>
      <w:r>
        <w:rPr>
          <w:rFonts w:ascii="IRNazanin" w:hAnsi="IRNazanin" w:eastAsia="IRNazanin"/>
          <w:color w:val="111111"/>
          <w:sz w:val="28"/>
          <w:sz w:val="28"/>
          <w:szCs w:val="28"/>
          <w:rtl w:val="true"/>
          <w:lang w:bidi="fa-IR"/>
        </w:rPr>
        <w:t>لم یقصد بدخوله إلّا الإحسان إلی المؤمنین،فعن رجال الکشّی فی ترجمة محمد بن إسماعیل بن بزیع 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تعالی فی أبواب الظلمة مَن نَوّر اللّه به البرهان،و مکّن له فی البلاد؛لیدفع </w:t>
      </w:r>
      <w:r>
        <w:rPr>
          <w:rStyle w:val="FootnoteAnchor"/>
          <w:rtl w:val="true"/>
        </w:rPr>
        <w:footnoteReference w:id="396"/>
      </w:r>
      <w:r>
        <w:rPr>
          <w:rFonts w:ascii="IRNazanin" w:hAnsi="IRNazanin" w:eastAsia="IRNazanin"/>
          <w:color w:val="111111"/>
          <w:sz w:val="28"/>
          <w:sz w:val="28"/>
          <w:szCs w:val="28"/>
          <w:rtl w:val="true"/>
          <w:lang w:bidi="fa-IR"/>
        </w:rPr>
        <w:t xml:space="preserve">بهم عن أولیائه،و یصلح اللّه </w:t>
      </w:r>
      <w:r>
        <w:rPr>
          <w:rStyle w:val="FootnoteAnchor"/>
          <w:rtl w:val="true"/>
        </w:rPr>
        <w:footnoteReference w:id="397"/>
      </w:r>
      <w:r>
        <w:rPr>
          <w:rFonts w:ascii="IRNazanin" w:hAnsi="IRNazanin" w:eastAsia="IRNazanin"/>
          <w:color w:val="111111"/>
          <w:sz w:val="28"/>
          <w:sz w:val="28"/>
          <w:szCs w:val="28"/>
          <w:rtl w:val="true"/>
          <w:lang w:bidi="fa-IR"/>
        </w:rPr>
        <w:t xml:space="preserve">بهم أُمور المسلمین،إلیهم </w:t>
      </w:r>
      <w:r>
        <w:rPr>
          <w:rStyle w:val="FootnoteAnchor"/>
          <w:rtl w:val="true"/>
        </w:rPr>
        <w:footnoteReference w:id="398"/>
      </w:r>
      <w:r>
        <w:rPr>
          <w:rFonts w:ascii="IRNazanin" w:hAnsi="IRNazanin" w:eastAsia="IRNazanin"/>
          <w:color w:val="111111"/>
          <w:sz w:val="28"/>
          <w:sz w:val="28"/>
          <w:szCs w:val="28"/>
          <w:rtl w:val="true"/>
          <w:lang w:bidi="fa-IR"/>
        </w:rPr>
        <w:t xml:space="preserve">ملجأ المؤمنین من الضرّ </w:t>
      </w:r>
      <w:r>
        <w:rPr>
          <w:rStyle w:val="FootnoteAnchor"/>
          <w:rtl w:val="true"/>
        </w:rPr>
        <w:footnoteReference w:id="399"/>
      </w:r>
      <w:r>
        <w:rPr>
          <w:rFonts w:ascii="IRNazanin" w:hAnsi="IRNazanin" w:eastAsia="IRNazanin"/>
          <w:color w:val="111111"/>
          <w:sz w:val="28"/>
          <w:sz w:val="28"/>
          <w:szCs w:val="28"/>
          <w:rtl w:val="true"/>
          <w:lang w:bidi="fa-IR"/>
        </w:rPr>
        <w:t xml:space="preserve">،و إلیهم مرجع ذوی الحاجة </w:t>
      </w:r>
      <w:r>
        <w:rPr>
          <w:rStyle w:val="FootnoteAnchor"/>
          <w:rtl w:val="true"/>
        </w:rPr>
        <w:footnoteReference w:id="400"/>
      </w:r>
      <w:r>
        <w:rPr>
          <w:rFonts w:ascii="IRNazanin" w:hAnsi="IRNazanin" w:eastAsia="IRNazanin"/>
          <w:color w:val="111111"/>
          <w:sz w:val="28"/>
          <w:sz w:val="28"/>
          <w:szCs w:val="28"/>
          <w:rtl w:val="true"/>
          <w:lang w:bidi="fa-IR"/>
        </w:rPr>
        <w:t xml:space="preserve">من شیعتنا،بهم یؤمن اللّه روعة المؤمنین فی دار الظلمة </w:t>
      </w:r>
      <w:r>
        <w:rPr>
          <w:rStyle w:val="FootnoteAnchor"/>
          <w:rtl w:val="true"/>
        </w:rPr>
        <w:footnoteReference w:id="401"/>
      </w:r>
      <w:r>
        <w:rPr>
          <w:rFonts w:ascii="Amiri" w:hAnsi="Amiri" w:eastAsia="Amiri" w:cs="Amiri"/>
          <w:color w:val="111111"/>
          <w:sz w:val="28"/>
          <w:sz w:val="28"/>
          <w:szCs w:val="28"/>
          <w:rtl w:val="true"/>
          <w:lang w:bidi="ar-SA"/>
        </w:rPr>
        <w:t xml:space="preserve">،أُولئک المؤمنون حقّا،أُولئک أُمناء </w:t>
      </w:r>
      <w:r>
        <w:rPr>
          <w:rStyle w:val="FootnoteAnchor"/>
          <w:rtl w:val="true"/>
        </w:rPr>
        <w:footnoteReference w:id="402"/>
      </w:r>
      <w:r>
        <w:rPr>
          <w:rFonts w:ascii="IRNazanin" w:hAnsi="IRNazanin" w:eastAsia="IRNazanin"/>
          <w:color w:val="111111"/>
          <w:sz w:val="28"/>
          <w:sz w:val="28"/>
          <w:szCs w:val="28"/>
          <w:rtl w:val="true"/>
          <w:lang w:bidi="fa-IR"/>
        </w:rPr>
        <w:t xml:space="preserve">اللّه فی أرضه،أُولئک نور اللّه فی رعیّته یوم القیامة،و یزهر </w:t>
      </w:r>
      <w:r>
        <w:rPr>
          <w:rStyle w:val="FootnoteAnchor"/>
          <w:rtl w:val="true"/>
        </w:rPr>
        <w:footnoteReference w:id="403"/>
      </w:r>
      <w:r>
        <w:rPr>
          <w:rFonts w:ascii="IRNazanin" w:hAnsi="IRNazanin" w:eastAsia="IRNazanin"/>
          <w:color w:val="111111"/>
          <w:sz w:val="28"/>
          <w:sz w:val="28"/>
          <w:szCs w:val="28"/>
          <w:rtl w:val="true"/>
          <w:lang w:bidi="fa-IR"/>
        </w:rPr>
        <w:t>نورهم لأهل</w:t>
      </w:r>
    </w:p>
    <w:p>
      <w:pPr>
        <w:pStyle w:val="BookText"/>
        <w:rPr/>
      </w:pPr>
      <w:r>
        <w:rPr>
          <w:rFonts w:ascii="IRNazanin" w:hAnsi="IRNazanin" w:eastAsia="IRNazanin"/>
          <w:color w:val="111111"/>
          <w:sz w:val="28"/>
          <w:sz w:val="28"/>
          <w:szCs w:val="28"/>
          <w:rtl w:val="true"/>
          <w:lang w:bidi="fa-IR"/>
        </w:rPr>
        <w:t xml:space="preserve">السماوات کما یزهر نور الکواکب الدرّیة </w:t>
      </w:r>
      <w:r>
        <w:rPr>
          <w:rStyle w:val="FootnoteAnchor"/>
          <w:rtl w:val="true"/>
        </w:rPr>
        <w:footnoteReference w:id="404"/>
      </w:r>
      <w:r>
        <w:rPr>
          <w:rFonts w:ascii="IRNazanin" w:hAnsi="IRNazanin" w:eastAsia="IRNazanin"/>
          <w:color w:val="111111"/>
          <w:sz w:val="28"/>
          <w:sz w:val="28"/>
          <w:szCs w:val="28"/>
          <w:rtl w:val="true"/>
          <w:lang w:bidi="fa-IR"/>
        </w:rPr>
        <w:t xml:space="preserve">لأهل الأرض،أُولئک من </w:t>
      </w:r>
      <w:r>
        <w:rPr>
          <w:rStyle w:val="FootnoteAnchor"/>
          <w:rtl w:val="true"/>
        </w:rPr>
        <w:footnoteReference w:id="405"/>
      </w:r>
      <w:r>
        <w:rPr>
          <w:rFonts w:ascii="IRNazanin" w:hAnsi="IRNazanin" w:eastAsia="IRNazanin"/>
          <w:color w:val="111111"/>
          <w:sz w:val="28"/>
          <w:sz w:val="28"/>
          <w:szCs w:val="28"/>
          <w:rtl w:val="true"/>
          <w:lang w:bidi="fa-IR"/>
        </w:rPr>
        <w:t xml:space="preserve">نورهم یوم القیامة </w:t>
      </w:r>
      <w:r>
        <w:rPr>
          <w:rStyle w:val="FootnoteAnchor"/>
          <w:rtl w:val="true"/>
        </w:rPr>
        <w:footnoteReference w:id="406"/>
      </w:r>
      <w:r>
        <w:rPr>
          <w:rFonts w:ascii="IRNazanin" w:hAnsi="IRNazanin" w:eastAsia="IRNazanin"/>
          <w:color w:val="111111"/>
          <w:sz w:val="28"/>
          <w:sz w:val="28"/>
          <w:szCs w:val="28"/>
          <w:rtl w:val="true"/>
          <w:lang w:bidi="fa-IR"/>
        </w:rPr>
        <w:t xml:space="preserve">تضیء القیامة </w:t>
      </w:r>
      <w:r>
        <w:rPr>
          <w:rStyle w:val="FootnoteAnchor"/>
          <w:rtl w:val="true"/>
        </w:rPr>
        <w:footnoteReference w:id="407"/>
      </w:r>
      <w:r>
        <w:rPr>
          <w:rFonts w:ascii="Amiri" w:hAnsi="Amiri" w:eastAsia="Amiri" w:cs="Amiri"/>
          <w:color w:val="111111"/>
          <w:sz w:val="28"/>
          <w:sz w:val="28"/>
          <w:szCs w:val="28"/>
          <w:rtl w:val="true"/>
          <w:lang w:bidi="ar-SA"/>
        </w:rPr>
        <w:t xml:space="preserve">،خلقوا و اللّه للجنة،و خلقت </w:t>
      </w:r>
      <w:r>
        <w:rPr>
          <w:rStyle w:val="FootnoteAnchor"/>
          <w:rtl w:val="true"/>
        </w:rPr>
        <w:footnoteReference w:id="408"/>
      </w:r>
      <w:r>
        <w:rPr>
          <w:rFonts w:ascii="IRNazanin" w:hAnsi="IRNazanin" w:eastAsia="IRNazanin"/>
          <w:color w:val="111111"/>
          <w:sz w:val="28"/>
          <w:sz w:val="28"/>
          <w:szCs w:val="28"/>
          <w:rtl w:val="true"/>
          <w:lang w:bidi="fa-IR"/>
        </w:rPr>
        <w:t xml:space="preserve">الجنة لهم فهنیئاً لهم </w:t>
      </w:r>
      <w:r>
        <w:rPr>
          <w:rStyle w:val="FootnoteAnchor"/>
          <w:rtl w:val="true"/>
        </w:rPr>
        <w:footnoteReference w:id="409"/>
      </w:r>
      <w:r>
        <w:rPr>
          <w:rFonts w:ascii="IRNazanin" w:hAnsi="IRNazanin" w:eastAsia="IRNazanin"/>
          <w:color w:val="111111"/>
          <w:sz w:val="28"/>
          <w:sz w:val="28"/>
          <w:szCs w:val="28"/>
          <w:rtl w:val="true"/>
          <w:lang w:bidi="fa-IR"/>
        </w:rPr>
        <w:t>،ما علی أحدکم أن لو شاء لنال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معهم فیسرّنا بإدخال السرور علی المؤمنین من شیعتنا </w:t>
      </w:r>
      <w:r>
        <w:rPr>
          <w:rStyle w:val="FootnoteAnchor"/>
          <w:rtl w:val="true"/>
        </w:rPr>
        <w:footnoteReference w:id="410"/>
      </w:r>
      <w:r>
        <w:rPr>
          <w:rFonts w:ascii="IRNazanin" w:hAnsi="IRNazanin" w:eastAsia="IRNazanin"/>
          <w:color w:val="111111"/>
          <w:sz w:val="28"/>
          <w:sz w:val="28"/>
          <w:szCs w:val="28"/>
          <w:rtl w:val="true"/>
          <w:lang w:bidi="fa-IR"/>
        </w:rPr>
        <w:t xml:space="preserve">،فکن منهم </w:t>
      </w:r>
      <w:r>
        <w:rPr>
          <w:rStyle w:val="FootnoteAnchor"/>
          <w:rtl w:val="true"/>
        </w:rPr>
        <w:footnoteReference w:id="411"/>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واجبة،و هی ما توقّف الأمر بالمعروف و النهی عن المنکر الواجبان علیه؛فإنّ ما لا یتمّ الواجب إلّا به واجب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کلمات جماعة عدم الوجوب فی هذه الصورة أیضاً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الأمر من قبل السلطان العادل جائز</w:t>
      </w:r>
    </w:p>
    <w:p>
      <w:pPr>
        <w:pStyle w:val="BookText"/>
        <w:rPr/>
      </w:pPr>
      <w:r>
        <w:rPr>
          <w:rFonts w:ascii="IRNazanin" w:hAnsi="IRNazanin" w:eastAsia="IRNazanin"/>
          <w:color w:val="111111"/>
          <w:sz w:val="28"/>
          <w:sz w:val="28"/>
          <w:szCs w:val="28"/>
          <w:rtl w:val="true"/>
          <w:lang w:bidi="fa-IR"/>
        </w:rPr>
        <w:t xml:space="preserve">مُرغَّب فیه،و ربما بلغ حدّ الوجوب؛لما فی ذلک من التمکّن من الأمر </w:t>
      </w:r>
      <w:r>
        <w:rPr>
          <w:rStyle w:val="FootnoteAnchor"/>
          <w:rtl w:val="true"/>
        </w:rPr>
        <w:footnoteReference w:id="413"/>
      </w:r>
      <w:r>
        <w:rPr>
          <w:rFonts w:ascii="IRNazanin" w:hAnsi="IRNazanin" w:eastAsia="IRNazanin"/>
          <w:color w:val="111111"/>
          <w:sz w:val="28"/>
          <w:sz w:val="28"/>
          <w:szCs w:val="28"/>
          <w:rtl w:val="true"/>
          <w:lang w:bidi="fa-IR"/>
        </w:rPr>
        <w:t xml:space="preserve">بالمعروف و النهی عن المنکر،و وضع الأشیاء مواقعها،و أمّا سلطان الجور، فمتی علم الإنسان أو غلب علی ظنه أنّه متی تولّی الأمر من قبله، أمکنه </w:t>
      </w:r>
      <w:r>
        <w:rPr>
          <w:rStyle w:val="FootnoteAnchor"/>
          <w:rtl w:val="true"/>
        </w:rPr>
        <w:footnoteReference w:id="414"/>
      </w:r>
      <w:r>
        <w:rPr>
          <w:rFonts w:ascii="IRNazanin" w:hAnsi="IRNazanin" w:eastAsia="IRNazanin"/>
          <w:color w:val="111111"/>
          <w:sz w:val="28"/>
          <w:sz w:val="28"/>
          <w:szCs w:val="28"/>
          <w:rtl w:val="true"/>
          <w:lang w:bidi="fa-IR"/>
        </w:rPr>
        <w:t xml:space="preserve">التوصّل إلی إقامة الحدود و الأمر بالمعروف و النهی عن المنکر و قسمة الأخماس و الصدقات فی أربابها و صلة الإخوان،و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ذلک </w:t>
      </w:r>
      <w:r>
        <w:rPr>
          <w:rStyle w:val="FootnoteAnchor"/>
          <w:rtl w:val="true"/>
        </w:rPr>
        <w:footnoteReference w:id="416"/>
      </w:r>
      <w:r>
        <w:rPr>
          <w:rFonts w:ascii="Amiri" w:hAnsi="Amiri" w:eastAsia="Amiri" w:cs="Amiri"/>
          <w:color w:val="111111"/>
          <w:sz w:val="28"/>
          <w:sz w:val="28"/>
          <w:szCs w:val="28"/>
          <w:rtl w:val="true"/>
          <w:lang w:bidi="ar-SA"/>
        </w:rPr>
        <w:t xml:space="preserve">مخلاًّ بواجب،و لا فاعلاً لقبیح،فإنّه یستحب </w:t>
      </w:r>
      <w:r>
        <w:rPr>
          <w:rStyle w:val="FootnoteAnchor"/>
          <w:rtl w:val="true"/>
        </w:rPr>
        <w:footnoteReference w:id="417"/>
      </w:r>
      <w:r>
        <w:rPr>
          <w:rFonts w:ascii="Amiri" w:hAnsi="Amiri" w:eastAsia="Amiri" w:cs="Amiri"/>
          <w:color w:val="111111"/>
          <w:sz w:val="28"/>
          <w:sz w:val="28"/>
          <w:szCs w:val="28"/>
          <w:rtl w:val="true"/>
          <w:lang w:bidi="ar-SA"/>
        </w:rPr>
        <w:t xml:space="preserve">له أن یتعرّض لتولّی الأمر من قِبَله </w:t>
      </w:r>
      <w:r>
        <w:rPr>
          <w:rStyle w:val="FootnoteAnchor"/>
          <w:rtl w:val="true"/>
        </w:rPr>
        <w:footnoteReference w:id="4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السلطان الجائر،فلا یجوز لأحدٍ أن یتولّی شیئاً من الأُمور مختاراً من قِبَله إلّا أن یعلم أو یغلب علی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عبارة النهایة بعینها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اعتماد ما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 علی الأمر بالمعروف و النهی عن المنکر </w:t>
      </w:r>
      <w:r>
        <w:rPr>
          <w:rStyle w:val="FootnoteAnchor"/>
          <w:rtl w:val="true"/>
        </w:rPr>
        <w:footnoteReference w:id="420"/>
      </w:r>
      <w:r>
        <w:rPr>
          <w:rFonts w:ascii="IRNazanin" w:hAnsi="IRNazanin" w:eastAsia="IRNazanin"/>
          <w:color w:val="111111"/>
          <w:sz w:val="28"/>
          <w:sz w:val="28"/>
          <w:szCs w:val="28"/>
          <w:rtl w:val="true"/>
          <w:lang w:bidi="fa-IR"/>
        </w:rPr>
        <w:t xml:space="preserve">استحبت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اعترف أنّ مقتضی ذلک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وجه عدم الوجوب کونه بصورة النائب عن الظالم </w:t>
      </w:r>
      <w:r>
        <w:rPr>
          <w:rStyle w:val="FootnoteAnchor"/>
          <w:rtl w:val="true"/>
        </w:rPr>
        <w:footnoteReference w:id="422"/>
      </w:r>
      <w:r>
        <w:rPr>
          <w:rFonts w:ascii="IRNazanin" w:hAnsi="IRNazanin" w:eastAsia="IRNazanin"/>
          <w:color w:val="111111"/>
          <w:sz w:val="28"/>
          <w:sz w:val="28"/>
          <w:szCs w:val="28"/>
          <w:rtl w:val="true"/>
          <w:lang w:bidi="fa-IR"/>
        </w:rPr>
        <w:t xml:space="preserve">،و عموم النهی عن الدخول معهم،و تسوید الاسم فی دیوانهم،فإذا لم یبلغ حدّ المنع فلا أقلّ من عدم الوجوب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ما فی ظاهره من الضعف کما اعترف به غیر واحد </w:t>
      </w:r>
      <w:r>
        <w:rPr>
          <w:rStyle w:val="FootnoteAnchor"/>
          <w:rtl w:val="true"/>
        </w:rPr>
        <w:footnoteReference w:id="424"/>
      </w:r>
      <w:r>
        <w:rPr>
          <w:rFonts w:ascii="IRNazanin" w:hAnsi="IRNazanin" w:eastAsia="IRNazanin"/>
          <w:color w:val="111111"/>
          <w:sz w:val="28"/>
          <w:sz w:val="28"/>
          <w:szCs w:val="28"/>
          <w:rtl w:val="true"/>
          <w:lang w:bidi="fa-IR"/>
        </w:rPr>
        <w:t>لأنّ الأمر بالمعروف واجب،فإذا لم یبلغ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بصورة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المنع،فلا مانع من </w:t>
      </w:r>
      <w:r>
        <w:rPr>
          <w:rStyle w:val="FootnoteAnchor"/>
          <w:rtl w:val="true"/>
        </w:rPr>
        <w:footnoteReference w:id="425"/>
      </w:r>
      <w:r>
        <w:rPr>
          <w:rFonts w:ascii="IRNazanin" w:hAnsi="IRNazanin" w:eastAsia="IRNazanin"/>
          <w:color w:val="111111"/>
          <w:sz w:val="28"/>
          <w:sz w:val="28"/>
          <w:szCs w:val="28"/>
          <w:rtl w:val="true"/>
          <w:lang w:bidi="fa-IR"/>
        </w:rPr>
        <w:t>الوجوب المقدّمی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بأنّ نفس الولایة قبیح محرّم؛لأنّها توجب إعلاء کلمة الباطل و تقویة شوکته،فإذا عارضها قبیح آخر و هو ترک الأمر بالمعروف و النهی عن المنکر،و لیس أحدهما أقلّ قبحاً من الآخر، فللمکلّف فعلها؛تحصیلاً لمصلحة الأمر بالمعروف،و ترکها دفعاً لمفسدة تسوید الاسم فی دیوانهم الموجب لإعلاء کلمتهم و قوّة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الحکم باستحباب اختیار أحدهما لمصلحة لم تبلغ حدّ الإلزام حتّی یجعل أحدهما أقلّ قبحاً،لیصیر واجباً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الفعل و الترک هنا لیس من باب عدم جریان</w:t>
      </w:r>
    </w:p>
    <w:p>
      <w:pPr>
        <w:pStyle w:val="BookText"/>
        <w:rPr/>
      </w:pPr>
      <w:r>
        <w:rPr>
          <w:rFonts w:ascii="IRNazanin" w:hAnsi="IRNazanin" w:eastAsia="IRNazanin"/>
          <w:color w:val="111111"/>
          <w:sz w:val="28"/>
          <w:sz w:val="28"/>
          <w:szCs w:val="28"/>
          <w:rtl w:val="true"/>
          <w:lang w:bidi="fa-IR"/>
        </w:rPr>
        <w:t xml:space="preserve">دلیل قبح الولایة،و تخصیص دلیله بغیر هذه الصورة </w:t>
      </w:r>
      <w:r>
        <w:rPr>
          <w:rStyle w:val="FootnoteAnchor"/>
          <w:rtl w:val="true"/>
        </w:rPr>
        <w:footnoteReference w:id="426"/>
      </w:r>
      <w:r>
        <w:rPr>
          <w:rFonts w:ascii="IRNazanin" w:hAnsi="IRNazanin" w:eastAsia="IRNazanin"/>
          <w:color w:val="111111"/>
          <w:sz w:val="28"/>
          <w:sz w:val="28"/>
          <w:szCs w:val="28"/>
          <w:rtl w:val="true"/>
          <w:lang w:bidi="fa-IR"/>
        </w:rPr>
        <w:t xml:space="preserve">،بل من باب مزاحمة قبحها بقبح ترک الأمر بالمعروف،فللمکلّف ملاحظة کلّ منهما و العمل بمقتضاه،نظیر تزاحم الحقّین فی غیر هذا </w:t>
      </w:r>
      <w:r>
        <w:rPr>
          <w:rStyle w:val="FootnoteAnchor"/>
          <w:rtl w:val="true"/>
        </w:rPr>
        <w:footnoteReference w:id="427"/>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w:t>
      </w:r>
      <w:r>
        <w:rPr>
          <w:rStyle w:val="FootnoteAnchor"/>
          <w:rtl w:val="true"/>
        </w:rPr>
        <w:footnoteReference w:id="428"/>
      </w:r>
      <w:r>
        <w:rPr>
          <w:rFonts w:ascii="IRNazanin" w:hAnsi="IRNazanin" w:eastAsia="IRNazanin"/>
          <w:color w:val="111111"/>
          <w:sz w:val="28"/>
          <w:sz w:val="28"/>
          <w:szCs w:val="28"/>
          <w:rtl w:val="true"/>
          <w:lang w:bidi="fa-IR"/>
        </w:rPr>
        <w:t>أشار إلیه الشهید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الوجوب فی ما نحن فیه حسن لو ثبت کون وجوب الأمر بالمعروف مطلقاً غیر مشروط بالقدرة،فیجب علیه تحصیلها من باب المقدمة،و لیس بثابت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ضعیف؛لأنّ عدم ثبوت اشتراط الوجوب بالقدرة الحالیّة العرفیّة کافٍ،مع إطلاق أدلّة الأمر بالمعروف السالم عن التقیید بما عدا القدرة العقلیة المفروضة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یتوهّم انصراف الإطلاقات الواردة </w:t>
      </w:r>
      <w:r>
        <w:rPr>
          <w:rStyle w:val="FootnoteAnchor"/>
          <w:rtl w:val="true"/>
        </w:rPr>
        <w:footnoteReference w:id="431"/>
      </w:r>
      <w:r>
        <w:rPr>
          <w:rFonts w:ascii="IRNazanin" w:hAnsi="IRNazanin" w:eastAsia="IRNazanin"/>
          <w:color w:val="111111"/>
          <w:sz w:val="28"/>
          <w:sz w:val="28"/>
          <w:szCs w:val="28"/>
          <w:rtl w:val="true"/>
          <w:lang w:bidi="fa-IR"/>
        </w:rPr>
        <w:t>إلی القدرة العرفیّة الغیر المحقّقة فی المقام،لکنّه تشکیک ابتدائی لا یضرّ بالإطلاقات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أضعف منه ما ذکره بعض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الاعتراض علی ما فی المسالک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توجیه </w:t>
      </w:r>
      <w:r>
        <w:rPr>
          <w:rStyle w:val="FootnoteAnchor"/>
          <w:rtl w:val="true"/>
        </w:rPr>
        <w:footnoteReference w:id="433"/>
      </w:r>
      <w:r>
        <w:rPr>
          <w:rFonts w:ascii="IRNazanin" w:hAnsi="IRNazanin" w:eastAsia="IRNazanin"/>
          <w:color w:val="111111"/>
          <w:sz w:val="28"/>
          <w:sz w:val="28"/>
          <w:szCs w:val="28"/>
          <w:rtl w:val="true"/>
          <w:lang w:bidi="fa-IR"/>
        </w:rPr>
        <w:t xml:space="preserve">عدم الوجوب بتعارض ما دلّ علی وجوب الأمر بالمعروف،و ما دلّ علی حرمة الولایة عن الجائر؛بناء علی حرمتها فی ذاتها،و النسبة عموم من وجه،فیجمع بینهما </w:t>
      </w:r>
      <w:r>
        <w:rPr>
          <w:rStyle w:val="FootnoteAnchor"/>
          <w:rtl w:val="true"/>
        </w:rPr>
        <w:footnoteReference w:id="434"/>
      </w:r>
      <w:r>
        <w:rPr>
          <w:rFonts w:ascii="IRNazanin" w:hAnsi="IRNazanin" w:eastAsia="IRNazanin"/>
          <w:color w:val="111111"/>
          <w:sz w:val="28"/>
          <w:sz w:val="28"/>
          <w:szCs w:val="28"/>
          <w:rtl w:val="true"/>
          <w:lang w:bidi="fa-IR"/>
        </w:rPr>
        <w:t xml:space="preserve">بالتخییر المقتضی للجواز؛رفعاً </w:t>
      </w:r>
      <w:r>
        <w:rPr>
          <w:rStyle w:val="FootnoteAnchor"/>
          <w:rtl w:val="true"/>
        </w:rPr>
        <w:footnoteReference w:id="435"/>
      </w:r>
      <w:r>
        <w:rPr>
          <w:rFonts w:ascii="IRNazanin" w:hAnsi="IRNazanin" w:eastAsia="IRNazanin"/>
          <w:color w:val="111111"/>
          <w:sz w:val="28"/>
          <w:sz w:val="28"/>
          <w:szCs w:val="28"/>
          <w:rtl w:val="true"/>
          <w:lang w:bidi="fa-IR"/>
        </w:rPr>
        <w:t xml:space="preserve">لقید المنع من الترک من أدلّة الوجوب،و قید المنع من </w:t>
      </w:r>
      <w:r>
        <w:rPr>
          <w:rStyle w:val="FootnoteAnchor"/>
          <w:rtl w:val="true"/>
        </w:rPr>
        <w:footnoteReference w:id="436"/>
      </w:r>
      <w:r>
        <w:rPr>
          <w:rFonts w:ascii="Amiri" w:hAnsi="Amiri" w:eastAsia="Amiri" w:cs="Amiri"/>
          <w:color w:val="111111"/>
          <w:sz w:val="28"/>
          <w:sz w:val="28"/>
          <w:szCs w:val="28"/>
          <w:rtl w:val="true"/>
          <w:lang w:bidi="ar-SA"/>
        </w:rPr>
        <w:t>الفعل من أدلّة الحرمة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الاستحباب فیستفاد حینئذٍ من ظهور الترغیب فیه فی </w:t>
      </w:r>
      <w:r>
        <w:rPr>
          <w:rStyle w:val="FootnoteAnchor"/>
          <w:rtl w:val="true"/>
        </w:rPr>
        <w:footnoteReference w:id="437"/>
      </w:r>
      <w:r>
        <w:rPr>
          <w:rFonts w:ascii="IRNazanin" w:hAnsi="IRNazanin" w:eastAsia="IRNazanin"/>
          <w:color w:val="111111"/>
          <w:sz w:val="28"/>
          <w:sz w:val="28"/>
          <w:szCs w:val="28"/>
          <w:rtl w:val="true"/>
          <w:lang w:bidi="fa-IR"/>
        </w:rPr>
        <w:t xml:space="preserve">خبر محمد بن إسماعیل </w:t>
      </w:r>
      <w:r>
        <w:rPr>
          <w:rStyle w:val="FootnoteAnchor"/>
          <w:rtl w:val="true"/>
        </w:rPr>
        <w:footnoteReference w:id="438"/>
      </w:r>
      <w:r>
        <w:rPr>
          <w:rFonts w:ascii="IRNazanin" w:hAnsi="IRNazanin" w:eastAsia="IRNazanin"/>
          <w:color w:val="111111"/>
          <w:sz w:val="28"/>
          <w:sz w:val="28"/>
          <w:szCs w:val="28"/>
          <w:rtl w:val="true"/>
          <w:lang w:bidi="fa-IR"/>
        </w:rPr>
        <w:t xml:space="preserve">و غیره </w:t>
      </w:r>
      <w:r>
        <w:rPr>
          <w:rStyle w:val="FootnoteAnchor"/>
          <w:rtl w:val="true"/>
        </w:rPr>
        <w:footnoteReference w:id="439"/>
      </w:r>
      <w:r>
        <w:rPr>
          <w:rFonts w:ascii="IRNazanin" w:hAnsi="IRNazanin" w:eastAsia="IRNazanin"/>
          <w:color w:val="111111"/>
          <w:sz w:val="28"/>
          <w:sz w:val="28"/>
          <w:szCs w:val="28"/>
          <w:rtl w:val="true"/>
          <w:lang w:bidi="fa-IR"/>
        </w:rPr>
        <w:t xml:space="preserve">،الذی هو أیضاً شاهد للجمع، خصوصاً بعد الاعتضاد بفتوی المشهور،و بذلک یرتفع إشکال عدم معقولیّة الجواز بالمعنی الأخص فی مقدمة الواجب؛ضرورة ارتفاع </w:t>
      </w:r>
      <w:r>
        <w:rPr>
          <w:rStyle w:val="FootnoteAnchor"/>
          <w:rtl w:val="true"/>
        </w:rPr>
        <w:footnoteReference w:id="440"/>
      </w:r>
      <w:r>
        <w:rPr>
          <w:rFonts w:ascii="Amiri" w:hAnsi="Amiri" w:eastAsia="Amiri" w:cs="Amiri"/>
          <w:color w:val="111111"/>
          <w:sz w:val="28"/>
          <w:sz w:val="28"/>
          <w:szCs w:val="28"/>
          <w:rtl w:val="true"/>
          <w:lang w:bidi="ar-SA"/>
        </w:rPr>
        <w:t xml:space="preserve">الوجوب للمعارضة؛إذ عدم </w:t>
      </w:r>
      <w:r>
        <w:rPr>
          <w:rStyle w:val="FootnoteAnchor"/>
          <w:rtl w:val="true"/>
        </w:rPr>
        <w:footnoteReference w:id="441"/>
      </w:r>
      <w:r>
        <w:rPr>
          <w:rFonts w:ascii="IRNazanin" w:hAnsi="IRNazanin" w:eastAsia="IRNazanin"/>
          <w:color w:val="111111"/>
          <w:sz w:val="28"/>
          <w:sz w:val="28"/>
          <w:szCs w:val="28"/>
          <w:rtl w:val="true"/>
          <w:lang w:bidi="fa-IR"/>
        </w:rPr>
        <w:t>المعقولیّة مسلّم فی ما لم یعارض فیه</w:t>
      </w:r>
    </w:p>
    <w:p>
      <w:pPr>
        <w:pStyle w:val="BookText"/>
        <w:rPr/>
      </w:pPr>
      <w:r>
        <w:rPr>
          <w:rFonts w:ascii="IRNazanin" w:hAnsi="IRNazanin" w:eastAsia="IRNazanin"/>
          <w:color w:val="111111"/>
          <w:sz w:val="28"/>
          <w:sz w:val="28"/>
          <w:szCs w:val="28"/>
          <w:rtl w:val="true"/>
          <w:lang w:bidi="fa-IR"/>
        </w:rPr>
        <w:t xml:space="preserve">مقتضی الوجوب </w:t>
      </w:r>
      <w:r>
        <w:rPr>
          <w:rStyle w:val="FootnoteAnchor"/>
          <w:rtl w:val="true"/>
        </w:rPr>
        <w:footnoteReference w:id="4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فی التعارض بالعموم من وجه هو التوقّف و الرجوع إلی الأُصول لا التخییر،کما قرّر فی محلّه </w:t>
      </w:r>
      <w:r>
        <w:rPr>
          <w:rStyle w:val="FootnoteAnchor"/>
          <w:rtl w:val="true"/>
        </w:rPr>
        <w:footnoteReference w:id="443"/>
      </w:r>
      <w:r>
        <w:rPr>
          <w:rFonts w:ascii="IRNazanin" w:hAnsi="IRNazanin" w:eastAsia="IRNazanin"/>
          <w:color w:val="111111"/>
          <w:sz w:val="28"/>
          <w:sz w:val="28"/>
          <w:szCs w:val="28"/>
          <w:rtl w:val="true"/>
          <w:lang w:bidi="fa-IR"/>
        </w:rPr>
        <w:t>،و مقتضاها إباحة الولایة؛للأصل،و وجوب الأمر بالمعروف؛لاستقلال العقل به کما ثبت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الحکم بالتخییر،فالتخییر الذی یصار إلیه عند تعارض الوجوب و التحریم هو التخییر الظاهری،و هو الأخذ بأحدهما بالتزام الفعل أو الترک،لا 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المتعارضان بالعموم من وجه،لا یمکن إلغاء ظاهر کلّ منهما مطلقاً،بل </w:t>
      </w:r>
      <w:r>
        <w:rPr>
          <w:rStyle w:val="FootnoteAnchor"/>
          <w:rtl w:val="true"/>
        </w:rPr>
        <w:footnoteReference w:id="444"/>
      </w:r>
      <w:r>
        <w:rPr>
          <w:rFonts w:ascii="IRNazanin" w:hAnsi="IRNazanin" w:eastAsia="IRNazanin"/>
          <w:color w:val="111111"/>
          <w:sz w:val="28"/>
          <w:sz w:val="28"/>
          <w:szCs w:val="28"/>
          <w:rtl w:val="true"/>
          <w:lang w:bidi="fa-IR"/>
        </w:rPr>
        <w:t xml:space="preserve">بالنسبة إلی مادة الاجتماع؛لوجوب إبقائهما علی ظاهرهما فی مادتی الافتراق،فیلزم </w:t>
      </w:r>
      <w:r>
        <w:rPr>
          <w:rStyle w:val="FootnoteAnchor"/>
          <w:rtl w:val="true"/>
        </w:rPr>
        <w:footnoteReference w:id="445"/>
      </w:r>
      <w:r>
        <w:rPr>
          <w:rFonts w:ascii="IRNazanin" w:hAnsi="IRNazanin" w:eastAsia="IRNazanin"/>
          <w:color w:val="111111"/>
          <w:sz w:val="28"/>
          <w:sz w:val="28"/>
          <w:szCs w:val="28"/>
          <w:rtl w:val="true"/>
          <w:lang w:bidi="fa-IR"/>
        </w:rPr>
        <w:t xml:space="preserve">استعمال کلّ من الأمر و النهی فی أدلّة الأمر بالمعروف،و النهی عن الولایة </w:t>
      </w:r>
      <w:r>
        <w:rPr>
          <w:rStyle w:val="FootnoteAnchor"/>
          <w:rtl w:val="true"/>
        </w:rPr>
        <w:footnoteReference w:id="446"/>
      </w:r>
      <w:r>
        <w:rPr>
          <w:rFonts w:ascii="IRNazanin" w:hAnsi="IRNazanin" w:eastAsia="IRNazanin"/>
          <w:color w:val="111111"/>
          <w:sz w:val="28"/>
          <w:sz w:val="28"/>
          <w:szCs w:val="28"/>
          <w:rtl w:val="true"/>
          <w:lang w:bidi="fa-IR"/>
        </w:rPr>
        <w:t>،فی الإلزام و الإباحة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دلیل الاستحباب أخصّ لا محالة من أدلّة التحریم، فتخصّص به،فلا ینظر بعد ذلک فی أدلّة </w:t>
      </w:r>
      <w:r>
        <w:rPr>
          <w:rStyle w:val="FootnoteAnchor"/>
          <w:rtl w:val="true"/>
        </w:rPr>
        <w:footnoteReference w:id="447"/>
      </w:r>
      <w:r>
        <w:rPr>
          <w:rFonts w:ascii="IRNazanin" w:hAnsi="IRNazanin" w:eastAsia="IRNazanin"/>
          <w:color w:val="111111"/>
          <w:sz w:val="28"/>
          <w:sz w:val="28"/>
          <w:szCs w:val="28"/>
          <w:rtl w:val="true"/>
          <w:lang w:bidi="fa-IR"/>
        </w:rPr>
        <w:t>التحریم،بل لا بدّ بعد ذلک</w:t>
      </w:r>
    </w:p>
    <w:p>
      <w:pPr>
        <w:pStyle w:val="BookText"/>
        <w:rPr/>
      </w:pPr>
      <w:r>
        <w:rPr>
          <w:rFonts w:ascii="IRNazanin" w:hAnsi="IRNazanin" w:eastAsia="IRNazanin"/>
          <w:color w:val="111111"/>
          <w:sz w:val="28"/>
          <w:sz w:val="28"/>
          <w:szCs w:val="28"/>
          <w:rtl w:val="true"/>
          <w:lang w:bidi="fa-IR"/>
        </w:rPr>
        <w:t>من ملاحظة النسبة بینه و بین أدلّة وجوب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المقرّر فی غیر مقام </w:t>
      </w:r>
      <w:r>
        <w:rPr>
          <w:rStyle w:val="FootnoteAnchor"/>
          <w:rtl w:val="true"/>
        </w:rPr>
        <w:footnoteReference w:id="448"/>
      </w:r>
      <w:r>
        <w:rPr>
          <w:rFonts w:ascii="IRNazanin" w:hAnsi="IRNazanin" w:eastAsia="IRNazanin"/>
          <w:color w:val="111111"/>
          <w:sz w:val="28"/>
          <w:sz w:val="28"/>
          <w:szCs w:val="28"/>
          <w:rtl w:val="true"/>
          <w:lang w:bidi="fa-IR"/>
        </w:rPr>
        <w:t xml:space="preserve">أنّ دلیل استحباب الشیء الذی قد یکون مقدمة لواجب </w:t>
      </w:r>
      <w:r>
        <w:rPr>
          <w:rStyle w:val="FootnoteAnchor"/>
          <w:rtl w:val="true"/>
        </w:rPr>
        <w:footnoteReference w:id="449"/>
      </w:r>
      <w:r>
        <w:rPr>
          <w:rFonts w:ascii="Amiri" w:hAnsi="Amiri" w:eastAsia="Amiri" w:cs="Amiri"/>
          <w:color w:val="111111"/>
          <w:sz w:val="28"/>
          <w:sz w:val="28"/>
          <w:szCs w:val="28"/>
          <w:rtl w:val="true"/>
          <w:lang w:bidi="ar-SA"/>
        </w:rPr>
        <w:t xml:space="preserve">لا یُعارض </w:t>
      </w:r>
      <w:r>
        <w:rPr>
          <w:rStyle w:val="FootnoteAnchor"/>
          <w:rtl w:val="true"/>
        </w:rPr>
        <w:footnoteReference w:id="450"/>
      </w:r>
      <w:r>
        <w:rPr>
          <w:rFonts w:ascii="IRNazanin" w:hAnsi="IRNazanin" w:eastAsia="IRNazanin"/>
          <w:color w:val="111111"/>
          <w:sz w:val="28"/>
          <w:sz w:val="28"/>
          <w:szCs w:val="28"/>
          <w:rtl w:val="true"/>
          <w:lang w:bidi="fa-IR"/>
        </w:rPr>
        <w:t xml:space="preserve">أدلّة وجوب ذلک الواجب، فلا وجه لجعله شاهداً علی الخروج عن مقتضاها؛لأنّ دلیل الاستحباب مسوق لبیان حکم الشیء فی نفسه،مع قطع النظر عن الملزِمات </w:t>
      </w:r>
      <w:r>
        <w:rPr>
          <w:rStyle w:val="FootnoteAnchor"/>
          <w:rtl w:val="true"/>
        </w:rPr>
        <w:footnoteReference w:id="451"/>
      </w:r>
      <w:r>
        <w:rPr>
          <w:rFonts w:ascii="IRNazanin" w:hAnsi="IRNazanin" w:eastAsia="IRNazanin"/>
          <w:color w:val="111111"/>
          <w:sz w:val="28"/>
          <w:sz w:val="28"/>
          <w:szCs w:val="28"/>
          <w:rtl w:val="true"/>
          <w:lang w:bidi="fa-IR"/>
        </w:rPr>
        <w:t>العرضیة،کصیرورته مقدمة لواجب أو مأموراً به لمن یجب إطاعته، أو منذوراً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فالأحسن فی توجیه کلام من عبّر بالجواز </w:t>
      </w:r>
      <w:r>
        <w:rPr>
          <w:rStyle w:val="FootnoteAnchor"/>
          <w:rtl w:val="true"/>
        </w:rPr>
        <w:footnoteReference w:id="452"/>
      </w:r>
      <w:r>
        <w:rPr>
          <w:rFonts w:ascii="IRNazanin" w:hAnsi="IRNazanin" w:eastAsia="IRNazanin"/>
          <w:color w:val="111111"/>
          <w:sz w:val="28"/>
          <w:sz w:val="28"/>
          <w:szCs w:val="28"/>
          <w:rtl w:val="true"/>
          <w:lang w:bidi="fa-IR"/>
        </w:rPr>
        <w:t xml:space="preserve">مع التمکن من الأمر بالمعروف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الجواز بالمعنی الأعم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عبّر بالاستحباب </w:t>
      </w:r>
      <w:r>
        <w:rPr>
          <w:rStyle w:val="FootnoteAnchor"/>
          <w:rtl w:val="true"/>
        </w:rPr>
        <w:footnoteReference w:id="454"/>
      </w:r>
      <w:r>
        <w:rPr>
          <w:rFonts w:ascii="IRNazanin" w:hAnsi="IRNazanin" w:eastAsia="IRNazanin"/>
          <w:color w:val="111111"/>
          <w:sz w:val="28"/>
          <w:sz w:val="28"/>
          <w:szCs w:val="28"/>
          <w:rtl w:val="true"/>
          <w:lang w:bidi="fa-IR"/>
        </w:rPr>
        <w:t>،فظاهره إرادة الاستحباب العینی الذی لا ینافی الوجوب الکفائی،لأجل الأمر بالمعروف الواجب کفایة،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تولّی القضاء لمن یثق من نفسه </w:t>
      </w:r>
      <w:r>
        <w:rPr>
          <w:rStyle w:val="FootnoteAnchor"/>
          <w:rtl w:val="true"/>
        </w:rPr>
        <w:footnoteReference w:id="455"/>
      </w:r>
      <w:r>
        <w:rPr>
          <w:rFonts w:ascii="IRNazanin" w:hAnsi="IRNazanin" w:eastAsia="IRNazanin"/>
          <w:color w:val="111111"/>
          <w:sz w:val="28"/>
          <w:sz w:val="28"/>
          <w:szCs w:val="28"/>
          <w:rtl w:val="true"/>
          <w:lang w:bidi="fa-IR"/>
        </w:rPr>
        <w:t>،مع أنّه واجب</w:t>
      </w:r>
    </w:p>
    <w:p>
      <w:pPr>
        <w:pStyle w:val="BookText"/>
        <w:rPr/>
      </w:pPr>
      <w:r>
        <w:rPr>
          <w:rFonts w:ascii="IRNazanin" w:hAnsi="IRNazanin" w:eastAsia="IRNazanin"/>
          <w:color w:val="111111"/>
          <w:sz w:val="28"/>
          <w:sz w:val="28"/>
          <w:szCs w:val="28"/>
          <w:rtl w:val="true"/>
          <w:lang w:bidi="fa-IR"/>
        </w:rPr>
        <w:t xml:space="preserve">کفائی </w:t>
      </w:r>
      <w:r>
        <w:rPr>
          <w:rStyle w:val="FootnoteAnchor"/>
          <w:rtl w:val="true"/>
        </w:rPr>
        <w:footnoteReference w:id="456"/>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کلامهم ما إذا لم یکن هنا معروف متروک یجب فعلاً الأمر به،أو منکر مفعول یجب النهی عنه کذلک،بل یعلم بحسب العادة تحقّق مورد الأمر بالمعروف و النهی عن المنکر بعد ذلک، و من المعلوم أنّه لا یجب تحصیل مقدّمتهما قبل تحقّق موردهما،خصوصاً مع عدم العلم بزمان تحقّقه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إشکال فی وجوب تحصیل الولایة إذا کان هناک معروف متروک،أو منکر مرکوب،یجب فعلاً الأمر بالأوّل،و النهی عن الثانی</w:t>
      </w:r>
      <w:r>
        <w:rPr>
          <w:rFonts w:eastAsia="IRNazanin" w:cs="IRNazanin"/>
          <w:color w:val="111111"/>
          <w:sz w:val="28"/>
          <w:szCs w:val="28"/>
          <w:rtl w:val="true"/>
          <w:lang w:bidi="fa-IR"/>
        </w:rPr>
        <w:t>.</w:t>
      </w:r>
      <w:bookmarkStart w:id="62" w:name="pg19674_191582"/>
    </w:p>
    <w:p>
      <w:pPr>
        <w:pStyle w:val="Heading6"/>
        <w:numPr>
          <w:ilvl w:val="5"/>
          <w:numId w:val="1"/>
        </w:numPr>
        <w:rPr/>
      </w:pPr>
      <w:bookmarkStart w:id="63" w:name="__RefHeading___Toc5027696_2314609296"/>
      <w:bookmarkStart w:id="64" w:name="_Toc24"/>
      <w:bookmarkEnd w:id="62"/>
      <w:bookmarkEnd w:id="63"/>
      <w:r>
        <w:rPr>
          <w:rtl w:val="true"/>
        </w:rPr>
        <w:t>الثانی ممّا یسوّغ الولایة الإکراه علیه بالتوعید</w:t>
      </w:r>
      <w:bookmarkEnd w:id="64"/>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ترکها من الجائر بما یوجب ضرراً بدنیاً أو مالیاً علیه،أو علی من یتعلق به بحیث یعدّ الإضرار به إضراراً به،و یکون تحمّل الضرر علیه شاقّاً علی النفس کالأب و الولد و من جری مجراهما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لا إشکال فی تسویغه ارتکاب الولایة المحرّمة فی نفسها؛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فی الاستثناء عن عموم لاٰ یَتَّخِذِ الْمُؤْمِنُونَ الْکٰافِرِینَ أَوْلِیٰاءَ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اکرهوا علیه</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 قد أحلّه اللّه لمن اضطرّ إلیه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لا یحصی کثرة من العمومات و ما یختصّ بالمقام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65" w:name="pg19674_191583"/>
    </w:p>
    <w:p>
      <w:pPr>
        <w:pStyle w:val="Heading5"/>
        <w:numPr>
          <w:ilvl w:val="4"/>
          <w:numId w:val="1"/>
        </w:numPr>
        <w:rPr/>
      </w:pPr>
      <w:bookmarkStart w:id="66" w:name="__RefHeading___Toc5027698_2314609296"/>
      <w:bookmarkStart w:id="67" w:name="_Toc25"/>
      <w:bookmarkEnd w:id="65"/>
      <w:bookmarkEnd w:id="66"/>
      <w:r>
        <w:rPr>
          <w:rtl w:val="true"/>
        </w:rPr>
        <w:t>و ینبغی التنبیه علی أُمور</w:t>
      </w:r>
      <w:r>
        <w:rPr>
          <w:rtl w:val="true"/>
        </w:rPr>
        <w:t>:</w:t>
      </w:r>
      <w:bookmarkEnd w:id="67"/>
    </w:p>
    <w:p>
      <w:pPr>
        <w:pStyle w:val="Heading6"/>
        <w:numPr>
          <w:ilvl w:val="5"/>
          <w:numId w:val="1"/>
        </w:numPr>
        <w:rPr/>
      </w:pPr>
      <w:bookmarkStart w:id="68" w:name="__RefHeading___Toc5027700_2314609296"/>
      <w:bookmarkStart w:id="69" w:name="_Toc26"/>
      <w:bookmarkEnd w:id="68"/>
      <w:r>
        <w:rPr>
          <w:rtl w:val="true"/>
        </w:rPr>
        <w:t>الأوّل أنّه کما یباح بالإکراه نفس الولایة المحرّمة،کذلک یباح به ما یلزمها من المحرّمات الأُخر</w:t>
      </w:r>
      <w:bookmarkEnd w:id="69"/>
    </w:p>
    <w:p>
      <w:pPr>
        <w:pStyle w:val="BookText"/>
        <w:rPr/>
      </w:pPr>
      <w:r>
        <w:rPr>
          <w:rFonts w:ascii="IRNazanin" w:hAnsi="IRNazanin" w:eastAsia="IRNazanin"/>
          <w:color w:val="111111"/>
          <w:sz w:val="28"/>
          <w:sz w:val="28"/>
          <w:szCs w:val="28"/>
          <w:rtl w:val="true"/>
          <w:lang w:bidi="fa-IR"/>
        </w:rPr>
        <w:t xml:space="preserve">و ما یتفق فی خلالها،ممّا یصدر الأمر به من السلطان الجائر،ما عدا إراقة الدم إذا لم یمکن التفصّی عنه، و لا إشکال فی ذلک،إنّما الإشکال فی أنّ ما یرجع إلی الإضرار بالغیر من نهب الأموال و هتک الأعراض،و غیر ذلک من العظائم هل یباح </w:t>
      </w:r>
      <w:r>
        <w:rPr>
          <w:rStyle w:val="FootnoteAnchor"/>
          <w:rtl w:val="true"/>
        </w:rPr>
        <w:footnoteReference w:id="463"/>
      </w:r>
      <w:r>
        <w:rPr>
          <w:rFonts w:ascii="IRNazanin" w:hAnsi="IRNazanin" w:eastAsia="IRNazanin"/>
          <w:color w:val="111111"/>
          <w:sz w:val="28"/>
          <w:sz w:val="28"/>
          <w:szCs w:val="28"/>
          <w:rtl w:val="true"/>
          <w:lang w:bidi="fa-IR"/>
        </w:rPr>
        <w:t xml:space="preserve">کلّ ذلک بالإکراه و لو کان الضرر المتوعّد به علی ترک المکره علیه أقلّ بمراتب من الضرر المکره علیه </w:t>
      </w:r>
      <w:r>
        <w:rPr>
          <w:rStyle w:val="FootnoteAnchor"/>
          <w:rtl w:val="true"/>
        </w:rPr>
        <w:footnoteReference w:id="464"/>
      </w:r>
      <w:r>
        <w:rPr>
          <w:rFonts w:ascii="IRNazanin" w:hAnsi="IRNazanin" w:eastAsia="IRNazanin"/>
          <w:color w:val="111111"/>
          <w:sz w:val="28"/>
          <w:sz w:val="28"/>
          <w:szCs w:val="28"/>
          <w:rtl w:val="true"/>
          <w:lang w:bidi="fa-IR"/>
        </w:rPr>
        <w:t xml:space="preserve">،کما إذا خاف علی عرضه من کلمة خشنة لا تلیق به </w:t>
      </w:r>
      <w:r>
        <w:rPr>
          <w:rStyle w:val="FootnoteAnchor"/>
          <w:rtl w:val="true"/>
        </w:rPr>
        <w:footnoteReference w:id="465"/>
      </w:r>
      <w:r>
        <w:rPr>
          <w:rFonts w:ascii="IRNazanin" w:hAnsi="IRNazanin" w:eastAsia="IRNazanin"/>
          <w:color w:val="111111"/>
          <w:sz w:val="28"/>
          <w:sz w:val="28"/>
          <w:szCs w:val="28"/>
          <w:rtl w:val="true"/>
          <w:lang w:bidi="fa-IR"/>
        </w:rPr>
        <w:t>،فهل یباح بذلک أعراض الناس و أموالهم و لو بلغت ما بلغت کثرة و عظمة،أم لا بدّ من ملاحظة الضررین و الترجیح بینهما؟وجهان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إطلاق أدلّة الإکراه،و أنّ الضرورات تبیح المحظورات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المستفاد من أدلّة الإکراه تشریعه لدفع الضرر،فلا یجوز </w:t>
      </w:r>
      <w:r>
        <w:rPr>
          <w:rStyle w:val="FootnoteAnchor"/>
          <w:rtl w:val="true"/>
        </w:rPr>
        <w:footnoteReference w:id="467"/>
      </w:r>
      <w:r>
        <w:rPr>
          <w:rFonts w:ascii="IRNazanin" w:hAnsi="IRNazanin" w:eastAsia="IRNazanin"/>
          <w:color w:val="111111"/>
          <w:sz w:val="28"/>
          <w:sz w:val="28"/>
          <w:szCs w:val="28"/>
          <w:rtl w:val="true"/>
          <w:lang w:bidi="fa-IR"/>
        </w:rPr>
        <w:t>دفع الضرر بالإضرار بالغیر و لو کان ضرر الغیر أدون،فضلاً عن أن</w:t>
      </w:r>
    </w:p>
    <w:p>
      <w:pPr>
        <w:pStyle w:val="BookText"/>
        <w:rPr/>
      </w:pPr>
      <w:r>
        <w:rPr>
          <w:rFonts w:ascii="IRNazanin" w:hAnsi="IRNazanin" w:eastAsia="IRNazanin"/>
          <w:color w:val="111111"/>
          <w:sz w:val="28"/>
          <w:sz w:val="28"/>
          <w:szCs w:val="28"/>
          <w:rtl w:val="true"/>
          <w:lang w:bidi="fa-IR"/>
        </w:rPr>
        <w:t>یکون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 رفع الإکراه و رفع الاضطرار،مسوق للامتنان علی جنس الأُمّة،و لا حسن فی الامتنان علی بعضهم بترخیصه فی الإضرار بالبعض الآخر،فإذا توقّف دفع الضرر عن نفسه علی الإضرار </w:t>
      </w:r>
      <w:r>
        <w:rPr>
          <w:rStyle w:val="FootnoteAnchor"/>
          <w:rtl w:val="true"/>
        </w:rPr>
        <w:footnoteReference w:id="468"/>
      </w:r>
      <w:r>
        <w:rPr>
          <w:rFonts w:ascii="IRNazanin" w:hAnsi="IRNazanin" w:eastAsia="IRNazanin"/>
          <w:color w:val="111111"/>
          <w:sz w:val="28"/>
          <w:sz w:val="28"/>
          <w:szCs w:val="28"/>
          <w:rtl w:val="true"/>
          <w:lang w:bidi="fa-IR"/>
        </w:rPr>
        <w:t>بالغیر لم یجز و وجب تحمّل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الأقوی هو الأوّل؛لعموم دلیل نفی الإکراه لجمیع المحرّمات حتّی الإضرار بالغیر ما لم یبلغ الدم،و عموم نفی الحرج </w:t>
      </w:r>
      <w:r>
        <w:rPr>
          <w:rStyle w:val="FootnoteAnchor"/>
          <w:rtl w:val="true"/>
        </w:rPr>
        <w:footnoteReference w:id="469"/>
      </w:r>
      <w:r>
        <w:rPr>
          <w:rFonts w:ascii="IRNazanin" w:hAnsi="IRNazanin" w:eastAsia="IRNazanin"/>
          <w:color w:val="111111"/>
          <w:sz w:val="28"/>
          <w:sz w:val="28"/>
          <w:szCs w:val="28"/>
          <w:rtl w:val="true"/>
          <w:lang w:bidi="fa-IR"/>
        </w:rPr>
        <w:t>فإنّ إلزام الغیر تحمّل الضرر و ترک ما اکره علیه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جُعلت التقیة لتحقن بها </w:t>
      </w:r>
      <w:r>
        <w:rPr>
          <w:rStyle w:val="FootnoteAnchor"/>
          <w:rtl w:val="true"/>
        </w:rPr>
        <w:footnoteReference w:id="470"/>
      </w:r>
      <w:r>
        <w:rPr>
          <w:rFonts w:ascii="IRNazanin" w:hAnsi="IRNazanin" w:eastAsia="IRNazanin"/>
          <w:color w:val="111111"/>
          <w:sz w:val="28"/>
          <w:sz w:val="28"/>
          <w:szCs w:val="28"/>
          <w:rtl w:val="true"/>
          <w:lang w:bidi="fa-IR"/>
        </w:rPr>
        <w:t>الدماء،فإذا بلغ الدم فلا تقیة</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،حیث إنّه دلّ علی أنّ حدّ التقیة بلوغ الدم،فتشرع لما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استفادة کون نفی الإکراه لدفع الضرر،فهو مسلّم،بمعنی دفع توجّه الضرر و حدوث مقتضیه،لا بمعنی دفع الضرر المتوجّه بعد حصول مقتضیه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توجّه الضرر إلی شخص بمعنی حصول مقتضیه،فدفعه عنه بالإضرار بغیره غیر لازم،بل غیر جائز فی الجملة، فإذا توجّه ضرر علی المکلّف بإجباره علی مال </w:t>
      </w:r>
      <w:r>
        <w:rPr>
          <w:rStyle w:val="FootnoteAnchor"/>
          <w:rtl w:val="true"/>
        </w:rPr>
        <w:footnoteReference w:id="472"/>
      </w:r>
      <w:r>
        <w:rPr>
          <w:rFonts w:ascii="Amiri" w:hAnsi="Amiri" w:eastAsia="Amiri" w:cs="Amiri"/>
          <w:color w:val="111111"/>
          <w:sz w:val="28"/>
          <w:sz w:val="28"/>
          <w:szCs w:val="28"/>
          <w:rtl w:val="true"/>
          <w:lang w:bidi="ar-SA"/>
        </w:rPr>
        <w:t>و فرض أنّ نهب</w:t>
      </w:r>
    </w:p>
    <w:p>
      <w:pPr>
        <w:pStyle w:val="BookText"/>
        <w:rPr/>
      </w:pPr>
      <w:r>
        <w:rPr>
          <w:rFonts w:ascii="IRNazanin" w:hAnsi="IRNazanin" w:eastAsia="IRNazanin"/>
          <w:color w:val="111111"/>
          <w:sz w:val="28"/>
          <w:sz w:val="28"/>
          <w:szCs w:val="28"/>
          <w:rtl w:val="true"/>
          <w:lang w:bidi="fa-IR"/>
        </w:rPr>
        <w:t xml:space="preserve">مال الغیر دافع له،فلا یجوز للمجبور نهب مال غیره لدفع الجبر </w:t>
      </w:r>
      <w:r>
        <w:rPr>
          <w:rStyle w:val="FootnoteAnchor"/>
          <w:rtl w:val="true"/>
        </w:rPr>
        <w:footnoteReference w:id="473"/>
      </w:r>
      <w:r>
        <w:rPr>
          <w:rFonts w:ascii="IRNazanin" w:hAnsi="IRNazanin" w:eastAsia="IRNazanin"/>
          <w:color w:val="111111"/>
          <w:sz w:val="28"/>
          <w:sz w:val="28"/>
          <w:szCs w:val="28"/>
          <w:rtl w:val="true"/>
          <w:lang w:bidi="fa-IR"/>
        </w:rPr>
        <w:t>عن نفسه،و کذلک إذا أُکره علی نهب مال غیره،فلا یجب تحمّل الضرر بترک النهب لدفع الضرر المتوجّه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کما یسوغ النهب فی الثانی لکونه مکرهاً علیه فیرتفع حرمته، کذلک یسوغ فی الأوّل لکونه مضطراً إلیه،أ لا تری أنّه لو توقّف دفع الضرر علی محرّم آخر غیر الإضرار بالغیر کالإفطار فی شهر رمضان أو ترک الصلاة أو غیرهما،ساغ له ذلک المحرّم،و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بالغیر من المحرّمات،فکما یرتفع حرمته بالإکراه کذلک ترتفع بالاضطرار؛ لأنّ نسبة الرفع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 المثالین فی الصغری بعد اشتراکهما فی الکبری المتقدّمة و هی أنّ الضرر المتوجّه إلی شخص لا یجب دفعه بالإضرار بغیره بأنّ الضرر فی الأوّل متوجّه إلی نفس الشخص،فدفعه عن نفسه بالإضرار بالغیر غیر جائز،و عموم رفع ما اضطروا إلیه لا یشمل الإضرار بالغیر المضطرّ إلیه؛لأنّه مسوق للامتنان علی الأُمّة،فترخیص بعضهم فی الإضرار بالآخر لدفع الضرر عن نفسه و صرف الضرر </w:t>
      </w:r>
      <w:r>
        <w:rPr>
          <w:rStyle w:val="FootnoteAnchor"/>
          <w:rtl w:val="true"/>
        </w:rPr>
        <w:footnoteReference w:id="474"/>
      </w:r>
      <w:r>
        <w:rPr>
          <w:rFonts w:ascii="IRNazanin" w:hAnsi="IRNazanin" w:eastAsia="IRNazanin"/>
          <w:color w:val="111111"/>
          <w:sz w:val="28"/>
          <w:sz w:val="28"/>
          <w:szCs w:val="28"/>
          <w:rtl w:val="true"/>
          <w:lang w:bidi="fa-IR"/>
        </w:rPr>
        <w:t xml:space="preserve">إلی غیره،منافٍ للامتنان،بل یشبه الترجیح بلا مرجّح،فعموم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الرفع مختصّ بغیر الإضرار بالغیر من المحرّمات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فالضرر فیه أوّلاً و بالذات متوجّه إلی الغیر بحسب</w:t>
      </w:r>
    </w:p>
    <w:p>
      <w:pPr>
        <w:pStyle w:val="BookText"/>
        <w:rPr/>
      </w:pPr>
      <w:r>
        <w:rPr>
          <w:rFonts w:ascii="IRNazanin" w:hAnsi="IRNazanin" w:eastAsia="IRNazanin"/>
          <w:color w:val="111111"/>
          <w:sz w:val="28"/>
          <w:sz w:val="28"/>
          <w:szCs w:val="28"/>
          <w:rtl w:val="true"/>
          <w:lang w:bidi="fa-IR"/>
        </w:rPr>
        <w:t>إلزام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إرادته </w:t>
      </w:r>
      <w:r>
        <w:rPr>
          <w:rStyle w:val="FootnoteAnchor"/>
          <w:rtl w:val="true"/>
        </w:rPr>
        <w:footnoteReference w:id="475"/>
      </w:r>
      <w:r>
        <w:rPr>
          <w:rFonts w:ascii="IRNazanin" w:hAnsi="IRNazanin" w:eastAsia="IRNazanin"/>
          <w:color w:val="111111"/>
          <w:sz w:val="28"/>
          <w:sz w:val="28"/>
          <w:szCs w:val="28"/>
          <w:rtl w:val="true"/>
          <w:lang w:bidi="fa-IR"/>
        </w:rPr>
        <w:t>الحتمیّة،و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مباشراً إلّا أنّه ضعیف لا ینسب إلیه توجیه الضرر إلی الغیر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أضرّ بالغیر لئلّا یتضرّر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تحمّل الضرر و لم یضرّ بالغیر فقد صرف الضرر عن الغیر إلی نفسه عرفاً،لکن الشارع لم یوجب هذا،و الامتنان بهذا علی بعض الأُمّة لا قبح فیه،کما أنّه لو أراد ثالث الإضرار بالغیر لم یجب علی الغیر تحمّل الضرر و صرفه عنه إلی نفسه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کلّه،مع أنّ أدلّة نفی الحرج </w:t>
      </w:r>
      <w:r>
        <w:rPr>
          <w:rStyle w:val="FootnoteAnchor"/>
          <w:rtl w:val="true"/>
        </w:rPr>
        <w:footnoteReference w:id="476"/>
      </w:r>
      <w:r>
        <w:rPr>
          <w:rFonts w:ascii="IRNazanin" w:hAnsi="IRNazanin" w:eastAsia="IRNazanin"/>
          <w:color w:val="111111"/>
          <w:sz w:val="28"/>
          <w:sz w:val="28"/>
          <w:szCs w:val="28"/>
          <w:rtl w:val="true"/>
          <w:lang w:bidi="fa-IR"/>
        </w:rPr>
        <w:t xml:space="preserve">کافیة فی الفرق بین المقامین؛ فإنّه لا حرج فی أن لا یرخّص الشارع دفع </w:t>
      </w:r>
      <w:r>
        <w:rPr>
          <w:rStyle w:val="FootnoteAnchor"/>
          <w:rtl w:val="true"/>
        </w:rPr>
        <w:footnoteReference w:id="477"/>
      </w:r>
      <w:r>
        <w:rPr>
          <w:rFonts w:ascii="IRNazanin" w:hAnsi="IRNazanin" w:eastAsia="IRNazanin"/>
          <w:color w:val="111111"/>
          <w:sz w:val="28"/>
          <w:sz w:val="28"/>
          <w:szCs w:val="28"/>
          <w:rtl w:val="true"/>
          <w:lang w:bidi="fa-IR"/>
        </w:rPr>
        <w:t>الضرر عن أحد بالإضرار بغیره،بخلاف ما لو ألزم الشارع الإضرار علی نفسه لدفع الضرر المتوجّه إلی الغیر؛فإنّه حرج قطعاً</w:t>
      </w:r>
      <w:r>
        <w:rPr>
          <w:rFonts w:eastAsia="IRNazanin" w:cs="IRNazanin"/>
          <w:color w:val="111111"/>
          <w:sz w:val="28"/>
          <w:szCs w:val="28"/>
          <w:rtl w:val="true"/>
          <w:lang w:bidi="fa-IR"/>
        </w:rPr>
        <w:t>.</w:t>
      </w:r>
      <w:bookmarkStart w:id="70" w:name="pg19674_191587"/>
    </w:p>
    <w:p>
      <w:pPr>
        <w:pStyle w:val="Heading6"/>
        <w:numPr>
          <w:ilvl w:val="5"/>
          <w:numId w:val="1"/>
        </w:numPr>
        <w:rPr/>
      </w:pPr>
      <w:bookmarkStart w:id="71" w:name="__RefHeading___Toc5027702_2314609296"/>
      <w:bookmarkStart w:id="72" w:name="_Toc27"/>
      <w:bookmarkEnd w:id="70"/>
      <w:bookmarkEnd w:id="71"/>
      <w:r>
        <w:rPr>
          <w:rtl w:val="true"/>
        </w:rPr>
        <w:t>الثانی أنّ الإکراه یتحقّق بالتوعّد بالضرر علی ترک المکرَه علیه،</w:t>
      </w:r>
      <w:bookmarkEnd w:id="72"/>
    </w:p>
    <w:p>
      <w:pPr>
        <w:pStyle w:val="BookText"/>
        <w:rPr/>
      </w:pPr>
      <w:r>
        <w:rPr>
          <w:rFonts w:ascii="IRNazanin" w:hAnsi="IRNazanin" w:eastAsia="IRNazanin"/>
          <w:color w:val="111111"/>
          <w:sz w:val="28"/>
          <w:sz w:val="28"/>
          <w:szCs w:val="28"/>
          <w:rtl w:val="true"/>
          <w:lang w:bidi="fa-IR"/>
        </w:rPr>
        <w:t>ضرراً متعلّقاً بنفسه أو ماله أو عرضه أو بأهله،ممّن یکون ضرره راجعاً إلی تضرّره و تألّمه،و أمّا إذا لم یترتّب علی ترک المکرَه علیه إلّا الضرر علی بعض المؤمنین ممّن یعدّ أجنبیاً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لا یعدّ ذلک إکراهاً عرفاً؛إذ لا خوف له یحمله علی فعل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الإکراه بصورة خوف لحوق الضرر بالمکره نفسه،أو بمن یجری مجراه کالأب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فی الشرائع </w:t>
      </w:r>
      <w:r>
        <w:rPr>
          <w:rStyle w:val="FootnoteAnchor"/>
          <w:rtl w:val="true"/>
        </w:rPr>
        <w:footnoteReference w:id="478"/>
      </w:r>
      <w:r>
        <w:rPr>
          <w:rFonts w:ascii="IRNazanin" w:hAnsi="IRNazanin" w:eastAsia="IRNazanin"/>
          <w:color w:val="111111"/>
          <w:sz w:val="28"/>
          <w:sz w:val="28"/>
          <w:szCs w:val="28"/>
          <w:rtl w:val="true"/>
          <w:lang w:bidi="fa-IR"/>
        </w:rPr>
        <w:t xml:space="preserve">و التحریر </w:t>
      </w:r>
      <w:r>
        <w:rPr>
          <w:rStyle w:val="FootnoteAnchor"/>
          <w:rtl w:val="true"/>
        </w:rPr>
        <w:footnoteReference w:id="479"/>
      </w:r>
      <w:r>
        <w:rPr>
          <w:rFonts w:ascii="Amiri" w:hAnsi="Amiri" w:eastAsia="Amiri" w:cs="Amiri"/>
          <w:color w:val="111111"/>
          <w:sz w:val="28"/>
          <w:sz w:val="28"/>
          <w:szCs w:val="28"/>
          <w:rtl w:val="true"/>
          <w:lang w:bidi="ar-SA"/>
        </w:rPr>
        <w:t xml:space="preserve">و الروضة </w:t>
      </w:r>
      <w:r>
        <w:rPr>
          <w:rStyle w:val="FootnoteAnchor"/>
          <w:rtl w:val="true"/>
        </w:rPr>
        <w:footnoteReference w:id="480"/>
      </w:r>
      <w:r>
        <w:rPr>
          <w:rFonts w:ascii="IRNazanin" w:hAnsi="IRNazanin" w:eastAsia="IRNazanin"/>
          <w:color w:val="111111"/>
          <w:sz w:val="28"/>
          <w:sz w:val="28"/>
          <w:szCs w:val="28"/>
          <w:rtl w:val="true"/>
          <w:lang w:bidi="fa-IR"/>
        </w:rPr>
        <w:t xml:space="preserve">و غیرها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خاف علی بعض المؤمنین جاز له قبول الولایة المحرّمة،بل غیرها من المحرّمات الإلٰهیة التی أعظمها التبرّی من أئمة الدین صلوات اللّه علیهم أجمعین؛ لقیام الدلیل علی وجوب مراعاة المؤمنین و عدم تعریضهم للضرر،مثل ما فی الاحتجاج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تبرأ </w:t>
      </w:r>
      <w:r>
        <w:rPr>
          <w:rStyle w:val="FootnoteAnchor"/>
          <w:rtl w:val="true"/>
        </w:rPr>
        <w:footnoteReference w:id="482"/>
      </w:r>
      <w:r>
        <w:rPr>
          <w:rFonts w:ascii="IRNazanin" w:hAnsi="IRNazanin" w:eastAsia="IRNazanin"/>
          <w:color w:val="111111"/>
          <w:sz w:val="28"/>
          <w:sz w:val="28"/>
          <w:szCs w:val="28"/>
          <w:rtl w:val="true"/>
          <w:lang w:bidi="fa-IR"/>
        </w:rPr>
        <w:t xml:space="preserve">منا ساعة بلسانک و أنت موالٍ لنا بجنانک لتبقی علی نفسک روحها التی بها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قوامها،و مالها الذی بها قیامها </w:t>
      </w:r>
      <w:r>
        <w:rPr>
          <w:rStyle w:val="FootnoteAnchor"/>
          <w:rtl w:val="true"/>
        </w:rPr>
        <w:footnoteReference w:id="484"/>
      </w:r>
      <w:r>
        <w:rPr>
          <w:rFonts w:ascii="IRNazanin" w:hAnsi="IRNazanin" w:eastAsia="IRNazanin"/>
          <w:color w:val="111111"/>
          <w:sz w:val="28"/>
          <w:sz w:val="28"/>
          <w:szCs w:val="28"/>
          <w:rtl w:val="true"/>
          <w:lang w:bidi="fa-IR"/>
        </w:rPr>
        <w:t xml:space="preserve">،و جاهها الذی به تمسکها </w:t>
      </w:r>
      <w:r>
        <w:rPr>
          <w:rStyle w:val="FootnoteAnchor"/>
          <w:rtl w:val="true"/>
        </w:rPr>
        <w:footnoteReference w:id="485"/>
      </w:r>
      <w:r>
        <w:rPr>
          <w:rFonts w:ascii="IRNazanin" w:hAnsi="IRNazanin" w:eastAsia="IRNazanin"/>
          <w:color w:val="111111"/>
          <w:sz w:val="28"/>
          <w:sz w:val="28"/>
          <w:szCs w:val="28"/>
          <w:rtl w:val="true"/>
          <w:lang w:bidi="fa-IR"/>
        </w:rPr>
        <w:t xml:space="preserve">،و تصون من عُرف بذلک من أولیائنا و إخوانک </w:t>
      </w:r>
      <w:r>
        <w:rPr>
          <w:rStyle w:val="FootnoteAnchor"/>
          <w:rtl w:val="true"/>
        </w:rPr>
        <w:footnoteReference w:id="486"/>
      </w:r>
      <w:r>
        <w:rPr>
          <w:rFonts w:ascii="IRNazanin" w:hAnsi="IRNazanin" w:eastAsia="IRNazanin"/>
          <w:color w:val="111111"/>
          <w:sz w:val="28"/>
          <w:sz w:val="28"/>
          <w:szCs w:val="28"/>
          <w:rtl w:val="true"/>
          <w:lang w:bidi="fa-IR"/>
        </w:rPr>
        <w:t xml:space="preserve">فإنّ ذلک أفضل من أن تتعرّض للهلاک،و تنقطع به عن عملک فی الدین </w:t>
      </w:r>
      <w:r>
        <w:rPr>
          <w:rStyle w:val="FootnoteAnchor"/>
          <w:rtl w:val="true"/>
        </w:rPr>
        <w:footnoteReference w:id="487"/>
      </w:r>
      <w:r>
        <w:rPr>
          <w:rFonts w:ascii="IRNazanin" w:hAnsi="IRNazanin" w:eastAsia="IRNazanin"/>
          <w:color w:val="111111"/>
          <w:sz w:val="28"/>
          <w:sz w:val="28"/>
          <w:szCs w:val="28"/>
          <w:rtl w:val="true"/>
          <w:lang w:bidi="fa-IR"/>
        </w:rPr>
        <w:t>و صلاح إخوانک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ثمّ إیّاک أن تترک التقیّة التی أمرتک بها،فإنّک شائط بدمک و دماء إخوانک،معرض بنعمتک و نعمهم </w:t>
      </w:r>
      <w:r>
        <w:rPr>
          <w:rStyle w:val="FootnoteAnchor"/>
          <w:rtl w:val="true"/>
        </w:rPr>
        <w:footnoteReference w:id="488"/>
      </w:r>
      <w:r>
        <w:rPr>
          <w:rFonts w:ascii="IRNazanin" w:hAnsi="IRNazanin" w:eastAsia="IRNazanin"/>
          <w:color w:val="111111"/>
          <w:sz w:val="28"/>
          <w:sz w:val="28"/>
          <w:szCs w:val="28"/>
          <w:rtl w:val="true"/>
          <w:lang w:bidi="fa-IR"/>
        </w:rPr>
        <w:t xml:space="preserve">للزوال،مذلّ لهم فی أیدی أعداء دین اللّه،و قد أمرک اللّه </w:t>
      </w:r>
      <w:r>
        <w:rPr>
          <w:rStyle w:val="FootnoteAnchor"/>
          <w:rtl w:val="true"/>
        </w:rPr>
        <w:footnoteReference w:id="489"/>
      </w:r>
      <w:r>
        <w:rPr>
          <w:rFonts w:ascii="IRNazanin" w:hAnsi="IRNazanin" w:eastAsia="IRNazanin"/>
          <w:color w:val="111111"/>
          <w:sz w:val="28"/>
          <w:sz w:val="28"/>
          <w:szCs w:val="28"/>
          <w:rtl w:val="true"/>
          <w:lang w:bidi="fa-IR"/>
        </w:rPr>
        <w:t xml:space="preserve">بإعزازهم،فإنّک إن خالفت وصیّتی کان ضررک علی إخوانک و نفسک </w:t>
      </w:r>
      <w:r>
        <w:rPr>
          <w:rStyle w:val="FootnoteAnchor"/>
          <w:rtl w:val="true"/>
        </w:rPr>
        <w:footnoteReference w:id="490"/>
      </w:r>
      <w:r>
        <w:rPr>
          <w:rFonts w:ascii="IRNazanin" w:hAnsi="IRNazanin" w:eastAsia="IRNazanin"/>
          <w:color w:val="111111"/>
          <w:sz w:val="28"/>
          <w:sz w:val="28"/>
          <w:szCs w:val="28"/>
          <w:rtl w:val="true"/>
          <w:lang w:bidi="fa-IR"/>
        </w:rPr>
        <w:t>أشدّ من ضرر الناصب لنا، الکافر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أنّه لا یباح بهذا النحو من التقیّة الإضرار بالغیر؛ لعدم شمول أدلّة الإکراه لهذا؛لما عرفت من عدم تحقّقه مع عدم لحوق ضرر بالمُکرَه و لا بمن یتعلق به،و عدم جریان أدلّة نفی الحرج؛إذ لا حرج علی المأمور؛لأنّ المفروض تساوی من أُمر بالإضرار به و من</w:t>
      </w:r>
    </w:p>
    <w:p>
      <w:pPr>
        <w:pStyle w:val="BookText"/>
        <w:rPr/>
      </w:pPr>
      <w:r>
        <w:rPr>
          <w:rFonts w:ascii="IRNazanin" w:hAnsi="IRNazanin" w:eastAsia="IRNazanin"/>
          <w:color w:val="111111"/>
          <w:sz w:val="28"/>
          <w:sz w:val="28"/>
          <w:szCs w:val="28"/>
          <w:rtl w:val="true"/>
          <w:lang w:bidi="fa-IR"/>
        </w:rPr>
        <w:t xml:space="preserve">یتضرر بترک هذا الأمر،من حیث النسبة إلی المأمور </w:t>
      </w:r>
      <w:r>
        <w:rPr>
          <w:rStyle w:val="FootnoteAnchor"/>
          <w:rtl w:val="true"/>
        </w:rPr>
        <w:footnoteReference w:id="492"/>
      </w:r>
      <w:r>
        <w:rPr>
          <w:rFonts w:ascii="IRNazanin" w:hAnsi="IRNazanin" w:eastAsia="IRNazanin"/>
          <w:color w:val="111111"/>
          <w:sz w:val="28"/>
          <w:sz w:val="28"/>
          <w:szCs w:val="28"/>
          <w:rtl w:val="true"/>
          <w:lang w:bidi="fa-IR"/>
        </w:rPr>
        <w:t xml:space="preserve">،مثلاً لو أُمر الشخص بنهب مال مؤمنٍ،و لا یترتب علی مخالفة المأمور به إلّا نهب مال مؤمنٍ آخر،فلا حرج حینئذٍ فی تحریم نهب مال الأوّل،بل تسویغه لدفع النهب عن الثانی قبیح،بملاحظة ما علم من الروایة المتقدّمة من الغرض فی التقیّة،خصوصاً مع کون المال المنهوب للأوّل أعظم بمراتب،فإنّه یشبه بمن فرّ من المطر إلی المیزاب،بل اللازم فی هذا المقام عدم جواز الإضرار بمؤمن و لو لدفع الضرر الأعظم عن </w:t>
      </w:r>
      <w:r>
        <w:rPr>
          <w:rStyle w:val="FootnoteAnchor"/>
          <w:rtl w:val="true"/>
        </w:rPr>
        <w:footnoteReference w:id="493"/>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لدفع ضرر النفس فی وجهٍ،مع ضمان ذلک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جماعة </w:t>
      </w:r>
      <w:r>
        <w:rPr>
          <w:rStyle w:val="FootnoteAnchor"/>
          <w:rtl w:val="true"/>
        </w:rPr>
        <w:footnoteReference w:id="494"/>
      </w:r>
      <w:r>
        <w:rPr>
          <w:rFonts w:ascii="IRNazanin" w:hAnsi="IRNazanin" w:eastAsia="IRNazanin"/>
          <w:color w:val="111111"/>
          <w:sz w:val="28"/>
          <w:sz w:val="28"/>
          <w:szCs w:val="28"/>
          <w:rtl w:val="true"/>
          <w:lang w:bidi="fa-IR"/>
        </w:rPr>
        <w:t xml:space="preserve">لتسویغ ما عدا الدم من المحرّمات بترتّب ضرر مخالفة المکره علیه علی نفس المکره و علی أهله أو علی الأجانب من المؤمنین،لا یخلو من </w:t>
      </w:r>
      <w:r>
        <w:rPr>
          <w:rStyle w:val="FootnoteAnchor"/>
          <w:rtl w:val="true"/>
        </w:rPr>
        <w:footnoteReference w:id="495"/>
      </w:r>
      <w:r>
        <w:rPr>
          <w:rFonts w:ascii="IRNazanin" w:hAnsi="IRNazanin" w:eastAsia="IRNazanin"/>
          <w:color w:val="111111"/>
          <w:sz w:val="28"/>
          <w:sz w:val="28"/>
          <w:szCs w:val="28"/>
          <w:rtl w:val="true"/>
          <w:lang w:bidi="fa-IR"/>
        </w:rPr>
        <w:t xml:space="preserve">بحثٍ،إلّا أن یریدوا الخوف علی خصوص نفس بعض المؤمنین،فلا إشکال فی تسویغه لما عدا الدم من المحرّمات؛إذ لا یعادل </w:t>
      </w:r>
      <w:r>
        <w:rPr>
          <w:rStyle w:val="FootnoteAnchor"/>
          <w:rtl w:val="true"/>
        </w:rPr>
        <w:footnoteReference w:id="496"/>
      </w:r>
      <w:r>
        <w:rPr>
          <w:rFonts w:ascii="IRNazanin" w:hAnsi="IRNazanin" w:eastAsia="IRNazanin"/>
          <w:color w:val="111111"/>
          <w:sz w:val="28"/>
          <w:sz w:val="28"/>
          <w:szCs w:val="28"/>
          <w:rtl w:val="true"/>
          <w:lang w:bidi="fa-IR"/>
        </w:rPr>
        <w:t>نفس المؤمن شیء،فتأمّل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تحرم الولایة من الجائر إلّا مع </w:t>
      </w:r>
      <w:r>
        <w:rPr>
          <w:rStyle w:val="FootnoteAnchor"/>
          <w:rtl w:val="true"/>
        </w:rPr>
        <w:footnoteReference w:id="497"/>
      </w:r>
      <w:r>
        <w:rPr>
          <w:rFonts w:ascii="IRNazanin" w:hAnsi="IRNazanin" w:eastAsia="IRNazanin"/>
          <w:color w:val="111111"/>
          <w:sz w:val="28"/>
          <w:sz w:val="28"/>
          <w:szCs w:val="28"/>
          <w:rtl w:val="true"/>
          <w:lang w:bidi="fa-IR"/>
        </w:rPr>
        <w:t>التمکن من</w:t>
      </w:r>
    </w:p>
    <w:p>
      <w:pPr>
        <w:pStyle w:val="BookText"/>
        <w:rPr/>
      </w:pPr>
      <w:r>
        <w:rPr>
          <w:rFonts w:ascii="IRNazanin" w:hAnsi="IRNazanin" w:eastAsia="IRNazanin"/>
          <w:color w:val="111111"/>
          <w:sz w:val="28"/>
          <w:sz w:val="28"/>
          <w:szCs w:val="28"/>
          <w:rtl w:val="true"/>
          <w:lang w:bidi="fa-IR"/>
        </w:rPr>
        <w:t xml:space="preserve">الأمر بالمعروف و النهی عن المنکر،أو مع الإکراه بالخوف علی النفس أو المال أو الأهل،أو علی بعض المؤمنین،فیجوز </w:t>
      </w:r>
      <w:r>
        <w:rPr>
          <w:rStyle w:val="FootnoteAnchor"/>
          <w:rtl w:val="true"/>
        </w:rPr>
        <w:footnoteReference w:id="498"/>
      </w:r>
      <w:r>
        <w:rPr>
          <w:rFonts w:ascii="IRNazanin" w:hAnsi="IRNazanin" w:eastAsia="IRNazanin"/>
          <w:color w:val="111111"/>
          <w:sz w:val="28"/>
          <w:sz w:val="28"/>
          <w:szCs w:val="28"/>
          <w:rtl w:val="true"/>
          <w:lang w:bidi="fa-IR"/>
        </w:rPr>
        <w:t xml:space="preserve">ائتمار </w:t>
      </w:r>
      <w:r>
        <w:rPr>
          <w:rStyle w:val="FootnoteAnchor"/>
          <w:rtl w:val="true"/>
        </w:rPr>
        <w:footnoteReference w:id="499"/>
      </w:r>
      <w:r>
        <w:rPr>
          <w:rFonts w:ascii="IRNazanin" w:hAnsi="IRNazanin" w:eastAsia="IRNazanin"/>
          <w:color w:val="111111"/>
          <w:sz w:val="28"/>
          <w:sz w:val="28"/>
          <w:szCs w:val="28"/>
          <w:rtl w:val="true"/>
          <w:lang w:bidi="fa-IR"/>
        </w:rPr>
        <w:t xml:space="preserve">ما یأمره إلّا القتل </w:t>
      </w:r>
      <w:r>
        <w:rPr>
          <w:rStyle w:val="FootnoteAnchor"/>
          <w:rtl w:val="true"/>
        </w:rPr>
        <w:footnoteReference w:id="5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علی بعض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علی أنفسهم دون أموالهم و أعراضهم،لم یخالف ما ذکرنا،و قد شرح العبارة بذلک بعض الأساطین،فقال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مع الإکراه بالخوف علی النفس من تلفٍ أو ضررٍ فی البدن،أو المال المضرّ بالحال من تلف أو حجب،أو العرض من جهة النفس أو الأهل،أو الخوف فیما عدا الوسط علی بعض المؤمنین، فیجوز حینئذ ائتمار ما یأمره </w:t>
      </w:r>
      <w:r>
        <w:rPr>
          <w:rStyle w:val="FootnoteAnchor"/>
          <w:rtl w:val="true"/>
        </w:rPr>
        <w:footnoteReference w:id="5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علی نفس بعض المؤمنین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کان،فهنا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الإکراه،و دفع الضرر المخوف عن نفسه و عن غیره من المؤمنین من دون إکراه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 یباح به کلّ محرّم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إن کان متعلّقاً بالنفس جاز له کلّ محرّم حتّی الإضرار المالی بالغیر،لکنّ الأقوی استقرار </w:t>
      </w:r>
      <w:r>
        <w:rPr>
          <w:rStyle w:val="FootnoteAnchor"/>
          <w:rtl w:val="true"/>
        </w:rPr>
        <w:footnoteReference w:id="503"/>
      </w:r>
      <w:r>
        <w:rPr>
          <w:rFonts w:ascii="IRNazanin" w:hAnsi="IRNazanin" w:eastAsia="IRNazanin"/>
          <w:color w:val="111111"/>
          <w:sz w:val="28"/>
          <w:sz w:val="28"/>
          <w:szCs w:val="28"/>
          <w:rtl w:val="true"/>
          <w:lang w:bidi="fa-IR"/>
        </w:rPr>
        <w:t>الضمان علیه إذا تحقّق سببه؛لعدم</w:t>
      </w:r>
    </w:p>
    <w:p>
      <w:pPr>
        <w:pStyle w:val="BookText"/>
        <w:rPr/>
      </w:pPr>
      <w:r>
        <w:rPr>
          <w:rFonts w:ascii="IRNazanin" w:hAnsi="IRNazanin" w:eastAsia="IRNazanin"/>
          <w:color w:val="111111"/>
          <w:sz w:val="28"/>
          <w:sz w:val="28"/>
          <w:szCs w:val="28"/>
          <w:rtl w:val="true"/>
          <w:lang w:bidi="fa-IR"/>
        </w:rPr>
        <w:t>الإکراه المانع عن الضمان،أو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الإضرار بالعِرض بالزنا و نحوه،ففیه تأمّل،و لا یبعد ترجیح النفس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متعلّقاً بالمال،فلا یسوغ معه الإضرار بالغیر أصلاً حتّی فی الیسیر من المال،فإذا توقّف دفع السبع عن فرسه بتعریض حمار غیره للافتراس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متعلّقاً بالعِرض،ففی جواز الإضرار بالمال مع الضمان أو العِرض الأخفّ من العِرض المدفوع عنه،تأمّل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الإضرار بالنفس،أو العرض الأعظم،فلا یجوز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وقع فی کلام بعضٍ تفسیر الإکراه بما یعمّ لحوق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الإکراه المسوّغ للولایة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علی النفس أو المال أو العِرض علیه،أو علی بعض المؤمنین </w:t>
      </w:r>
      <w:r>
        <w:rPr>
          <w:rStyle w:val="FootnoteAnchor"/>
          <w:rtl w:val="true"/>
        </w:rPr>
        <w:footnoteReference w:id="5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یرید بالإکراه مطلق المسوّغ للولایة،لکن صار هذا التعبیر منه رحمه اللّه منشأً لتخیّل غیر واحد </w:t>
      </w:r>
      <w:r>
        <w:rPr>
          <w:rStyle w:val="FootnoteAnchor"/>
          <w:rtl w:val="true"/>
        </w:rPr>
        <w:footnoteReference w:id="505"/>
      </w:r>
      <w:r>
        <w:rPr>
          <w:rFonts w:ascii="IRNazanin" w:hAnsi="IRNazanin" w:eastAsia="IRNazanin"/>
          <w:color w:val="111111"/>
          <w:sz w:val="28"/>
          <w:sz w:val="28"/>
          <w:szCs w:val="28"/>
          <w:rtl w:val="true"/>
          <w:lang w:bidi="fa-IR"/>
        </w:rPr>
        <w:t>أنّ الإکراه المجوّز لجمیع المحرَّمات هو بهذا المعنی</w:t>
      </w:r>
      <w:r>
        <w:rPr>
          <w:rFonts w:eastAsia="IRNazanin" w:cs="IRNazanin"/>
          <w:color w:val="111111"/>
          <w:sz w:val="28"/>
          <w:szCs w:val="28"/>
          <w:rtl w:val="true"/>
          <w:lang w:bidi="fa-IR"/>
        </w:rPr>
        <w:t>.</w:t>
      </w:r>
      <w:bookmarkStart w:id="73" w:name="pg19674_191592"/>
    </w:p>
    <w:p>
      <w:pPr>
        <w:pStyle w:val="Heading6"/>
        <w:numPr>
          <w:ilvl w:val="5"/>
          <w:numId w:val="1"/>
        </w:numPr>
        <w:rPr/>
      </w:pPr>
      <w:bookmarkStart w:id="74" w:name="__RefHeading___Toc5027704_2314609296"/>
      <w:bookmarkStart w:id="75" w:name="_Toc28"/>
      <w:bookmarkEnd w:id="73"/>
      <w:bookmarkEnd w:id="74"/>
      <w:r>
        <w:rPr>
          <w:rtl w:val="true"/>
        </w:rPr>
        <w:t xml:space="preserve">الثالث </w:t>
      </w:r>
      <w:r>
        <w:rPr>
          <w:rtl w:val="true"/>
        </w:rPr>
        <w:t>[</w:t>
      </w:r>
      <w:r>
        <w:rPr>
          <w:rtl w:val="true"/>
        </w:rPr>
        <w:t>هل یعتبر العجز عن التفصی من المکره علیه؟</w:t>
      </w:r>
      <w:r>
        <w:rPr>
          <w:rtl w:val="true"/>
        </w:rPr>
        <w:t>]</w:t>
      </w:r>
      <w:bookmarkEnd w:id="75"/>
    </w:p>
    <w:p>
      <w:pPr>
        <w:pStyle w:val="BookText"/>
        <w:rPr/>
      </w:pPr>
      <w:r>
        <w:rPr>
          <w:rFonts w:ascii="IRNazanin" w:hAnsi="IRNazanin" w:eastAsia="IRNazanin"/>
          <w:color w:val="111111"/>
          <w:sz w:val="28"/>
          <w:sz w:val="28"/>
          <w:szCs w:val="28"/>
          <w:rtl w:val="true"/>
          <w:lang w:bidi="fa-IR"/>
        </w:rPr>
        <w:t xml:space="preserve">أنّه قد ذکر بعض مشایخنا المعاصرین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یظهر من الأصحاب أنّ </w:t>
      </w:r>
      <w:r>
        <w:rPr>
          <w:rStyle w:val="FootnoteAnchor"/>
          <w:rtl w:val="true"/>
        </w:rPr>
        <w:footnoteReference w:id="507"/>
      </w:r>
      <w:r>
        <w:rPr>
          <w:rFonts w:ascii="IRNazanin" w:hAnsi="IRNazanin" w:eastAsia="IRNazanin"/>
          <w:color w:val="111111"/>
          <w:sz w:val="28"/>
          <w:sz w:val="28"/>
          <w:szCs w:val="28"/>
          <w:rtl w:val="true"/>
          <w:lang w:bidi="fa-IR"/>
        </w:rPr>
        <w:t>فی اعتبار عدم القدرة علی التفصّی من المکره علیه و عدمه، أقوالاً،ثالثها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الإکراه علی نفس الولایة المحرّمة فلا یعتبر، و بین غیرها من المحرّمات فیعتبر فیه العجز عن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ملاحظة کلماتهم فی باب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اعتبار العجز عن التفصّی إذا لم یکن حرجاً و لم یتوقّف علی ضرر، کما إذا أُکره علی أخذ المال من مؤمن،فیُظهر أنّه أخذ المال و جعله فی بیت المال،مع عدم أخذه واقعاً،أو أخذه جهراً ثم ردّه إلیه سرّاً کما کان یفعله ابن یقطین،و کما إذا أمره بحبس مؤمن فیدخله فی دار واسعة من دون قید،و یحسن ضیافته و یظهر أنّه حبسه و شدّد علیه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خلاف فی أنّه لا یعتبر العجز عن التفصّی إذا کان فیه ضرر کثیر،و کأنّ منشأ زعم الخلاف ما ذکره فی المسالک فی شرح عبارة الشرائع مستظهراً منه خلاف ما اعتمد علیه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بجواز الدخول فی الولایة،دفعاً للضرر الیسیر مع الکراهة و الکثیر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أکرهه الجائر علی الولایة جاز له الدخول و العمل بما یأمره </w:t>
      </w:r>
      <w:r>
        <w:rPr>
          <w:rStyle w:val="FootnoteAnchor"/>
          <w:rtl w:val="true"/>
        </w:rPr>
        <w:footnoteReference w:id="509"/>
      </w:r>
      <w:r>
        <w:rPr>
          <w:rFonts w:ascii="IRNazanin" w:hAnsi="IRNazanin" w:eastAsia="IRNazanin"/>
          <w:color w:val="111111"/>
          <w:sz w:val="28"/>
          <w:sz w:val="28"/>
          <w:szCs w:val="28"/>
          <w:rtl w:val="true"/>
          <w:lang w:bidi="fa-IR"/>
        </w:rPr>
        <w:t xml:space="preserve">مع عدم القدرة علی التفصّی منه </w:t>
      </w:r>
      <w:r>
        <w:rPr>
          <w:rStyle w:val="FootnoteAnchor"/>
          <w:rtl w:val="true"/>
        </w:rPr>
        <w:footnoteReference w:id="510"/>
      </w:r>
      <w:r>
        <w:rPr>
          <w:rStyle w:val="FootnoteAnchor"/>
          <w:rtl w:val="true"/>
        </w:rPr>
        <w:footnoteReference w:id="5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المصنّف قدّس سرّه ذکر فی هذه المسألة 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الإکراه،و العجز عن التفصّی،و هما متغایران،و الثانی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مشروطهما </w:t>
      </w:r>
      <w:r>
        <w:rPr>
          <w:rStyle w:val="FootnoteAnchor"/>
          <w:rtl w:val="true"/>
        </w:rPr>
        <w:footnoteReference w:id="512"/>
      </w:r>
      <w:r>
        <w:rPr>
          <w:rFonts w:ascii="IRNazanin" w:hAnsi="IRNazanin" w:eastAsia="IRNazanin"/>
          <w:color w:val="111111"/>
          <w:sz w:val="28"/>
          <w:sz w:val="28"/>
          <w:szCs w:val="28"/>
          <w:rtl w:val="true"/>
          <w:lang w:bidi="fa-IR"/>
        </w:rPr>
        <w:t>مختلف،فالأوّل شرط لأصل قبول الولایة، و الثانی شرط للعمل بما یأمره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الولایة إن أُخذت مجرّدة عن الأمر بالمحرّم فلا یشترط فی جوازه الإکراه،و أمّا العمل بما یأمره من المحرّمات فمشروط بالإکراه خاصّة </w:t>
      </w:r>
      <w:r>
        <w:rPr>
          <w:rStyle w:val="FootnoteAnchor"/>
          <w:rtl w:val="true"/>
        </w:rPr>
        <w:footnoteReference w:id="513"/>
      </w:r>
      <w:r>
        <w:rPr>
          <w:rFonts w:ascii="IRNazanin" w:hAnsi="IRNazanin" w:eastAsia="IRNazanin"/>
          <w:color w:val="111111"/>
          <w:sz w:val="28"/>
          <w:sz w:val="28"/>
          <w:szCs w:val="28"/>
          <w:rtl w:val="true"/>
          <w:lang w:bidi="fa-IR"/>
        </w:rPr>
        <w:t xml:space="preserve">،و لا یشترط فیه الإلجاء إلیه </w:t>
      </w:r>
      <w:r>
        <w:rPr>
          <w:rStyle w:val="FootnoteAnchor"/>
          <w:rtl w:val="true"/>
        </w:rPr>
        <w:footnoteReference w:id="514"/>
      </w:r>
      <w:r>
        <w:rPr>
          <w:rFonts w:ascii="IRNazanin" w:hAnsi="IRNazanin" w:eastAsia="IRNazanin"/>
          <w:color w:val="111111"/>
          <w:sz w:val="28"/>
          <w:sz w:val="28"/>
          <w:szCs w:val="28"/>
          <w:rtl w:val="true"/>
          <w:lang w:bidi="fa-IR"/>
        </w:rPr>
        <w:t xml:space="preserve">بحیث لا یقدر علی خلافه،و قد صرّح به الأصحاب فی کتبهم،فاشتراط </w:t>
      </w:r>
      <w:r>
        <w:rPr>
          <w:rStyle w:val="FootnoteAnchor"/>
          <w:rtl w:val="true"/>
        </w:rPr>
        <w:footnoteReference w:id="515"/>
      </w:r>
      <w:r>
        <w:rPr>
          <w:rFonts w:ascii="IRNazanin" w:hAnsi="IRNazanin" w:eastAsia="IRNazanin"/>
          <w:color w:val="111111"/>
          <w:sz w:val="28"/>
          <w:sz w:val="28"/>
          <w:szCs w:val="28"/>
          <w:rtl w:val="true"/>
          <w:lang w:bidi="fa-IR"/>
        </w:rPr>
        <w:t>العجز عن التفصّی غیر واضح،إلّا أن یرید به أصل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الإکراه مسوّغ لامتثال ما یؤمر به و إن قدر علی المخالفة مع خوف الضرر </w:t>
      </w:r>
      <w:r>
        <w:rPr>
          <w:rStyle w:val="FootnoteAnchor"/>
          <w:rtl w:val="true"/>
        </w:rPr>
        <w:footnoteReference w:id="516"/>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علی المتأمّل أنّ المحقّق رحمه اللّه لم یعتبر شرطاً زائداً علی الإکراه،إلّا أنّ الجائر إذا أمر الوالی بأعمال محرّمة فی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أمکن فی بعضها المخالفة واقعاً و دعوی الامتثال ظاهراً کما مثّلنا لک سابقاً </w:t>
      </w:r>
      <w:r>
        <w:rPr>
          <w:rStyle w:val="FootnoteAnchor"/>
          <w:rtl w:val="true"/>
        </w:rPr>
        <w:footnoteReference w:id="517"/>
      </w:r>
      <w:r>
        <w:rPr>
          <w:rFonts w:ascii="IRNazanin" w:hAnsi="IRNazanin" w:eastAsia="IRNazanin"/>
          <w:color w:val="111111"/>
          <w:sz w:val="28"/>
          <w:sz w:val="28"/>
          <w:szCs w:val="28"/>
          <w:rtl w:val="true"/>
          <w:lang w:bidi="fa-IR"/>
        </w:rPr>
        <w:t>،قیّد امتثال ما یؤمر به بصورة العجز عن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کان،فعبارة الشرائع واقعة علی طبق المتعارف من تولیة الولاة و أمرهم فی ولایتهم بأوامر کثیرة یمکنهم التفصّی عن بعضها، و لیس المراد بالتفصّی المخالفة مع تحمّل الضرر،کما لا یخفی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فساد ما ذکره </w:t>
      </w:r>
      <w:r>
        <w:rPr>
          <w:rStyle w:val="FootnoteAnchor"/>
          <w:rtl w:val="true"/>
        </w:rPr>
        <w:footnoteReference w:id="518"/>
      </w:r>
      <w:r>
        <w:rPr>
          <w:rFonts w:ascii="Amiri" w:hAnsi="Amiri" w:eastAsia="Amiri" w:cs="Amiri"/>
          <w:color w:val="111111"/>
          <w:sz w:val="28"/>
          <w:sz w:val="28"/>
          <w:szCs w:val="28"/>
          <w:rtl w:val="true"/>
          <w:lang w:bidi="ar-SA"/>
        </w:rPr>
        <w:t xml:space="preserve">من نسبة الخلاف </w:t>
      </w:r>
      <w:r>
        <w:rPr>
          <w:rStyle w:val="FootnoteAnchor"/>
          <w:rtl w:val="true"/>
        </w:rPr>
        <w:footnoteReference w:id="519"/>
      </w:r>
      <w:r>
        <w:rPr>
          <w:rFonts w:ascii="IRNazanin" w:hAnsi="IRNazanin" w:eastAsia="IRNazanin"/>
          <w:color w:val="111111"/>
          <w:sz w:val="28"/>
          <w:sz w:val="28"/>
          <w:szCs w:val="28"/>
          <w:rtl w:val="true"/>
          <w:lang w:bidi="fa-IR"/>
        </w:rPr>
        <w:t>المتقدم إلی الأصحاب من أنّه علی القول باعتبار العجز عن التفصّی لو توقف المخالفة علی بذل مال کثیر لزم علی هذا القول،ثم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بل و أقرب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76" w:name="pg19674_191595"/>
    </w:p>
    <w:p>
      <w:pPr>
        <w:pStyle w:val="Heading6"/>
        <w:numPr>
          <w:ilvl w:val="5"/>
          <w:numId w:val="1"/>
        </w:numPr>
        <w:rPr/>
      </w:pPr>
      <w:bookmarkStart w:id="77" w:name="__RefHeading___Toc5027706_2314609296"/>
      <w:bookmarkStart w:id="78" w:name="_Toc29"/>
      <w:bookmarkEnd w:id="76"/>
      <w:bookmarkEnd w:id="77"/>
      <w:r>
        <w:rPr>
          <w:rtl w:val="true"/>
        </w:rPr>
        <w:t>الرابع أنّ قبول الولایة مع الضرر المالی الذی لا یضرّ بالحال رخصة، لا عزیمة،</w:t>
      </w:r>
      <w:bookmarkEnd w:id="78"/>
    </w:p>
    <w:p>
      <w:pPr>
        <w:pStyle w:val="BookText"/>
        <w:rPr/>
      </w:pPr>
      <w:r>
        <w:rPr>
          <w:rFonts w:ascii="IRNazanin" w:hAnsi="IRNazanin" w:eastAsia="IRNazanin"/>
          <w:color w:val="111111"/>
          <w:sz w:val="28"/>
          <w:sz w:val="28"/>
          <w:szCs w:val="28"/>
          <w:rtl w:val="true"/>
          <w:lang w:bidi="fa-IR"/>
        </w:rPr>
        <w:t>فیجوز تحمّل الضرر المذکور؛لأنّ الناس مسلّطون علی أموالهم،بل ربما یستحبّ تحمّل ذلک الضرر للفرار عن تقویة شوکتهم</w:t>
      </w:r>
      <w:r>
        <w:rPr>
          <w:rFonts w:eastAsia="IRNazanin" w:cs="IRNazanin"/>
          <w:color w:val="111111"/>
          <w:sz w:val="28"/>
          <w:szCs w:val="28"/>
          <w:rtl w:val="true"/>
          <w:lang w:bidi="fa-IR"/>
        </w:rPr>
        <w:t>.</w:t>
      </w:r>
    </w:p>
    <w:p>
      <w:pPr>
        <w:pStyle w:val="Heading6"/>
        <w:numPr>
          <w:ilvl w:val="5"/>
          <w:numId w:val="1"/>
        </w:numPr>
        <w:rPr/>
      </w:pPr>
      <w:bookmarkStart w:id="79" w:name="__RefHeading___Toc5027708_2314609296"/>
      <w:bookmarkStart w:id="80" w:name="_Toc30"/>
      <w:bookmarkEnd w:id="79"/>
      <w:r>
        <w:rPr>
          <w:rtl w:val="true"/>
        </w:rPr>
        <w:t>الخامس لا یباح بالإکراه قتل المؤمن و لو توعّد علی ترکه بالقتل إجماعاً،</w:t>
      </w:r>
      <w:bookmarkEnd w:id="80"/>
    </w:p>
    <w:p>
      <w:pPr>
        <w:pStyle w:val="BookText"/>
        <w:rPr/>
      </w:pPr>
      <w:r>
        <w:rPr>
          <w:rFonts w:ascii="IRNazanin" w:hAnsi="IRNazanin" w:eastAsia="IRNazanin"/>
          <w:color w:val="111111"/>
          <w:sz w:val="28"/>
          <w:sz w:val="28"/>
          <w:szCs w:val="28"/>
          <w:rtl w:val="true"/>
          <w:lang w:bidi="fa-IR"/>
        </w:rPr>
        <w:t xml:space="preserve">علی الظاهر المصرّح به فی بعض الکتب </w:t>
      </w:r>
      <w:r>
        <w:rPr>
          <w:rStyle w:val="FootnoteAnchor"/>
          <w:rtl w:val="true"/>
        </w:rPr>
        <w:footnoteReference w:id="521"/>
      </w:r>
      <w:r>
        <w:rPr>
          <w:rFonts w:ascii="IRNazanin" w:hAnsi="IRNazanin" w:eastAsia="IRNazanin"/>
          <w:color w:val="111111"/>
          <w:sz w:val="28"/>
          <w:sz w:val="28"/>
          <w:szCs w:val="28"/>
          <w:rtl w:val="true"/>
          <w:lang w:bidi="fa-IR"/>
        </w:rPr>
        <w:t xml:space="preserve">،و إن کان مقتضی عموم نفی الإکراه و الحرج الجواز،إلّا أنّه قد صحّ عن </w:t>
      </w:r>
      <w:r>
        <w:rPr>
          <w:rStyle w:val="FootnoteAnchor"/>
          <w:rtl w:val="true"/>
        </w:rPr>
        <w:footnoteReference w:id="522"/>
      </w:r>
      <w:r>
        <w:rPr>
          <w:rFonts w:ascii="IRNazanin" w:hAnsi="IRNazanin" w:eastAsia="IRNazanin"/>
          <w:color w:val="111111"/>
          <w:sz w:val="28"/>
          <w:sz w:val="28"/>
          <w:szCs w:val="28"/>
          <w:rtl w:val="true"/>
          <w:lang w:bidi="fa-IR"/>
        </w:rPr>
        <w:t>الصادقین صلوات اللّه علیهما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شُرّعت التقیّة لیحقن بها الدم،فإذا بلغت الدم فلا تقیّة</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العموم أنّه </w:t>
      </w:r>
      <w:r>
        <w:rPr>
          <w:rStyle w:val="FootnoteAnchor"/>
          <w:rtl w:val="true"/>
        </w:rPr>
        <w:footnoteReference w:id="524"/>
      </w:r>
      <w:r>
        <w:rPr>
          <w:rFonts w:ascii="IRNazanin" w:hAnsi="IRNazanin" w:eastAsia="IRNazanin"/>
          <w:color w:val="111111"/>
          <w:sz w:val="28"/>
          <w:sz w:val="28"/>
          <w:szCs w:val="28"/>
          <w:rtl w:val="true"/>
          <w:lang w:bidi="fa-IR"/>
        </w:rPr>
        <w:t>لا فرق بین أفراد المؤمنین من حیث الصغر و الکبر،و الذکورة و الأُنوثة،و العلم و الجهل،و الحرّ و العبد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المؤمن مستحقاً للقتل لحدٍّ ففی العموم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المستفاد من قوله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لیحقن بها الدم </w:t>
      </w:r>
      <w:r>
        <w:rPr>
          <w:rStyle w:val="FootnoteAnchor"/>
          <w:rtl w:val="true"/>
        </w:rPr>
        <w:footnoteReference w:id="525"/>
      </w:r>
      <w:r>
        <w:rPr>
          <w:rFonts w:ascii="IRNazanin" w:hAnsi="IRNazanin" w:eastAsia="IRNazanin"/>
          <w:color w:val="111111"/>
          <w:sz w:val="28"/>
          <w:sz w:val="28"/>
          <w:szCs w:val="28"/>
          <w:rtl w:val="true"/>
          <w:lang w:bidi="fa-IR"/>
        </w:rPr>
        <w:t>فإذا بلغ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الدم المحقون دون</w:t>
      </w:r>
    </w:p>
    <w:p>
      <w:pPr>
        <w:pStyle w:val="BookText"/>
        <w:rPr/>
      </w:pPr>
      <w:r>
        <w:rPr>
          <w:rFonts w:ascii="IRNazanin" w:hAnsi="IRNazanin" w:eastAsia="IRNazanin"/>
          <w:color w:val="111111"/>
          <w:sz w:val="28"/>
          <w:sz w:val="28"/>
          <w:szCs w:val="28"/>
          <w:rtl w:val="true"/>
          <w:lang w:bidi="fa-IR"/>
        </w:rPr>
        <w:t>المأمور بإهراقه،و ظاهر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المستحقّ للقتل قصاصاً فهو محقون الدم بالنسبة إلی غیر ولیّ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سکوت الروایتین عن حکم دماء أهل الخلاف؛ لأنّ التقیّة إنما شرّعت لحقن دماء الشیعة،فحدّها بلوغ دمهم،لا دم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 </w:t>
      </w:r>
      <w:r>
        <w:rPr>
          <w:rStyle w:val="FootnoteAnchor"/>
          <w:rtl w:val="true"/>
        </w:rPr>
        <w:footnoteReference w:id="526"/>
      </w:r>
      <w:r>
        <w:rPr>
          <w:rFonts w:ascii="IRNazanin" w:hAnsi="IRNazanin" w:eastAsia="IRNazanin"/>
          <w:color w:val="111111"/>
          <w:sz w:val="28"/>
          <w:sz w:val="28"/>
          <w:szCs w:val="28"/>
          <w:rtl w:val="true"/>
          <w:lang w:bidi="fa-IR"/>
        </w:rPr>
        <w:t>الروایة لزوم نقض الغرض من تشریع التقیّة فی إهراق الدماء؛لأنّها شرّعت لحقنها فلا یشرّع لأجلها إهراقها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إذا أُکره المؤمن علی قتل مخالف فلا یلزم من شرعیّة التقیّة فی قتله إهراق ما شرّع التقیّة لحقنه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الناصب،و أمّا الناصب فلیس محقون الدم،و إنّما منع منه حدوث الفتنة،فلا إشکال فی مشروعیّة قتله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حکم دم الذمّی و شرعیّة التقیّة فی إهراقه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بالجملة،فکلّ دم غیر محترم </w:t>
      </w:r>
      <w:r>
        <w:rPr>
          <w:rStyle w:val="FootnoteAnchor"/>
          <w:rtl w:val="true"/>
        </w:rPr>
        <w:footnoteReference w:id="527"/>
      </w:r>
      <w:r>
        <w:rPr>
          <w:rFonts w:ascii="IRNazanin" w:hAnsi="IRNazanin" w:eastAsia="IRNazanin"/>
          <w:color w:val="111111"/>
          <w:sz w:val="28"/>
          <w:sz w:val="28"/>
          <w:szCs w:val="28"/>
          <w:rtl w:val="true"/>
          <w:lang w:bidi="fa-IR"/>
        </w:rPr>
        <w:t>بالذات عند الشارع خارج عن مورد الروایتین،فحکم إهراقه حکم سائر المحرّمات التی شرّعت التقیّة فیها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أنّ الدم یشمل </w:t>
      </w:r>
      <w:r>
        <w:rPr>
          <w:rStyle w:val="FootnoteAnchor"/>
          <w:rtl w:val="true"/>
        </w:rPr>
        <w:footnoteReference w:id="528"/>
      </w:r>
      <w:r>
        <w:rPr>
          <w:rFonts w:ascii="IRNazanin" w:hAnsi="IRNazanin" w:eastAsia="IRNazanin"/>
          <w:color w:val="111111"/>
          <w:sz w:val="28"/>
          <w:sz w:val="28"/>
          <w:szCs w:val="28"/>
          <w:rtl w:val="true"/>
          <w:lang w:bidi="fa-IR"/>
        </w:rPr>
        <w:t>الجرح و قطع الأعضاء،أو یختص</w:t>
      </w:r>
    </w:p>
    <w:p>
      <w:pPr>
        <w:pStyle w:val="BookText"/>
        <w:rPr/>
      </w:pPr>
      <w:r>
        <w:rPr>
          <w:rFonts w:ascii="IRNazanin" w:hAnsi="IRNazanin" w:eastAsia="IRNazanin"/>
          <w:color w:val="111111"/>
          <w:sz w:val="28"/>
          <w:sz w:val="28"/>
          <w:szCs w:val="28"/>
          <w:rtl w:val="true"/>
          <w:lang w:bidi="fa-IR"/>
        </w:rPr>
        <w:t>بالقتل؟وجهان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إطلاق الدم،و هو المحکیّ عن الشیخ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عمومات التقیّة و نفی الحرج و الإکراه،و ظهور الدم المتّصف بالحَقن فی الدم المبقی للروح،و هو المحکیّ </w:t>
      </w:r>
      <w:r>
        <w:rPr>
          <w:rStyle w:val="FootnoteAnchor"/>
          <w:rtl w:val="true"/>
        </w:rPr>
        <w:footnoteReference w:id="530"/>
      </w:r>
      <w:r>
        <w:rPr>
          <w:rFonts w:ascii="Amiri" w:hAnsi="Amiri" w:eastAsia="Amiri" w:cs="Amiri"/>
          <w:color w:val="111111"/>
          <w:sz w:val="28"/>
          <w:sz w:val="28"/>
          <w:szCs w:val="28"/>
          <w:rtl w:val="true"/>
          <w:lang w:bidi="ar-SA"/>
        </w:rPr>
        <w:t xml:space="preserve">عن الروضة </w:t>
      </w:r>
      <w:r>
        <w:rPr>
          <w:rStyle w:val="FootnoteAnchor"/>
          <w:rtl w:val="true"/>
        </w:rPr>
        <w:footnoteReference w:id="531"/>
      </w:r>
      <w:r>
        <w:rPr>
          <w:rFonts w:ascii="IRNazanin" w:hAnsi="IRNazanin" w:eastAsia="IRNazanin"/>
          <w:color w:val="111111"/>
          <w:sz w:val="28"/>
          <w:sz w:val="28"/>
          <w:szCs w:val="28"/>
          <w:rtl w:val="true"/>
          <w:lang w:bidi="fa-IR"/>
        </w:rPr>
        <w:t xml:space="preserve">و المصابیح </w:t>
      </w:r>
      <w:r>
        <w:rPr>
          <w:rStyle w:val="FootnoteAnchor"/>
          <w:rtl w:val="true"/>
        </w:rPr>
        <w:footnoteReference w:id="532"/>
      </w:r>
      <w:r>
        <w:rPr>
          <w:rFonts w:ascii="IRNazanin" w:hAnsi="IRNazanin" w:eastAsia="IRNazanin"/>
          <w:color w:val="111111"/>
          <w:sz w:val="28"/>
          <w:sz w:val="28"/>
          <w:szCs w:val="28"/>
          <w:rtl w:val="true"/>
          <w:lang w:bidi="fa-IR"/>
        </w:rPr>
        <w:t xml:space="preserve">و الریاض </w:t>
      </w:r>
      <w:r>
        <w:rPr>
          <w:rStyle w:val="FootnoteAnchor"/>
          <w:rtl w:val="true"/>
        </w:rPr>
        <w:footnoteReference w:id="533"/>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bookmarkStart w:id="81" w:name="pg19674_191598"/>
    </w:p>
    <w:p>
      <w:pPr>
        <w:pStyle w:val="Heading5"/>
        <w:numPr>
          <w:ilvl w:val="4"/>
          <w:numId w:val="1"/>
        </w:numPr>
        <w:rPr/>
      </w:pPr>
      <w:bookmarkStart w:id="82" w:name="__RefHeading___Toc5027710_2314609296"/>
      <w:bookmarkStart w:id="83" w:name="_Toc31"/>
      <w:bookmarkEnd w:id="81"/>
      <w:bookmarkEnd w:id="82"/>
      <w:r>
        <w:rPr>
          <w:rtl w:val="true"/>
        </w:rPr>
        <w:t>خاتمة فی ما ینبغی للوالی العمل به فی نفسه و فی رعیّته</w:t>
      </w:r>
      <w:bookmarkEnd w:id="83"/>
    </w:p>
    <w:p>
      <w:pPr>
        <w:pStyle w:val="BookText"/>
        <w:rPr/>
      </w:pPr>
      <w:r>
        <w:rPr>
          <w:rFonts w:ascii="IRNazanin" w:hAnsi="IRNazanin" w:eastAsia="IRNazanin"/>
          <w:color w:val="111111"/>
          <w:sz w:val="28"/>
          <w:sz w:val="28"/>
          <w:szCs w:val="28"/>
          <w:rtl w:val="true"/>
          <w:lang w:bidi="fa-IR"/>
        </w:rPr>
        <w:t xml:space="preserve">روی شیخنا الشهید الثانی رحمه اللّه فی رسالته المسمّاة بکشف الریبة عن أحکام الغیبة،بإسناده عن شیخ الطائفة،عن مفیدها </w:t>
      </w:r>
      <w:r>
        <w:rPr>
          <w:rStyle w:val="FootnoteAnchor"/>
          <w:rtl w:val="true"/>
        </w:rPr>
        <w:footnoteReference w:id="534"/>
      </w:r>
      <w:r>
        <w:rPr>
          <w:rFonts w:ascii="IRNazanin" w:hAnsi="IRNazanin" w:eastAsia="IRNazanin"/>
          <w:color w:val="111111"/>
          <w:sz w:val="28"/>
          <w:sz w:val="28"/>
          <w:szCs w:val="28"/>
          <w:rtl w:val="true"/>
          <w:lang w:bidi="fa-IR"/>
        </w:rPr>
        <w:t xml:space="preserve">،عن جعفر ابن محمد </w:t>
      </w:r>
      <w:r>
        <w:rPr>
          <w:rStyle w:val="FootnoteAnchor"/>
          <w:rtl w:val="true"/>
        </w:rPr>
        <w:footnoteReference w:id="535"/>
      </w:r>
      <w:r>
        <w:rPr>
          <w:rFonts w:ascii="IRNazanin" w:hAnsi="IRNazanin" w:eastAsia="IRNazanin"/>
          <w:color w:val="111111"/>
          <w:sz w:val="28"/>
          <w:sz w:val="28"/>
          <w:szCs w:val="28"/>
          <w:rtl w:val="true"/>
          <w:lang w:bidi="fa-IR"/>
        </w:rPr>
        <w:t xml:space="preserve">بن قولویه،عن أبیه،عن سعد بن عبد اللّه،عن أحمد بن محمد بن عیسی عن أبیه محمد بن عیسی </w:t>
      </w:r>
      <w:r>
        <w:rPr>
          <w:rStyle w:val="FootnoteAnchor"/>
          <w:rtl w:val="true"/>
        </w:rPr>
        <w:footnoteReference w:id="536"/>
      </w:r>
      <w:r>
        <w:rPr>
          <w:rFonts w:ascii="IRNazanin" w:hAnsi="IRNazanin" w:eastAsia="IRNazanin"/>
          <w:color w:val="111111"/>
          <w:sz w:val="28"/>
          <w:sz w:val="28"/>
          <w:szCs w:val="28"/>
          <w:rtl w:val="true"/>
          <w:lang w:bidi="fa-IR"/>
        </w:rPr>
        <w:t>الأشعری،عن عبد اللّه بن سلیمان النوفلی،قال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 اللّه علیه السلام فإذا بمولی لعبد اللّه النجاشی قد </w:t>
      </w:r>
      <w:r>
        <w:rPr>
          <w:rStyle w:val="FootnoteAnchor"/>
          <w:rtl w:val="true"/>
        </w:rPr>
        <w:footnoteReference w:id="537"/>
      </w:r>
      <w:r>
        <w:rPr>
          <w:rFonts w:ascii="IRNazanin" w:hAnsi="IRNazanin" w:eastAsia="IRNazanin"/>
          <w:color w:val="111111"/>
          <w:sz w:val="28"/>
          <w:sz w:val="28"/>
          <w:szCs w:val="28"/>
          <w:rtl w:val="true"/>
          <w:lang w:bidi="fa-IR"/>
        </w:rPr>
        <w:t xml:space="preserve">ورد علیه فسلّم </w:t>
      </w:r>
      <w:r>
        <w:rPr>
          <w:rStyle w:val="FootnoteAnchor"/>
          <w:rtl w:val="true"/>
        </w:rPr>
        <w:footnoteReference w:id="538"/>
      </w:r>
      <w:r>
        <w:rPr>
          <w:rFonts w:ascii="IRNazanin" w:hAnsi="IRNazanin" w:eastAsia="IRNazanin"/>
          <w:color w:val="111111"/>
          <w:sz w:val="28"/>
          <w:sz w:val="28"/>
          <w:szCs w:val="28"/>
          <w:rtl w:val="true"/>
          <w:lang w:bidi="fa-IR"/>
        </w:rPr>
        <w:t>و أوصل إلیه کتاباً،ففضّه و قرأه،فإذا أوّل سطر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،أطال اللّه تعالی </w:t>
      </w:r>
      <w:r>
        <w:rPr>
          <w:rStyle w:val="FootnoteAnchor"/>
          <w:rtl w:val="true"/>
        </w:rPr>
        <w:footnoteReference w:id="539"/>
      </w:r>
      <w:r>
        <w:rPr>
          <w:rFonts w:ascii="IRNazanin" w:hAnsi="IRNazanin" w:eastAsia="IRNazanin"/>
          <w:color w:val="111111"/>
          <w:sz w:val="28"/>
          <w:sz w:val="28"/>
          <w:szCs w:val="28"/>
          <w:rtl w:val="true"/>
          <w:lang w:bidi="fa-IR"/>
        </w:rPr>
        <w:t>بقاء سیدی،و جعلنی</w:t>
      </w:r>
    </w:p>
    <w:p>
      <w:pPr>
        <w:pStyle w:val="BookText"/>
        <w:rPr/>
      </w:pPr>
      <w:r>
        <w:rPr>
          <w:rFonts w:ascii="IRNazanin" w:hAnsi="IRNazanin" w:eastAsia="IRNazanin"/>
          <w:color w:val="111111"/>
          <w:sz w:val="28"/>
          <w:sz w:val="28"/>
          <w:szCs w:val="28"/>
          <w:rtl w:val="true"/>
          <w:lang w:bidi="fa-IR"/>
        </w:rPr>
        <w:t>من کلّ سوء فداه،و لا أرانی فیه مکروهاً،فإنّه ولیّ ذلک و القادر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سیّدی و مولای </w:t>
      </w:r>
      <w:r>
        <w:rPr>
          <w:rStyle w:val="FootnoteAnchor"/>
          <w:rtl w:val="true"/>
        </w:rPr>
        <w:footnoteReference w:id="540"/>
      </w:r>
      <w:r>
        <w:rPr>
          <w:rFonts w:ascii="Amiri" w:hAnsi="Amiri" w:eastAsia="Amiri" w:cs="Amiri"/>
          <w:color w:val="111111"/>
          <w:sz w:val="28"/>
          <w:sz w:val="28"/>
          <w:szCs w:val="28"/>
          <w:rtl w:val="true"/>
          <w:lang w:bidi="ar-SA"/>
        </w:rPr>
        <w:t xml:space="preserve">،أنّی بُلیت بولایة الأهواز،فإن رأی سیّدی و مولای أن یحدّ لی حدّا،و یمثّل </w:t>
      </w:r>
      <w:r>
        <w:rPr>
          <w:rStyle w:val="FootnoteAnchor"/>
          <w:rtl w:val="true"/>
        </w:rPr>
        <w:footnoteReference w:id="541"/>
      </w:r>
      <w:r>
        <w:rPr>
          <w:rFonts w:ascii="Amiri" w:hAnsi="Amiri" w:eastAsia="Amiri" w:cs="Amiri"/>
          <w:color w:val="111111"/>
          <w:sz w:val="28"/>
          <w:sz w:val="28"/>
          <w:szCs w:val="28"/>
          <w:rtl w:val="true"/>
          <w:lang w:bidi="ar-SA"/>
        </w:rPr>
        <w:t xml:space="preserve">لی مثالاً لأستدلّ </w:t>
      </w:r>
      <w:r>
        <w:rPr>
          <w:rStyle w:val="FootnoteAnchor"/>
          <w:rtl w:val="true"/>
        </w:rPr>
        <w:footnoteReference w:id="542"/>
      </w:r>
      <w:r>
        <w:rPr>
          <w:rFonts w:ascii="Amiri" w:hAnsi="Amiri" w:eastAsia="Amiri" w:cs="Amiri"/>
          <w:color w:val="111111"/>
          <w:sz w:val="28"/>
          <w:sz w:val="28"/>
          <w:szCs w:val="28"/>
          <w:rtl w:val="true"/>
          <w:lang w:bidi="ar-SA"/>
        </w:rPr>
        <w:t xml:space="preserve">به علی ما یقرّبنی إلی اللّه عزّ و جلّ و إلی رسوله صلّی اللّه علیه و آله و سلم،و یلخّص </w:t>
      </w:r>
      <w:r>
        <w:rPr>
          <w:rStyle w:val="FootnoteAnchor"/>
          <w:rtl w:val="true"/>
        </w:rPr>
        <w:footnoteReference w:id="543"/>
      </w:r>
      <w:r>
        <w:rPr>
          <w:rFonts w:ascii="IRNazanin" w:hAnsi="IRNazanin" w:eastAsia="IRNazanin"/>
          <w:color w:val="111111"/>
          <w:sz w:val="28"/>
          <w:sz w:val="28"/>
          <w:szCs w:val="28"/>
          <w:rtl w:val="true"/>
          <w:lang w:bidi="fa-IR"/>
        </w:rPr>
        <w:t xml:space="preserve">فی کتابه ما یری لی العمل به،و فی ما أبذله </w:t>
      </w:r>
      <w:r>
        <w:rPr>
          <w:rStyle w:val="FootnoteAnchor"/>
          <w:rtl w:val="true"/>
        </w:rPr>
        <w:footnoteReference w:id="544"/>
      </w:r>
      <w:r>
        <w:rPr>
          <w:rFonts w:ascii="IRNazanin" w:hAnsi="IRNazanin" w:eastAsia="IRNazanin"/>
          <w:color w:val="111111"/>
          <w:sz w:val="28"/>
          <w:sz w:val="28"/>
          <w:szCs w:val="28"/>
          <w:rtl w:val="true"/>
          <w:lang w:bidi="fa-IR"/>
        </w:rPr>
        <w:t xml:space="preserve">،و أین أضع زکاتی،و فی من أصرفها </w:t>
      </w:r>
      <w:r>
        <w:rPr>
          <w:rStyle w:val="FootnoteAnchor"/>
          <w:rtl w:val="true"/>
        </w:rPr>
        <w:footnoteReference w:id="545"/>
      </w:r>
      <w:r>
        <w:rPr>
          <w:rFonts w:ascii="IRNazanin" w:hAnsi="IRNazanin" w:eastAsia="IRNazanin"/>
          <w:color w:val="111111"/>
          <w:sz w:val="28"/>
          <w:sz w:val="28"/>
          <w:szCs w:val="28"/>
          <w:rtl w:val="true"/>
          <w:lang w:bidi="fa-IR"/>
        </w:rPr>
        <w:t xml:space="preserve">،و بمن آنس،و إلی من أستریح،و بمن أثق و آمن و ألجأ إلیه فی سرّی،فعسی أن یخلّصنی اللّه تعالی بهدایتک و ولایتک </w:t>
      </w:r>
      <w:r>
        <w:rPr>
          <w:rStyle w:val="FootnoteAnchor"/>
          <w:rtl w:val="true"/>
        </w:rPr>
        <w:footnoteReference w:id="546"/>
      </w:r>
      <w:r>
        <w:rPr>
          <w:rFonts w:ascii="IRNazanin" w:hAnsi="IRNazanin" w:eastAsia="IRNazanin"/>
          <w:color w:val="111111"/>
          <w:sz w:val="28"/>
          <w:sz w:val="28"/>
          <w:szCs w:val="28"/>
          <w:rtl w:val="true"/>
          <w:lang w:bidi="fa-IR"/>
        </w:rPr>
        <w:t xml:space="preserve">،فإنّک حجّة اللّه علی خلقه و أمینه فی بلاده،لا </w:t>
      </w:r>
      <w:r>
        <w:rPr>
          <w:rStyle w:val="FootnoteAnchor"/>
          <w:rtl w:val="true"/>
        </w:rPr>
        <w:footnoteReference w:id="547"/>
      </w:r>
      <w:r>
        <w:rPr>
          <w:rFonts w:ascii="IRNazanin" w:hAnsi="IRNazanin" w:eastAsia="IRNazanin"/>
          <w:color w:val="111111"/>
          <w:sz w:val="28"/>
          <w:sz w:val="28"/>
          <w:szCs w:val="28"/>
          <w:rtl w:val="true"/>
          <w:lang w:bidi="fa-IR"/>
        </w:rPr>
        <w:t>زالت نعمته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سلیمان،فأجابه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،حاطک </w:t>
      </w:r>
      <w:r>
        <w:rPr>
          <w:rStyle w:val="FootnoteAnchor"/>
          <w:rtl w:val="true"/>
        </w:rPr>
        <w:footnoteReference w:id="549"/>
      </w:r>
      <w:r>
        <w:rPr>
          <w:rFonts w:ascii="Amiri" w:hAnsi="Amiri" w:eastAsia="Amiri" w:cs="Amiri"/>
          <w:color w:val="111111"/>
          <w:sz w:val="28"/>
          <w:sz w:val="28"/>
          <w:szCs w:val="28"/>
          <w:rtl w:val="true"/>
          <w:lang w:bidi="ar-SA"/>
        </w:rPr>
        <w:t>اللّه بصنعه،و لَطُفَ بک بمنّه،و کلأک برعایته،فإنّه ولیّ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بعد،فقد جاءنی </w:t>
      </w:r>
      <w:r>
        <w:rPr>
          <w:rStyle w:val="FootnoteAnchor"/>
          <w:rtl w:val="true"/>
        </w:rPr>
        <w:footnoteReference w:id="550"/>
      </w:r>
      <w:r>
        <w:rPr>
          <w:rFonts w:ascii="IRNazanin" w:hAnsi="IRNazanin" w:eastAsia="IRNazanin"/>
          <w:color w:val="111111"/>
          <w:sz w:val="28"/>
          <w:sz w:val="28"/>
          <w:szCs w:val="28"/>
          <w:rtl w:val="true"/>
          <w:lang w:bidi="fa-IR"/>
        </w:rPr>
        <w:t xml:space="preserve">رسولک بکتابک،فقرأته و فهمت جمیع ما ذکرته و سألت عنه،و ذکرت أنّک بُلیت بولایة الأهواز،فسرّنی </w:t>
      </w:r>
      <w:r>
        <w:rPr>
          <w:rStyle w:val="FootnoteAnchor"/>
          <w:rtl w:val="true"/>
        </w:rPr>
        <w:footnoteReference w:id="551"/>
      </w:r>
      <w:r>
        <w:rPr>
          <w:rFonts w:ascii="IRNazanin" w:hAnsi="IRNazanin" w:eastAsia="IRNazanin"/>
          <w:color w:val="111111"/>
          <w:sz w:val="28"/>
          <w:sz w:val="28"/>
          <w:szCs w:val="28"/>
          <w:rtl w:val="true"/>
          <w:lang w:bidi="fa-IR"/>
        </w:rPr>
        <w:t>ذلک و ساءنی، و ساُخبرک بما ساءنی من ذلک و ما سرّنی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552"/>
      </w:r>
      <w:r>
        <w:rPr>
          <w:rFonts w:ascii="IRNazanin" w:hAnsi="IRNazanin" w:eastAsia="IRNazanin"/>
          <w:color w:val="111111"/>
          <w:sz w:val="28"/>
          <w:sz w:val="28"/>
          <w:szCs w:val="28"/>
          <w:rtl w:val="true"/>
          <w:lang w:bidi="fa-IR"/>
        </w:rPr>
        <w:t xml:space="preserve">سروری بولایتک </w:t>
      </w:r>
      <w:r>
        <w:rPr>
          <w:rStyle w:val="FootnoteAnchor"/>
          <w:rtl w:val="true"/>
        </w:rPr>
        <w:footnoteReference w:id="55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یغیث اللّه بک ملهوفاً خائفاً </w:t>
      </w:r>
      <w:r>
        <w:rPr>
          <w:rStyle w:val="FootnoteAnchor"/>
          <w:rtl w:val="true"/>
        </w:rPr>
        <w:footnoteReference w:id="554"/>
      </w:r>
      <w:r>
        <w:rPr>
          <w:rFonts w:ascii="IRNazanin" w:hAnsi="IRNazanin" w:eastAsia="IRNazanin"/>
          <w:color w:val="111111"/>
          <w:sz w:val="28"/>
          <w:sz w:val="28"/>
          <w:szCs w:val="28"/>
          <w:rtl w:val="true"/>
          <w:lang w:bidi="fa-IR"/>
        </w:rPr>
        <w:t>من أولیاء آل محمد صلّی اللّه علیه و آله و سلم،و یعزّ بک ذلیلهم،و یکسو بک عاریهم،و یقوّی بک ضعیفهم،و یطفئ بک نار المخالفین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ساءنی من ذلک،فإنّ أدنی ما أخاف علیک أن تعثر بولیّ لنا فلا تشم رائحة </w:t>
      </w:r>
      <w:r>
        <w:rPr>
          <w:rStyle w:val="FootnoteAnchor"/>
          <w:rtl w:val="true"/>
        </w:rPr>
        <w:footnoteReference w:id="555"/>
      </w:r>
      <w:r>
        <w:rPr>
          <w:rFonts w:ascii="IRNazanin" w:hAnsi="IRNazanin" w:eastAsia="IRNazanin"/>
          <w:color w:val="111111"/>
          <w:sz w:val="28"/>
          <w:sz w:val="28"/>
          <w:szCs w:val="28"/>
          <w:rtl w:val="true"/>
          <w:lang w:bidi="fa-IR"/>
        </w:rPr>
        <w:t xml:space="preserve">حظیرة القدس،فإنی ملخّص لک جمیع ما سألت عنه،فإن </w:t>
      </w:r>
      <w:r>
        <w:rPr>
          <w:rStyle w:val="FootnoteAnchor"/>
          <w:rtl w:val="true"/>
        </w:rPr>
        <w:footnoteReference w:id="556"/>
      </w:r>
      <w:r>
        <w:rPr>
          <w:rFonts w:ascii="IRNazanin" w:hAnsi="IRNazanin" w:eastAsia="IRNazanin"/>
          <w:color w:val="111111"/>
          <w:sz w:val="28"/>
          <w:sz w:val="28"/>
          <w:szCs w:val="28"/>
          <w:rtl w:val="true"/>
          <w:lang w:bidi="fa-IR"/>
        </w:rPr>
        <w:t>أنت عملت به و لم تجاوزه،رجوت أن تسلم إن شاء اللّه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یا عبد اللّه أبی،عن آبائه،عن علی علیه السلام،عن رسول اللّه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استشاره أخوه المؤمن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فلم یمحضه النصیحة،سلب </w:t>
      </w:r>
      <w:r>
        <w:rPr>
          <w:rStyle w:val="FootnoteAnchor"/>
          <w:rtl w:val="true"/>
        </w:rPr>
        <w:footnoteReference w:id="558"/>
      </w:r>
      <w:r>
        <w:rPr>
          <w:rFonts w:ascii="Amiri" w:hAnsi="Amiri" w:eastAsia="Amiri" w:cs="Amiri"/>
          <w:color w:val="111111"/>
          <w:sz w:val="28"/>
          <w:sz w:val="28"/>
          <w:szCs w:val="28"/>
          <w:rtl w:val="true"/>
          <w:lang w:bidi="ar-SA"/>
        </w:rPr>
        <w:t xml:space="preserve">اللّه لبّه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اعلم،أنّی سأُشیر علیک برأیٍ </w:t>
      </w:r>
      <w:r>
        <w:rPr>
          <w:rStyle w:val="FootnoteAnchor"/>
          <w:rtl w:val="true"/>
        </w:rPr>
        <w:footnoteReference w:id="560"/>
      </w:r>
      <w:r>
        <w:rPr>
          <w:rFonts w:ascii="IRNazanin" w:hAnsi="IRNazanin" w:eastAsia="IRNazanin"/>
          <w:color w:val="111111"/>
          <w:sz w:val="28"/>
          <w:sz w:val="28"/>
          <w:szCs w:val="28"/>
          <w:rtl w:val="true"/>
          <w:lang w:bidi="fa-IR"/>
        </w:rPr>
        <w:t xml:space="preserve">إن أنت عملت به تخلّصت ممّا أنت تخافه </w:t>
      </w:r>
      <w:r>
        <w:rPr>
          <w:rStyle w:val="FootnoteAnchor"/>
          <w:rtl w:val="true"/>
        </w:rPr>
        <w:footnoteReference w:id="561"/>
      </w:r>
      <w:r>
        <w:rPr>
          <w:rFonts w:ascii="IRNazanin" w:hAnsi="IRNazanin" w:eastAsia="IRNazanin"/>
          <w:color w:val="111111"/>
          <w:sz w:val="28"/>
          <w:sz w:val="28"/>
          <w:szCs w:val="28"/>
          <w:rtl w:val="true"/>
          <w:lang w:bidi="fa-IR"/>
        </w:rPr>
        <w:t>،و اعلم أنّ خلاصک،و نجاتک فی حقن الدماء،و کفّ الأذی عن أولیاء اللّه،و الرفق بالرعیّة،و التأنّی و حسن المعاشرة،مع لین فی غیر ضعف،و شدّة فی غیر عنف،و مداراة صاحبک و من یرد علیک من رسله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ارفق برعیتک </w:t>
      </w:r>
      <w:r>
        <w:rPr>
          <w:rStyle w:val="FootnoteAnchor"/>
          <w:rtl w:val="true"/>
        </w:rPr>
        <w:footnoteReference w:id="562"/>
      </w:r>
      <w:r>
        <w:rPr>
          <w:rFonts w:ascii="IRNazanin" w:hAnsi="IRNazanin" w:eastAsia="IRNazanin"/>
          <w:color w:val="111111"/>
          <w:sz w:val="28"/>
          <w:sz w:val="28"/>
          <w:szCs w:val="28"/>
          <w:rtl w:val="true"/>
          <w:lang w:bidi="fa-IR"/>
        </w:rPr>
        <w:t xml:space="preserve">بأن توقفهم علی ما وافق الحقّ و العدل إن شاء اللّه تعالی،و إیّاک و السعاة و أهل النمائم،فلا یلزقنّ </w:t>
      </w:r>
      <w:r>
        <w:rPr>
          <w:rStyle w:val="FootnoteAnchor"/>
          <w:rtl w:val="true"/>
        </w:rPr>
        <w:footnoteReference w:id="563"/>
      </w:r>
      <w:r>
        <w:rPr>
          <w:rFonts w:ascii="IRNazanin" w:hAnsi="IRNazanin" w:eastAsia="IRNazanin"/>
          <w:color w:val="111111"/>
          <w:sz w:val="28"/>
          <w:sz w:val="28"/>
          <w:szCs w:val="28"/>
          <w:rtl w:val="true"/>
          <w:lang w:bidi="fa-IR"/>
        </w:rPr>
        <w:t xml:space="preserve">بک منهم أحد، و لا یراک </w:t>
      </w:r>
      <w:r>
        <w:rPr>
          <w:rStyle w:val="FootnoteAnchor"/>
          <w:rtl w:val="true"/>
        </w:rPr>
        <w:footnoteReference w:id="564"/>
      </w:r>
      <w:r>
        <w:rPr>
          <w:rFonts w:ascii="Amiri" w:hAnsi="Amiri" w:eastAsia="Amiri" w:cs="Amiri"/>
          <w:color w:val="111111"/>
          <w:sz w:val="28"/>
          <w:sz w:val="28"/>
          <w:szCs w:val="28"/>
          <w:rtl w:val="true"/>
          <w:lang w:bidi="ar-SA"/>
        </w:rPr>
        <w:t xml:space="preserve">اللّه یوماً و لیلة و أنت تَقْبَل منهم صرفاً و لا عدلاً فیسخط اللّه علیک و یهتک سترک،و احذر مکر خوزیّ </w:t>
      </w:r>
      <w:r>
        <w:rPr>
          <w:rStyle w:val="FootnoteAnchor"/>
          <w:rtl w:val="true"/>
        </w:rPr>
        <w:footnoteReference w:id="565"/>
      </w:r>
      <w:r>
        <w:rPr>
          <w:rFonts w:ascii="IRNazanin" w:hAnsi="IRNazanin" w:eastAsia="IRNazanin"/>
          <w:color w:val="111111"/>
          <w:sz w:val="28"/>
          <w:sz w:val="28"/>
          <w:szCs w:val="28"/>
          <w:rtl w:val="true"/>
          <w:lang w:bidi="fa-IR"/>
        </w:rPr>
        <w:t xml:space="preserve">الأهواز،فإنّ أبی أخبرنی </w:t>
      </w:r>
      <w:r>
        <w:rPr>
          <w:rStyle w:val="FootnoteAnchor"/>
          <w:rtl w:val="true"/>
        </w:rPr>
        <w:footnoteReference w:id="566"/>
      </w:r>
      <w:r>
        <w:rPr>
          <w:rFonts w:ascii="IRNazanin" w:hAnsi="IRNazanin" w:eastAsia="IRNazanin"/>
          <w:color w:val="111111"/>
          <w:sz w:val="28"/>
          <w:sz w:val="28"/>
          <w:szCs w:val="28"/>
          <w:rtl w:val="true"/>
          <w:lang w:bidi="fa-IR"/>
        </w:rPr>
        <w:t xml:space="preserve">عن آبائه،عن أمیر المؤمنین علیه السلام،قال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w:t>
      </w:r>
    </w:p>
    <w:p>
      <w:pPr>
        <w:pStyle w:val="BookText"/>
        <w:rPr/>
      </w:pPr>
      <w:r>
        <w:rPr>
          <w:rFonts w:ascii="IRNazanin" w:hAnsi="IRNazanin" w:eastAsia="IRNazanin"/>
          <w:color w:val="111111"/>
          <w:sz w:val="28"/>
          <w:sz w:val="28"/>
          <w:szCs w:val="28"/>
          <w:rtl w:val="true"/>
          <w:lang w:bidi="fa-IR"/>
        </w:rPr>
        <w:t xml:space="preserve">لا یثبت </w:t>
      </w:r>
      <w:r>
        <w:rPr>
          <w:rStyle w:val="FootnoteAnchor"/>
          <w:rtl w:val="true"/>
        </w:rPr>
        <w:footnoteReference w:id="568"/>
      </w:r>
      <w:r>
        <w:rPr>
          <w:rFonts w:ascii="IRNazanin" w:hAnsi="IRNazanin" w:eastAsia="IRNazanin"/>
          <w:color w:val="111111"/>
          <w:sz w:val="28"/>
          <w:sz w:val="28"/>
          <w:szCs w:val="28"/>
          <w:rtl w:val="true"/>
          <w:lang w:bidi="fa-IR"/>
        </w:rPr>
        <w:t>فی قلب یهودی و لا خوزیّ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569"/>
      </w:r>
      <w:r>
        <w:rPr>
          <w:rFonts w:ascii="IRNazanin" w:hAnsi="IRNazanin" w:eastAsia="IRNazanin"/>
          <w:color w:val="111111"/>
          <w:sz w:val="28"/>
          <w:sz w:val="28"/>
          <w:szCs w:val="28"/>
          <w:rtl w:val="true"/>
          <w:lang w:bidi="fa-IR"/>
        </w:rPr>
        <w:t>من تأنس به و تستریح إلیه و تلجئ أُمورک إلیه،فذلک الرجل الممتحن المستبصر الأمین الموافق لک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 أعوانک، و جرّب الفریقین؛فإن رأیت هنالک رشداً فشأنک و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أن تعطی درهماً أو تخلع </w:t>
      </w:r>
      <w:r>
        <w:rPr>
          <w:rStyle w:val="FootnoteAnchor"/>
          <w:rtl w:val="true"/>
        </w:rPr>
        <w:footnoteReference w:id="570"/>
      </w:r>
      <w:r>
        <w:rPr>
          <w:rFonts w:ascii="IRNazanin" w:hAnsi="IRNazanin" w:eastAsia="IRNazanin"/>
          <w:color w:val="111111"/>
          <w:sz w:val="28"/>
          <w:sz w:val="28"/>
          <w:szCs w:val="28"/>
          <w:rtl w:val="true"/>
          <w:lang w:bidi="fa-IR"/>
        </w:rPr>
        <w:t xml:space="preserve">ثوباً أو تحمل علی دابّة فی غیر ذات اللّه،لشاعر أو مضحک أو ممتزح </w:t>
      </w:r>
      <w:r>
        <w:rPr>
          <w:rStyle w:val="FootnoteAnchor"/>
          <w:rtl w:val="true"/>
        </w:rPr>
        <w:footnoteReference w:id="571"/>
      </w:r>
      <w:r>
        <w:rPr>
          <w:rFonts w:ascii="IRNazanin" w:hAnsi="IRNazanin" w:eastAsia="IRNazanin"/>
          <w:color w:val="111111"/>
          <w:sz w:val="28"/>
          <w:sz w:val="28"/>
          <w:szCs w:val="28"/>
          <w:rtl w:val="true"/>
          <w:lang w:bidi="fa-IR"/>
        </w:rPr>
        <w:t>،إلّا أعطیت مثله فی ذات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لتکن </w:t>
      </w:r>
      <w:r>
        <w:rPr>
          <w:rStyle w:val="FootnoteAnchor"/>
          <w:rtl w:val="true"/>
        </w:rPr>
        <w:footnoteReference w:id="572"/>
      </w:r>
      <w:r>
        <w:rPr>
          <w:rFonts w:ascii="IRNazanin" w:hAnsi="IRNazanin" w:eastAsia="IRNazanin"/>
          <w:color w:val="111111"/>
          <w:sz w:val="28"/>
          <w:sz w:val="28"/>
          <w:szCs w:val="28"/>
          <w:rtl w:val="true"/>
          <w:lang w:bidi="fa-IR"/>
        </w:rPr>
        <w:t xml:space="preserve">جوائزک و عطایاک و خلعک للقوّاد و الرسل و الأحفاد و أصحاب الرسائل و أصحاب الشرط و الأخماس،و ما أردت أن تصرف فی وجوه البرّ و النجاح و الصدقة و الفطرة </w:t>
      </w:r>
      <w:r>
        <w:rPr>
          <w:rStyle w:val="FootnoteAnchor"/>
          <w:rtl w:val="true"/>
        </w:rPr>
        <w:footnoteReference w:id="573"/>
      </w:r>
      <w:r>
        <w:rPr>
          <w:rFonts w:ascii="IRNazanin" w:hAnsi="IRNazanin" w:eastAsia="IRNazanin"/>
          <w:color w:val="111111"/>
          <w:sz w:val="28"/>
          <w:sz w:val="28"/>
          <w:szCs w:val="28"/>
          <w:rtl w:val="true"/>
          <w:lang w:bidi="fa-IR"/>
        </w:rPr>
        <w:t xml:space="preserve">و الحج و الشرب </w:t>
      </w:r>
      <w:r>
        <w:rPr>
          <w:rStyle w:val="FootnoteAnchor"/>
          <w:rtl w:val="true"/>
        </w:rPr>
        <w:footnoteReference w:id="574"/>
      </w:r>
      <w:r>
        <w:rPr>
          <w:rFonts w:ascii="IRNazanin" w:hAnsi="IRNazanin" w:eastAsia="IRNazanin"/>
          <w:color w:val="111111"/>
          <w:sz w:val="28"/>
          <w:sz w:val="28"/>
          <w:szCs w:val="28"/>
          <w:rtl w:val="true"/>
          <w:lang w:bidi="fa-IR"/>
        </w:rPr>
        <w:t xml:space="preserve">و الکسوة التی تصلّی فیها و تصل بها،و الهدیة التی تهدیها إلی اللّه عزّ و جلّ و إلی رسوله </w:t>
      </w:r>
      <w:r>
        <w:rPr>
          <w:rStyle w:val="FootnoteAnchor"/>
          <w:rtl w:val="true"/>
        </w:rPr>
        <w:footnoteReference w:id="575"/>
      </w:r>
      <w:r>
        <w:rPr>
          <w:rFonts w:ascii="IRNazanin" w:hAnsi="IRNazanin" w:eastAsia="IRNazanin"/>
          <w:color w:val="111111"/>
          <w:sz w:val="28"/>
          <w:sz w:val="28"/>
          <w:szCs w:val="28"/>
          <w:rtl w:val="true"/>
          <w:lang w:bidi="fa-IR"/>
        </w:rPr>
        <w:t>من أطیب کسبک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أُنظر </w:t>
      </w:r>
      <w:r>
        <w:rPr>
          <w:rStyle w:val="FootnoteAnchor"/>
          <w:rtl w:val="true"/>
        </w:rPr>
        <w:footnoteReference w:id="576"/>
      </w:r>
      <w:r>
        <w:rPr>
          <w:rFonts w:ascii="Amiri" w:hAnsi="Amiri" w:eastAsia="Amiri" w:cs="Amiri"/>
          <w:color w:val="111111"/>
          <w:sz w:val="28"/>
          <w:sz w:val="28"/>
          <w:szCs w:val="28"/>
          <w:rtl w:val="true"/>
          <w:lang w:bidi="ar-SA"/>
        </w:rPr>
        <w:t>یا عبد اللّه أن لا تکنز ذهباً و لا فضة فتکون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 الْفِضَّةَ وَ لاٰ یُنْفِقُونَهٰا فِی سَبِیلِ اللّٰهِ فَبَشِّرْهُمْ بِعَذٰابٍ أَلِیمٍ </w:t>
      </w:r>
      <w:r>
        <w:rPr>
          <w:rStyle w:val="FootnoteAnchor"/>
          <w:rtl w:val="true"/>
        </w:rPr>
        <w:footnoteReference w:id="577"/>
      </w:r>
      <w:r>
        <w:rPr>
          <w:rFonts w:ascii="IRNazanin" w:hAnsi="IRNazanin" w:eastAsia="IRNazanin"/>
          <w:color w:val="111111"/>
          <w:sz w:val="28"/>
          <w:sz w:val="28"/>
          <w:szCs w:val="28"/>
          <w:rtl w:val="true"/>
          <w:lang w:bidi="fa-IR"/>
        </w:rPr>
        <w:t xml:space="preserve">و لا تستصغرنّ من حلو أو فضل طعام </w:t>
      </w:r>
      <w:r>
        <w:rPr>
          <w:rStyle w:val="FootnoteAnchor"/>
          <w:rtl w:val="true"/>
        </w:rPr>
        <w:footnoteReference w:id="578"/>
      </w:r>
      <w:r>
        <w:rPr>
          <w:rFonts w:ascii="IRNazanin" w:hAnsi="IRNazanin" w:eastAsia="IRNazanin"/>
          <w:color w:val="111111"/>
          <w:sz w:val="28"/>
          <w:sz w:val="28"/>
          <w:szCs w:val="28"/>
          <w:rtl w:val="true"/>
          <w:lang w:bidi="fa-IR"/>
        </w:rPr>
        <w:t>تصرفه فی بطون خالیة تسکن بها غضب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اعلم،أنّی سمعت أبی یحدّث عن آبائه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و سلم </w:t>
      </w:r>
      <w:r>
        <w:rPr>
          <w:rStyle w:val="FootnoteAnchor"/>
          <w:rtl w:val="true"/>
        </w:rPr>
        <w:footnoteReference w:id="579"/>
      </w:r>
      <w:r>
        <w:rPr>
          <w:rFonts w:ascii="IRNazanin" w:hAnsi="IRNazanin" w:eastAsia="IRNazanin"/>
          <w:color w:val="111111"/>
          <w:sz w:val="28"/>
          <w:sz w:val="28"/>
          <w:szCs w:val="28"/>
          <w:rtl w:val="true"/>
          <w:lang w:bidi="fa-IR"/>
        </w:rPr>
        <w:t>قال 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باللّه و الیوم الآخر من بات شبعاناً و جاره جائع،فقلنا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هلکنا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طعامکم،و من فضل تمرکم و رزقکم و خَلِقکم و خِرَقکم تطفئون بها غضب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ساُنبئک بهوان </w:t>
      </w:r>
      <w:r>
        <w:rPr>
          <w:rStyle w:val="FootnoteAnchor"/>
          <w:rtl w:val="true"/>
        </w:rPr>
        <w:footnoteReference w:id="580"/>
      </w:r>
      <w:r>
        <w:rPr>
          <w:rFonts w:ascii="IRNazanin" w:hAnsi="IRNazanin" w:eastAsia="IRNazanin"/>
          <w:color w:val="111111"/>
          <w:sz w:val="28"/>
          <w:sz w:val="28"/>
          <w:szCs w:val="28"/>
          <w:rtl w:val="true"/>
          <w:lang w:bidi="fa-IR"/>
        </w:rPr>
        <w:t xml:space="preserve">الدنیا و هوان شرفها علی من مضی من السلف و التابعین،فقد حدّثنی أبی </w:t>
      </w:r>
      <w:r>
        <w:rPr>
          <w:rStyle w:val="FootnoteAnchor"/>
          <w:rtl w:val="true"/>
        </w:rPr>
        <w:footnoteReference w:id="581"/>
      </w:r>
      <w:r>
        <w:rPr>
          <w:rFonts w:ascii="IRNazanin" w:hAnsi="IRNazanin" w:eastAsia="IRNazanin"/>
          <w:color w:val="111111"/>
          <w:sz w:val="28"/>
          <w:sz w:val="28"/>
          <w:szCs w:val="28"/>
          <w:rtl w:val="true"/>
          <w:lang w:bidi="fa-IR"/>
        </w:rPr>
        <w:t>،محمد بن علی بن الحسین علیهم السلام،قال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تجهّز الحسین علیه السلام إلی الکوفة </w:t>
      </w:r>
      <w:r>
        <w:rPr>
          <w:rStyle w:val="FootnoteAnchor"/>
          <w:rtl w:val="true"/>
        </w:rPr>
        <w:footnoteReference w:id="582"/>
      </w:r>
      <w:r>
        <w:rPr>
          <w:rFonts w:ascii="IRNazanin" w:hAnsi="IRNazanin" w:eastAsia="IRNazanin"/>
          <w:color w:val="111111"/>
          <w:sz w:val="28"/>
          <w:sz w:val="28"/>
          <w:szCs w:val="28"/>
          <w:rtl w:val="true"/>
          <w:lang w:bidi="fa-IR"/>
        </w:rPr>
        <w:t>أتاه ابن عباس فناشده اللّه و الرحم أن یکون هو المقتول بالطفّ،فقال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أعرف </w:t>
      </w:r>
      <w:r>
        <w:rPr>
          <w:rStyle w:val="FootnoteAnchor"/>
          <w:rtl w:val="true"/>
        </w:rPr>
        <w:footnoteReference w:id="583"/>
      </w:r>
      <w:r>
        <w:rPr>
          <w:rFonts w:ascii="IRNazanin" w:hAnsi="IRNazanin" w:eastAsia="IRNazanin"/>
          <w:color w:val="111111"/>
          <w:sz w:val="28"/>
          <w:sz w:val="28"/>
          <w:szCs w:val="28"/>
          <w:rtl w:val="true"/>
          <w:lang w:bidi="fa-IR"/>
        </w:rPr>
        <w:t>بمصرعی منک،</w:t>
      </w:r>
    </w:p>
    <w:p>
      <w:pPr>
        <w:pStyle w:val="BookText"/>
        <w:rPr/>
      </w:pPr>
      <w:r>
        <w:rPr>
          <w:rFonts w:ascii="IRNazanin" w:hAnsi="IRNazanin" w:eastAsia="IRNazanin"/>
          <w:color w:val="111111"/>
          <w:sz w:val="28"/>
          <w:sz w:val="28"/>
          <w:szCs w:val="28"/>
          <w:rtl w:val="true"/>
          <w:lang w:bidi="fa-IR"/>
        </w:rPr>
        <w:t xml:space="preserve">و ما وَکْدِی من الدنیا إلّا فراقها،أ لا أُخبرک یا بن عباس بحدیث أمیر المؤمنین علیه السلام و الدنیا؟فقال له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لعمری إنّی أُحبّ أن تحدّثنی بأمرها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کنت بفدک </w:t>
      </w:r>
      <w:r>
        <w:rPr>
          <w:rStyle w:val="FootnoteAnchor"/>
          <w:rtl w:val="true"/>
        </w:rPr>
        <w:footnoteReference w:id="585"/>
      </w:r>
      <w:r>
        <w:rPr>
          <w:rFonts w:ascii="IRNazanin" w:hAnsi="IRNazanin" w:eastAsia="IRNazanin"/>
          <w:color w:val="111111"/>
          <w:sz w:val="28"/>
          <w:sz w:val="28"/>
          <w:szCs w:val="28"/>
          <w:rtl w:val="true"/>
          <w:lang w:bidi="fa-IR"/>
        </w:rPr>
        <w:t xml:space="preserve">فی بعض حیطانها و قد صارت لفاطمة علیها السلام،فإذا أنا بامرأة قد قَحَمَتْ علیَّ و فی یدی مسحاة و أنا أعمل بها،فلما نظرت إلیها طار قلبی مما تداخلنی من جمالها،فشبّهتها ببثینة </w:t>
      </w:r>
      <w:r>
        <w:rPr>
          <w:rStyle w:val="FootnoteAnchor"/>
          <w:rtl w:val="true"/>
        </w:rPr>
        <w:footnoteReference w:id="586"/>
      </w:r>
      <w:r>
        <w:rPr>
          <w:rFonts w:ascii="IRNazanin" w:hAnsi="IRNazanin" w:eastAsia="IRNazanin"/>
          <w:color w:val="111111"/>
          <w:sz w:val="28"/>
          <w:sz w:val="28"/>
          <w:szCs w:val="28"/>
          <w:rtl w:val="true"/>
          <w:lang w:bidi="fa-IR"/>
        </w:rPr>
        <w:t xml:space="preserve">بنت عامر الجمحی </w:t>
      </w:r>
      <w:r>
        <w:rPr>
          <w:rStyle w:val="FootnoteAnchor"/>
          <w:rtl w:val="true"/>
        </w:rPr>
        <w:footnoteReference w:id="587"/>
      </w:r>
      <w:r>
        <w:rPr>
          <w:rFonts w:ascii="IRNazanin" w:hAnsi="IRNazanin" w:eastAsia="IRNazanin"/>
          <w:color w:val="111111"/>
          <w:sz w:val="28"/>
          <w:sz w:val="28"/>
          <w:szCs w:val="28"/>
          <w:rtl w:val="true"/>
          <w:lang w:bidi="fa-IR"/>
        </w:rPr>
        <w:t>و کانت من أجمل نساء قریش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أبی طالب،هل لک أن تتزوّج بی فأُغنیک </w:t>
      </w:r>
      <w:r>
        <w:rPr>
          <w:rStyle w:val="FootnoteAnchor"/>
          <w:rtl w:val="true"/>
        </w:rPr>
        <w:footnoteReference w:id="588"/>
      </w:r>
      <w:r>
        <w:rPr>
          <w:rFonts w:ascii="IRNazanin" w:hAnsi="IRNazanin" w:eastAsia="IRNazanin"/>
          <w:color w:val="111111"/>
          <w:sz w:val="28"/>
          <w:sz w:val="28"/>
          <w:szCs w:val="28"/>
          <w:rtl w:val="true"/>
          <w:lang w:bidi="fa-IR"/>
        </w:rPr>
        <w:t>عن هذه المسحاة،و أدلّک علی خزائن الأرض فیکون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 و لعقبک من بعدک؟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حتی أخطبک من أهلک؟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فارجعی و اطلبی زوجاً غیری فلستِ من شأنی </w:t>
      </w:r>
      <w:r>
        <w:rPr>
          <w:rStyle w:val="FootnoteAnchor"/>
          <w:rtl w:val="true"/>
        </w:rPr>
        <w:footnoteReference w:id="591"/>
      </w:r>
      <w:r>
        <w:rPr>
          <w:rFonts w:ascii="IRNazanin" w:hAnsi="IRNazanin" w:eastAsia="IRNazanin"/>
          <w:color w:val="111111"/>
          <w:sz w:val="28"/>
          <w:sz w:val="28"/>
          <w:szCs w:val="28"/>
          <w:rtl w:val="true"/>
          <w:lang w:bidi="fa-IR"/>
        </w:rPr>
        <w:t>،فأقبلت علی مسحاتی و 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خاب من غرّته دنیا دنیّة</w:t>
      </w:r>
    </w:p>
    <w:p>
      <w:pPr>
        <w:pStyle w:val="BookText"/>
        <w:rPr/>
      </w:pPr>
      <w:r>
        <w:rPr>
          <w:rFonts w:ascii="IRNazanin" w:hAnsi="IRNazanin" w:eastAsia="IRNazanin"/>
          <w:color w:val="111111"/>
          <w:sz w:val="28"/>
          <w:sz w:val="28"/>
          <w:szCs w:val="28"/>
          <w:rtl w:val="true"/>
          <w:lang w:bidi="fa-IR"/>
        </w:rPr>
        <w:t xml:space="preserve">و ما هی أن غرّت قروناً بنائل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أتتنا علی زیّ العزیز بثینة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زینتها فی مثل تلک الشمائل</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سوای فإنّنی</w:t>
      </w:r>
    </w:p>
    <w:p>
      <w:pPr>
        <w:pStyle w:val="BookText"/>
        <w:rPr/>
      </w:pPr>
      <w:r>
        <w:rPr>
          <w:rFonts w:ascii="Amiri" w:hAnsi="Amiri" w:eastAsia="Amiri" w:cs="Amiri"/>
          <w:color w:val="111111"/>
          <w:sz w:val="28"/>
          <w:sz w:val="28"/>
          <w:szCs w:val="28"/>
          <w:rtl w:val="true"/>
          <w:lang w:bidi="ar-SA"/>
        </w:rPr>
        <w:t xml:space="preserve">عَزوف عن </w:t>
      </w:r>
      <w:r>
        <w:rPr>
          <w:rStyle w:val="FootnoteAnchor"/>
          <w:rtl w:val="true"/>
        </w:rPr>
        <w:footnoteReference w:id="594"/>
      </w:r>
      <w:r>
        <w:rPr>
          <w:rFonts w:ascii="IRNazanin" w:hAnsi="IRNazanin" w:eastAsia="IRNazanin"/>
          <w:color w:val="111111"/>
          <w:sz w:val="28"/>
          <w:sz w:val="28"/>
          <w:szCs w:val="28"/>
          <w:rtl w:val="true"/>
          <w:lang w:bidi="fa-IR"/>
        </w:rPr>
        <w:t>الدنیا و لست بجاهل</w:t>
      </w:r>
    </w:p>
    <w:p>
      <w:pPr>
        <w:pStyle w:val="BookText"/>
        <w:rPr/>
      </w:pPr>
      <w:r>
        <w:rPr>
          <w:rFonts w:ascii="IRNazanin" w:hAnsi="IRNazanin" w:eastAsia="IRNazanin"/>
          <w:color w:val="111111"/>
          <w:sz w:val="28"/>
          <w:sz w:val="28"/>
          <w:szCs w:val="28"/>
          <w:rtl w:val="true"/>
          <w:lang w:bidi="fa-IR"/>
        </w:rPr>
        <w:t>و ما أنا و الدنیا فإنّ محمداً</w:t>
      </w:r>
    </w:p>
    <w:p>
      <w:pPr>
        <w:pStyle w:val="BookText"/>
        <w:rPr/>
      </w:pPr>
      <w:r>
        <w:rPr>
          <w:rFonts w:ascii="IRNazanin" w:hAnsi="IRNazanin" w:eastAsia="IRNazanin"/>
          <w:color w:val="111111"/>
          <w:sz w:val="28"/>
          <w:sz w:val="28"/>
          <w:szCs w:val="28"/>
          <w:rtl w:val="true"/>
          <w:lang w:bidi="fa-IR"/>
        </w:rPr>
        <w:t>أحلّ صریعاً بین تلک الجنادل</w:t>
      </w:r>
    </w:p>
    <w:p>
      <w:pPr>
        <w:pStyle w:val="BookText"/>
        <w:rPr/>
      </w:pPr>
      <w:r>
        <w:rPr>
          <w:rFonts w:ascii="IRNazanin" w:hAnsi="IRNazanin" w:eastAsia="IRNazanin"/>
          <w:color w:val="111111"/>
          <w:sz w:val="28"/>
          <w:sz w:val="28"/>
          <w:szCs w:val="28"/>
          <w:rtl w:val="true"/>
          <w:lang w:bidi="fa-IR"/>
        </w:rPr>
        <w:t xml:space="preserve">و هیهات امنی بالکنوز و ودِّها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أموال قارون و ملک القبائل</w:t>
      </w:r>
    </w:p>
    <w:p>
      <w:pPr>
        <w:pStyle w:val="BookText"/>
        <w:rPr/>
      </w:pPr>
      <w:r>
        <w:rPr>
          <w:rFonts w:ascii="IRNazanin" w:hAnsi="IRNazanin" w:eastAsia="IRNazanin"/>
          <w:color w:val="111111"/>
          <w:sz w:val="28"/>
          <w:sz w:val="28"/>
          <w:szCs w:val="28"/>
          <w:rtl w:val="true"/>
          <w:lang w:bidi="fa-IR"/>
        </w:rPr>
        <w:t xml:space="preserve">أ لیس جمیعاً للفناء مصیرنا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w:t>
      </w:r>
    </w:p>
    <w:p>
      <w:pPr>
        <w:pStyle w:val="BookText"/>
        <w:rPr/>
      </w:pPr>
      <w:r>
        <w:rPr>
          <w:rFonts w:ascii="IRNazanin" w:hAnsi="IRNazanin" w:eastAsia="IRNazanin"/>
          <w:color w:val="111111"/>
          <w:sz w:val="28"/>
          <w:sz w:val="28"/>
          <w:szCs w:val="28"/>
          <w:rtl w:val="true"/>
          <w:lang w:bidi="fa-IR"/>
        </w:rPr>
        <w:t xml:space="preserve">بما فیک من ملک و عزّ </w:t>
      </w:r>
      <w:r>
        <w:rPr>
          <w:rStyle w:val="FootnoteAnchor"/>
          <w:rtl w:val="true"/>
        </w:rPr>
        <w:footnoteReference w:id="597"/>
      </w:r>
      <w:r>
        <w:rPr>
          <w:rFonts w:ascii="IRNazanin" w:hAnsi="IRNazanin" w:eastAsia="IRNazanin"/>
          <w:color w:val="111111"/>
          <w:sz w:val="28"/>
          <w:sz w:val="28"/>
          <w:szCs w:val="28"/>
          <w:rtl w:val="true"/>
          <w:lang w:bidi="fa-IR"/>
        </w:rPr>
        <w:t>و نائل</w:t>
      </w:r>
    </w:p>
    <w:p>
      <w:pPr>
        <w:pStyle w:val="BookText"/>
        <w:rPr/>
      </w:pPr>
      <w:r>
        <w:rPr>
          <w:rFonts w:ascii="IRNazanin" w:hAnsi="IRNazanin" w:eastAsia="IRNazanin"/>
          <w:color w:val="111111"/>
          <w:sz w:val="28"/>
          <w:sz w:val="28"/>
          <w:szCs w:val="28"/>
          <w:rtl w:val="true"/>
          <w:lang w:bidi="fa-IR"/>
        </w:rPr>
        <w:t>فقد قنعت نفسی بما قد رُزِقته</w:t>
      </w:r>
    </w:p>
    <w:p>
      <w:pPr>
        <w:pStyle w:val="BookText"/>
        <w:rPr/>
      </w:pPr>
      <w:r>
        <w:rPr>
          <w:rFonts w:ascii="IRNazanin" w:hAnsi="IRNazanin" w:eastAsia="IRNazanin"/>
          <w:color w:val="111111"/>
          <w:sz w:val="28"/>
          <w:sz w:val="28"/>
          <w:szCs w:val="28"/>
          <w:rtl w:val="true"/>
          <w:lang w:bidi="fa-IR"/>
        </w:rPr>
        <w:t>فشأنک یا دنیا و أهل الغوائل</w:t>
      </w:r>
    </w:p>
    <w:p>
      <w:pPr>
        <w:pStyle w:val="BookText"/>
        <w:rPr/>
      </w:pPr>
      <w:r>
        <w:rPr>
          <w:rFonts w:ascii="IRNazanin" w:hAnsi="IRNazanin" w:eastAsia="IRNazanin"/>
          <w:color w:val="111111"/>
          <w:sz w:val="28"/>
          <w:sz w:val="28"/>
          <w:szCs w:val="28"/>
          <w:rtl w:val="true"/>
          <w:lang w:bidi="fa-IR"/>
        </w:rPr>
        <w:t>فإنّی أخاف اللّه یوم لقائه</w:t>
      </w:r>
    </w:p>
    <w:p>
      <w:pPr>
        <w:pStyle w:val="BookText"/>
        <w:rPr/>
      </w:pPr>
      <w:r>
        <w:rPr>
          <w:rFonts w:ascii="IRNazanin" w:hAnsi="IRNazanin" w:eastAsia="IRNazanin"/>
          <w:color w:val="111111"/>
          <w:sz w:val="28"/>
          <w:sz w:val="28"/>
          <w:szCs w:val="28"/>
          <w:rtl w:val="true"/>
          <w:lang w:bidi="fa-IR"/>
        </w:rPr>
        <w:t>و أخشی عذاباً دائماً غیر زائل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من الدنیا و لیس فی عنقه تبعة </w:t>
      </w:r>
      <w:r>
        <w:rPr>
          <w:rStyle w:val="FootnoteAnchor"/>
          <w:rtl w:val="true"/>
        </w:rPr>
        <w:footnoteReference w:id="598"/>
      </w:r>
      <w:r>
        <w:rPr>
          <w:rFonts w:ascii="IRNazanin" w:hAnsi="IRNazanin" w:eastAsia="IRNazanin"/>
          <w:color w:val="111111"/>
          <w:sz w:val="28"/>
          <w:sz w:val="28"/>
          <w:szCs w:val="28"/>
          <w:rtl w:val="true"/>
          <w:lang w:bidi="fa-IR"/>
        </w:rPr>
        <w:t>لأحد،حتی لقی اللّه</w:t>
      </w:r>
    </w:p>
    <w:p>
      <w:pPr>
        <w:pStyle w:val="BookText"/>
        <w:rPr/>
      </w:pPr>
      <w:r>
        <w:rPr>
          <w:rFonts w:ascii="IRNazanin" w:hAnsi="IRNazanin" w:eastAsia="IRNazanin"/>
          <w:color w:val="111111"/>
          <w:sz w:val="28"/>
          <w:sz w:val="28"/>
          <w:szCs w:val="28"/>
          <w:rtl w:val="true"/>
          <w:lang w:bidi="fa-IR"/>
        </w:rPr>
        <w:t>تعالی محموداً غیر ملوم و لا مذموم،ثم اقتدت به الأئمة من بعده بما قد بلغکم،لم یتلطّخوا بشیء من بوائقها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وجّهت إلیک بمکارم الدنیا و الآخرة عن </w:t>
      </w:r>
      <w:r>
        <w:rPr>
          <w:rStyle w:val="FootnoteAnchor"/>
          <w:rtl w:val="true"/>
        </w:rPr>
        <w:footnoteReference w:id="599"/>
      </w:r>
      <w:r>
        <w:rPr>
          <w:rFonts w:ascii="IRNazanin" w:hAnsi="IRNazanin" w:eastAsia="IRNazanin"/>
          <w:color w:val="111111"/>
          <w:sz w:val="28"/>
          <w:sz w:val="28"/>
          <w:szCs w:val="28"/>
          <w:rtl w:val="true"/>
          <w:lang w:bidi="fa-IR"/>
        </w:rPr>
        <w:t xml:space="preserve">الصادق </w:t>
      </w:r>
      <w:r>
        <w:rPr>
          <w:rStyle w:val="FootnoteAnchor"/>
          <w:rtl w:val="true"/>
        </w:rPr>
        <w:footnoteReference w:id="600"/>
      </w:r>
      <w:r>
        <w:rPr>
          <w:rFonts w:ascii="IRNazanin" w:hAnsi="IRNazanin" w:eastAsia="IRNazanin"/>
          <w:color w:val="111111"/>
          <w:sz w:val="28"/>
          <w:sz w:val="28"/>
          <w:szCs w:val="28"/>
          <w:rtl w:val="true"/>
          <w:lang w:bidi="fa-IR"/>
        </w:rPr>
        <w:t xml:space="preserve">المصدَّق رسول اللّه صلّی اللّه علیه و آله و سلم،فإن أنت عملت بما نصحت لک فی کتابی هذا،ثم کانت علیک من الذنوب و </w:t>
      </w:r>
      <w:r>
        <w:rPr>
          <w:rStyle w:val="FootnoteAnchor"/>
          <w:rtl w:val="true"/>
        </w:rPr>
        <w:footnoteReference w:id="601"/>
      </w:r>
      <w:r>
        <w:rPr>
          <w:rFonts w:ascii="IRNazanin" w:hAnsi="IRNazanin" w:eastAsia="IRNazanin"/>
          <w:color w:val="111111"/>
          <w:sz w:val="28"/>
          <w:sz w:val="28"/>
          <w:szCs w:val="28"/>
          <w:rtl w:val="true"/>
          <w:lang w:bidi="fa-IR"/>
        </w:rPr>
        <w:t xml:space="preserve">الخطایا کمثل أوزان الجبال و أمواج البحار،رجوت اللّه أن یتجافی </w:t>
      </w:r>
      <w:r>
        <w:rPr>
          <w:rStyle w:val="FootnoteAnchor"/>
          <w:rtl w:val="true"/>
        </w:rPr>
        <w:footnoteReference w:id="602"/>
      </w:r>
      <w:r>
        <w:rPr>
          <w:rFonts w:ascii="Amiri" w:hAnsi="Amiri" w:eastAsia="Amiri" w:cs="Amiri"/>
          <w:color w:val="111111"/>
          <w:sz w:val="28"/>
          <w:sz w:val="28"/>
          <w:szCs w:val="28"/>
          <w:rtl w:val="true"/>
          <w:lang w:bidi="ar-SA"/>
        </w:rPr>
        <w:t>عنک جلّ و عزّ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عبد اللّه،إیّاک </w:t>
      </w:r>
      <w:r>
        <w:rPr>
          <w:rStyle w:val="FootnoteAnchor"/>
          <w:rtl w:val="true"/>
        </w:rPr>
        <w:footnoteReference w:id="603"/>
      </w:r>
      <w:r>
        <w:rPr>
          <w:rFonts w:ascii="Amiri" w:hAnsi="Amiri" w:eastAsia="Amiri" w:cs="Amiri"/>
          <w:color w:val="111111"/>
          <w:sz w:val="28"/>
          <w:sz w:val="28"/>
          <w:szCs w:val="28"/>
          <w:rtl w:val="true"/>
          <w:lang w:bidi="ar-SA"/>
        </w:rPr>
        <w:t xml:space="preserve">أن تخیف مؤمناً؛فإنّ أبی </w:t>
      </w:r>
      <w:r>
        <w:rPr>
          <w:rStyle w:val="FootnoteAnchor"/>
          <w:rtl w:val="true"/>
        </w:rPr>
        <w:footnoteReference w:id="604"/>
      </w:r>
      <w:r>
        <w:rPr>
          <w:rFonts w:ascii="IRNazanin" w:hAnsi="IRNazanin" w:eastAsia="IRNazanin"/>
          <w:color w:val="111111"/>
          <w:sz w:val="28"/>
          <w:sz w:val="28"/>
          <w:szCs w:val="28"/>
          <w:rtl w:val="true"/>
          <w:lang w:bidi="fa-IR"/>
        </w:rPr>
        <w:t xml:space="preserve">حدثنی عن أبیه، عن جدّه </w:t>
      </w:r>
      <w:r>
        <w:rPr>
          <w:rStyle w:val="FootnoteAnchor"/>
          <w:rtl w:val="true"/>
        </w:rPr>
        <w:footnoteReference w:id="605"/>
      </w:r>
      <w:r>
        <w:rPr>
          <w:rFonts w:ascii="IRNazanin" w:hAnsi="IRNazanin" w:eastAsia="IRNazanin"/>
          <w:color w:val="111111"/>
          <w:sz w:val="28"/>
          <w:sz w:val="28"/>
          <w:szCs w:val="28"/>
          <w:rtl w:val="true"/>
          <w:lang w:bidi="fa-IR"/>
        </w:rPr>
        <w:t>علی بن أبی طالب علیه و علیهم السلام،أنّه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إلی مؤمن نظرة لیخیفه بها،أخافه اللّه یوم لا ظلّ إلّا ظلّه،و حشره علی </w:t>
      </w:r>
      <w:r>
        <w:rPr>
          <w:rStyle w:val="FootnoteAnchor"/>
          <w:rtl w:val="true"/>
        </w:rPr>
        <w:footnoteReference w:id="606"/>
      </w:r>
      <w:r>
        <w:rPr>
          <w:rFonts w:ascii="IRNazanin" w:hAnsi="IRNazanin" w:eastAsia="IRNazanin"/>
          <w:color w:val="111111"/>
          <w:sz w:val="28"/>
          <w:sz w:val="28"/>
          <w:szCs w:val="28"/>
          <w:rtl w:val="true"/>
          <w:lang w:bidi="fa-IR"/>
        </w:rPr>
        <w:t>صورة الذرّ لحمه و جسده و جمیع أعضائه،حتی یورده مورده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حدّثنی أبی </w:t>
      </w:r>
      <w:r>
        <w:rPr>
          <w:rStyle w:val="FootnoteAnchor"/>
          <w:rtl w:val="true"/>
        </w:rPr>
        <w:footnoteReference w:id="607"/>
      </w:r>
      <w:r>
        <w:rPr>
          <w:rFonts w:ascii="IRNazanin" w:hAnsi="IRNazanin" w:eastAsia="IRNazanin"/>
          <w:color w:val="111111"/>
          <w:sz w:val="28"/>
          <w:sz w:val="28"/>
          <w:szCs w:val="28"/>
          <w:rtl w:val="true"/>
          <w:lang w:bidi="fa-IR"/>
        </w:rPr>
        <w:t>،عن آبائه،عن علی علیه السلام،عن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أغاث لهفاناً من المؤمنین </w:t>
      </w:r>
      <w:r>
        <w:rPr>
          <w:rStyle w:val="FootnoteAnchor"/>
          <w:rtl w:val="true"/>
        </w:rPr>
        <w:footnoteReference w:id="608"/>
      </w:r>
      <w:r>
        <w:rPr>
          <w:rFonts w:ascii="Amiri" w:hAnsi="Amiri" w:eastAsia="Amiri" w:cs="Amiri"/>
          <w:color w:val="111111"/>
          <w:sz w:val="28"/>
          <w:sz w:val="28"/>
          <w:szCs w:val="28"/>
          <w:rtl w:val="true"/>
          <w:lang w:bidi="ar-SA"/>
        </w:rPr>
        <w:t>أغاثه اللّه یوم لا ظلّ إلّا ظلّه،</w:t>
      </w:r>
    </w:p>
    <w:p>
      <w:pPr>
        <w:pStyle w:val="BookText"/>
        <w:rPr/>
      </w:pPr>
      <w:r>
        <w:rPr>
          <w:rFonts w:ascii="IRNazanin" w:hAnsi="IRNazanin" w:eastAsia="IRNazanin"/>
          <w:color w:val="111111"/>
          <w:sz w:val="28"/>
          <w:sz w:val="28"/>
          <w:szCs w:val="28"/>
          <w:rtl w:val="true"/>
          <w:lang w:bidi="fa-IR"/>
        </w:rPr>
        <w:t>و آمنه من الفزع الأکبر،و آمنه من سوء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قضی لأخیه المؤمن حاجة قضی اللّه له حوائج کثیرة، إحداها </w:t>
      </w:r>
      <w:r>
        <w:rPr>
          <w:rStyle w:val="FootnoteAnchor"/>
          <w:rtl w:val="true"/>
        </w:rPr>
        <w:footnoteReference w:id="609"/>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کسا أخاه المؤمن </w:t>
      </w:r>
      <w:r>
        <w:rPr>
          <w:rStyle w:val="FootnoteAnchor"/>
          <w:rtl w:val="true"/>
        </w:rPr>
        <w:footnoteReference w:id="610"/>
      </w:r>
      <w:r>
        <w:rPr>
          <w:rFonts w:ascii="Amiri" w:hAnsi="Amiri" w:eastAsia="Amiri" w:cs="Amiri"/>
          <w:color w:val="111111"/>
          <w:sz w:val="28"/>
          <w:sz w:val="28"/>
          <w:szCs w:val="28"/>
          <w:rtl w:val="true"/>
          <w:lang w:bidi="ar-SA"/>
        </w:rPr>
        <w:t xml:space="preserve">جبّة </w:t>
      </w:r>
      <w:r>
        <w:rPr>
          <w:rStyle w:val="FootnoteAnchor"/>
          <w:rtl w:val="true"/>
        </w:rPr>
        <w:footnoteReference w:id="611"/>
      </w:r>
      <w:r>
        <w:rPr>
          <w:rFonts w:ascii="IRNazanin" w:hAnsi="IRNazanin" w:eastAsia="IRNazanin"/>
          <w:color w:val="111111"/>
          <w:sz w:val="28"/>
          <w:sz w:val="28"/>
          <w:szCs w:val="28"/>
          <w:rtl w:val="true"/>
          <w:lang w:bidi="fa-IR"/>
        </w:rPr>
        <w:t xml:space="preserve">عن </w:t>
      </w:r>
      <w:r>
        <w:rPr>
          <w:rStyle w:val="FootnoteAnchor"/>
          <w:rtl w:val="true"/>
        </w:rPr>
        <w:footnoteReference w:id="612"/>
      </w:r>
      <w:r>
        <w:rPr>
          <w:rFonts w:ascii="IRNazanin" w:hAnsi="IRNazanin" w:eastAsia="IRNazanin"/>
          <w:color w:val="111111"/>
          <w:sz w:val="28"/>
          <w:sz w:val="28"/>
          <w:szCs w:val="28"/>
          <w:rtl w:val="true"/>
          <w:lang w:bidi="fa-IR"/>
        </w:rPr>
        <w:t>عُری،کساه اللّه من سندس الجنة و استبرقها و حریرها،و لم یزل یخوض فی رضوان اللّه ما دام علی المکسوّ منها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أطعم أخاه من جوع،أطعمه اللّه من طیّبات الجنّة،و من سقاه من ظمأ،سقاه اللّه من 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أخدم أخاه،أخدمه اللّه من الولدان المخلدین،و أسکنه مع أولیائه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حمل أخاه المؤمن علی راحلة </w:t>
      </w:r>
      <w:r>
        <w:rPr>
          <w:rStyle w:val="FootnoteAnchor"/>
          <w:rtl w:val="true"/>
        </w:rPr>
        <w:footnoteReference w:id="613"/>
      </w:r>
      <w:r>
        <w:rPr>
          <w:rFonts w:ascii="IRNazanin" w:hAnsi="IRNazanin" w:eastAsia="IRNazanin"/>
          <w:color w:val="111111"/>
          <w:sz w:val="28"/>
          <w:sz w:val="28"/>
          <w:szCs w:val="28"/>
          <w:rtl w:val="true"/>
          <w:lang w:bidi="fa-IR"/>
        </w:rPr>
        <w:t>،حمله اللّه علی ناقة من نوق الجنّة،و باهی به الملائکة المقرّبین یوم القیامة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زوّج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یأنس بها و تشدّ </w:t>
      </w:r>
      <w:r>
        <w:rPr>
          <w:rStyle w:val="FootnoteAnchor"/>
          <w:rtl w:val="true"/>
        </w:rPr>
        <w:footnoteReference w:id="615"/>
      </w:r>
      <w:r>
        <w:rPr>
          <w:rFonts w:ascii="IRNazanin" w:hAnsi="IRNazanin" w:eastAsia="IRNazanin"/>
          <w:color w:val="111111"/>
          <w:sz w:val="28"/>
          <w:sz w:val="28"/>
          <w:szCs w:val="28"/>
          <w:rtl w:val="true"/>
          <w:lang w:bidi="fa-IR"/>
        </w:rPr>
        <w:t>عضده</w:t>
      </w:r>
    </w:p>
    <w:p>
      <w:pPr>
        <w:pStyle w:val="BookText"/>
        <w:rPr/>
      </w:pPr>
      <w:r>
        <w:rPr>
          <w:rFonts w:ascii="IRNazanin" w:hAnsi="IRNazanin" w:eastAsia="IRNazanin"/>
          <w:color w:val="111111"/>
          <w:sz w:val="28"/>
          <w:sz w:val="28"/>
          <w:szCs w:val="28"/>
          <w:rtl w:val="true"/>
          <w:lang w:bidi="fa-IR"/>
        </w:rPr>
        <w:t xml:space="preserve">و یستریح إلیها،زوّجه اللّه من الحور العین و آنسه بمن أحبّه </w:t>
      </w:r>
      <w:r>
        <w:rPr>
          <w:rStyle w:val="FootnoteAnchor"/>
          <w:rtl w:val="true"/>
        </w:rPr>
        <w:footnoteReference w:id="616"/>
      </w:r>
      <w:r>
        <w:rPr>
          <w:rFonts w:ascii="IRNazanin" w:hAnsi="IRNazanin" w:eastAsia="IRNazanin"/>
          <w:color w:val="111111"/>
          <w:sz w:val="28"/>
          <w:sz w:val="28"/>
          <w:szCs w:val="28"/>
          <w:rtl w:val="true"/>
          <w:lang w:bidi="fa-IR"/>
        </w:rPr>
        <w:t>من الصدّیقین من أهل بیت نبیه صلّی اللّه علیه و آله و سلم و إخوانه،و آنسهم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أعان أخاه المؤمن </w:t>
      </w:r>
      <w:r>
        <w:rPr>
          <w:rStyle w:val="FootnoteAnchor"/>
          <w:rtl w:val="true"/>
        </w:rPr>
        <w:footnoteReference w:id="617"/>
      </w:r>
      <w:r>
        <w:rPr>
          <w:rFonts w:ascii="IRNazanin" w:hAnsi="IRNazanin" w:eastAsia="IRNazanin"/>
          <w:color w:val="111111"/>
          <w:sz w:val="28"/>
          <w:sz w:val="28"/>
          <w:szCs w:val="28"/>
          <w:rtl w:val="true"/>
          <w:lang w:bidi="fa-IR"/>
        </w:rPr>
        <w:t xml:space="preserve">علی سلطان جائر،أعانه اللّه علی إجازة </w:t>
      </w:r>
      <w:r>
        <w:rPr>
          <w:rStyle w:val="FootnoteAnchor"/>
          <w:rtl w:val="true"/>
        </w:rPr>
        <w:footnoteReference w:id="618"/>
      </w:r>
      <w:r>
        <w:rPr>
          <w:rFonts w:ascii="IRNazanin" w:hAnsi="IRNazanin" w:eastAsia="IRNazanin"/>
          <w:color w:val="111111"/>
          <w:sz w:val="28"/>
          <w:sz w:val="28"/>
          <w:szCs w:val="28"/>
          <w:rtl w:val="true"/>
          <w:lang w:bidi="fa-IR"/>
        </w:rPr>
        <w:t xml:space="preserve">الصراط عند </w:t>
      </w:r>
      <w:r>
        <w:rPr>
          <w:rStyle w:val="FootnoteAnchor"/>
          <w:rtl w:val="true"/>
        </w:rPr>
        <w:footnoteReference w:id="619"/>
      </w:r>
      <w:r>
        <w:rPr>
          <w:rFonts w:ascii="Amiri" w:hAnsi="Amiri" w:eastAsia="Amiri" w:cs="Amiri"/>
          <w:color w:val="111111"/>
          <w:sz w:val="28"/>
          <w:sz w:val="28"/>
          <w:szCs w:val="28"/>
          <w:rtl w:val="true"/>
          <w:lang w:bidi="ar-SA"/>
        </w:rPr>
        <w:t>زلّة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زار أخاه المؤمن فی منزله لا لحاجة منه إلیه،کُتب </w:t>
      </w:r>
      <w:r>
        <w:rPr>
          <w:rStyle w:val="FootnoteAnchor"/>
          <w:rtl w:val="true"/>
        </w:rPr>
        <w:footnoteReference w:id="620"/>
      </w:r>
      <w:r>
        <w:rPr>
          <w:rFonts w:ascii="IRNazanin" w:hAnsi="IRNazanin" w:eastAsia="IRNazanin"/>
          <w:color w:val="111111"/>
          <w:sz w:val="28"/>
          <w:sz w:val="28"/>
          <w:szCs w:val="28"/>
          <w:rtl w:val="true"/>
          <w:lang w:bidi="fa-IR"/>
        </w:rPr>
        <w:t>من زوّار اللّه،و کان حقیقاً علی اللّه أن یکرم زائره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اللّه،و حدثنی أبی،عن آبائه،عن علی علیه السلام،أنّه سمع رسول اللّه صلّی اللّه علیه و آله و سلم یقول لأصحابه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إنّه لیس بمؤمن من آمن بلسانه و لم یؤمن بقلبه،فلا تتّبعوا عثرات المؤمنین، فإنّه من تتبّع </w:t>
      </w:r>
      <w:r>
        <w:rPr>
          <w:rStyle w:val="FootnoteAnchor"/>
          <w:rtl w:val="true"/>
        </w:rPr>
        <w:footnoteReference w:id="621"/>
      </w:r>
      <w:r>
        <w:rPr>
          <w:rFonts w:ascii="IRNazanin" w:hAnsi="IRNazanin" w:eastAsia="IRNazanin"/>
          <w:color w:val="111111"/>
          <w:sz w:val="28"/>
          <w:sz w:val="28"/>
          <w:szCs w:val="28"/>
          <w:rtl w:val="true"/>
          <w:lang w:bidi="fa-IR"/>
        </w:rPr>
        <w:t xml:space="preserve">عثرة مؤمن یتبع </w:t>
      </w:r>
      <w:r>
        <w:rPr>
          <w:rStyle w:val="FootnoteAnchor"/>
          <w:rtl w:val="true"/>
        </w:rPr>
        <w:footnoteReference w:id="622"/>
      </w:r>
      <w:r>
        <w:rPr>
          <w:rFonts w:ascii="Amiri" w:hAnsi="Amiri" w:eastAsia="Amiri" w:cs="Amiri"/>
          <w:color w:val="111111"/>
          <w:sz w:val="28"/>
          <w:sz w:val="28"/>
          <w:szCs w:val="28"/>
          <w:rtl w:val="true"/>
          <w:lang w:bidi="ar-SA"/>
        </w:rPr>
        <w:t xml:space="preserve">اللّه عثرته </w:t>
      </w:r>
      <w:r>
        <w:rPr>
          <w:rStyle w:val="FootnoteAnchor"/>
          <w:rtl w:val="true"/>
        </w:rPr>
        <w:footnoteReference w:id="623"/>
      </w:r>
      <w:r>
        <w:rPr>
          <w:rFonts w:ascii="IRNazanin" w:hAnsi="IRNazanin" w:eastAsia="IRNazanin"/>
          <w:color w:val="111111"/>
          <w:sz w:val="28"/>
          <w:sz w:val="28"/>
          <w:szCs w:val="28"/>
          <w:rtl w:val="true"/>
          <w:lang w:bidi="fa-IR"/>
        </w:rPr>
        <w:t>یوم القیامة،و فضحه فی جوف بیته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أبی،عن آبائه،عن علی علیه السلام أنّه </w:t>
      </w:r>
      <w:r>
        <w:rPr>
          <w:rStyle w:val="FootnoteAnchor"/>
          <w:rtl w:val="true"/>
        </w:rPr>
        <w:footnoteReference w:id="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w:t>
      </w:r>
    </w:p>
    <w:p>
      <w:pPr>
        <w:pStyle w:val="BookText"/>
        <w:rPr/>
      </w:pPr>
      <w:r>
        <w:rPr>
          <w:rFonts w:ascii="IRNazanin" w:hAnsi="IRNazanin" w:eastAsia="IRNazanin"/>
          <w:color w:val="111111"/>
          <w:sz w:val="28"/>
          <w:sz w:val="28"/>
          <w:szCs w:val="28"/>
          <w:rtl w:val="true"/>
          <w:lang w:bidi="fa-IR"/>
        </w:rPr>
        <w:t xml:space="preserve">میثاق المؤمن علی </w:t>
      </w:r>
      <w:r>
        <w:rPr>
          <w:rStyle w:val="FootnoteAnchor"/>
          <w:rtl w:val="true"/>
        </w:rPr>
        <w:footnoteReference w:id="625"/>
      </w:r>
      <w:r>
        <w:rPr>
          <w:rFonts w:ascii="IRNazanin" w:hAnsi="IRNazanin" w:eastAsia="IRNazanin"/>
          <w:color w:val="111111"/>
          <w:sz w:val="28"/>
          <w:sz w:val="28"/>
          <w:szCs w:val="28"/>
          <w:rtl w:val="true"/>
          <w:lang w:bidi="fa-IR"/>
        </w:rPr>
        <w:t xml:space="preserve">أن لا یصدَّق فی مقالته،و لا ینتصِف من عدوّه، و علی أن لا یشفی غیظه إلّا بفضیحة نفسه؛لأنّ المؤمن </w:t>
      </w:r>
      <w:r>
        <w:rPr>
          <w:rStyle w:val="FootnoteAnchor"/>
          <w:rtl w:val="true"/>
        </w:rPr>
        <w:footnoteReference w:id="626"/>
      </w:r>
      <w:r>
        <w:rPr>
          <w:rFonts w:ascii="IRNazanin" w:hAnsi="IRNazanin" w:eastAsia="IRNazanin"/>
          <w:color w:val="111111"/>
          <w:sz w:val="28"/>
          <w:sz w:val="28"/>
          <w:szCs w:val="28"/>
          <w:rtl w:val="true"/>
          <w:lang w:bidi="fa-IR"/>
        </w:rPr>
        <w:t xml:space="preserve">ملجَم؛و ذلک لغایة قصیرة و راحة طویلة،أخذ </w:t>
      </w:r>
      <w:r>
        <w:rPr>
          <w:rStyle w:val="FootnoteAnchor"/>
          <w:rtl w:val="true"/>
        </w:rPr>
        <w:footnoteReference w:id="627"/>
      </w:r>
      <w:r>
        <w:rPr>
          <w:rFonts w:ascii="IRNazanin" w:hAnsi="IRNazanin" w:eastAsia="IRNazanin"/>
          <w:color w:val="111111"/>
          <w:sz w:val="28"/>
          <w:sz w:val="28"/>
          <w:szCs w:val="28"/>
          <w:rtl w:val="true"/>
          <w:lang w:bidi="fa-IR"/>
        </w:rPr>
        <w:t xml:space="preserve">اللّه میثاق المؤمن علی أشیاء أیسرها علیه </w:t>
      </w:r>
      <w:r>
        <w:rPr>
          <w:rStyle w:val="FootnoteAnchor"/>
          <w:rtl w:val="true"/>
        </w:rPr>
        <w:footnoteReference w:id="628"/>
      </w:r>
      <w:r>
        <w:rPr>
          <w:rFonts w:ascii="IRNazanin" w:hAnsi="IRNazanin" w:eastAsia="IRNazanin"/>
          <w:color w:val="111111"/>
          <w:sz w:val="28"/>
          <w:sz w:val="28"/>
          <w:szCs w:val="28"/>
          <w:rtl w:val="true"/>
          <w:lang w:bidi="fa-IR"/>
        </w:rPr>
        <w:t xml:space="preserve">مؤمن مثله یقول بمقالة </w:t>
      </w:r>
      <w:r>
        <w:rPr>
          <w:rStyle w:val="FootnoteAnchor"/>
          <w:rtl w:val="true"/>
        </w:rPr>
        <w:footnoteReference w:id="629"/>
      </w:r>
      <w:r>
        <w:rPr>
          <w:rFonts w:ascii="IRNazanin" w:hAnsi="IRNazanin" w:eastAsia="IRNazanin"/>
          <w:color w:val="111111"/>
          <w:sz w:val="28"/>
          <w:sz w:val="28"/>
          <w:szCs w:val="28"/>
          <w:rtl w:val="true"/>
          <w:lang w:bidi="fa-IR"/>
        </w:rPr>
        <w:t xml:space="preserve">یبغیه و یحسده،و شیطان </w:t>
      </w:r>
      <w:r>
        <w:rPr>
          <w:rStyle w:val="FootnoteAnchor"/>
          <w:rtl w:val="true"/>
        </w:rPr>
        <w:footnoteReference w:id="630"/>
      </w:r>
      <w:r>
        <w:rPr>
          <w:rFonts w:ascii="IRNazanin" w:hAnsi="IRNazanin" w:eastAsia="IRNazanin"/>
          <w:color w:val="111111"/>
          <w:sz w:val="28"/>
          <w:sz w:val="28"/>
          <w:szCs w:val="28"/>
          <w:rtl w:val="true"/>
          <w:lang w:bidi="fa-IR"/>
        </w:rPr>
        <w:t xml:space="preserve">یغویه و یمقته،و سلطان </w:t>
      </w:r>
      <w:r>
        <w:rPr>
          <w:rStyle w:val="FootnoteAnchor"/>
          <w:rtl w:val="true"/>
        </w:rPr>
        <w:footnoteReference w:id="631"/>
      </w:r>
      <w:r>
        <w:rPr>
          <w:rFonts w:ascii="IRNazanin" w:hAnsi="IRNazanin" w:eastAsia="IRNazanin"/>
          <w:color w:val="111111"/>
          <w:sz w:val="28"/>
          <w:sz w:val="28"/>
          <w:szCs w:val="28"/>
          <w:rtl w:val="true"/>
          <w:lang w:bidi="fa-IR"/>
        </w:rPr>
        <w:t>یقفو أثره و یتّبع عثراته،و کافر بالذی هو مؤمن به یری سفک دمه دیناً،و إباحة حریمه غُنْماً،فما بقاء المؤمن بعد 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اللّه،و حدثنی أبی،عن آبائه عن علی علیه السلام </w:t>
      </w:r>
      <w:r>
        <w:rPr>
          <w:rStyle w:val="FootnoteAnchor"/>
          <w:rtl w:val="true"/>
        </w:rPr>
        <w:footnoteReference w:id="632"/>
      </w:r>
      <w:r>
        <w:rPr>
          <w:rFonts w:ascii="IRNazanin" w:hAnsi="IRNazanin" w:eastAsia="IRNazanin"/>
          <w:color w:val="111111"/>
          <w:sz w:val="28"/>
          <w:sz w:val="28"/>
          <w:szCs w:val="28"/>
          <w:rtl w:val="true"/>
          <w:lang w:bidi="fa-IR"/>
        </w:rPr>
        <w:t>عن النبی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إنّ اللّه یقرؤک </w:t>
      </w:r>
      <w:r>
        <w:rPr>
          <w:rStyle w:val="FootnoteAnchor"/>
          <w:rtl w:val="true"/>
        </w:rPr>
        <w:footnoteReference w:id="633"/>
      </w:r>
      <w:r>
        <w:rPr>
          <w:rFonts w:ascii="IRNazanin" w:hAnsi="IRNazanin" w:eastAsia="IRNazanin"/>
          <w:color w:val="111111"/>
          <w:sz w:val="28"/>
          <w:sz w:val="28"/>
          <w:szCs w:val="28"/>
          <w:rtl w:val="true"/>
          <w:lang w:bidi="fa-IR"/>
        </w:rPr>
        <w:t>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اشتققت </w:t>
      </w:r>
      <w:r>
        <w:rPr>
          <w:rStyle w:val="FootnoteAnchor"/>
          <w:rtl w:val="true"/>
        </w:rPr>
        <w:footnoteReference w:id="634"/>
      </w:r>
      <w:r>
        <w:rPr>
          <w:rFonts w:ascii="IRNazanin" w:hAnsi="IRNazanin" w:eastAsia="IRNazanin"/>
          <w:color w:val="111111"/>
          <w:sz w:val="28"/>
          <w:sz w:val="28"/>
          <w:szCs w:val="28"/>
          <w:rtl w:val="true"/>
          <w:lang w:bidi="fa-IR"/>
        </w:rPr>
        <w:t xml:space="preserve">للمؤمن اسماً من أسمائی،سمّیته مؤمناً،فالمؤمن منّی و أنا منه،من استهان بمؤمن </w:t>
      </w:r>
      <w:r>
        <w:rPr>
          <w:rStyle w:val="FootnoteAnchor"/>
          <w:rtl w:val="true"/>
        </w:rPr>
        <w:footnoteReference w:id="635"/>
      </w:r>
      <w:r>
        <w:rPr>
          <w:rFonts w:ascii="IRNazanin" w:hAnsi="IRNazanin" w:eastAsia="IRNazanin"/>
          <w:color w:val="111111"/>
          <w:sz w:val="28"/>
          <w:sz w:val="28"/>
          <w:szCs w:val="28"/>
          <w:rtl w:val="true"/>
          <w:lang w:bidi="fa-IR"/>
        </w:rPr>
        <w:t>فقد استقبلنی</w:t>
      </w:r>
    </w:p>
    <w:p>
      <w:pPr>
        <w:pStyle w:val="BookText"/>
        <w:rPr/>
      </w:pPr>
      <w:r>
        <w:rPr>
          <w:rFonts w:ascii="Amiri" w:hAnsi="Amiri" w:eastAsia="Amiri" w:cs="Amiri"/>
          <w:color w:val="111111"/>
          <w:sz w:val="28"/>
          <w:sz w:val="28"/>
          <w:szCs w:val="28"/>
          <w:rtl w:val="true"/>
          <w:lang w:bidi="ar-SA"/>
        </w:rPr>
        <w:t>بالمحاربة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عبد اللّه،و حدثنی أبی،عن آبائه،عن علی علیه السلام عن النبی صلّی اللّه علیه و آله و سلم أنّه قال یوماً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علی،لا تناظر رجلاً حتی تنظر فی سریرته،فإن کانت سریرته حسنة فإنّ اللّه عزّ و جلّ لم یکن لیخذل ولیَّه،و إن کانت </w:t>
      </w:r>
      <w:r>
        <w:rPr>
          <w:rStyle w:val="FootnoteAnchor"/>
          <w:rtl w:val="true"/>
        </w:rPr>
        <w:footnoteReference w:id="637"/>
      </w:r>
      <w:r>
        <w:rPr>
          <w:rFonts w:ascii="IRNazanin" w:hAnsi="IRNazanin" w:eastAsia="IRNazanin"/>
          <w:color w:val="111111"/>
          <w:sz w:val="28"/>
          <w:sz w:val="28"/>
          <w:szCs w:val="28"/>
          <w:rtl w:val="true"/>
          <w:lang w:bidi="fa-IR"/>
        </w:rPr>
        <w:t xml:space="preserve">سریرته ردیّة فقد یکفیه مساویه،فلو جهدت أن تعمل به أکثر ممّا </w:t>
      </w:r>
      <w:r>
        <w:rPr>
          <w:rStyle w:val="FootnoteAnchor"/>
          <w:rtl w:val="true"/>
        </w:rPr>
        <w:footnoteReference w:id="638"/>
      </w:r>
      <w:r>
        <w:rPr>
          <w:rFonts w:ascii="IRNazanin" w:hAnsi="IRNazanin" w:eastAsia="IRNazanin"/>
          <w:color w:val="111111"/>
          <w:sz w:val="28"/>
          <w:sz w:val="28"/>
          <w:szCs w:val="28"/>
          <w:rtl w:val="true"/>
          <w:lang w:bidi="fa-IR"/>
        </w:rPr>
        <w:t>عمل به من معاصی اللّه عزّ و جلّ 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اللّه،و حدثنی أبی </w:t>
      </w:r>
      <w:r>
        <w:rPr>
          <w:rStyle w:val="FootnoteAnchor"/>
          <w:rtl w:val="true"/>
        </w:rPr>
        <w:footnoteReference w:id="639"/>
      </w:r>
      <w:r>
        <w:rPr>
          <w:rFonts w:ascii="IRNazanin" w:hAnsi="IRNazanin" w:eastAsia="IRNazanin"/>
          <w:color w:val="111111"/>
          <w:sz w:val="28"/>
          <w:sz w:val="28"/>
          <w:szCs w:val="28"/>
          <w:rtl w:val="true"/>
          <w:lang w:bidi="fa-IR"/>
        </w:rPr>
        <w:t xml:space="preserve">،عن آبائه،عن علی </w:t>
      </w:r>
      <w:r>
        <w:rPr>
          <w:rStyle w:val="FootnoteAnchor"/>
          <w:rtl w:val="true"/>
        </w:rPr>
        <w:footnoteReference w:id="640"/>
      </w:r>
      <w:r>
        <w:rPr>
          <w:rFonts w:ascii="IRNazanin" w:hAnsi="IRNazanin" w:eastAsia="IRNazanin"/>
          <w:color w:val="111111"/>
          <w:sz w:val="28"/>
          <w:sz w:val="28"/>
          <w:szCs w:val="28"/>
          <w:rtl w:val="true"/>
          <w:lang w:bidi="fa-IR"/>
        </w:rPr>
        <w:t>علیهم السلام،عن النبی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الکفر أن یسمع الرجل من </w:t>
      </w:r>
      <w:r>
        <w:rPr>
          <w:rStyle w:val="FootnoteAnchor"/>
          <w:rtl w:val="true"/>
        </w:rPr>
        <w:footnoteReference w:id="641"/>
      </w:r>
      <w:r>
        <w:rPr>
          <w:rFonts w:ascii="IRNazanin" w:hAnsi="IRNazanin" w:eastAsia="IRNazanin"/>
          <w:color w:val="111111"/>
          <w:sz w:val="28"/>
          <w:sz w:val="28"/>
          <w:szCs w:val="28"/>
          <w:rtl w:val="true"/>
          <w:lang w:bidi="fa-IR"/>
        </w:rPr>
        <w:t>أخیه الکلمة فیحفظها علیه یرید أن یفضحه بها،أُولئک لا خلاق لهم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اللّه،و حدثنی أبی </w:t>
      </w:r>
      <w:r>
        <w:rPr>
          <w:rStyle w:val="FootnoteAnchor"/>
          <w:rtl w:val="true"/>
        </w:rPr>
        <w:footnoteReference w:id="642"/>
      </w:r>
      <w:r>
        <w:rPr>
          <w:rFonts w:ascii="Amiri" w:hAnsi="Amiri" w:eastAsia="Amiri" w:cs="Amiri"/>
          <w:color w:val="111111"/>
          <w:sz w:val="28"/>
          <w:sz w:val="28"/>
          <w:szCs w:val="28"/>
          <w:rtl w:val="true"/>
          <w:lang w:bidi="ar-SA"/>
        </w:rPr>
        <w:t>،عن آبائه،عن علی علیه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مؤمن ما رأت عیناه و سمعت أُذناه ما یشینه و یهدم مروّته 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عبد اللّه،و حدثنی أبی،عن آبائه،عن علی علیه السلام،أنّه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عن </w:t>
      </w:r>
      <w:r>
        <w:rPr>
          <w:rStyle w:val="FootnoteAnchor"/>
          <w:rtl w:val="true"/>
        </w:rPr>
        <w:footnoteReference w:id="644"/>
      </w:r>
      <w:r>
        <w:rPr>
          <w:rFonts w:ascii="IRNazanin" w:hAnsi="IRNazanin" w:eastAsia="IRNazanin"/>
          <w:color w:val="111111"/>
          <w:sz w:val="28"/>
          <w:sz w:val="28"/>
          <w:szCs w:val="28"/>
          <w:rtl w:val="true"/>
          <w:lang w:bidi="fa-IR"/>
        </w:rPr>
        <w:t xml:space="preserve">أخیه المؤمن روایة یرید بها هدم مروّته و شینه </w:t>
      </w:r>
      <w:r>
        <w:rPr>
          <w:rStyle w:val="FootnoteAnchor"/>
          <w:rtl w:val="true"/>
        </w:rPr>
        <w:footnoteReference w:id="645"/>
      </w:r>
      <w:r>
        <w:rPr>
          <w:rFonts w:ascii="IRNazanin" w:hAnsi="IRNazanin" w:eastAsia="IRNazanin"/>
          <w:color w:val="111111"/>
          <w:sz w:val="28"/>
          <w:sz w:val="28"/>
          <w:szCs w:val="28"/>
          <w:rtl w:val="true"/>
          <w:lang w:bidi="fa-IR"/>
        </w:rPr>
        <w:t xml:space="preserve">، أوثقه </w:t>
      </w:r>
      <w:r>
        <w:rPr>
          <w:rStyle w:val="FootnoteAnchor"/>
          <w:rtl w:val="true"/>
        </w:rPr>
        <w:footnoteReference w:id="646"/>
      </w:r>
      <w:r>
        <w:rPr>
          <w:rFonts w:ascii="IRNazanin" w:hAnsi="IRNazanin" w:eastAsia="IRNazanin"/>
          <w:color w:val="111111"/>
          <w:sz w:val="28"/>
          <w:sz w:val="28"/>
          <w:szCs w:val="28"/>
          <w:rtl w:val="true"/>
          <w:lang w:bidi="fa-IR"/>
        </w:rPr>
        <w:t xml:space="preserve">اللّه بخطیئته یوم القیامة حتی یأتی بالمخرج </w:t>
      </w:r>
      <w:r>
        <w:rPr>
          <w:rStyle w:val="FootnoteAnchor"/>
          <w:rtl w:val="true"/>
        </w:rPr>
        <w:footnoteReference w:id="647"/>
      </w:r>
      <w:r>
        <w:rPr>
          <w:rFonts w:ascii="IRNazanin" w:hAnsi="IRNazanin" w:eastAsia="IRNazanin"/>
          <w:color w:val="111111"/>
          <w:sz w:val="28"/>
          <w:sz w:val="28"/>
          <w:szCs w:val="28"/>
          <w:rtl w:val="true"/>
          <w:lang w:bidi="fa-IR"/>
        </w:rPr>
        <w:t>مما قال،و لن یأتی بالمخرج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أدخل علی أخیه المؤمن سروراً فقد أدخل علی أهل بیت نبیّه صلّی اللّه علیه و آله و سلم </w:t>
      </w:r>
      <w:r>
        <w:rPr>
          <w:rStyle w:val="FootnoteAnchor"/>
          <w:rtl w:val="true"/>
        </w:rPr>
        <w:footnoteReference w:id="648"/>
      </w:r>
      <w:r>
        <w:rPr>
          <w:rFonts w:ascii="IRNazanin" w:hAnsi="IRNazanin" w:eastAsia="IRNazanin"/>
          <w:color w:val="111111"/>
          <w:sz w:val="28"/>
          <w:sz w:val="28"/>
          <w:szCs w:val="28"/>
          <w:rtl w:val="true"/>
          <w:lang w:bidi="fa-IR"/>
        </w:rPr>
        <w:t>سروراً،و من أدخل علی أهل بیت نبیّه صلّی اللّه علیه و آله و سلم سروراً فقد أدخل علی رسول اللّه صلّی اللّه علیه و آله و سلم سروراً،و من أدخل علی رسول اللّه صلّی اللّه علیه و آله و سلم سروراً فقد سرّ اللّه،و من سرّ اللّه فحقیق علی اللّه أن یدخله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إنّی </w:t>
      </w:r>
      <w:r>
        <w:rPr>
          <w:rStyle w:val="FootnoteAnchor"/>
          <w:rtl w:val="true"/>
        </w:rPr>
        <w:footnoteReference w:id="649"/>
      </w:r>
      <w:r>
        <w:rPr>
          <w:rFonts w:ascii="IRNazanin" w:hAnsi="IRNazanin" w:eastAsia="IRNazanin"/>
          <w:color w:val="111111"/>
          <w:sz w:val="28"/>
          <w:sz w:val="28"/>
          <w:szCs w:val="28"/>
          <w:rtl w:val="true"/>
          <w:lang w:bidi="fa-IR"/>
        </w:rPr>
        <w:t>أُوصیک بتقوی اللّه،و إیثار طاعته،و الاعتصام بحبله؛ فإنّه من اعتصم بحبل اللّه فقد هدی إلی صراط مستقیم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فاتّق اللّه و لا تؤثر أحداً علی رضاه و هواه </w:t>
      </w:r>
      <w:r>
        <w:rPr>
          <w:rStyle w:val="FootnoteAnchor"/>
          <w:rtl w:val="true"/>
        </w:rPr>
        <w:footnoteReference w:id="650"/>
      </w:r>
      <w:r>
        <w:rPr>
          <w:rFonts w:ascii="IRNazanin" w:hAnsi="IRNazanin" w:eastAsia="IRNazanin"/>
          <w:color w:val="111111"/>
          <w:sz w:val="28"/>
          <w:sz w:val="28"/>
          <w:szCs w:val="28"/>
          <w:rtl w:val="true"/>
          <w:lang w:bidi="fa-IR"/>
        </w:rPr>
        <w:t>فإنّه وصیة اللّه عزّ و جلّ إلی خلقه لا یقبل منهم غیرها،و لا یعظّم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اعلم،أنّ الخلق </w:t>
      </w:r>
      <w:r>
        <w:rPr>
          <w:rStyle w:val="FootnoteAnchor"/>
          <w:rtl w:val="true"/>
        </w:rPr>
        <w:footnoteReference w:id="651"/>
      </w:r>
      <w:r>
        <w:rPr>
          <w:rFonts w:ascii="IRNazanin" w:hAnsi="IRNazanin" w:eastAsia="IRNazanin"/>
          <w:color w:val="111111"/>
          <w:sz w:val="28"/>
          <w:sz w:val="28"/>
          <w:szCs w:val="28"/>
          <w:rtl w:val="true"/>
          <w:lang w:bidi="fa-IR"/>
        </w:rPr>
        <w:t xml:space="preserve">لم یوکّلوا بشیء أعظم من تقوی اللّه </w:t>
      </w:r>
      <w:r>
        <w:rPr>
          <w:rStyle w:val="FootnoteAnchor"/>
          <w:rtl w:val="true"/>
        </w:rPr>
        <w:footnoteReference w:id="652"/>
      </w:r>
      <w:r>
        <w:rPr>
          <w:rFonts w:ascii="IRNazanin" w:hAnsi="IRNazanin" w:eastAsia="IRNazanin"/>
          <w:color w:val="111111"/>
          <w:sz w:val="28"/>
          <w:sz w:val="28"/>
          <w:szCs w:val="28"/>
          <w:rtl w:val="true"/>
          <w:lang w:bidi="fa-IR"/>
        </w:rPr>
        <w:t xml:space="preserve">فإنّه وصیّتنا أهل البیت،فإن استطعت أن لا تنال من الدنیا شیئاً یسأل اللّه عنه </w:t>
      </w:r>
      <w:r>
        <w:rPr>
          <w:rStyle w:val="FootnoteAnchor"/>
          <w:rtl w:val="true"/>
        </w:rPr>
        <w:footnoteReference w:id="653"/>
      </w:r>
      <w:r>
        <w:rPr>
          <w:rFonts w:ascii="Amiri" w:hAnsi="Amiri" w:eastAsia="Amiri" w:cs="Amiri"/>
          <w:color w:val="111111"/>
          <w:sz w:val="28"/>
          <w:sz w:val="28"/>
          <w:szCs w:val="28"/>
          <w:rtl w:val="true"/>
          <w:lang w:bidi="ar-SA"/>
        </w:rPr>
        <w:t>غداً فافعل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کتاب الصادق علیه السلام إلی النجاشی نظر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الذی لا إله إلّا هو مولای، فما عمل أحد بما فی هذا الکتاب إلّا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عبد اللّه یعمل به أیام حیاته </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84" w:name="pg19674_191614"/>
    </w:p>
    <w:p>
      <w:pPr>
        <w:pStyle w:val="Heading4"/>
        <w:numPr>
          <w:ilvl w:val="3"/>
          <w:numId w:val="1"/>
        </w:numPr>
        <w:rPr/>
      </w:pPr>
      <w:bookmarkStart w:id="85" w:name="__RefHeading___Toc5027712_2314609296"/>
      <w:bookmarkStart w:id="86" w:name="_Toc32"/>
      <w:bookmarkEnd w:id="84"/>
      <w:bookmarkEnd w:id="85"/>
      <w:r>
        <w:rPr>
          <w:rtl w:val="true"/>
        </w:rPr>
        <w:t>المسألة السابعة و العشرون هجاء المؤمن</w:t>
      </w:r>
      <w:bookmarkEnd w:id="86"/>
    </w:p>
    <w:p>
      <w:pPr>
        <w:pStyle w:val="BookText"/>
        <w:rPr/>
      </w:pPr>
      <w:r>
        <w:rPr>
          <w:rFonts w:ascii="Amiri" w:hAnsi="Amiri" w:eastAsia="Amiri" w:cs="Amiri"/>
          <w:color w:val="111111"/>
          <w:sz w:val="28"/>
          <w:sz w:val="28"/>
          <w:szCs w:val="28"/>
          <w:rtl w:val="true"/>
          <w:lang w:bidi="ar-SA"/>
        </w:rPr>
        <w:t xml:space="preserve">حرام بالأدلّة الأربعة؛لأنّه هَمْزٌ وَ لَمْزٌ و أکلُ اللحم و تعییرٌ و إذاعةُ سرٍّ،و کلّ ذلک کبیرة موبِقة،فیدلّ </w:t>
      </w:r>
      <w:r>
        <w:rPr>
          <w:rStyle w:val="FootnoteAnchor"/>
          <w:rtl w:val="true"/>
        </w:rPr>
        <w:footnoteReference w:id="656"/>
      </w:r>
      <w:r>
        <w:rPr>
          <w:rFonts w:ascii="IRNazanin" w:hAnsi="IRNazanin" w:eastAsia="IRNazanin"/>
          <w:color w:val="111111"/>
          <w:sz w:val="28"/>
          <w:sz w:val="28"/>
          <w:szCs w:val="28"/>
          <w:rtl w:val="true"/>
          <w:lang w:bidi="fa-IR"/>
        </w:rPr>
        <w:t xml:space="preserve">علیه فحوی جمیع ما تقدم فی الغیبة </w:t>
      </w:r>
      <w:r>
        <w:rPr>
          <w:rStyle w:val="FootnoteAnchor"/>
          <w:rtl w:val="true"/>
        </w:rPr>
        <w:footnoteReference w:id="657"/>
      </w:r>
      <w:r>
        <w:rPr>
          <w:rFonts w:ascii="IRNazanin" w:hAnsi="IRNazanin" w:eastAsia="IRNazanin"/>
          <w:color w:val="111111"/>
          <w:sz w:val="28"/>
          <w:sz w:val="28"/>
          <w:szCs w:val="28"/>
          <w:rtl w:val="true"/>
          <w:lang w:bidi="fa-IR"/>
        </w:rPr>
        <w:t xml:space="preserve">،بل البهتان أیضاً </w:t>
      </w:r>
      <w:r>
        <w:rPr>
          <w:rStyle w:val="FootnoteAnchor"/>
          <w:rtl w:val="true"/>
        </w:rPr>
        <w:footnoteReference w:id="658"/>
      </w:r>
      <w:r>
        <w:rPr>
          <w:rFonts w:ascii="IRNazanin" w:hAnsi="IRNazanin" w:eastAsia="IRNazanin"/>
          <w:color w:val="111111"/>
          <w:sz w:val="28"/>
          <w:sz w:val="28"/>
          <w:szCs w:val="28"/>
          <w:rtl w:val="true"/>
          <w:lang w:bidi="fa-IR"/>
        </w:rPr>
        <w:t xml:space="preserve">بناء علی تفسیر الهجاء بخلاف المدح کما عن الصحاح </w:t>
      </w:r>
      <w:r>
        <w:rPr>
          <w:rStyle w:val="FootnoteAnchor"/>
          <w:rtl w:val="true"/>
        </w:rPr>
        <w:footnoteReference w:id="659"/>
      </w:r>
      <w:r>
        <w:rPr>
          <w:rFonts w:ascii="IRNazanin" w:hAnsi="IRNazanin" w:eastAsia="IRNazanin"/>
          <w:color w:val="111111"/>
          <w:sz w:val="28"/>
          <w:sz w:val="28"/>
          <w:szCs w:val="28"/>
          <w:rtl w:val="true"/>
          <w:lang w:bidi="fa-IR"/>
        </w:rPr>
        <w:t xml:space="preserve">،فیعمّ ما فیه من المعایب و ما لیس فیه، کما عن القاموس </w:t>
      </w:r>
      <w:r>
        <w:rPr>
          <w:rStyle w:val="FootnoteAnchor"/>
          <w:rtl w:val="true"/>
        </w:rPr>
        <w:footnoteReference w:id="660"/>
      </w:r>
      <w:r>
        <w:rPr>
          <w:rFonts w:ascii="IRNazanin" w:hAnsi="IRNazanin" w:eastAsia="IRNazanin"/>
          <w:color w:val="111111"/>
          <w:sz w:val="28"/>
          <w:sz w:val="28"/>
          <w:szCs w:val="28"/>
          <w:rtl w:val="true"/>
          <w:lang w:bidi="fa-IR"/>
        </w:rPr>
        <w:t xml:space="preserve">و النهایة </w:t>
      </w:r>
      <w:r>
        <w:rPr>
          <w:rStyle w:val="FootnoteAnchor"/>
          <w:rtl w:val="true"/>
        </w:rPr>
        <w:footnoteReference w:id="661"/>
      </w:r>
      <w:r>
        <w:rPr>
          <w:rFonts w:ascii="IRNazanin" w:hAnsi="IRNazanin" w:eastAsia="IRNazanin"/>
          <w:color w:val="111111"/>
          <w:sz w:val="28"/>
          <w:sz w:val="28"/>
          <w:szCs w:val="28"/>
          <w:rtl w:val="true"/>
          <w:lang w:bidi="fa-IR"/>
        </w:rPr>
        <w:t xml:space="preserve">و المصباح </w:t>
      </w:r>
      <w:r>
        <w:rPr>
          <w:rStyle w:val="FootnoteAnchor"/>
          <w:rtl w:val="true"/>
        </w:rPr>
        <w:footnoteReference w:id="662"/>
      </w:r>
      <w:r>
        <w:rPr>
          <w:rFonts w:ascii="IRNazanin" w:hAnsi="IRNazanin" w:eastAsia="IRNazanin"/>
          <w:color w:val="111111"/>
          <w:sz w:val="28"/>
          <w:sz w:val="28"/>
          <w:szCs w:val="28"/>
          <w:rtl w:val="true"/>
          <w:lang w:bidi="fa-IR"/>
        </w:rPr>
        <w:t>،لکن مع تخصیصه فیها بالشعر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تخصیصه بذکر ما فیه بالشعر کما هو ظاهر جامع المقاصد </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عن تأمّل،و لا فرق فی المؤمن بین الفاسق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ذنوبکم بذکر الفاسقین</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فالمراد به الخارجون عن الإیمان أو المتجاهرون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احترز بالمؤمن عن المخالف؛فإنّه یجوز هجوه لعدم احترامه، و کذا یجوز هجاء الفاسق </w:t>
      </w:r>
      <w:r>
        <w:rPr>
          <w:rStyle w:val="FootnoteAnchor"/>
          <w:rtl w:val="true"/>
        </w:rPr>
        <w:footnoteReference w:id="665"/>
      </w:r>
      <w:r>
        <w:rPr>
          <w:rFonts w:ascii="IRNazanin" w:hAnsi="IRNazanin" w:eastAsia="IRNazanin"/>
          <w:color w:val="111111"/>
          <w:sz w:val="28"/>
          <w:sz w:val="28"/>
          <w:szCs w:val="28"/>
          <w:rtl w:val="true"/>
          <w:lang w:bidi="fa-IR"/>
        </w:rPr>
        <w:t xml:space="preserve">المبدع؛لئلّا یؤخذ ببدعة </w:t>
      </w:r>
      <w:r>
        <w:rPr>
          <w:rStyle w:val="FootnoteAnchor"/>
          <w:rtl w:val="true"/>
        </w:rPr>
        <w:footnoteReference w:id="666"/>
      </w:r>
      <w:r>
        <w:rPr>
          <w:rFonts w:ascii="IRNazanin" w:hAnsi="IRNazanin" w:eastAsia="IRNazanin"/>
          <w:color w:val="111111"/>
          <w:sz w:val="28"/>
          <w:sz w:val="28"/>
          <w:szCs w:val="28"/>
          <w:rtl w:val="true"/>
          <w:lang w:bidi="fa-IR"/>
        </w:rPr>
        <w:t>،لکن بشرط الاقتصار علی المعایب الموجودة فیه،فلا یجوز بهته بما لیس فیه؛لعموم حرمة الکذب،و ما تقدم من الخبر فی الغیبة من قوله علیه السلام فی حق المبتدعة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باهتوهم کیلا </w:t>
      </w:r>
      <w:r>
        <w:rPr>
          <w:rStyle w:val="FootnoteAnchor"/>
          <w:rtl w:val="true"/>
        </w:rPr>
        <w:footnoteReference w:id="667"/>
      </w:r>
      <w:r>
        <w:rPr>
          <w:rFonts w:ascii="IRNazanin" w:hAnsi="IRNazanin" w:eastAsia="IRNazanin"/>
          <w:color w:val="111111"/>
          <w:sz w:val="28"/>
          <w:sz w:val="28"/>
          <w:szCs w:val="28"/>
          <w:rtl w:val="true"/>
          <w:lang w:bidi="fa-IR"/>
        </w:rPr>
        <w:t>یطمعوا فی إضلالکم</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محمول علی اتهامهم و سوء الظن بهم بما یحرم اتهام المؤمن به،بأن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زانٍ، أو سارق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إذا زاده </w:t>
      </w:r>
      <w:r>
        <w:rPr>
          <w:rStyle w:val="FootnoteAnchor"/>
          <w:rtl w:val="true"/>
        </w:rPr>
        <w:footnoteReference w:id="670"/>
      </w:r>
      <w:r>
        <w:rPr>
          <w:rFonts w:ascii="IRNazanin" w:hAnsi="IRNazanin" w:eastAsia="IRNazanin"/>
          <w:color w:val="111111"/>
          <w:sz w:val="28"/>
          <w:sz w:val="28"/>
          <w:szCs w:val="28"/>
          <w:rtl w:val="true"/>
          <w:lang w:bidi="fa-IR"/>
        </w:rPr>
        <w:t>ذکر ما لیس فیه من باب المبالغة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إبقاؤه علی ظاهره بتجویز الکذب علیهم لأجل المصلحة؛</w:t>
      </w:r>
    </w:p>
    <w:p>
      <w:pPr>
        <w:pStyle w:val="BookText"/>
        <w:rPr/>
      </w:pPr>
      <w:r>
        <w:rPr>
          <w:rFonts w:ascii="IRNazanin" w:hAnsi="IRNazanin" w:eastAsia="IRNazanin"/>
          <w:color w:val="111111"/>
          <w:sz w:val="28"/>
          <w:sz w:val="28"/>
          <w:szCs w:val="28"/>
          <w:rtl w:val="true"/>
          <w:lang w:bidi="fa-IR"/>
        </w:rPr>
        <w:t xml:space="preserve">فإنّ مصلحة تنفیر </w:t>
      </w:r>
      <w:r>
        <w:rPr>
          <w:rStyle w:val="FootnoteAnchor"/>
          <w:rtl w:val="true"/>
        </w:rPr>
        <w:footnoteReference w:id="671"/>
      </w:r>
      <w:r>
        <w:rPr>
          <w:rFonts w:ascii="IRNazanin" w:hAnsi="IRNazanin" w:eastAsia="IRNazanin"/>
          <w:color w:val="111111"/>
          <w:sz w:val="28"/>
          <w:sz w:val="28"/>
          <w:szCs w:val="28"/>
          <w:rtl w:val="true"/>
          <w:lang w:bidi="fa-IR"/>
        </w:rPr>
        <w:t>الخلق عنهم أقوی من مفسدة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حمزة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أصحابنا یفترون و یقذفون من خالفهم،فقال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عنهم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حمزة إنّ الناس کلّهم أولاد بغایا ما خلا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أصحاب الخمس،و قد حرّمناه علی جمیع الناس ما خلا شیعتنا</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صدرها دلالة علی جواز الافتراء و هو القذف علی کراهة،ثم أشار علیه السلام إلی أولویة قصد الصدق بإرادة الزنا من حیث استحلال حقوق الأئمة علیهم السلام</w:t>
      </w:r>
      <w:r>
        <w:rPr>
          <w:rFonts w:eastAsia="IRNazanin" w:cs="IRNazanin"/>
          <w:color w:val="111111"/>
          <w:sz w:val="28"/>
          <w:szCs w:val="28"/>
          <w:rtl w:val="true"/>
          <w:lang w:bidi="fa-IR"/>
        </w:rPr>
        <w:t>.</w:t>
      </w:r>
      <w:bookmarkStart w:id="87" w:name="pg19674_191618"/>
    </w:p>
    <w:p>
      <w:pPr>
        <w:pStyle w:val="Heading4"/>
        <w:numPr>
          <w:ilvl w:val="3"/>
          <w:numId w:val="1"/>
        </w:numPr>
        <w:rPr/>
      </w:pPr>
      <w:bookmarkStart w:id="88" w:name="__RefHeading___Toc5027714_2314609296"/>
      <w:bookmarkStart w:id="89" w:name="_Toc33"/>
      <w:bookmarkEnd w:id="87"/>
      <w:bookmarkEnd w:id="88"/>
      <w:r>
        <w:rPr>
          <w:rtl w:val="true"/>
        </w:rPr>
        <w:t>المسألة الثامنة و العشرون الهُجر</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الفحش من القول و ما استقبح التصریح به منه،ففی صحیحة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الجفاء،و الجفاء فی النار</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الجنّة علی کلّ فحّاش بذیء قلیل الحیاء،لا یبالی بما قال و لا ما قیل فیه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تکون فحّاشاً</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 </w:t>
      </w:r>
      <w:r>
        <w:rPr>
          <w:rStyle w:val="FootnoteAnchor"/>
          <w:rtl w:val="true"/>
        </w:rPr>
        <w:footnoteReference w:id="676"/>
      </w:r>
      <w:r>
        <w:rPr>
          <w:rFonts w:ascii="IRNazanin" w:hAnsi="IRNazanin" w:eastAsia="IRNazanin"/>
          <w:color w:val="111111"/>
          <w:sz w:val="28"/>
          <w:sz w:val="28"/>
          <w:szCs w:val="28"/>
          <w:rtl w:val="true"/>
          <w:lang w:bidi="fa-IR"/>
        </w:rPr>
        <w:t>عباد اللّه من یکره مجالسته لفحشه</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علامات شرک الشیطان الذی لا شک </w:t>
      </w:r>
      <w:r>
        <w:rPr>
          <w:rStyle w:val="FootnoteAnchor"/>
          <w:rtl w:val="true"/>
        </w:rPr>
        <w:footnoteReference w:id="678"/>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فحّاشاً لا یبالی بما قال و لا ما قیل فیه</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تیسّر تحریره من المکاسب المحرّمة</w:t>
      </w:r>
      <w:r>
        <w:rPr>
          <w:rFonts w:eastAsia="IRNazanin" w:cs="IRNazanin"/>
          <w:color w:val="111111"/>
          <w:sz w:val="28"/>
          <w:szCs w:val="28"/>
          <w:rtl w:val="true"/>
          <w:lang w:bidi="fa-IR"/>
        </w:rPr>
        <w:t>.</w:t>
      </w:r>
      <w:bookmarkStart w:id="90" w:name="pg19674_191620"/>
    </w:p>
    <w:p>
      <w:pPr>
        <w:pStyle w:val="Heading3"/>
        <w:numPr>
          <w:ilvl w:val="2"/>
          <w:numId w:val="1"/>
        </w:numPr>
        <w:rPr/>
      </w:pPr>
      <w:bookmarkStart w:id="91" w:name="__RefHeading___Toc5027716_2314609296"/>
      <w:bookmarkStart w:id="92" w:name="_Toc34"/>
      <w:bookmarkEnd w:id="90"/>
      <w:bookmarkEnd w:id="91"/>
      <w:r>
        <w:rPr>
          <w:rtl w:val="true"/>
        </w:rPr>
        <w:t>النوع الخامس ممّا یحرم التکسّب به</w:t>
      </w:r>
      <w:bookmarkEnd w:id="92"/>
    </w:p>
    <w:p>
      <w:pPr>
        <w:pStyle w:val="Heading4"/>
        <w:numPr>
          <w:ilvl w:val="3"/>
          <w:numId w:val="1"/>
        </w:numPr>
        <w:rPr/>
      </w:pPr>
      <w:bookmarkStart w:id="93" w:name="__RefHeading___Toc5027718_2314609296"/>
      <w:bookmarkStart w:id="94" w:name="_Toc35"/>
      <w:bookmarkEnd w:id="93"/>
      <w:r>
        <w:rPr>
          <w:rtl w:val="true"/>
        </w:rPr>
        <w:t>اشاره</w:t>
      </w:r>
      <w:bookmarkEnd w:id="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1"/>
      </w:r>
      <w:bookmarkStart w:id="95" w:name="pg19674_191622"/>
    </w:p>
    <w:p>
      <w:pPr>
        <w:pStyle w:val="BookText"/>
        <w:rPr/>
      </w:pPr>
      <w:bookmarkEnd w:id="95"/>
      <w:r>
        <w:rPr>
          <w:rFonts w:ascii="IRNazanin" w:hAnsi="IRNazanin" w:eastAsia="IRNazanin"/>
          <w:color w:val="111111"/>
          <w:sz w:val="28"/>
          <w:sz w:val="28"/>
          <w:szCs w:val="28"/>
          <w:rtl w:val="true"/>
          <w:lang w:bidi="fa-IR"/>
        </w:rPr>
        <w:t xml:space="preserve">النوع الخامس </w:t>
      </w:r>
      <w:r>
        <w:rPr>
          <w:rStyle w:val="FootnoteAnchor"/>
          <w:rtl w:val="true"/>
        </w:rPr>
        <w:footnoteReference w:id="682"/>
      </w:r>
      <w:r>
        <w:rPr>
          <w:rFonts w:ascii="Amiri" w:hAnsi="Amiri" w:eastAsia="Amiri" w:cs="Amiri"/>
          <w:color w:val="111111"/>
          <w:sz w:val="28"/>
          <w:sz w:val="28"/>
          <w:szCs w:val="28"/>
          <w:rtl w:val="true"/>
          <w:lang w:bidi="ar-SA"/>
        </w:rPr>
        <w:t>ممّا یحرم التکسّب به</w:t>
      </w:r>
    </w:p>
    <w:p>
      <w:pPr>
        <w:pStyle w:val="Heading4"/>
        <w:numPr>
          <w:ilvl w:val="3"/>
          <w:numId w:val="1"/>
        </w:numPr>
        <w:rPr/>
      </w:pPr>
      <w:bookmarkStart w:id="96" w:name="__RefHeading___Toc5027720_2314609296"/>
      <w:bookmarkStart w:id="97" w:name="_Toc36"/>
      <w:bookmarkEnd w:id="96"/>
      <w:r>
        <w:rPr>
          <w:rtl w:val="true"/>
        </w:rPr>
        <w:t>[</w:t>
      </w:r>
      <w:r>
        <w:rPr>
          <w:rtl w:val="true"/>
        </w:rPr>
        <w:t>حرمة التکسب بالواجبات</w:t>
      </w:r>
      <w:r>
        <w:rPr>
          <w:rtl w:val="true"/>
        </w:rPr>
        <w:t>]</w:t>
      </w:r>
      <w:bookmarkEnd w:id="97"/>
    </w:p>
    <w:p>
      <w:pPr>
        <w:pStyle w:val="Heading5"/>
        <w:numPr>
          <w:ilvl w:val="4"/>
          <w:numId w:val="1"/>
        </w:numPr>
        <w:rPr/>
      </w:pPr>
      <w:bookmarkStart w:id="98" w:name="__RefHeading___Toc5027722_2314609296"/>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ما یجب علی الإنسان فعله عیناً أو کفایة تعبّداً أو توصّلاً علی المشهور کما فی المسالک </w:t>
      </w:r>
      <w:r>
        <w:rPr>
          <w:rStyle w:val="FootnoteAnchor"/>
          <w:rtl w:val="true"/>
        </w:rPr>
        <w:footnoteReference w:id="683"/>
      </w:r>
      <w:r>
        <w:rPr>
          <w:rFonts w:ascii="IRNazanin" w:hAnsi="IRNazanin" w:eastAsia="IRNazanin"/>
          <w:color w:val="111111"/>
          <w:sz w:val="28"/>
          <w:sz w:val="28"/>
          <w:szCs w:val="28"/>
          <w:rtl w:val="true"/>
          <w:lang w:bidi="fa-IR"/>
        </w:rPr>
        <w:t>،بل عن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دلیله الإجماع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نسبته إلی الشهرة فی المسالک،فی مقابل قول السید </w:t>
      </w:r>
      <w:r>
        <w:rPr>
          <w:rStyle w:val="FootnoteAnchor"/>
          <w:rtl w:val="true"/>
        </w:rPr>
        <w:footnoteReference w:id="685"/>
      </w:r>
      <w:r>
        <w:rPr>
          <w:rFonts w:ascii="IRNazanin" w:hAnsi="IRNazanin" w:eastAsia="IRNazanin"/>
          <w:color w:val="111111"/>
          <w:sz w:val="28"/>
          <w:sz w:val="28"/>
          <w:szCs w:val="28"/>
          <w:rtl w:val="true"/>
          <w:lang w:bidi="fa-IR"/>
        </w:rPr>
        <w:t>المخالف فی وجوب تجهیز المیت علی غیر الولیّ،لا فی حرمة أخذ الأُجرة علی تقدیر الوجوب علیه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عدم جواز أخذ الأُجرة علی تعلیم صیغة النکاح،أو إلقائها علی المتعاقدین </w:t>
      </w:r>
      <w:r>
        <w:rPr>
          <w:rStyle w:val="FootnoteAnchor"/>
          <w:rtl w:val="true"/>
        </w:rPr>
        <w:footnoteReference w:id="6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لمثل هذا و نحوه </w:t>
      </w:r>
      <w:r>
        <w:rPr>
          <w:rStyle w:val="FootnoteAnchor"/>
          <w:rtl w:val="true"/>
        </w:rPr>
        <w:footnoteReference w:id="687"/>
      </w:r>
      <w:r>
        <w:rPr>
          <w:rFonts w:ascii="IRNazanin" w:hAnsi="IRNazanin" w:eastAsia="IRNazanin"/>
          <w:color w:val="111111"/>
          <w:sz w:val="28"/>
          <w:sz w:val="28"/>
          <w:szCs w:val="28"/>
          <w:rtl w:val="true"/>
          <w:lang w:bidi="fa-IR"/>
        </w:rPr>
        <w:t>ذکر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هذا الحکم الإجماع فی کلام جماعة،و هو الحجّة </w:t>
      </w:r>
      <w:r>
        <w:rPr>
          <w:rStyle w:val="FootnoteAnchor"/>
          <w:rtl w:val="true"/>
        </w:rPr>
        <w:footnoteReference w:id="6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موضوع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للواجب </w:t>
      </w:r>
      <w:r>
        <w:rPr>
          <w:rStyle w:val="FootnoteAnchor"/>
          <w:rtl w:val="true"/>
        </w:rPr>
        <w:footnoteReference w:id="689"/>
      </w:r>
      <w:r>
        <w:rPr>
          <w:rFonts w:ascii="IRNazanin" w:hAnsi="IRNazanin" w:eastAsia="IRNazanin"/>
          <w:color w:val="111111"/>
          <w:sz w:val="28"/>
          <w:sz w:val="28"/>
          <w:szCs w:val="28"/>
          <w:rtl w:val="true"/>
          <w:lang w:bidi="fa-IR"/>
        </w:rPr>
        <w:t xml:space="preserve">علی العامل منفعة تعود إلی من یبذل بإزائه المال،کما لو کان کفائیاً و أراد سقوطه منه فاستأجر غیره،أو کان عینیاً علی العامل و رجع نفع </w:t>
      </w:r>
      <w:r>
        <w:rPr>
          <w:rStyle w:val="FootnoteAnchor"/>
          <w:rtl w:val="true"/>
        </w:rPr>
        <w:footnoteReference w:id="690"/>
      </w:r>
      <w:r>
        <w:rPr>
          <w:rFonts w:ascii="IRNazanin" w:hAnsi="IRNazanin" w:eastAsia="IRNazanin"/>
          <w:color w:val="111111"/>
          <w:sz w:val="28"/>
          <w:sz w:val="28"/>
          <w:szCs w:val="28"/>
          <w:rtl w:val="true"/>
          <w:lang w:bidi="fa-IR"/>
        </w:rPr>
        <w:t>منه إلی باذل المال،کالقضاء للمدعی إذا وجب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الکلام ما لو فرض مستحباً لجاز الاستئجار علیه؛لأنّ الکلام فی کون مجرّد الوجوب علی الشخص مانعاً عن أخذه </w:t>
      </w:r>
      <w:r>
        <w:rPr>
          <w:rStyle w:val="FootnoteAnchor"/>
          <w:rtl w:val="true"/>
        </w:rPr>
        <w:footnoteReference w:id="691"/>
      </w:r>
      <w:r>
        <w:rPr>
          <w:rFonts w:ascii="IRNazanin" w:hAnsi="IRNazanin" w:eastAsia="IRNazanin"/>
          <w:color w:val="111111"/>
          <w:sz w:val="28"/>
          <w:sz w:val="28"/>
          <w:szCs w:val="28"/>
          <w:rtl w:val="true"/>
          <w:lang w:bidi="fa-IR"/>
        </w:rPr>
        <w:t>الأُجرة علیه،فمثل فعل الشخص صلاة الظهر عن نفسه لا یجوز أخذ الأُجرة علیه،لا لوجوبها،بل لعدم وصول عوض المال إلی باذله؛فإنّ النافلة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یعلم فساد الاستدلال علی هذا المطلب بمنافاة ذلک للإخلاص فی العمل </w:t>
      </w:r>
      <w:r>
        <w:rPr>
          <w:rStyle w:val="FootnoteAnchor"/>
          <w:rtl w:val="true"/>
        </w:rPr>
        <w:footnoteReference w:id="692"/>
      </w:r>
      <w:r>
        <w:rPr>
          <w:rFonts w:ascii="IRNazanin" w:hAnsi="IRNazanin" w:eastAsia="IRNazanin"/>
          <w:color w:val="111111"/>
          <w:sz w:val="28"/>
          <w:sz w:val="28"/>
          <w:szCs w:val="28"/>
          <w:rtl w:val="true"/>
          <w:lang w:bidi="fa-IR"/>
        </w:rPr>
        <w:t>لانتقاضه طرداً و عکساً بالمندوب و الواجب التوصّلی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یُردّ ذلک </w:t>
      </w:r>
      <w:r>
        <w:rPr>
          <w:rStyle w:val="FootnoteAnchor"/>
          <w:rtl w:val="true"/>
        </w:rPr>
        <w:footnoteReference w:id="693"/>
      </w:r>
      <w:r>
        <w:rPr>
          <w:rFonts w:ascii="IRNazanin" w:hAnsi="IRNazanin" w:eastAsia="IRNazanin"/>
          <w:color w:val="111111"/>
          <w:sz w:val="28"/>
          <w:sz w:val="28"/>
          <w:szCs w:val="28"/>
          <w:rtl w:val="true"/>
          <w:lang w:bidi="fa-IR"/>
        </w:rPr>
        <w:t>بأنّ تضاعف الوجوب بسبب الإجارة یؤکّد</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اقتضاء ذلک،الفرق بین الإجارة و الجعالة، حیث إنّ الجعالة لا توجب العمل علی العامل</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أنّه إن أُرید أنّ تضاعف الوجوب یؤکّد اشتراط الإخلاص،فلا ریب أنّ الوجوب الحاصل بالإجارة توصّلی لا یشترط فی حصول ما وجب به قصد القربة،مع أنّ غرض المستدلّ منافاة قصد أخذ المال لتحقق الإخلاص فی العمل،لا لاعتباره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أنّه یؤکّد تحقّق الإخلاص من العامل،فهو مخالف للواقع قطعاً؛لأنّ ما لا یترتّب علیه أجر دنیوی أخلص ممّا یترتّب علیه ذلک بحکم الوجدان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أنّ الوجوب الناشئ من الإجارة إنّما یتعلّق بالوفاء بعقد الإجارة،و مقتضی الإخلاص المعتبر فی ترتّب الثواب علی موافقة هذا الأمر و لو لم </w:t>
      </w:r>
      <w:r>
        <w:rPr>
          <w:rStyle w:val="FootnoteAnchor"/>
          <w:rtl w:val="true"/>
        </w:rPr>
        <w:footnoteReference w:id="695"/>
      </w:r>
      <w:r>
        <w:rPr>
          <w:rFonts w:ascii="IRNazanin" w:hAnsi="IRNazanin" w:eastAsia="IRNazanin"/>
          <w:color w:val="111111"/>
          <w:sz w:val="28"/>
          <w:sz w:val="28"/>
          <w:szCs w:val="28"/>
          <w:rtl w:val="true"/>
          <w:lang w:bidi="fa-IR"/>
        </w:rPr>
        <w:t xml:space="preserve">یعتبر فی سقوطه هو إتیان الفعل من حیث استحقاق المستأجر له </w:t>
      </w:r>
      <w:r>
        <w:rPr>
          <w:rStyle w:val="FootnoteAnchor"/>
          <w:rtl w:val="true"/>
        </w:rPr>
        <w:footnoteReference w:id="696"/>
      </w:r>
      <w:r>
        <w:rPr>
          <w:rFonts w:ascii="IRNazanin" w:hAnsi="IRNazanin" w:eastAsia="IRNazanin"/>
          <w:color w:val="111111"/>
          <w:sz w:val="28"/>
          <w:sz w:val="28"/>
          <w:szCs w:val="28"/>
          <w:rtl w:val="true"/>
          <w:lang w:bidi="fa-IR"/>
        </w:rPr>
        <w:t>بإزاء ماله،فهذا المعنی ینافی وجوب إتیان العبادة لأجل استحقاقه تعالی إیّاه؛و لذا لو لم یکن هذا العقد واجب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قصد الإخلاص مع قصد استحقاق العوض، فلا إخلاص هنا حتی یؤکّده وجوب الوفاء بعد الإیجاب بالإجارة، فالمانع حقیقة هو عدم القدرة علی إیجاد الفعل الصحیح بإزاء العوض،</w:t>
      </w:r>
      <w:bookmarkStart w:id="100" w:name="pg19674_191625"/>
    </w:p>
    <w:p>
      <w:pPr>
        <w:pStyle w:val="BookText"/>
        <w:rPr/>
      </w:pPr>
      <w:bookmarkEnd w:id="100"/>
      <w:r>
        <w:rPr>
          <w:rFonts w:ascii="IRNazanin" w:hAnsi="IRNazanin" w:eastAsia="IRNazanin"/>
          <w:color w:val="111111"/>
          <w:sz w:val="28"/>
          <w:sz w:val="28"/>
          <w:szCs w:val="28"/>
          <w:rtl w:val="true"/>
          <w:lang w:bidi="fa-IR"/>
        </w:rPr>
        <w:t>سواء کانت المعاوضة لازمة أم جائزة</w:t>
      </w:r>
      <w:r>
        <w:rPr>
          <w:rFonts w:eastAsia="IRNazanin" w:cs="IRNazanin"/>
          <w:color w:val="111111"/>
          <w:sz w:val="28"/>
          <w:szCs w:val="28"/>
          <w:rtl w:val="true"/>
          <w:lang w:bidi="fa-IR"/>
        </w:rPr>
        <w:t>.</w:t>
      </w:r>
    </w:p>
    <w:p>
      <w:pPr>
        <w:pStyle w:val="Heading5"/>
        <w:numPr>
          <w:ilvl w:val="4"/>
          <w:numId w:val="1"/>
        </w:numPr>
        <w:rPr/>
      </w:pPr>
      <w:bookmarkStart w:id="101" w:name="__RefHeading___Toc5027724_2314609296"/>
      <w:bookmarkStart w:id="102" w:name="_Toc38"/>
      <w:bookmarkEnd w:id="101"/>
      <w:r>
        <w:rPr>
          <w:rtl w:val="true"/>
        </w:rPr>
        <w:t>[</w:t>
      </w:r>
      <w:r>
        <w:rPr>
          <w:rtl w:val="true"/>
        </w:rPr>
        <w:t>القربة فی العبادات المستأجرة</w:t>
      </w:r>
      <w:r>
        <w:rPr>
          <w:rtl w:val="true"/>
        </w:rPr>
        <w:t>]</w:t>
      </w:r>
      <w:bookmarkEnd w:id="102"/>
    </w:p>
    <w:p>
      <w:pPr>
        <w:pStyle w:val="BookText"/>
        <w:rPr/>
      </w:pPr>
      <w:r>
        <w:rPr>
          <w:rFonts w:ascii="IRNazanin" w:hAnsi="IRNazanin" w:eastAsia="IRNazanin"/>
          <w:color w:val="111111"/>
          <w:sz w:val="28"/>
          <w:sz w:val="28"/>
          <w:szCs w:val="28"/>
          <w:rtl w:val="true"/>
          <w:lang w:bidi="fa-IR"/>
        </w:rPr>
        <w:t>و أمّا تأتّی القربة فی العبادات المستأجرة،فلأنّ الإجارة إنّما تقع علی الفعل المأتی به تقرّباً إلی اللّه،نیابة عن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یجعل نفسه نائباً عن فلان فی العمل متقرّباً إلی اللّه،فالمنوب عنه یتقرّب إلیه تعالی بعمل نائبه و تقرّبه،و هذا الجعل فی نفسه مستحبّ؛لأنّه إحسان إلی المنوب عنه و إیصال نفع إلیه،و قد یستأجر الشخص علیه فیصیر واجباً بالإجارة وجوباً توصّلیاً لا یعتبر فیه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فالأجیر إنّما یجعل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استحقاق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نائباً عن الغیر فی إتیان العمل الفلانی تقرّباً إلی اللّه،فالأُجرة فی مقابل النیابة فی العمل المتقرّب به إلی اللّه التی مرجع نفعها إلی المنوب عنه،و هذا بخلاف ما نحن فیه؛لأنّ الأُجرة هنا فی مقابل العمل تقرّباً إلی اللّه لأنّ العمل بهذا الوجه لا یرجع نفعه إلّا إلی العامل؛لأنّ المفروض أنّه یمتثل ما وجب علی نفسه،بل فی مقابل نفس العمل،فهو یستحقّ نفس العمل،و المفروض أنّ الإخلاص إتیان العمل لخصوص أمر اللّه تعالی </w:t>
      </w:r>
      <w:r>
        <w:rPr>
          <w:rStyle w:val="FootnoteAnchor"/>
          <w:rtl w:val="true"/>
        </w:rPr>
        <w:footnoteReference w:id="697"/>
      </w:r>
      <w:r>
        <w:rPr>
          <w:rFonts w:ascii="IRNazanin" w:hAnsi="IRNazanin" w:eastAsia="IRNazanin"/>
          <w:color w:val="111111"/>
          <w:sz w:val="28"/>
          <w:sz w:val="28"/>
          <w:szCs w:val="28"/>
          <w:rtl w:val="true"/>
          <w:lang w:bidi="fa-IR"/>
        </w:rPr>
        <w:t>، و التقرّب یقع للعامل دون الباذل،و وقوعه للعامل یتوقّف علی أن لا یقصد بالعبادة سوی امتثال أمر اللّه تعالی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للأجیر أن یأتی بالفعل مخلصاً للّه تعالی،بحیث لا یکون للإجارة دخل فی إتیانه فیستحقّ الأُجرة،فالإجارة غیر مانعة</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698"/>
      </w:r>
      <w:r>
        <w:rPr>
          <w:rFonts w:ascii="IRNazanin" w:hAnsi="IRNazanin" w:eastAsia="IRNazanin"/>
          <w:color w:val="111111"/>
          <w:sz w:val="28"/>
          <w:sz w:val="28"/>
          <w:szCs w:val="28"/>
          <w:rtl w:val="true"/>
          <w:lang w:bidi="fa-IR"/>
        </w:rPr>
        <w:t>قصد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أنّ مورد الإجارة لا بدّ أن </w:t>
      </w:r>
      <w:r>
        <w:rPr>
          <w:rStyle w:val="FootnoteAnchor"/>
          <w:rtl w:val="true"/>
        </w:rPr>
        <w:footnoteReference w:id="699"/>
      </w:r>
      <w:r>
        <w:rPr>
          <w:rFonts w:ascii="Amiri" w:hAnsi="Amiri" w:eastAsia="Amiri" w:cs="Amiri"/>
          <w:color w:val="111111"/>
          <w:sz w:val="28"/>
          <w:sz w:val="28"/>
          <w:szCs w:val="28"/>
          <w:rtl w:val="true"/>
          <w:lang w:bidi="ar-SA"/>
        </w:rPr>
        <w:t xml:space="preserve">یکون عملاً قابلاً لأن یوفّی به بعقد </w:t>
      </w:r>
      <w:r>
        <w:rPr>
          <w:rStyle w:val="FootnoteAnchor"/>
          <w:rtl w:val="true"/>
        </w:rPr>
        <w:footnoteReference w:id="700"/>
      </w:r>
      <w:r>
        <w:rPr>
          <w:rFonts w:ascii="IRNazanin" w:hAnsi="IRNazanin" w:eastAsia="IRNazanin"/>
          <w:color w:val="111111"/>
          <w:sz w:val="28"/>
          <w:sz w:val="28"/>
          <w:szCs w:val="28"/>
          <w:rtl w:val="true"/>
          <w:lang w:bidi="fa-IR"/>
        </w:rPr>
        <w:t>الإجارة،و یؤتی به لأجل استحقاق المستأجر إیّاه و من باب تسلیم مال الغیر إلیه،و ما کان من قبیل العبادة غیر قابل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غایة الفعل التقرّب،و المقصود من إتیان هذا الفعل المتقرّب به استحقاق الأُجرة،کما یؤتی بالفعل تقرّباً إلی اللّه و یقصد منه حصول المطالب الدنیویة،کأداء الدین و سعة الرزق و غیرهما من الحاجات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الغرض الدنیوی المطلوب من الخالق الذی یتقرّب إلیه بالعمل،و بین الغرض الحاصل من غیره و هو استحقاق الأُجرة؛ فإنّ طلب الحاجة </w:t>
      </w:r>
      <w:r>
        <w:rPr>
          <w:rStyle w:val="FootnoteAnchor"/>
          <w:rtl w:val="true"/>
        </w:rPr>
        <w:footnoteReference w:id="701"/>
      </w:r>
      <w:r>
        <w:rPr>
          <w:rFonts w:ascii="IRNazanin" w:hAnsi="IRNazanin" w:eastAsia="IRNazanin"/>
          <w:color w:val="111111"/>
          <w:sz w:val="28"/>
          <w:sz w:val="28"/>
          <w:szCs w:val="28"/>
          <w:rtl w:val="true"/>
          <w:lang w:bidi="fa-IR"/>
        </w:rPr>
        <w:t xml:space="preserve">من اللّه تعالی سبحانه و لو کانت دنیویة محبوب عند اللّه،فلا یقدح فی العبادة،بل ربما یؤکّدها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کان،فذلک الاستدلال حسن فی بعض موارد المسألة و هو الواجب التعبّدی فی الجملة،إلّا أنّ مقتضاه جواز أخذ الأُجرة فی</w:t>
      </w:r>
    </w:p>
    <w:p>
      <w:pPr>
        <w:pStyle w:val="BookText"/>
        <w:rPr/>
      </w:pPr>
      <w:r>
        <w:rPr>
          <w:rFonts w:ascii="IRNazanin" w:hAnsi="IRNazanin" w:eastAsia="IRNazanin"/>
          <w:color w:val="111111"/>
          <w:sz w:val="28"/>
          <w:sz w:val="28"/>
          <w:szCs w:val="28"/>
          <w:rtl w:val="true"/>
          <w:lang w:bidi="fa-IR"/>
        </w:rPr>
        <w:t>التوصّلیات،و عدم جوازه فی المندوبات التعبّدیة،فلیس مطّرداً و لا منعکساً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استدلّ علی المطلب بعض الأساطین فی شرحه علی القواعد بوجوه،أقواها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التنافی بین صفة الوجوب و التملّک ذاتی؛ لأنّ المملوک و المستحقّ </w:t>
      </w:r>
      <w:r>
        <w:rPr>
          <w:rStyle w:val="FootnoteAnchor"/>
          <w:rtl w:val="true"/>
        </w:rPr>
        <w:footnoteReference w:id="703"/>
      </w:r>
      <w:r>
        <w:rPr>
          <w:rFonts w:ascii="IRNazanin" w:hAnsi="IRNazanin" w:eastAsia="IRNazanin"/>
          <w:color w:val="111111"/>
          <w:sz w:val="28"/>
          <w:sz w:val="28"/>
          <w:szCs w:val="28"/>
          <w:rtl w:val="true"/>
          <w:lang w:bidi="fa-IR"/>
        </w:rPr>
        <w:t xml:space="preserve">لا یملک و لا یستحقّ ثانیاً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یقابل المال لا بدّ أن یکون کنفس المال ممّا یملکه المؤجر حتی یملّکه المستأجر </w:t>
      </w:r>
      <w:r>
        <w:rPr>
          <w:rStyle w:val="FootnoteAnchor"/>
          <w:rtl w:val="true"/>
        </w:rPr>
        <w:footnoteReference w:id="705"/>
      </w:r>
      <w:r>
        <w:rPr>
          <w:rFonts w:ascii="IRNazanin" w:hAnsi="IRNazanin" w:eastAsia="IRNazanin"/>
          <w:color w:val="111111"/>
          <w:sz w:val="28"/>
          <w:sz w:val="28"/>
          <w:szCs w:val="28"/>
          <w:rtl w:val="true"/>
          <w:lang w:bidi="fa-IR"/>
        </w:rPr>
        <w:t>فی مقابل تملیکه المال إیّاه،فإذا فرض العمل واجباً للّه لیس للمکلّف ترکه،فیصیر نظیر العمل المملوک للغیر،أ لا تری أنّه إذا آجر نفسه لدفن المیّت لشخص لم یجز له أن یؤجر نفسه ثانیاً من شخص آخر لذلک العمل،و لیس إلّا لأنّ الفعل صار مستحقّاً للأوّل و مملوکاً له،فلا معنی لتملیکه ثانیاً للآخر مع فرض بقائه علی ملک الأوّل،و هذا المعنی موجود فیما أوجبه اللّه تعالی، خصوصاً فیما یرجع إلی حقوق الغیر،حیث إنّ حاصل الإیجاب هنا جعل الغیر مستحقّاً لذلک العمل من هذا العامل،کأحکام تجهیز المیت التی جعل الشارع المیت مستحقّاً لها علی الحی،فلا یستحقّها غیره ثانیاً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الإنصاف أنّ هذا الوجه أیضاً لا یخلو عن الخدشة؛ لإمکان منع المنافاة بین الوجوب الذی هو طلب الشارع الفعل،و بین</w:t>
      </w:r>
    </w:p>
    <w:p>
      <w:pPr>
        <w:pStyle w:val="BookText"/>
        <w:rPr/>
      </w:pPr>
      <w:r>
        <w:rPr>
          <w:rFonts w:ascii="IRNazanin" w:hAnsi="IRNazanin" w:eastAsia="IRNazanin"/>
          <w:color w:val="111111"/>
          <w:sz w:val="28"/>
          <w:sz w:val="28"/>
          <w:szCs w:val="28"/>
          <w:rtl w:val="true"/>
          <w:lang w:bidi="fa-IR"/>
        </w:rPr>
        <w:t>استحقاق المستأجر له،و لیس استحقاق الشارع للفعل و تملّکه المنتزع من طلبه من قبیل استحقاق الآدمی و تملّکه الذی ینافی تملّک الغیر و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الدلیل باعتراف المستدل یختص بالواجب العینی، و أمّا الکفائی،فاستدلّ </w:t>
      </w:r>
      <w:r>
        <w:rPr>
          <w:rStyle w:val="FootnoteAnchor"/>
          <w:rtl w:val="true"/>
        </w:rPr>
        <w:footnoteReference w:id="706"/>
      </w:r>
      <w:r>
        <w:rPr>
          <w:rFonts w:ascii="IRNazanin" w:hAnsi="IRNazanin" w:eastAsia="IRNazanin"/>
          <w:color w:val="111111"/>
          <w:sz w:val="28"/>
          <w:sz w:val="28"/>
          <w:szCs w:val="28"/>
          <w:rtl w:val="true"/>
          <w:lang w:bidi="fa-IR"/>
        </w:rPr>
        <w:t>علی عدم جواز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الفعل متعیّن له </w:t>
      </w:r>
      <w:r>
        <w:rPr>
          <w:rStyle w:val="FootnoteAnchor"/>
          <w:rtl w:val="true"/>
        </w:rPr>
        <w:footnoteReference w:id="707"/>
      </w:r>
      <w:r>
        <w:rPr>
          <w:rFonts w:ascii="IRNazanin" w:hAnsi="IRNazanin" w:eastAsia="IRNazanin"/>
          <w:color w:val="111111"/>
          <w:sz w:val="28"/>
          <w:sz w:val="28"/>
          <w:szCs w:val="28"/>
          <w:rtl w:val="true"/>
          <w:lang w:bidi="fa-IR"/>
        </w:rPr>
        <w:t xml:space="preserve">فلا یدخل فی ملک آخر،و بعدم </w:t>
      </w:r>
      <w:r>
        <w:rPr>
          <w:rStyle w:val="FootnoteAnchor"/>
          <w:rtl w:val="true"/>
        </w:rPr>
        <w:footnoteReference w:id="708"/>
      </w:r>
      <w:r>
        <w:rPr>
          <w:rFonts w:ascii="IRNazanin" w:hAnsi="IRNazanin" w:eastAsia="IRNazanin"/>
          <w:color w:val="111111"/>
          <w:sz w:val="28"/>
          <w:sz w:val="28"/>
          <w:szCs w:val="28"/>
          <w:rtl w:val="true"/>
          <w:lang w:bidi="fa-IR"/>
        </w:rPr>
        <w:t>نفع المستأجر فیما یملکه أو یستحقّه غیره؛لأنّه بمنزلة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لتملّک منفعتک المملوکة لک أو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وقوع الفعل له بعد إجارة نفسه للعمل للغیر؛فإنّ آثار الفعل حینئذٍ ترجع إلی الغیر،فإذا وجب إنقاذ غریق کفایة أو إزالة النجاسة عن المسجد،فاستأجر واحدٌ </w:t>
      </w:r>
      <w:r>
        <w:rPr>
          <w:rStyle w:val="FootnoteAnchor"/>
          <w:rtl w:val="true"/>
        </w:rPr>
        <w:footnoteReference w:id="709"/>
      </w:r>
      <w:r>
        <w:rPr>
          <w:rFonts w:ascii="IRNazanin" w:hAnsi="IRNazanin" w:eastAsia="IRNazanin"/>
          <w:color w:val="111111"/>
          <w:sz w:val="28"/>
          <w:sz w:val="28"/>
          <w:szCs w:val="28"/>
          <w:rtl w:val="true"/>
          <w:lang w:bidi="fa-IR"/>
        </w:rPr>
        <w:t>غیره،فثواب الإنقاذ و الإزالة یقع للمستأجر دون الأجیر المباشر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نعم،یسقط الفعل عنه؛لقیام المستأجر به و لو بالاستنابة،و من هذا القبیل الاستئجار للجهاد مع وجوبه کفایة علی الأجیر و المستأجر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بالجملة،فلم أجد دلیلاً علی هذا المطلب وافیاً بجمیع أفراده عدا الإجماع الذی لم یصرّح به إلّا المحقق الثانی </w:t>
      </w:r>
      <w:r>
        <w:rPr>
          <w:rStyle w:val="FootnoteAnchor"/>
          <w:rtl w:val="true"/>
        </w:rPr>
        <w:footnoteReference w:id="710"/>
      </w:r>
      <w:r>
        <w:rPr>
          <w:rFonts w:ascii="IRNazanin" w:hAnsi="IRNazanin" w:eastAsia="IRNazanin"/>
          <w:color w:val="111111"/>
          <w:sz w:val="28"/>
          <w:sz w:val="28"/>
          <w:szCs w:val="28"/>
          <w:rtl w:val="true"/>
          <w:lang w:bidi="fa-IR"/>
        </w:rPr>
        <w:t>،لکنّه موهون بوجود</w:t>
      </w:r>
    </w:p>
    <w:p>
      <w:pPr>
        <w:pStyle w:val="BookText"/>
        <w:rPr/>
      </w:pPr>
      <w:r>
        <w:rPr>
          <w:rFonts w:ascii="IRNazanin" w:hAnsi="IRNazanin" w:eastAsia="IRNazanin"/>
          <w:color w:val="111111"/>
          <w:sz w:val="28"/>
          <w:sz w:val="28"/>
          <w:szCs w:val="28"/>
          <w:rtl w:val="true"/>
          <w:lang w:bidi="fa-IR"/>
        </w:rPr>
        <w:t>القول بخلافه من أعیان الأصحاب من القدماء و المتأخّرین،علی ما یشهد به الحکایة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الحکایة،فقد نقل المحقّق و العلّامة رحمهما اللّه و غیرهما القول بجواز أخذ الأُجرة علی القضاء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أخذ الجعل من المتحاکمین،ففیه خلاف </w:t>
      </w:r>
      <w:r>
        <w:rPr>
          <w:rStyle w:val="FootnoteAnchor"/>
          <w:rtl w:val="true"/>
        </w:rPr>
        <w:footnoteReference w:id="711"/>
      </w:r>
      <w:r>
        <w:rPr>
          <w:rFonts w:ascii="IRNazanin" w:hAnsi="IRNazanin" w:eastAsia="IRNazanin"/>
          <w:color w:val="111111"/>
          <w:sz w:val="28"/>
          <w:sz w:val="28"/>
          <w:szCs w:val="28"/>
          <w:rtl w:val="true"/>
          <w:lang w:bidi="fa-IR"/>
        </w:rPr>
        <w:t xml:space="preserve">،و کذلک العلّامة رحمه اللّه فی المختلف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حکی العلّامة الطباطبائی فی مصابیحه </w:t>
      </w:r>
      <w:r>
        <w:rPr>
          <w:rStyle w:val="FootnoteAnchor"/>
          <w:rtl w:val="true"/>
        </w:rPr>
        <w:footnoteReference w:id="713"/>
      </w:r>
      <w:r>
        <w:rPr>
          <w:rFonts w:ascii="IRNazanin" w:hAnsi="IRNazanin" w:eastAsia="IRNazanin"/>
          <w:color w:val="111111"/>
          <w:sz w:val="28"/>
          <w:sz w:val="28"/>
          <w:szCs w:val="28"/>
          <w:rtl w:val="true"/>
          <w:lang w:bidi="fa-IR"/>
        </w:rPr>
        <w:t xml:space="preserve">عن فخر الدین و جماعة </w:t>
      </w:r>
      <w:r>
        <w:rPr>
          <w:rStyle w:val="FootnoteAnchor"/>
          <w:rtl w:val="true"/>
        </w:rPr>
        <w:footnoteReference w:id="714"/>
      </w:r>
      <w:r>
        <w:rPr>
          <w:rFonts w:ascii="IRNazanin" w:hAnsi="IRNazanin" w:eastAsia="IRNazanin"/>
          <w:color w:val="111111"/>
          <w:sz w:val="28"/>
          <w:sz w:val="28"/>
          <w:szCs w:val="28"/>
          <w:rtl w:val="true"/>
          <w:lang w:bidi="fa-IR"/>
        </w:rPr>
        <w:t xml:space="preserve">التفصیل بین العبادات و غیرها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ذلک ملاحظة الأقوال التی ذکرها فی المسالک فی باب المتاجر </w:t>
      </w:r>
      <w:r>
        <w:rPr>
          <w:rStyle w:val="FootnoteAnchor"/>
          <w:rtl w:val="true"/>
        </w:rPr>
        <w:footnoteReference w:id="716"/>
      </w:r>
      <w:r>
        <w:rPr>
          <w:rFonts w:ascii="Amiri" w:hAnsi="Amiri" w:eastAsia="Amiri" w:cs="Amiri"/>
          <w:color w:val="111111"/>
          <w:sz w:val="28"/>
          <w:sz w:val="28"/>
          <w:szCs w:val="28"/>
          <w:rtl w:val="true"/>
          <w:lang w:bidi="ar-SA"/>
        </w:rPr>
        <w:t xml:space="preserve">،و أمّا ما وجدناه،فهو أنّ ظاهر المقنعة </w:t>
      </w:r>
      <w:r>
        <w:rPr>
          <w:rStyle w:val="FootnoteAnchor"/>
          <w:rtl w:val="true"/>
        </w:rPr>
        <w:footnoteReference w:id="717"/>
      </w:r>
      <w:r>
        <w:rPr>
          <w:rFonts w:ascii="IRNazanin" w:hAnsi="IRNazanin" w:eastAsia="IRNazanin"/>
          <w:color w:val="111111"/>
          <w:sz w:val="28"/>
          <w:sz w:val="28"/>
          <w:szCs w:val="28"/>
          <w:rtl w:val="true"/>
          <w:lang w:bidi="fa-IR"/>
        </w:rPr>
        <w:t xml:space="preserve">،بل النهایة </w:t>
      </w:r>
      <w:r>
        <w:rPr>
          <w:rStyle w:val="FootnoteAnchor"/>
          <w:rtl w:val="true"/>
        </w:rPr>
        <w:footnoteReference w:id="718"/>
      </w:r>
      <w:r>
        <w:rPr>
          <w:rFonts w:ascii="IRNazanin" w:hAnsi="IRNazanin" w:eastAsia="IRNazanin"/>
          <w:color w:val="111111"/>
          <w:sz w:val="28"/>
          <w:sz w:val="28"/>
          <w:szCs w:val="28"/>
          <w:rtl w:val="true"/>
          <w:lang w:bidi="fa-IR"/>
        </w:rPr>
        <w:t xml:space="preserve">و محکی القاضی </w:t>
      </w:r>
      <w:r>
        <w:rPr>
          <w:rStyle w:val="FootnoteAnchor"/>
          <w:rtl w:val="true"/>
        </w:rPr>
        <w:footnoteReference w:id="719"/>
      </w:r>
      <w:r>
        <w:rPr>
          <w:rFonts w:ascii="Amiri" w:hAnsi="Amiri" w:eastAsia="Amiri" w:cs="Amiri"/>
          <w:color w:val="111111"/>
          <w:sz w:val="28"/>
          <w:sz w:val="28"/>
          <w:szCs w:val="28"/>
          <w:rtl w:val="true"/>
          <w:lang w:bidi="ar-SA"/>
        </w:rPr>
        <w:t xml:space="preserve">جواز الأجر علی القضاء مطلقاً و إنْ أوّل بعضٌ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کلامهم بإرادة الارتزاق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اختار جماعة </w:t>
      </w:r>
      <w:r>
        <w:rPr>
          <w:rStyle w:val="FootnoteAnchor"/>
          <w:rtl w:val="true"/>
        </w:rPr>
        <w:footnoteReference w:id="721"/>
      </w:r>
      <w:r>
        <w:rPr>
          <w:rFonts w:ascii="IRNazanin" w:hAnsi="IRNazanin" w:eastAsia="IRNazanin"/>
          <w:color w:val="111111"/>
          <w:sz w:val="28"/>
          <w:sz w:val="28"/>
          <w:szCs w:val="28"/>
          <w:rtl w:val="true"/>
          <w:lang w:bidi="fa-IR"/>
        </w:rPr>
        <w:t>جواز أخذ الأجر علیه إذا لم یکن متعیّناً، أو تعیّن و کان القاضی محتاجاً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فخر الدین فی الإیضاح بالتفصیل بین الکفائیة التوصّلیة و غیرها،فجوّز أخذ الأُجرة فی الأوّل،قال فی شرح عبارة والده فی القواعد فی الاستئجار علی تعلیم الفقه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عندی أنّ کلّ واجب علی شخص معیّن لا یجوز للمکلّف أخذ الأُجرة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وجب کفایة،فإن کان ممّا لو أوقعه بغیر نیّة لم یصحّ و لم یزل الوجوب،فلا یجوز أخذ الأُجرة علیه؛لأنّه عبادة محضة،و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722"/>
      </w:r>
      <w:r>
        <w:rPr>
          <w:rFonts w:ascii="IRNazanin" w:hAnsi="IRNazanin" w:eastAsia="IRNazanin"/>
          <w:color w:val="111111"/>
          <w:sz w:val="28"/>
          <w:sz w:val="28"/>
          <w:szCs w:val="28"/>
          <w:rtl w:val="true"/>
          <w:lang w:bidi="fa-IR"/>
        </w:rPr>
        <w:t xml:space="preserve">،حَصَرَ غرض الأمر فی انحصار غایة الفعل فی الإخلاص،و ما یفعل بالعوض لا یکون کذلک،و غیر ذلک یجوز أخذ الأُجرة علیه إلّا ما نصّ الشارع علی تحریمه کالدفن </w:t>
      </w:r>
      <w:r>
        <w:rPr>
          <w:rStyle w:val="FootnoteAnchor"/>
          <w:rtl w:val="true"/>
        </w:rPr>
        <w:footnoteReference w:id="7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نعم،ردّه فی محکی جامع المقاصد بمخالفة </w:t>
      </w:r>
      <w:r>
        <w:rPr>
          <w:rStyle w:val="FootnoteAnchor"/>
          <w:rtl w:val="true"/>
        </w:rPr>
        <w:footnoteReference w:id="724"/>
      </w:r>
      <w:r>
        <w:rPr>
          <w:rFonts w:ascii="IRNazanin" w:hAnsi="IRNazanin" w:eastAsia="IRNazanin"/>
          <w:color w:val="111111"/>
          <w:sz w:val="28"/>
          <w:sz w:val="28"/>
          <w:szCs w:val="28"/>
          <w:rtl w:val="true"/>
          <w:lang w:bidi="fa-IR"/>
        </w:rPr>
        <w:t xml:space="preserve">هذا التفصیل لنصّ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الفخر أعرف بنصّ الأصحاب من المحقق الثانی، فهذا والده قد صرّح فی المختلف بجواز أخذ الأجر </w:t>
      </w:r>
      <w:r>
        <w:rPr>
          <w:rStyle w:val="FootnoteAnchor"/>
          <w:rtl w:val="true"/>
        </w:rPr>
        <w:footnoteReference w:id="727"/>
      </w:r>
      <w:r>
        <w:rPr>
          <w:rFonts w:ascii="IRNazanin" w:hAnsi="IRNazanin" w:eastAsia="IRNazanin"/>
          <w:color w:val="111111"/>
          <w:sz w:val="28"/>
          <w:sz w:val="28"/>
          <w:szCs w:val="28"/>
          <w:rtl w:val="true"/>
          <w:lang w:bidi="fa-IR"/>
        </w:rPr>
        <w:t xml:space="preserve">علی القضاء إذا لم یتعیّن </w:t>
      </w:r>
      <w:r>
        <w:rPr>
          <w:rStyle w:val="FootnoteAnchor"/>
          <w:rtl w:val="true"/>
        </w:rPr>
        <w:footnoteReference w:id="728"/>
      </w:r>
      <w:r>
        <w:rPr>
          <w:rFonts w:ascii="IRNazanin" w:hAnsi="IRNazanin" w:eastAsia="IRNazanin"/>
          <w:color w:val="111111"/>
          <w:sz w:val="28"/>
          <w:sz w:val="28"/>
          <w:szCs w:val="28"/>
          <w:rtl w:val="true"/>
          <w:lang w:bidi="fa-IR"/>
        </w:rPr>
        <w:t xml:space="preserve">،و قبله المحقّق فی الشرائع </w:t>
      </w:r>
      <w:r>
        <w:rPr>
          <w:rStyle w:val="FootnoteAnchor"/>
          <w:rtl w:val="true"/>
        </w:rPr>
        <w:footnoteReference w:id="729"/>
      </w:r>
      <w:r>
        <w:rPr>
          <w:rFonts w:ascii="IRNazanin" w:hAnsi="IRNazanin" w:eastAsia="IRNazanin"/>
          <w:color w:val="111111"/>
          <w:sz w:val="28"/>
          <w:sz w:val="28"/>
          <w:szCs w:val="28"/>
          <w:rtl w:val="true"/>
          <w:lang w:bidi="fa-IR"/>
        </w:rPr>
        <w:t xml:space="preserve">،غیر أنّه قیّد صورة عدم التعیین بالحاجة،و لأجل ذلک اختار العلّامة الطباطبائی فی مصابیحه </w:t>
      </w:r>
      <w:r>
        <w:rPr>
          <w:rStyle w:val="FootnoteAnchor"/>
          <w:rtl w:val="true"/>
        </w:rPr>
        <w:footnoteReference w:id="730"/>
      </w:r>
      <w:r>
        <w:rPr>
          <w:rFonts w:ascii="IRNazanin" w:hAnsi="IRNazanin" w:eastAsia="IRNazanin"/>
          <w:color w:val="111111"/>
          <w:sz w:val="28"/>
          <w:sz w:val="28"/>
          <w:szCs w:val="28"/>
          <w:rtl w:val="true"/>
          <w:lang w:bidi="fa-IR"/>
        </w:rPr>
        <w:t xml:space="preserve">ما اختاره فخر الدین من التفصیل،و مع هذا فمن أین الوثوق علی إجماع لم یصرّح به إلّا المحقق الثانی </w:t>
      </w:r>
      <w:r>
        <w:rPr>
          <w:rStyle w:val="FootnoteAnchor"/>
          <w:rtl w:val="true"/>
        </w:rPr>
        <w:footnoteReference w:id="731"/>
      </w:r>
      <w:r>
        <w:rPr>
          <w:rFonts w:ascii="IRNazanin" w:hAnsi="IRNazanin" w:eastAsia="IRNazanin"/>
          <w:color w:val="111111"/>
          <w:sz w:val="28"/>
          <w:sz w:val="28"/>
          <w:szCs w:val="28"/>
          <w:rtl w:val="true"/>
          <w:lang w:bidi="fa-IR"/>
        </w:rPr>
        <w:t xml:space="preserve">،مع ما طعن به الشهید الثانی علی إجماعاته بالخصوص فی رسالته فی صلاة الجمعة </w:t>
      </w:r>
      <w:r>
        <w:rPr>
          <w:rStyle w:val="FootnoteAnchor"/>
          <w:rtl w:val="true"/>
        </w:rPr>
        <w:footnoteReference w:id="7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w:t>
      </w:r>
      <w:r>
        <w:rPr>
          <w:rStyle w:val="FootnoteAnchor"/>
          <w:rtl w:val="true"/>
        </w:rPr>
        <w:footnoteReference w:id="733"/>
      </w:r>
      <w:r>
        <w:rPr>
          <w:rFonts w:ascii="IRNazanin" w:hAnsi="IRNazanin" w:eastAsia="IRNazanin"/>
          <w:color w:val="111111"/>
          <w:sz w:val="28"/>
          <w:sz w:val="28"/>
          <w:szCs w:val="28"/>
          <w:rtl w:val="true"/>
          <w:lang w:bidi="fa-IR"/>
        </w:rPr>
        <w:t>ینساق إلیه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فی کلّ عمل له منفعة محلّلة مقصودة،جواز أخذ الأُجرة و الجعل علیه و إن کان داخلاً فی العنوان الذی أوجبه اللّه علی المکلّف،ثمّ إن صلح ذلک الفعل المقابل بالأُجرة لامتثال الإیجاب المذکور أو إسقاطه به أو عنده،سقط الوجوب مع استحقاق الأُجرة،و إن لم یصلح استحقّ الأُجرة و بقی</w:t>
      </w:r>
    </w:p>
    <w:p>
      <w:pPr>
        <w:pStyle w:val="BookText"/>
        <w:rPr/>
      </w:pPr>
      <w:r>
        <w:rPr>
          <w:rFonts w:ascii="IRNazanin" w:hAnsi="IRNazanin" w:eastAsia="IRNazanin"/>
          <w:color w:val="111111"/>
          <w:sz w:val="28"/>
          <w:sz w:val="28"/>
          <w:szCs w:val="28"/>
          <w:rtl w:val="true"/>
          <w:lang w:bidi="fa-IR"/>
        </w:rPr>
        <w:t>الواجب فی ذمّته لو بقی وقته،و إلّا عوقب علی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مانعیّة مجرّد الوجوب عن </w:t>
      </w:r>
      <w:r>
        <w:rPr>
          <w:rStyle w:val="FootnoteAnchor"/>
          <w:rtl w:val="true"/>
        </w:rPr>
        <w:footnoteReference w:id="734"/>
      </w:r>
      <w:r>
        <w:rPr>
          <w:rFonts w:ascii="IRNazanin" w:hAnsi="IRNazanin" w:eastAsia="IRNazanin"/>
          <w:color w:val="111111"/>
          <w:sz w:val="28"/>
          <w:sz w:val="28"/>
          <w:szCs w:val="28"/>
          <w:rtl w:val="true"/>
          <w:lang w:bidi="fa-IR"/>
        </w:rPr>
        <w:t>صحّة المعاوضة علی الفعل،فلم تثبت علی الإطلاق،بل اللازم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العمل واجباً عینیاً تعیینیاً </w:t>
      </w:r>
      <w:r>
        <w:rPr>
          <w:rStyle w:val="FootnoteAnchor"/>
          <w:rtl w:val="true"/>
        </w:rPr>
        <w:footnoteReference w:id="735"/>
      </w:r>
      <w:r>
        <w:rPr>
          <w:rFonts w:ascii="IRNazanin" w:hAnsi="IRNazanin" w:eastAsia="IRNazanin"/>
          <w:color w:val="111111"/>
          <w:sz w:val="28"/>
          <w:sz w:val="28"/>
          <w:szCs w:val="28"/>
          <w:rtl w:val="true"/>
          <w:lang w:bidi="fa-IR"/>
        </w:rPr>
        <w:t xml:space="preserve">لم یجز أخذ الأُجرة؛لأنّ أخذ </w:t>
      </w:r>
      <w:r>
        <w:rPr>
          <w:rStyle w:val="FootnoteAnchor"/>
          <w:rtl w:val="true"/>
        </w:rPr>
        <w:footnoteReference w:id="736"/>
      </w:r>
      <w:r>
        <w:rPr>
          <w:rFonts w:ascii="IRNazanin" w:hAnsi="IRNazanin" w:eastAsia="IRNazanin"/>
          <w:color w:val="111111"/>
          <w:sz w:val="28"/>
          <w:sz w:val="28"/>
          <w:szCs w:val="28"/>
          <w:rtl w:val="true"/>
          <w:lang w:bidi="fa-IR"/>
        </w:rPr>
        <w:t>الأُجرة علیه مع کونه واجباً مقهوراً من قبل الشارع علی فعله، أکل للمال بالباطل؛لأنّ عمله هذا لا یکون محترماً؛لأنّ استیفاءه منه لا یتوقّف علی طیب نفسه؛لأنّه یقهر علیه مع عدم طیب النفس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أنّ المولی أمر بعض عبیده بفعل لغرض،و کان ممّا یرجع نفعه أو بعض نفعه إلی غیره،فأخذ العبد العوض من ذلک الغیر علی ذلک العمل عُدّ أکلاً للمال مجّاناً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ینافی ما ذکرنا حکم الشارع بجواز أخذ الأُجرة علی العمل بعد إیقاعه،کما أجاز للوصی أخذ أُجرة المثل أو مقدار الکفایة؛ لأنّ هذا حکم شرعیّ،لا من باب المعاوضة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فرق فیما ذکرناه بین التعبّدی من الواجب و التوصّلی،مضافاً فی التعبدی إلی ما تقدّم من منافاة أخذ الأُجرة علی العمل للإخلاص، کما نبّهنا علیه سابقاً،و تقدّم عن الفخر رحمه اللّه </w:t>
      </w:r>
      <w:r>
        <w:rPr>
          <w:rStyle w:val="FootnoteAnchor"/>
          <w:rtl w:val="true"/>
        </w:rPr>
        <w:footnoteReference w:id="737"/>
      </w:r>
      <w:r>
        <w:rPr>
          <w:rFonts w:ascii="IRNazanin" w:hAnsi="IRNazanin" w:eastAsia="IRNazanin"/>
          <w:color w:val="111111"/>
          <w:sz w:val="28"/>
          <w:sz w:val="28"/>
          <w:szCs w:val="28"/>
          <w:rtl w:val="true"/>
          <w:lang w:bidi="fa-IR"/>
        </w:rPr>
        <w:t>و قرّره علیه بعض من</w:t>
      </w:r>
    </w:p>
    <w:p>
      <w:pPr>
        <w:pStyle w:val="BookText"/>
        <w:rPr/>
      </w:pPr>
      <w:r>
        <w:rPr>
          <w:rFonts w:ascii="Amiri" w:hAnsi="Amiri" w:eastAsia="Amiri" w:cs="Amiri"/>
          <w:color w:val="111111"/>
          <w:sz w:val="28"/>
          <w:sz w:val="28"/>
          <w:szCs w:val="28"/>
          <w:rtl w:val="true"/>
          <w:lang w:bidi="ar-SA"/>
        </w:rPr>
        <w:t xml:space="preserve">تأخّر عنه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عدم جواز أخذ الأُجرة علی المندوب إذا کان عبادة یعتبر فیها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 التخییری،فإن کان توصّلیاً فلا أجد مانعاً عن جواز أخذ الأُجرة علی أحد فردیه بالخصوص بعد فرض کونه مشتملاً علی نفع محلّل للمستأجر،و المفروض أنّه محترم لا یقهر المکلّف علیه، فجاز أخذ الأُجرة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تعیّن دفن المیت علی شخص،و تردّد الأمر بین حفر أحد موضعین،فاختار الولیّ أحدهما بالخصوص لصلابته أو لغرض آخر، فاستأجر ذلک لحفر ذلک الموضع بالخصوص،لم یمنع من ذلک کون مطلق الحفر واجباً علیه،مقدّمة للدفن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تعبّدیاً،فإن قلنا بکفایة الإخلاص بالقدر المشترک و إن کان إیجاد خصوص بعض الأفراد لداعٍ غیر الإخلاص،فهو کالتوصّلی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اتّحاد وجود القدر المشترک مع الخصوصیة مانع عن التفکیک بینهما فی القصد،کان حکمه کالتعیینی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الکفائی،فإن کان توصّلیاً أمکن أخذ الأُجرة علی إتیانه لأجل باذل الأُجرة،فهو العامل فی الحقیقة،و إن کان تعبّدیاً لم یجز الامتثال به و أخذ الأُجرة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نعم،یجوز النیابة إن کان ممّا یقبل النیابة،لکنّه یخرج عن محلّ الکلام؛لأنّ محلّ الکلام أخذ الأُجرة علی ما هو واجب علی الأجیر،</w:t>
      </w:r>
      <w:bookmarkStart w:id="103" w:name="pg19674_191634"/>
    </w:p>
    <w:p>
      <w:pPr>
        <w:pStyle w:val="BookText"/>
        <w:rPr/>
      </w:pPr>
      <w:bookmarkEnd w:id="103"/>
      <w:r>
        <w:rPr>
          <w:rFonts w:ascii="IRNazanin" w:hAnsi="IRNazanin" w:eastAsia="IRNazanin"/>
          <w:color w:val="111111"/>
          <w:sz w:val="28"/>
          <w:sz w:val="28"/>
          <w:szCs w:val="28"/>
          <w:rtl w:val="true"/>
          <w:lang w:bidi="fa-IR"/>
        </w:rPr>
        <w:t>لا علی النیابة فیما هو واجب علی المستأجر،فافهم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یفهم من أدلّة وجوب الشیء کفایة کونه حقّا لمخلوق یستحقّه علی المکلّفین،فکلّ من أقدم علیه فقد أدّی حقّ ذلک المخلوق، فلا یجوز له أخذ الأُجرة منه و لا من غیره ممّن وجب علیه أیضاً کفایة،و لعلّ من هذا القبیل تجهیز المیّت و إنقاذ الغریق،بل و معالجة الطبیب لدفع الهلاک</w:t>
      </w:r>
      <w:r>
        <w:rPr>
          <w:rFonts w:eastAsia="IRNazanin" w:cs="IRNazanin"/>
          <w:color w:val="111111"/>
          <w:sz w:val="28"/>
          <w:szCs w:val="28"/>
          <w:rtl w:val="true"/>
          <w:lang w:bidi="fa-IR"/>
        </w:rPr>
        <w:t>.</w:t>
      </w:r>
    </w:p>
    <w:p>
      <w:pPr>
        <w:pStyle w:val="Heading5"/>
        <w:numPr>
          <w:ilvl w:val="4"/>
          <w:numId w:val="1"/>
        </w:numPr>
        <w:rPr/>
      </w:pPr>
      <w:bookmarkStart w:id="104" w:name="__RefHeading___Toc5027726_2314609296"/>
      <w:bookmarkStart w:id="105" w:name="_Toc39"/>
      <w:bookmarkEnd w:id="104"/>
      <w:r>
        <w:rPr>
          <w:rtl w:val="true"/>
        </w:rPr>
        <w:t>[</w:t>
      </w:r>
      <w:r>
        <w:rPr>
          <w:rtl w:val="true"/>
        </w:rPr>
        <w:t>الإشکال علی أخذ الأجرة علی الصناعات التی یتوقف علیها النظام</w:t>
      </w:r>
      <w:r>
        <w:rPr>
          <w:rtl w:val="true"/>
        </w:rPr>
        <w:t>]</w:t>
      </w:r>
      <w:bookmarkEnd w:id="105"/>
    </w:p>
    <w:p>
      <w:pPr>
        <w:pStyle w:val="Heading6"/>
        <w:numPr>
          <w:ilvl w:val="5"/>
          <w:numId w:val="1"/>
        </w:numPr>
        <w:rPr/>
      </w:pPr>
      <w:bookmarkStart w:id="106" w:name="__RefHeading___Toc5027728_2314609296"/>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ثمّ إنّ هنا إشکالاً مشهوراً،و هو أنّ الصناعات التی یتوقّف النظام علیها تجب کفایة؛لوجوب إقامة النظام،بل قد یتعیّن بعضها علی بعض المکلّفین عند انحصار المکلف القادر فیه،مع أنّ جواز أخذ الأُجرة علیها ممّا لا کلام لهم فیه،و کذا یلزم أن یحرم علی الطبیب أخذ الأُجرة علی الطبابة؛لوجوبها علیه کفایة،أو عیناً کالفقاهة</w:t>
      </w:r>
      <w:r>
        <w:rPr>
          <w:rFonts w:eastAsia="IRNazanin" w:cs="IRNazanin"/>
          <w:color w:val="111111"/>
          <w:sz w:val="28"/>
          <w:szCs w:val="28"/>
          <w:rtl w:val="true"/>
          <w:lang w:bidi="fa-IR"/>
        </w:rPr>
        <w:t>.</w:t>
      </w:r>
    </w:p>
    <w:p>
      <w:pPr>
        <w:pStyle w:val="Heading6"/>
        <w:numPr>
          <w:ilvl w:val="5"/>
          <w:numId w:val="1"/>
        </w:numPr>
        <w:rPr/>
      </w:pPr>
      <w:bookmarkStart w:id="108" w:name="__RefHeading___Toc5027730_2314609296"/>
      <w:bookmarkStart w:id="109" w:name="_Toc41"/>
      <w:bookmarkEnd w:id="108"/>
      <w:r>
        <w:rPr>
          <w:rtl w:val="true"/>
        </w:rPr>
        <w:t>و قد تُفُصّی منه</w:t>
      </w:r>
      <w:bookmarkEnd w:id="109"/>
    </w:p>
    <w:p>
      <w:pPr>
        <w:pStyle w:val="BookText"/>
        <w:rPr/>
      </w:pPr>
      <w:r>
        <w:rPr>
          <w:rFonts w:ascii="Amiri" w:hAnsi="Amiri" w:eastAsia="Amiri" w:cs="Amiri"/>
          <w:color w:val="111111"/>
          <w:sz w:val="28"/>
          <w:sz w:val="28"/>
          <w:szCs w:val="28"/>
          <w:rtl w:val="true"/>
          <w:lang w:bidi="ar-SA"/>
        </w:rPr>
        <w:t xml:space="preserve">و قد تُفُصّی منه </w:t>
      </w:r>
      <w:r>
        <w:rPr>
          <w:rStyle w:val="FootnoteAnchor"/>
          <w:rtl w:val="true"/>
        </w:rPr>
        <w:footnoteReference w:id="739"/>
      </w:r>
      <w:r>
        <w:rPr>
          <w:rFonts w:ascii="IRNazanin" w:hAnsi="IRNazanin" w:eastAsia="IRNazanin"/>
          <w:color w:val="111111"/>
          <w:sz w:val="28"/>
          <w:sz w:val="28"/>
          <w:szCs w:val="28"/>
          <w:rtl w:val="true"/>
          <w:lang w:bidi="fa-IR"/>
        </w:rPr>
        <w:t>بوجوه</w:t>
      </w:r>
    </w:p>
    <w:p>
      <w:pPr>
        <w:pStyle w:val="BookText"/>
        <w:rPr/>
      </w:pP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5027732_2314609296"/>
      <w:bookmarkStart w:id="111" w:name="_Toc42"/>
      <w:bookmarkEnd w:id="110"/>
      <w:r>
        <w:rPr>
          <w:rtl w:val="true"/>
        </w:rPr>
        <w:t>أحدها</w:t>
      </w:r>
      <w:r>
        <w:rPr>
          <w:rtl w:val="true"/>
        </w:rPr>
        <w:t>-</w:t>
      </w:r>
      <w:r>
        <w:rPr>
          <w:rtl w:val="true"/>
        </w:rPr>
        <w:t>الالتزام بخروج ذلک</w:t>
      </w:r>
      <w:bookmarkEnd w:id="111"/>
    </w:p>
    <w:p>
      <w:pPr>
        <w:pStyle w:val="BookText"/>
        <w:rPr/>
      </w:pPr>
      <w:r>
        <w:rPr>
          <w:rFonts w:ascii="IRNazanin" w:hAnsi="IRNazanin" w:eastAsia="IRNazanin"/>
          <w:color w:val="111111"/>
          <w:sz w:val="28"/>
          <w:sz w:val="28"/>
          <w:szCs w:val="28"/>
          <w:rtl w:val="true"/>
          <w:lang w:bidi="fa-IR"/>
        </w:rPr>
        <w:t>بالإجماع و السیرة القطعیّین</w:t>
      </w:r>
      <w:r>
        <w:rPr>
          <w:rFonts w:eastAsia="IRNazanin" w:cs="IRNazanin"/>
          <w:color w:val="111111"/>
          <w:sz w:val="28"/>
          <w:szCs w:val="28"/>
          <w:rtl w:val="true"/>
          <w:lang w:bidi="fa-IR"/>
        </w:rPr>
        <w:t>.</w:t>
      </w:r>
    </w:p>
    <w:p>
      <w:pPr>
        <w:pStyle w:val="Heading6"/>
        <w:numPr>
          <w:ilvl w:val="5"/>
          <w:numId w:val="1"/>
        </w:numPr>
        <w:rPr/>
      </w:pPr>
      <w:bookmarkStart w:id="112" w:name="__RefHeading___Toc5027734_2314609296"/>
      <w:bookmarkStart w:id="113" w:name="_Toc43"/>
      <w:bookmarkEnd w:id="112"/>
      <w:r>
        <w:rPr>
          <w:rtl w:val="true"/>
        </w:rPr>
        <w:t>الثانی</w:t>
      </w:r>
      <w:r>
        <w:rPr>
          <w:rtl w:val="true"/>
        </w:rPr>
        <w:t>-</w:t>
      </w:r>
      <w:r>
        <w:rPr>
          <w:rtl w:val="true"/>
        </w:rPr>
        <w:t>الالتزام بجواز</w:t>
      </w:r>
      <w:bookmarkEnd w:id="11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الالتزام بجواز </w:t>
      </w:r>
      <w:r>
        <w:rPr>
          <w:rStyle w:val="FootnoteAnchor"/>
          <w:rtl w:val="true"/>
        </w:rPr>
        <w:footnoteReference w:id="741"/>
      </w:r>
      <w:r>
        <w:rPr>
          <w:rFonts w:ascii="IRNazanin" w:hAnsi="IRNazanin" w:eastAsia="IRNazanin"/>
          <w:color w:val="111111"/>
          <w:sz w:val="28"/>
          <w:sz w:val="28"/>
          <w:szCs w:val="28"/>
          <w:rtl w:val="true"/>
          <w:lang w:bidi="fa-IR"/>
        </w:rPr>
        <w:t>أخذ الأُجرة علی الواجبات إذا لم تکن تعبّدیة،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حکاه فی المصابیح عن جماعة </w:t>
      </w:r>
      <w:r>
        <w:rPr>
          <w:rStyle w:val="FootnoteAnchor"/>
          <w:rtl w:val="true"/>
        </w:rPr>
        <w:footnoteReference w:id="742"/>
      </w:r>
      <w:r>
        <w:rPr>
          <w:rFonts w:ascii="IRNazanin" w:hAnsi="IRNazanin" w:eastAsia="IRNazanin"/>
          <w:color w:val="111111"/>
          <w:sz w:val="28"/>
          <w:sz w:val="28"/>
          <w:szCs w:val="28"/>
          <w:rtl w:val="true"/>
          <w:lang w:bidi="fa-IR"/>
        </w:rPr>
        <w:t xml:space="preserve">،و هو ظاهر کلّ من جوّز أخذ الأُجرة علی القضاء بقول مطلق یشمل </w:t>
      </w:r>
      <w:r>
        <w:rPr>
          <w:rStyle w:val="FootnoteAnchor"/>
          <w:rtl w:val="true"/>
        </w:rPr>
        <w:footnoteReference w:id="743"/>
      </w:r>
      <w:r>
        <w:rPr>
          <w:rFonts w:ascii="IRNazanin" w:hAnsi="IRNazanin" w:eastAsia="IRNazanin"/>
          <w:color w:val="111111"/>
          <w:sz w:val="28"/>
          <w:sz w:val="28"/>
          <w:szCs w:val="28"/>
          <w:rtl w:val="true"/>
          <w:lang w:bidi="fa-IR"/>
        </w:rPr>
        <w:t>صورة تعیّنه علیه،</w:t>
      </w:r>
      <w:bookmarkStart w:id="114" w:name="pg19674_191635"/>
    </w:p>
    <w:p>
      <w:pPr>
        <w:pStyle w:val="BookText"/>
        <w:rPr/>
      </w:pPr>
      <w:bookmarkEnd w:id="114"/>
      <w:r>
        <w:rPr>
          <w:rFonts w:ascii="IRNazanin" w:hAnsi="IRNazanin" w:eastAsia="IRNazanin"/>
          <w:color w:val="111111"/>
          <w:sz w:val="28"/>
          <w:sz w:val="28"/>
          <w:szCs w:val="28"/>
          <w:rtl w:val="true"/>
          <w:lang w:bidi="fa-IR"/>
        </w:rPr>
        <w:t xml:space="preserve">کما تقدم حکایته فی الشرائع و المختلف عن بعض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سابقاً </w:t>
      </w:r>
      <w:r>
        <w:rPr>
          <w:rStyle w:val="FootnoteAnchor"/>
          <w:rtl w:val="true"/>
        </w:rPr>
        <w:footnoteReference w:id="745"/>
      </w:r>
      <w:r>
        <w:rPr>
          <w:rFonts w:ascii="IRNazanin" w:hAnsi="IRNazanin" w:eastAsia="IRNazanin"/>
          <w:color w:val="111111"/>
          <w:sz w:val="28"/>
          <w:sz w:val="28"/>
          <w:szCs w:val="28"/>
          <w:rtl w:val="true"/>
          <w:lang w:bidi="fa-IR"/>
        </w:rPr>
        <w:t>من أنّ الأقوی عدم جواز أخذ الأُجرة علیه</w:t>
      </w:r>
      <w:r>
        <w:rPr>
          <w:rFonts w:eastAsia="IRNazanin" w:cs="IRNazanin"/>
          <w:color w:val="111111"/>
          <w:sz w:val="28"/>
          <w:szCs w:val="28"/>
          <w:rtl w:val="true"/>
          <w:lang w:bidi="fa-IR"/>
        </w:rPr>
        <w:t>.</w:t>
      </w:r>
    </w:p>
    <w:p>
      <w:pPr>
        <w:pStyle w:val="Heading6"/>
        <w:numPr>
          <w:ilvl w:val="5"/>
          <w:numId w:val="1"/>
        </w:numPr>
        <w:rPr/>
      </w:pPr>
      <w:bookmarkStart w:id="115" w:name="__RefHeading___Toc5027736_2314609296"/>
      <w:bookmarkStart w:id="116" w:name="_Toc44"/>
      <w:bookmarkEnd w:id="115"/>
      <w:r>
        <w:rPr>
          <w:rtl w:val="true"/>
        </w:rPr>
        <w:t>الثالث</w:t>
      </w:r>
      <w:r>
        <w:rPr>
          <w:rtl w:val="true"/>
        </w:rPr>
        <w:t>-</w:t>
      </w:r>
      <w:r>
        <w:rPr>
          <w:rtl w:val="true"/>
        </w:rPr>
        <w:t>ما عن المحقق الثانی من اختصاص جواز الأخذ بصورة قیام من به الکفایة،</w:t>
      </w:r>
      <w:bookmarkEnd w:id="116"/>
    </w:p>
    <w:p>
      <w:pPr>
        <w:pStyle w:val="BookText"/>
        <w:rPr/>
      </w:pPr>
      <w:r>
        <w:rPr>
          <w:rFonts w:ascii="Amiri" w:hAnsi="Amiri" w:eastAsia="Amiri" w:cs="Amiri"/>
          <w:color w:val="111111"/>
          <w:sz w:val="28"/>
          <w:sz w:val="28"/>
          <w:szCs w:val="28"/>
          <w:rtl w:val="true"/>
          <w:lang w:bidi="ar-SA"/>
        </w:rPr>
        <w:t xml:space="preserve">فلا یکون حینئذٍ واجباً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العمل و الفتوی جواز الأخذ و لو مع بقاء الوجوب الکفائی،بل و مع </w:t>
      </w:r>
      <w:r>
        <w:rPr>
          <w:rStyle w:val="FootnoteAnchor"/>
          <w:rtl w:val="true"/>
        </w:rPr>
        <w:footnoteReference w:id="747"/>
      </w:r>
      <w:r>
        <w:rPr>
          <w:rFonts w:ascii="IRNazanin" w:hAnsi="IRNazanin" w:eastAsia="IRNazanin"/>
          <w:color w:val="111111"/>
          <w:sz w:val="28"/>
          <w:sz w:val="28"/>
          <w:szCs w:val="28"/>
          <w:rtl w:val="true"/>
          <w:lang w:bidi="fa-IR"/>
        </w:rPr>
        <w:t>وجوبه عیناً للانحصار</w:t>
      </w:r>
      <w:r>
        <w:rPr>
          <w:rFonts w:eastAsia="IRNazanin" w:cs="IRNazanin"/>
          <w:color w:val="111111"/>
          <w:sz w:val="28"/>
          <w:szCs w:val="28"/>
          <w:rtl w:val="true"/>
          <w:lang w:bidi="fa-IR"/>
        </w:rPr>
        <w:t>.</w:t>
      </w:r>
    </w:p>
    <w:p>
      <w:pPr>
        <w:pStyle w:val="Heading6"/>
        <w:numPr>
          <w:ilvl w:val="5"/>
          <w:numId w:val="1"/>
        </w:numPr>
        <w:rPr/>
      </w:pPr>
      <w:bookmarkStart w:id="117" w:name="__RefHeading___Toc5027738_2314609296"/>
      <w:bookmarkStart w:id="118" w:name="_Toc45"/>
      <w:bookmarkEnd w:id="117"/>
      <w:r>
        <w:rPr>
          <w:rtl w:val="true"/>
        </w:rPr>
        <w:t>الرابع</w:t>
      </w:r>
      <w:r>
        <w:rPr>
          <w:rtl w:val="true"/>
        </w:rPr>
        <w:t>-</w:t>
      </w:r>
      <w:r>
        <w:rPr>
          <w:rtl w:val="true"/>
        </w:rPr>
        <w:t>ما فی مفتاح الکرامة من أنّ المنع مختصّ بالواجبات الکفائیة المقصودة لذاتها،</w:t>
      </w:r>
      <w:bookmarkEnd w:id="118"/>
    </w:p>
    <w:p>
      <w:pPr>
        <w:pStyle w:val="BookText"/>
        <w:rPr/>
      </w:pPr>
      <w:r>
        <w:rPr>
          <w:rFonts w:ascii="IRNazanin" w:hAnsi="IRNazanin" w:eastAsia="IRNazanin"/>
          <w:color w:val="111111"/>
          <w:sz w:val="28"/>
          <w:sz w:val="28"/>
          <w:szCs w:val="28"/>
          <w:rtl w:val="true"/>
          <w:lang w:bidi="fa-IR"/>
        </w:rPr>
        <w:t xml:space="preserve">کأحکام الموتی و تعلیم الفقه،دون ما یجب لغیره کالصنائع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التخصیص إن کان لاختصاص معاقد إجماعاتهم أو عنوانات کلامهم،فهو خلاف الموجود منها،و إن کان لدلیل </w:t>
      </w:r>
      <w:r>
        <w:rPr>
          <w:rStyle w:val="FootnoteAnchor"/>
          <w:rtl w:val="true"/>
        </w:rPr>
        <w:footnoteReference w:id="749"/>
      </w:r>
      <w:r>
        <w:rPr>
          <w:rFonts w:ascii="IRNazanin" w:hAnsi="IRNazanin" w:eastAsia="IRNazanin"/>
          <w:color w:val="111111"/>
          <w:sz w:val="28"/>
          <w:sz w:val="28"/>
          <w:szCs w:val="28"/>
          <w:rtl w:val="true"/>
          <w:lang w:bidi="fa-IR"/>
        </w:rPr>
        <w:t>یقتضی الفرق فلا بدّ من بیانه</w:t>
      </w:r>
      <w:r>
        <w:rPr>
          <w:rFonts w:eastAsia="IRNazanin" w:cs="IRNazanin"/>
          <w:color w:val="111111"/>
          <w:sz w:val="28"/>
          <w:szCs w:val="28"/>
          <w:rtl w:val="true"/>
          <w:lang w:bidi="fa-IR"/>
        </w:rPr>
        <w:t>.</w:t>
      </w:r>
    </w:p>
    <w:p>
      <w:pPr>
        <w:pStyle w:val="Heading6"/>
        <w:numPr>
          <w:ilvl w:val="5"/>
          <w:numId w:val="1"/>
        </w:numPr>
        <w:rPr/>
      </w:pPr>
      <w:bookmarkStart w:id="119" w:name="__RefHeading___Toc5027740_2314609296"/>
      <w:bookmarkStart w:id="120" w:name="_Toc46"/>
      <w:bookmarkEnd w:id="119"/>
      <w:r>
        <w:rPr>
          <w:rtl w:val="true"/>
        </w:rPr>
        <w:t>الخامس</w:t>
      </w:r>
      <w:r>
        <w:rPr>
          <w:rtl w:val="true"/>
        </w:rPr>
        <w:t>-</w:t>
      </w:r>
      <w:r>
        <w:rPr>
          <w:rtl w:val="true"/>
        </w:rPr>
        <w:t>أنّ المنع عن أخذ الأُجرة علی الصناعات الواجبة لإقامة النظام یوجب اختلال النظام؛</w:t>
      </w:r>
      <w:bookmarkEnd w:id="1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لوقوع أکثر الناس فی المعصیة</w:t>
      </w:r>
      <w:bookmarkStart w:id="121" w:name="pg19674_191636"/>
    </w:p>
    <w:p>
      <w:pPr>
        <w:pStyle w:val="BookText"/>
        <w:rPr/>
      </w:pPr>
      <w:bookmarkEnd w:id="121"/>
      <w:r>
        <w:rPr>
          <w:rFonts w:ascii="IRNazanin" w:hAnsi="IRNazanin" w:eastAsia="IRNazanin"/>
          <w:color w:val="111111"/>
          <w:sz w:val="28"/>
          <w:sz w:val="28"/>
          <w:szCs w:val="28"/>
          <w:rtl w:val="true"/>
          <w:lang w:bidi="fa-IR"/>
        </w:rPr>
        <w:t>بترکها أو ترک الشاقّ منها و الالتزام بالأسهل؛فإنّهم لا یرغبون فی الصناعات الشاقّة أو الدقیقة إلّا طمعاً فی الأُجرة و زیادتها علی ما یبذل لغیرها من الصناعات،فتسویغ أخذ الأُجرة علیها لطف فی التکلیف بإقامة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المشاهَد بالوجدان أنّ اختیار الناس للصنائع الشاقّة و تحمّلها ناشٍ عن الدواعی الأُخر غیر زیادة الأُجرة،مثل عدم قابلیته لغیر ما یختار،أو عدم میله إلیه،أو عدم کونه شاقّاً علیه؛لکونه ممّن نشأ فی تحمّل المشقّة،أ لا تری أنّ أغلب الصنائع الشاقّة من الکفائیات کالفلاحة و الحرث و الحصاد و شبه ذلک لا تزید أُجرتها علی الأعمال السهلة؟</w:t>
      </w:r>
    </w:p>
    <w:p>
      <w:pPr>
        <w:pStyle w:val="Heading6"/>
        <w:numPr>
          <w:ilvl w:val="5"/>
          <w:numId w:val="1"/>
        </w:numPr>
        <w:rPr/>
      </w:pPr>
      <w:bookmarkStart w:id="122" w:name="__RefHeading___Toc5027742_2314609296"/>
      <w:bookmarkStart w:id="123" w:name="_Toc47"/>
      <w:bookmarkEnd w:id="122"/>
      <w:r>
        <w:rPr>
          <w:rtl w:val="true"/>
        </w:rPr>
        <w:t>السادس</w:t>
      </w:r>
      <w:r>
        <w:rPr>
          <w:rtl w:val="true"/>
        </w:rPr>
        <w:t>-</w:t>
      </w:r>
      <w:r>
        <w:rPr>
          <w:rtl w:val="true"/>
        </w:rPr>
        <w:t>أنّ الوجوب فی هذه الأُمور مشروط بالعوض</w:t>
      </w:r>
      <w:r>
        <w:rPr>
          <w:rtl w:val="true"/>
        </w:rPr>
        <w:t>.</w:t>
      </w:r>
      <w:bookmarkEnd w:id="1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ما یدلّ علی المنع عن أخذ الأُجرة علی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کان واجباً مشروطاً فلیس بواجب قبل حصول الشرط،فتعلّق الإجارة به قبله لا مانع منه و لو کانت هی الشرط فی وجوبه،فکلّ ما وجب کفایة من حِرَفٍ و صناعاتٍ لم تجب إلّا بشرط العوض بإجارة أو جعالة أو نحوهما،فلا فرق بین وجوبها العینی؛للانحصار،و وجوبها الکفائی؛لتأخّر </w:t>
      </w:r>
      <w:r>
        <w:rPr>
          <w:rStyle w:val="FootnoteAnchor"/>
          <w:rtl w:val="true"/>
        </w:rPr>
        <w:footnoteReference w:id="750"/>
      </w:r>
      <w:r>
        <w:rPr>
          <w:rFonts w:ascii="IRNazanin" w:hAnsi="IRNazanin" w:eastAsia="IRNazanin"/>
          <w:color w:val="111111"/>
          <w:sz w:val="28"/>
          <w:sz w:val="28"/>
          <w:szCs w:val="28"/>
          <w:rtl w:val="true"/>
          <w:lang w:bidi="fa-IR"/>
        </w:rPr>
        <w:t xml:space="preserve">الوجوب عنها و عدمه قبلها،کما أنّ بذل الطعام و الشراب للمضطرّ إن بقی علی الکفایة أو تعیّن یستحقّ </w:t>
      </w:r>
      <w:r>
        <w:rPr>
          <w:rStyle w:val="FootnoteAnchor"/>
          <w:rtl w:val="true"/>
        </w:rPr>
        <w:footnoteReference w:id="751"/>
      </w:r>
      <w:r>
        <w:rPr>
          <w:rFonts w:ascii="IRNazanin" w:hAnsi="IRNazanin" w:eastAsia="IRNazanin"/>
          <w:color w:val="111111"/>
          <w:sz w:val="28"/>
          <w:sz w:val="28"/>
          <w:szCs w:val="28"/>
          <w:rtl w:val="true"/>
          <w:lang w:bidi="fa-IR"/>
        </w:rPr>
        <w:t>فیه أخذ العوض علی الأصحّ؛لأنّ وجوبه مشروط،بخلاف</w:t>
      </w:r>
      <w:bookmarkStart w:id="124" w:name="pg19674_191637"/>
    </w:p>
    <w:p>
      <w:pPr>
        <w:pStyle w:val="BookText"/>
        <w:rPr/>
      </w:pPr>
      <w:bookmarkEnd w:id="124"/>
      <w:r>
        <w:rPr>
          <w:rFonts w:ascii="IRNazanin" w:hAnsi="IRNazanin" w:eastAsia="IRNazanin"/>
          <w:color w:val="111111"/>
          <w:sz w:val="28"/>
          <w:sz w:val="28"/>
          <w:szCs w:val="28"/>
          <w:rtl w:val="true"/>
          <w:lang w:bidi="fa-IR"/>
        </w:rPr>
        <w:t xml:space="preserve">ما وجب مطلقاً بالأصالة کالنفقات،أو بالعارض کالمنذور و نحوه </w:t>
      </w:r>
      <w:r>
        <w:rPr>
          <w:rStyle w:val="FootnoteAnchor"/>
          <w:rtl w:val="true"/>
        </w:rPr>
        <w:footnoteReference w:id="752"/>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الصناعات لیس مشروطاً ببذل العوض؛لأنّه لإقامة النظام التی هی من الواجبات المطلقة؛فإنّ الطبابة و الفصد و الحجامة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یتوقف علیه بقاء الحیاة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واجبة،بُذل له العوض أم لم یبذل</w:t>
      </w:r>
      <w:r>
        <w:rPr>
          <w:rFonts w:eastAsia="IRNazanin" w:cs="IRNazanin"/>
          <w:color w:val="111111"/>
          <w:sz w:val="28"/>
          <w:szCs w:val="28"/>
          <w:rtl w:val="true"/>
          <w:lang w:bidi="fa-IR"/>
        </w:rPr>
        <w:t>.</w:t>
      </w:r>
    </w:p>
    <w:p>
      <w:pPr>
        <w:pStyle w:val="Heading6"/>
        <w:numPr>
          <w:ilvl w:val="5"/>
          <w:numId w:val="1"/>
        </w:numPr>
        <w:rPr/>
      </w:pPr>
      <w:bookmarkStart w:id="125" w:name="__RefHeading___Toc5027744_2314609296"/>
      <w:bookmarkStart w:id="126" w:name="_Toc48"/>
      <w:bookmarkEnd w:id="125"/>
      <w:r>
        <w:rPr>
          <w:rtl w:val="true"/>
        </w:rPr>
        <w:t>السابع</w:t>
      </w:r>
      <w:r>
        <w:rPr>
          <w:rtl w:val="true"/>
        </w:rPr>
        <w:t>-</w:t>
      </w:r>
      <w:r>
        <w:rPr>
          <w:rtl w:val="true"/>
        </w:rPr>
        <w:t>أنّ وجوب الصناعات المذکورة لم یثبت من حیث ذاتها،</w:t>
      </w:r>
      <w:bookmarkEnd w:id="126"/>
    </w:p>
    <w:p>
      <w:pPr>
        <w:pStyle w:val="BookText"/>
        <w:rPr/>
      </w:pPr>
      <w:r>
        <w:rPr>
          <w:rFonts w:ascii="IRNazanin" w:hAnsi="IRNazanin" w:eastAsia="IRNazanin"/>
          <w:color w:val="111111"/>
          <w:sz w:val="28"/>
          <w:sz w:val="28"/>
          <w:szCs w:val="28"/>
          <w:rtl w:val="true"/>
          <w:lang w:bidi="fa-IR"/>
        </w:rPr>
        <w:t xml:space="preserve">و إنّما ثبت من حیث الأمر بإقامة النظام،و إقامة النظام غیر متوقّفة علی العمل تبرّعاً،بل تحصل به و بالعمل بالأُجرة،فالذی یجب علی الطبیب لأجل إحیاء النفس و إقامة النظام هو بذل نفسه للعمل،لا بشرط التبرّع به،بل له أن یتبرّع به،و له </w:t>
      </w:r>
      <w:r>
        <w:rPr>
          <w:rStyle w:val="FootnoteAnchor"/>
          <w:rtl w:val="true"/>
        </w:rPr>
        <w:footnoteReference w:id="753"/>
      </w:r>
      <w:r>
        <w:rPr>
          <w:rFonts w:ascii="IRNazanin" w:hAnsi="IRNazanin" w:eastAsia="IRNazanin"/>
          <w:color w:val="111111"/>
          <w:sz w:val="28"/>
          <w:sz w:val="28"/>
          <w:szCs w:val="28"/>
          <w:rtl w:val="true"/>
          <w:lang w:bidi="fa-IR"/>
        </w:rPr>
        <w:t xml:space="preserve">أن یطلب الأُجرة،و حینئذٍ فإن بذل المریض الأُجرة وجب علیه العلاج،و إن لم یبذل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أداء ترک العلاج إلی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أجبره الحاکم حسبة علی بذل الأُجرة للطبیب،و إن کان المریض مغمیً علیه دفع عنه ولیّه،و إلّا جاز للطبیب العمل بقصد الأُجرة فیستحقّ الأُجرة فی ماله،و إن لم یکن له مال ففی ذمّته،فیؤدّی فی حیاته أو بعد مماته من الزکاة أو غیرها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بالجملة،فما کان من الواجبات الکفائیة ثبت من دلیله وجوب نفس ذلک العنوان،فلا یجوز أخذ الأُجرة علیه؛بناء علی المشهور، و أمّا ما أُمر به من باب إقامة النظام،فأقامه النظام تحصل ببذل النفس</w:t>
      </w:r>
    </w:p>
    <w:p>
      <w:pPr>
        <w:pStyle w:val="BookText"/>
        <w:rPr/>
      </w:pPr>
      <w:r>
        <w:rPr>
          <w:rFonts w:ascii="IRNazanin" w:hAnsi="IRNazanin" w:eastAsia="IRNazanin"/>
          <w:color w:val="111111"/>
          <w:sz w:val="28"/>
          <w:sz w:val="28"/>
          <w:szCs w:val="28"/>
          <w:rtl w:val="true"/>
          <w:lang w:bidi="fa-IR"/>
        </w:rPr>
        <w:t>للعمل به فی الجملة،و أمّا العمل تبرّعاً فلا،و حینئذٍ فیجوز طلب الأُجرة من المعمول له إذا کان أهلاً للطلب منه،و قصدها إذا لم یکن ممّن یطلب منه،کالغائب الذی یُعْمَل فی ماله عمل لدفع الهلاک عنه، و کالمریض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فرض وجوب إحیاء النفس و وجوب </w:t>
      </w:r>
      <w:r>
        <w:rPr>
          <w:rStyle w:val="FootnoteAnchor"/>
          <w:rtl w:val="true"/>
        </w:rPr>
        <w:footnoteReference w:id="754"/>
      </w:r>
      <w:r>
        <w:rPr>
          <w:rFonts w:ascii="IRNazanin" w:hAnsi="IRNazanin" w:eastAsia="IRNazanin"/>
          <w:color w:val="111111"/>
          <w:sz w:val="28"/>
          <w:sz w:val="28"/>
          <w:szCs w:val="28"/>
          <w:rtl w:val="true"/>
          <w:lang w:bidi="fa-IR"/>
        </w:rPr>
        <w:t xml:space="preserve">العلاج؛ لکونه </w:t>
      </w:r>
      <w:r>
        <w:rPr>
          <w:rStyle w:val="FootnoteAnchor"/>
          <w:rtl w:val="true"/>
        </w:rPr>
        <w:footnoteReference w:id="755"/>
      </w:r>
      <w:r>
        <w:rPr>
          <w:rFonts w:ascii="IRNazanin" w:hAnsi="IRNazanin" w:eastAsia="IRNazanin"/>
          <w:color w:val="111111"/>
          <w:sz w:val="28"/>
          <w:sz w:val="28"/>
          <w:szCs w:val="28"/>
          <w:rtl w:val="true"/>
          <w:lang w:bidi="fa-IR"/>
        </w:rPr>
        <w:t>مقدمة له،فأخذ الأُجرة علیه غیر جائز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علی ما ذکرنا سابقاً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إذا کان عینیاً تعیّنیاً </w:t>
      </w:r>
      <w:r>
        <w:rPr>
          <w:rStyle w:val="FootnoteAnchor"/>
          <w:rtl w:val="true"/>
        </w:rPr>
        <w:footnoteReference w:id="757"/>
      </w:r>
      <w:r>
        <w:rPr>
          <w:rFonts w:ascii="IRNazanin" w:hAnsi="IRNazanin" w:eastAsia="IRNazanin"/>
          <w:color w:val="111111"/>
          <w:sz w:val="28"/>
          <w:sz w:val="28"/>
          <w:szCs w:val="28"/>
          <w:rtl w:val="true"/>
          <w:lang w:bidi="fa-IR"/>
        </w:rPr>
        <w:t xml:space="preserve">لم یجز أخذ الأُجرة علیه و لو کان من الصناعات،فلا یجوز للطبیب أخذ الأُجرة علی بیان الدواء أو تشخیص الداء </w:t>
      </w:r>
      <w:r>
        <w:rPr>
          <w:rStyle w:val="FootnoteAnchor"/>
          <w:rtl w:val="true"/>
        </w:rPr>
        <w:footnoteReference w:id="758"/>
      </w:r>
      <w:r>
        <w:rPr>
          <w:rFonts w:ascii="IRNazanin" w:hAnsi="IRNazanin" w:eastAsia="IRNazanin"/>
          <w:color w:val="111111"/>
          <w:sz w:val="28"/>
          <w:sz w:val="28"/>
          <w:szCs w:val="28"/>
          <w:rtl w:val="true"/>
          <w:lang w:bidi="fa-IR"/>
        </w:rPr>
        <w:t xml:space="preserve">،و أمّا أخذ الوصی الأُجرة علی تولّی أموال الطفل الموصی علیه،الشامل بإطلاقه لصورة تعیّن العمل علیه،فهو من جهة الإجماع و النصوص المستفیضة علی أنّ له أن یأخذ شیئاً </w:t>
      </w:r>
      <w:r>
        <w:rPr>
          <w:rStyle w:val="FootnoteAnchor"/>
          <w:rtl w:val="true"/>
        </w:rPr>
        <w:footnoteReference w:id="759"/>
      </w:r>
      <w:r>
        <w:rPr>
          <w:rFonts w:ascii="IRNazanin" w:hAnsi="IRNazanin" w:eastAsia="IRNazanin"/>
          <w:color w:val="111111"/>
          <w:sz w:val="28"/>
          <w:sz w:val="28"/>
          <w:szCs w:val="28"/>
          <w:rtl w:val="true"/>
          <w:lang w:bidi="fa-IR"/>
        </w:rPr>
        <w:t>،و إنّما وقع الخلاف فی تعیینه،فذهب جماعة</w:t>
      </w:r>
      <w:bookmarkStart w:id="127" w:name="pg19674_191639"/>
    </w:p>
    <w:p>
      <w:pPr>
        <w:pStyle w:val="BookText"/>
        <w:rPr/>
      </w:pPr>
      <w:bookmarkEnd w:id="127"/>
      <w:r>
        <w:rPr>
          <w:rFonts w:ascii="IRNazanin" w:hAnsi="IRNazanin" w:eastAsia="IRNazanin"/>
          <w:color w:val="111111"/>
          <w:sz w:val="28"/>
          <w:sz w:val="28"/>
          <w:szCs w:val="28"/>
          <w:rtl w:val="true"/>
          <w:lang w:bidi="fa-IR"/>
        </w:rPr>
        <w:t xml:space="preserve">إلی أنّ له اجرة المثل </w:t>
      </w:r>
      <w:r>
        <w:rPr>
          <w:rStyle w:val="FootnoteAnchor"/>
          <w:rtl w:val="true"/>
        </w:rPr>
        <w:footnoteReference w:id="760"/>
      </w:r>
      <w:r>
        <w:rPr>
          <w:rFonts w:ascii="IRNazanin" w:hAnsi="IRNazanin" w:eastAsia="IRNazanin"/>
          <w:color w:val="111111"/>
          <w:sz w:val="28"/>
          <w:sz w:val="28"/>
          <w:szCs w:val="28"/>
          <w:rtl w:val="true"/>
          <w:lang w:bidi="fa-IR"/>
        </w:rPr>
        <w:t>حملاً للأخبار علی ذلک؛و لأنه إذا فرض احترام عمله بالنصّ و الإجماع فلا بدّ من کون العوض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بالجملة،فملاحظة النصوص و الفتاوی فی تلک المسألة ترشد إلی خروجها عمّا نحن فیه</w:t>
      </w:r>
      <w:r>
        <w:rPr>
          <w:rFonts w:eastAsia="IRNazanin" w:cs="IRNazanin"/>
          <w:color w:val="111111"/>
          <w:sz w:val="28"/>
          <w:szCs w:val="28"/>
          <w:rtl w:val="true"/>
          <w:lang w:bidi="fa-IR"/>
        </w:rPr>
        <w:t>.</w:t>
      </w:r>
    </w:p>
    <w:p>
      <w:pPr>
        <w:pStyle w:val="Heading5"/>
        <w:numPr>
          <w:ilvl w:val="4"/>
          <w:numId w:val="1"/>
        </w:numPr>
        <w:rPr/>
      </w:pPr>
      <w:bookmarkStart w:id="128" w:name="__RefHeading___Toc5027746_2314609296"/>
      <w:bookmarkStart w:id="129" w:name="_Toc49"/>
      <w:bookmarkEnd w:id="128"/>
      <w:r>
        <w:rPr>
          <w:rtl w:val="true"/>
        </w:rPr>
        <w:t>و أمّا باذل المال للمضطر</w:t>
      </w:r>
      <w:bookmarkEnd w:id="129"/>
    </w:p>
    <w:p>
      <w:pPr>
        <w:pStyle w:val="BookText"/>
        <w:rPr/>
      </w:pPr>
      <w:r>
        <w:rPr>
          <w:rFonts w:ascii="IRNazanin" w:hAnsi="IRNazanin" w:eastAsia="IRNazanin"/>
          <w:color w:val="111111"/>
          <w:sz w:val="28"/>
          <w:sz w:val="28"/>
          <w:szCs w:val="28"/>
          <w:rtl w:val="true"/>
          <w:lang w:bidi="fa-IR"/>
        </w:rPr>
        <w:t>فهو إنّما یرجع بعوض المبذول،لا بأُجرة البذل،فلا یرد نقضاً فی المسألة</w:t>
      </w:r>
      <w:r>
        <w:rPr>
          <w:rFonts w:eastAsia="IRNazanin" w:cs="IRNazanin"/>
          <w:color w:val="111111"/>
          <w:sz w:val="28"/>
          <w:szCs w:val="28"/>
          <w:rtl w:val="true"/>
          <w:lang w:bidi="fa-IR"/>
        </w:rPr>
        <w:t>.</w:t>
      </w:r>
    </w:p>
    <w:p>
      <w:pPr>
        <w:pStyle w:val="Heading5"/>
        <w:numPr>
          <w:ilvl w:val="4"/>
          <w:numId w:val="1"/>
        </w:numPr>
        <w:rPr/>
      </w:pPr>
      <w:bookmarkStart w:id="130" w:name="__RefHeading___Toc5027748_2314609296"/>
      <w:bookmarkStart w:id="131" w:name="_Toc50"/>
      <w:bookmarkEnd w:id="130"/>
      <w:r>
        <w:rPr>
          <w:rtl w:val="true"/>
        </w:rPr>
        <w:t>و أمّا رجوع الاُمّ المرضعة بعوض إرضاع اللّبإ مع وجوبه علیها</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توقّف حیاة الولد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إمّا من قبیل بذل المال للمضطر،و إمّا من قبیل رجوع الوصی بأُجرة المثل من جهة عموم آیة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لَکُمْ فَآتُوهُنَّ أُجُورَهُنَّ </w:t>
      </w:r>
      <w:r>
        <w:rPr>
          <w:rStyle w:val="FootnoteAnchor"/>
          <w:rtl w:val="true"/>
        </w:rPr>
        <w:footnoteReference w:id="762"/>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کفائیاً جاز الاستئجار علیه،فیسقط الواجب بفعل المستأجر علیه،عنه و عن غیره و إن لم یحصل الامتثال</w:t>
      </w:r>
      <w:r>
        <w:rPr>
          <w:rFonts w:eastAsia="IRNazanin" w:cs="IRNazanin"/>
          <w:color w:val="111111"/>
          <w:sz w:val="28"/>
          <w:szCs w:val="28"/>
          <w:rtl w:val="true"/>
          <w:lang w:bidi="fa-IR"/>
        </w:rPr>
        <w:t>.</w:t>
      </w:r>
    </w:p>
    <w:p>
      <w:pPr>
        <w:pStyle w:val="Heading5"/>
        <w:numPr>
          <w:ilvl w:val="4"/>
          <w:numId w:val="1"/>
        </w:numPr>
        <w:rPr/>
      </w:pPr>
      <w:bookmarkStart w:id="132" w:name="__RefHeading___Toc5027750_2314609296"/>
      <w:bookmarkStart w:id="133" w:name="_Toc51"/>
      <w:bookmarkEnd w:id="132"/>
      <w:r>
        <w:rPr>
          <w:rtl w:val="true"/>
        </w:rPr>
        <w:t>و من هذا الباب أخذ الطبیب الأُجرة علی حضوره عند المریض إذا تعیّن علیه علاجه؛</w:t>
      </w:r>
      <w:bookmarkEnd w:id="13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العلاج و إن کان معیّناً علیه،إلّا أنّ الجمع بینه و بین المریض مقدّمة للعلاج واجب کفائی بینه و بین أولیاء المریض، فحضوره أداء للواجب الکفائی کإحضار الأولیاء،إلّا أنّه لا بأس بأخذ الأُجرة علیه</w:t>
      </w:r>
      <w:r>
        <w:rPr>
          <w:rFonts w:eastAsia="IRNazanin" w:cs="IRNazanin"/>
          <w:color w:val="111111"/>
          <w:sz w:val="28"/>
          <w:szCs w:val="28"/>
          <w:rtl w:val="true"/>
          <w:lang w:bidi="fa-IR"/>
        </w:rPr>
        <w:t>.</w:t>
      </w:r>
      <w:bookmarkStart w:id="134" w:name="pg19674_191640"/>
    </w:p>
    <w:p>
      <w:pPr>
        <w:pStyle w:val="Heading5"/>
        <w:numPr>
          <w:ilvl w:val="4"/>
          <w:numId w:val="1"/>
        </w:numPr>
        <w:rPr/>
      </w:pPr>
      <w:bookmarkStart w:id="135" w:name="__RefHeading___Toc5027752_2314609296"/>
      <w:bookmarkStart w:id="136" w:name="_Toc52"/>
      <w:bookmarkEnd w:id="134"/>
      <w:bookmarkEnd w:id="135"/>
      <w:r>
        <w:rPr>
          <w:rtl w:val="true"/>
        </w:rPr>
        <w:t>[</w:t>
      </w:r>
      <w:r>
        <w:rPr>
          <w:rtl w:val="true"/>
        </w:rPr>
        <w:t>عدم جواز الأخذ فی الکفائی لو علم کونه حقا للغیر</w:t>
      </w:r>
      <w:r>
        <w:rPr>
          <w:rtl w:val="true"/>
        </w:rPr>
        <w:t>]</w:t>
      </w:r>
      <w:bookmarkEnd w:id="136"/>
    </w:p>
    <w:p>
      <w:pPr>
        <w:pStyle w:val="BookText"/>
        <w:rPr/>
      </w:pPr>
      <w:r>
        <w:rPr>
          <w:rFonts w:ascii="IRNazanin" w:hAnsi="IRNazanin" w:eastAsia="IRNazanin"/>
          <w:color w:val="111111"/>
          <w:sz w:val="28"/>
          <w:sz w:val="28"/>
          <w:szCs w:val="28"/>
          <w:rtl w:val="true"/>
          <w:lang w:bidi="fa-IR"/>
        </w:rPr>
        <w:t xml:space="preserve">نعم،یستثنی من الواجب الکفائی ما علم من دلیله صیرورة ذلک العمل حقّا للغیر یستحقّه من المکلّف،کما قد یدّعی </w:t>
      </w:r>
      <w:r>
        <w:rPr>
          <w:rStyle w:val="FootnoteAnchor"/>
          <w:rtl w:val="true"/>
        </w:rPr>
        <w:footnoteReference w:id="763"/>
      </w:r>
      <w:r>
        <w:rPr>
          <w:rFonts w:ascii="IRNazanin" w:hAnsi="IRNazanin" w:eastAsia="IRNazanin"/>
          <w:color w:val="111111"/>
          <w:sz w:val="28"/>
          <w:sz w:val="28"/>
          <w:szCs w:val="28"/>
          <w:rtl w:val="true"/>
          <w:lang w:bidi="fa-IR"/>
        </w:rPr>
        <w:t>أنّ الظاهر من أدلّة وجوب تجهیز المیّت أنّ للمیّت حقاً علی الأحیاء فی التجهیز،فکلّ من فعل شیئاً منه فی الخارج فقد أدّی حقّ المیّت،فلا یجوز أخذ الأُجرة علیه،و کذا تعلیم الجاهل أحکام عباداته الواجبة علیه و ما یحتاج إلیه،کصیغة النکاح و نحوها،لکن تعیین هذا یحتاج إلی لطف قریحة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أخذ الأُجرة علی الواجب،و أمّا الحرام فقد عرفت عدم جواز أخذ الأُجرة علیه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5027754_2314609296"/>
      <w:bookmarkStart w:id="138" w:name="_Toc53"/>
      <w:bookmarkEnd w:id="137"/>
      <w:r>
        <w:rPr>
          <w:rtl w:val="true"/>
        </w:rPr>
        <w:t>و أمّا المکروه و المباح</w:t>
      </w:r>
      <w:bookmarkEnd w:id="138"/>
    </w:p>
    <w:p>
      <w:pPr>
        <w:pStyle w:val="BookText"/>
        <w:rPr/>
      </w:pPr>
      <w:r>
        <w:rPr>
          <w:rFonts w:ascii="IRNazanin" w:hAnsi="IRNazanin" w:eastAsia="IRNazanin"/>
          <w:color w:val="111111"/>
          <w:sz w:val="28"/>
          <w:sz w:val="28"/>
          <w:szCs w:val="28"/>
          <w:rtl w:val="true"/>
          <w:lang w:bidi="fa-IR"/>
        </w:rPr>
        <w:t>فلا إشکال فی جواز أخذ الأُجرة علیهما</w:t>
      </w:r>
      <w:r>
        <w:rPr>
          <w:rFonts w:eastAsia="IRNazanin" w:cs="IRNazanin"/>
          <w:color w:val="111111"/>
          <w:sz w:val="28"/>
          <w:szCs w:val="28"/>
          <w:rtl w:val="true"/>
          <w:lang w:bidi="fa-IR"/>
        </w:rPr>
        <w:t>.</w:t>
      </w:r>
    </w:p>
    <w:p>
      <w:pPr>
        <w:pStyle w:val="Heading4"/>
        <w:numPr>
          <w:ilvl w:val="3"/>
          <w:numId w:val="1"/>
        </w:numPr>
        <w:rPr/>
      </w:pPr>
      <w:bookmarkStart w:id="139" w:name="__RefHeading___Toc5027756_2314609296"/>
      <w:bookmarkStart w:id="140" w:name="_Toc54"/>
      <w:bookmarkEnd w:id="139"/>
      <w:r>
        <w:rPr>
          <w:rtl w:val="true"/>
        </w:rPr>
        <w:t>و أمّا المستحبّ</w:t>
      </w:r>
      <w:r>
        <w:rPr>
          <w:rtl w:val="true"/>
        </w:rPr>
        <w:t>-</w:t>
      </w:r>
      <w:bookmarkEnd w:id="140"/>
    </w:p>
    <w:p>
      <w:pPr>
        <w:pStyle w:val="BookText"/>
        <w:rPr/>
      </w:pPr>
      <w:r>
        <w:rPr>
          <w:rFonts w:ascii="IRNazanin" w:hAnsi="IRNazanin" w:eastAsia="IRNazanin"/>
          <w:color w:val="111111"/>
          <w:sz w:val="28"/>
          <w:sz w:val="28"/>
          <w:szCs w:val="28"/>
          <w:rtl w:val="true"/>
          <w:lang w:bidi="fa-IR"/>
        </w:rPr>
        <w:t>و المراد منه ما کان له نفع قابل لأن یرجع إلی المستأجر؛لتصحّ الإجارة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بوصف کونه مستحبّاً علی المکلّف لا یجوز أخذ الأُجرة علیه؛لأنّ الموجود من هذا الفعل فی الخارج لا یتّصف بالاستحباب إلّا مع الإخلاص الذی ینافیه إتیان الفعل؛لاستحقاق المستأجر إیّاه،کما تقدّم فی الواجب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حینئذٍ،فإن کان حصول النفع المذکور منه متوقِّفاً علی نیّة القربة لم یجز أخذ الأُجرة علیه،کما إذا استأجر من یعید صلاته ندباً لیقتدی به؛لأنّ المفروض بعد الإجارة عدم تحقق الإخلاص،و المفروض مع</w:t>
      </w:r>
    </w:p>
    <w:p>
      <w:pPr>
        <w:pStyle w:val="BookText"/>
        <w:rPr/>
      </w:pPr>
      <w:r>
        <w:rPr>
          <w:rFonts w:ascii="IRNazanin" w:hAnsi="IRNazanin" w:eastAsia="IRNazanin"/>
          <w:color w:val="111111"/>
          <w:sz w:val="28"/>
          <w:sz w:val="28"/>
          <w:szCs w:val="28"/>
          <w:rtl w:val="true"/>
          <w:lang w:bidi="fa-IR"/>
        </w:rPr>
        <w:t>عدم تحقق الإخلاص عدم حصول نفع منه عائد إلی المستأجر، و ما یخرج بالإجارة عن قابلیة انتفاع المستأجر به لم یجز الاستئجار علیه،و من هذا القبیل الاستئجار علی العبادة للّه تعالی أصالة، لا نیابة،و إهداء ثوابها إلی المستأجر؛فإنّ ثبوت الثواب للعامل موقوف علی قصد الإخلاص المنفیّ مع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حصول النفع غیر متوقّف علی الإخلاص جاز الاستئجار علیه کبناء المساجد و إعانة المحاویج؛فإنّ من بنی لغیره مسجداً عاد إلی الغیر نفع بناء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یقصد البنّاء من عمله إلّا أخذ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استأجر غیره لإعانة المحاویج و المشی فی حوائجهم؛فإنّ الماشی لا یقصد إلّا الأُجرة،إلّا أنّ نفع المشی عائد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استئجار الشخص للنیابة عنه فی العبادات التی تقبل النیابة،کالحجّ و الزیارة و نحوهما؛فإنّ نیابة الشخص عن غیره فی ما ذکر و إن کانت مستحبة </w:t>
      </w:r>
      <w:r>
        <w:rPr>
          <w:rStyle w:val="FootnoteAnchor"/>
          <w:rtl w:val="true"/>
        </w:rPr>
        <w:footnoteReference w:id="766"/>
      </w:r>
      <w:r>
        <w:rPr>
          <w:rFonts w:ascii="IRNazanin" w:hAnsi="IRNazanin" w:eastAsia="IRNazanin"/>
          <w:color w:val="111111"/>
          <w:sz w:val="28"/>
          <w:sz w:val="28"/>
          <w:szCs w:val="28"/>
          <w:rtl w:val="true"/>
          <w:lang w:bidi="fa-IR"/>
        </w:rPr>
        <w:t>إلّا أنّ ترتّب الثواب للمنوب عنه و حصول هذا النفع له لا یتوقف علی قصد النائب الإخلاص فی نیابته، بل متی جعل نفسه بمنزلة الغیر و عمل العمل بقصد التقرّب الذی هو تقرّب المنوب عنه بعد فرض النیابة انتفع المنوب عنه،سواء فعل النائب هذه النیابة بقصد الإخلاص فی امتثال أوامر النیابة عن المؤمن أم لم یلتفت إلیها أصلاً و لم یعلم بوجودها،فضلاً عن أن یقصد امتثالها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أکثر العوام الذین یعملون الخیرات لأمواتهم</w:t>
      </w:r>
    </w:p>
    <w:p>
      <w:pPr>
        <w:pStyle w:val="BookText"/>
        <w:rPr/>
      </w:pPr>
      <w:r>
        <w:rPr>
          <w:rFonts w:ascii="IRNazanin" w:hAnsi="IRNazanin" w:eastAsia="IRNazanin"/>
          <w:color w:val="111111"/>
          <w:sz w:val="28"/>
          <w:sz w:val="28"/>
          <w:szCs w:val="28"/>
          <w:rtl w:val="true"/>
          <w:lang w:bidi="fa-IR"/>
        </w:rPr>
        <w:t xml:space="preserve">لا یعلمون ثبوت </w:t>
      </w:r>
      <w:r>
        <w:rPr>
          <w:rStyle w:val="FootnoteAnchor"/>
          <w:rtl w:val="true"/>
        </w:rPr>
        <w:footnoteReference w:id="767"/>
      </w:r>
      <w:r>
        <w:rPr>
          <w:rFonts w:ascii="IRNazanin" w:hAnsi="IRNazanin" w:eastAsia="IRNazanin"/>
          <w:color w:val="111111"/>
          <w:sz w:val="28"/>
          <w:sz w:val="28"/>
          <w:szCs w:val="28"/>
          <w:rtl w:val="true"/>
          <w:lang w:bidi="fa-IR"/>
        </w:rPr>
        <w:t xml:space="preserve">الثواب لأنفسهم فی هذه النیابة،بل یتخیّل </w:t>
      </w:r>
      <w:r>
        <w:rPr>
          <w:rStyle w:val="FootnoteAnchor"/>
          <w:rtl w:val="true"/>
        </w:rPr>
        <w:footnoteReference w:id="768"/>
      </w:r>
      <w:r>
        <w:rPr>
          <w:rFonts w:ascii="IRNazanin" w:hAnsi="IRNazanin" w:eastAsia="IRNazanin"/>
          <w:color w:val="111111"/>
          <w:sz w:val="28"/>
          <w:sz w:val="28"/>
          <w:szCs w:val="28"/>
          <w:rtl w:val="true"/>
          <w:lang w:bidi="fa-IR"/>
        </w:rPr>
        <w:t xml:space="preserve">النیابة مجرّد إحسان إلی المیّت لا یعود نفع منه إلی نفسه </w:t>
      </w:r>
      <w:r>
        <w:rPr>
          <w:rStyle w:val="FootnoteAnchor"/>
          <w:rtl w:val="true"/>
        </w:rPr>
        <w:footnoteReference w:id="769"/>
      </w:r>
      <w:r>
        <w:rPr>
          <w:rFonts w:ascii="IRNazanin" w:hAnsi="IRNazanin" w:eastAsia="IRNazanin"/>
          <w:color w:val="111111"/>
          <w:sz w:val="28"/>
          <w:sz w:val="28"/>
          <w:szCs w:val="28"/>
          <w:rtl w:val="true"/>
          <w:lang w:bidi="fa-IR"/>
        </w:rPr>
        <w:t>،و التقرّب الذی یقصده النائب بعد جعل نفسه نائباً،هو تقرّب المنوب عنه،لا تقرّب النائب،فیجوز أن ینوب لأجل مجرّد استحقاق الأُجرة عن فلان،بأن ینزّل نفسه منزلته فی إتیان الفعل قربة إلی اللّه،ثمّ إذا عرض هذه النیابة الوجوب بسبب الإجارة فالأجیر غیر متقرّب فی نیابته؛لأنّ الفرض عدم علمه أحیاناً بکون النیابة راجحة شرعاً یحصل بها التقرّب، لکنّه متقرّب بعد جعل نفسه نائباً عن غیره،فهو متقرّب بوصف کونه بدلاً و نائباً عن الغیر،فالتقرّب یحصل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فی الخارج من الأجیر لیس إلّا الصلاة عن المیّت مثلاً،و هذا هو </w:t>
      </w:r>
      <w:r>
        <w:rPr>
          <w:rStyle w:val="FootnoteAnchor"/>
          <w:rtl w:val="true"/>
        </w:rPr>
        <w:footnoteReference w:id="770"/>
      </w:r>
      <w:r>
        <w:rPr>
          <w:rFonts w:ascii="IRNazanin" w:hAnsi="IRNazanin" w:eastAsia="IRNazanin"/>
          <w:color w:val="111111"/>
          <w:sz w:val="28"/>
          <w:sz w:val="28"/>
          <w:szCs w:val="28"/>
          <w:rtl w:val="true"/>
          <w:lang w:bidi="fa-IR"/>
        </w:rPr>
        <w:t xml:space="preserve">متعلّق الإجارة و النیابة،فإن لم یمکن الإخلاص فی متعلّق الإجارة لم یترتّب علی تلک الصلاة نفع للمیّت،و إن أمکن لم یناف الإخلاص لأخذ الأُجرة </w:t>
      </w:r>
      <w:r>
        <w:rPr>
          <w:rStyle w:val="FootnoteAnchor"/>
          <w:rtl w:val="true"/>
        </w:rPr>
        <w:footnoteReference w:id="771"/>
      </w:r>
      <w:r>
        <w:rPr>
          <w:rFonts w:ascii="IRNazanin" w:hAnsi="IRNazanin" w:eastAsia="IRNazanin"/>
          <w:color w:val="111111"/>
          <w:sz w:val="28"/>
          <w:sz w:val="28"/>
          <w:szCs w:val="28"/>
          <w:rtl w:val="true"/>
          <w:lang w:bidi="fa-IR"/>
        </w:rPr>
        <w:t>کما ادّعیت،و لیست النیابة عن المیّت فی الصلاة المتقرّب بها إلی اللّه تعالی شیئاً و نفس الصلاة شیئاً آخر حتی یکون الأوّل متعلّقاً للإجارة و الثانی مورداً للإخلاص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القربة المانع اعتبارها عن </w:t>
      </w:r>
      <w:r>
        <w:rPr>
          <w:rStyle w:val="FootnoteAnchor"/>
          <w:rtl w:val="true"/>
        </w:rPr>
        <w:footnoteReference w:id="772"/>
      </w:r>
      <w:r>
        <w:rPr>
          <w:rFonts w:ascii="IRNazanin" w:hAnsi="IRNazanin" w:eastAsia="IRNazanin"/>
          <w:color w:val="111111"/>
          <w:sz w:val="28"/>
          <w:sz w:val="28"/>
          <w:szCs w:val="28"/>
          <w:rtl w:val="true"/>
          <w:lang w:bidi="fa-IR"/>
        </w:rPr>
        <w:t>تعلّق الإجارة،هی المعتبرة فی</w:t>
      </w:r>
    </w:p>
    <w:p>
      <w:pPr>
        <w:pStyle w:val="BookText"/>
        <w:rPr/>
      </w:pPr>
      <w:r>
        <w:rPr>
          <w:rFonts w:ascii="IRNazanin" w:hAnsi="IRNazanin" w:eastAsia="IRNazanin"/>
          <w:color w:val="111111"/>
          <w:sz w:val="28"/>
          <w:sz w:val="28"/>
          <w:szCs w:val="28"/>
          <w:rtl w:val="true"/>
          <w:lang w:bidi="fa-IR"/>
        </w:rPr>
        <w:t xml:space="preserve">نفس متعلّق الإجارة و إن اتّحد خارجاً مع ما لا یعتبر </w:t>
      </w:r>
      <w:r>
        <w:rPr>
          <w:rStyle w:val="FootnoteAnchor"/>
          <w:rtl w:val="true"/>
        </w:rPr>
        <w:footnoteReference w:id="773"/>
      </w:r>
      <w:r>
        <w:rPr>
          <w:rFonts w:ascii="IRNazanin" w:hAnsi="IRNazanin" w:eastAsia="IRNazanin"/>
          <w:color w:val="111111"/>
          <w:sz w:val="28"/>
          <w:sz w:val="28"/>
          <w:szCs w:val="28"/>
          <w:rtl w:val="true"/>
          <w:lang w:bidi="fa-IR"/>
        </w:rPr>
        <w:t xml:space="preserve">فیه القربة ممّا لا </w:t>
      </w:r>
      <w:r>
        <w:rPr>
          <w:rStyle w:val="FootnoteAnchor"/>
          <w:rtl w:val="true"/>
        </w:rPr>
        <w:footnoteReference w:id="774"/>
      </w:r>
      <w:r>
        <w:rPr>
          <w:rFonts w:ascii="IRNazanin" w:hAnsi="IRNazanin" w:eastAsia="IRNazanin"/>
          <w:color w:val="111111"/>
          <w:sz w:val="28"/>
          <w:sz w:val="28"/>
          <w:szCs w:val="28"/>
          <w:rtl w:val="true"/>
          <w:lang w:bidi="fa-IR"/>
        </w:rPr>
        <w:t>یکون متعلّقاً للإجارة،فالصلاة الموجودة فی الخارج علی جهة النیابة فعل للنائب من حیث إنّها نیابة عن الغیر،و بهذا الاعتبار ینقسم فی حقّه إلی المباح و الراجح و المرجوح،و فعل للمنوب عنه بعد نیابة النائب یعنی تنزیل نفسه منزلة المنوب عنه فی هذه الأفعال و بهذا الاعتبار یترتّب علیه الآثار الدنیویة و الأُخرویة لفعل المنوب عنه الذی لم یشترط فیه المباشرة،و الإجارة تتعلّق به بالاعتبار الأوّل،و التقرّب بالاعتبار الثانی،فالموجود فی ضمن الصلاة الخارجیة فعلان؛نیابة صادرة عن الأجیر النائب،فیقال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عن فلان،و فعل کأنه صادر عن المنوب عنه،فیمکن أن یقال علی سبیل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فلان، 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فلان،فکما جاز اختلاف هذین الفعلین فی الآثار فلا ینافی اعتبار القربة فی الثانی جواز الاستئجار علی الأوّل الذی لا یعتبر فیه القربة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قرّرناه وجه ما اشتهر بین المتأخّرین فتوی </w:t>
      </w:r>
      <w:r>
        <w:rPr>
          <w:rStyle w:val="FootnoteAnchor"/>
          <w:rtl w:val="true"/>
        </w:rPr>
        <w:footnoteReference w:id="775"/>
      </w:r>
      <w:r>
        <w:rPr>
          <w:rFonts w:ascii="IRNazanin" w:hAnsi="IRNazanin" w:eastAsia="IRNazanin"/>
          <w:color w:val="111111"/>
          <w:sz w:val="28"/>
          <w:sz w:val="28"/>
          <w:szCs w:val="28"/>
          <w:rtl w:val="true"/>
          <w:lang w:bidi="fa-IR"/>
        </w:rPr>
        <w:t xml:space="preserve">و عملاً من جواز الاستئجار علی العبادات للمیّت،و أنّ الاستشکال فی ذلک بمنافاة ذلک لاعتبار التقرّب فیها ممکن الدفع،خصوصاً بملاحظة ما ورد من الاستئجار للحج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141" w:name="pg19674_191644"/>
    </w:p>
    <w:p>
      <w:pPr>
        <w:pStyle w:val="BookText"/>
        <w:rPr/>
      </w:pPr>
      <w:bookmarkEnd w:id="141"/>
      <w:r>
        <w:rPr>
          <w:rFonts w:ascii="IRNazanin" w:hAnsi="IRNazanin" w:eastAsia="IRNazanin"/>
          <w:color w:val="111111"/>
          <w:sz w:val="28"/>
          <w:sz w:val="28"/>
          <w:szCs w:val="28"/>
          <w:rtl w:val="true"/>
          <w:lang w:bidi="fa-IR"/>
        </w:rPr>
        <w:t>و دعوی خروجه بالنصّ فاسدة؛لأنّ مرجعها إلی عدم اعتبار القربة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أنّ الاستئجار علی المقدّمات،کما لا یخفی، مع أنّ ظاهر ما ورد فی استئجار مولانا الصادق علیه السلام للحجّ عن ولده إسماعیل </w:t>
      </w:r>
      <w:r>
        <w:rPr>
          <w:rStyle w:val="FootnoteAnchor"/>
          <w:rtl w:val="true"/>
        </w:rPr>
        <w:footnoteReference w:id="777"/>
      </w:r>
      <w:r>
        <w:rPr>
          <w:rFonts w:ascii="IRNazanin" w:hAnsi="IRNazanin" w:eastAsia="IRNazanin"/>
          <w:color w:val="111111"/>
          <w:sz w:val="28"/>
          <w:sz w:val="28"/>
          <w:szCs w:val="28"/>
          <w:rtl w:val="true"/>
          <w:lang w:bidi="fa-IR"/>
        </w:rPr>
        <w:t>کون الإجارة علی نفس الأفعال</w:t>
      </w:r>
      <w:r>
        <w:rPr>
          <w:rFonts w:eastAsia="IRNazanin" w:cs="IRNazanin"/>
          <w:color w:val="111111"/>
          <w:sz w:val="28"/>
          <w:szCs w:val="28"/>
          <w:rtl w:val="true"/>
          <w:lang w:bidi="fa-IR"/>
        </w:rPr>
        <w:t>.</w:t>
      </w:r>
    </w:p>
    <w:p>
      <w:pPr>
        <w:pStyle w:val="Heading4"/>
        <w:numPr>
          <w:ilvl w:val="3"/>
          <w:numId w:val="1"/>
        </w:numPr>
        <w:rPr/>
      </w:pPr>
      <w:bookmarkStart w:id="142" w:name="__RefHeading___Toc5027758_2314609296"/>
      <w:bookmarkStart w:id="143" w:name="_Toc55"/>
      <w:bookmarkEnd w:id="142"/>
      <w:r>
        <w:rPr>
          <w:rtl w:val="true"/>
        </w:rPr>
        <w:t>[</w:t>
      </w:r>
      <w:r>
        <w:rPr>
          <w:rtl w:val="true"/>
        </w:rPr>
        <w:t>عدم جواز إتیان ما وجب بالإجارة عن نفسه</w:t>
      </w:r>
      <w:r>
        <w:rPr>
          <w:rtl w:val="true"/>
        </w:rPr>
        <w:t>]</w:t>
      </w:r>
      <w:bookmarkEnd w:id="143"/>
    </w:p>
    <w:p>
      <w:pPr>
        <w:pStyle w:val="BookText"/>
        <w:rPr/>
      </w:pPr>
      <w:r>
        <w:rPr>
          <w:rFonts w:ascii="IRNazanin" w:hAnsi="IRNazanin" w:eastAsia="IRNazanin"/>
          <w:color w:val="111111"/>
          <w:sz w:val="28"/>
          <w:sz w:val="28"/>
          <w:szCs w:val="28"/>
          <w:rtl w:val="true"/>
          <w:lang w:bidi="fa-IR"/>
        </w:rPr>
        <w:t xml:space="preserve">ثم اعلم أنّه کما لا یستحقّ الغیر بالإجارة ما وجب علی المکلّف علی وجه العبادة،کذلک لا یؤتی علی وجه العبادة لنفسه ما استحقّه الغیر منه بالإجارة،فلو استؤجر لإطافة صبیٍّ أو مغمی علیه فلا یجوز الاحتساب فی طواف نفسه،کما صرّح به فی المختلف </w:t>
      </w:r>
      <w:r>
        <w:rPr>
          <w:rStyle w:val="FootnoteAnchor"/>
          <w:rtl w:val="true"/>
        </w:rPr>
        <w:footnoteReference w:id="778"/>
      </w:r>
      <w:r>
        <w:rPr>
          <w:rFonts w:ascii="IRNazanin" w:hAnsi="IRNazanin" w:eastAsia="IRNazanin"/>
          <w:color w:val="111111"/>
          <w:sz w:val="28"/>
          <w:sz w:val="28"/>
          <w:szCs w:val="28"/>
          <w:rtl w:val="true"/>
          <w:lang w:bidi="fa-IR"/>
        </w:rPr>
        <w:t xml:space="preserve">،بل و کذلک لو استؤجر </w:t>
      </w:r>
      <w:r>
        <w:rPr>
          <w:rStyle w:val="FootnoteAnchor"/>
          <w:rtl w:val="true"/>
        </w:rPr>
        <w:footnoteReference w:id="779"/>
      </w:r>
      <w:r>
        <w:rPr>
          <w:rFonts w:ascii="IRNazanin" w:hAnsi="IRNazanin" w:eastAsia="IRNazanin"/>
          <w:color w:val="111111"/>
          <w:sz w:val="28"/>
          <w:sz w:val="28"/>
          <w:szCs w:val="28"/>
          <w:rtl w:val="true"/>
          <w:lang w:bidi="fa-IR"/>
        </w:rPr>
        <w:t xml:space="preserve">لحمل غیره فی الطواف،کما صرّح به جماعة </w:t>
      </w:r>
      <w:r>
        <w:rPr>
          <w:rStyle w:val="FootnoteAnchor"/>
          <w:rtl w:val="true"/>
        </w:rPr>
        <w:footnoteReference w:id="780"/>
      </w:r>
      <w:r>
        <w:rPr>
          <w:rFonts w:ascii="IRNazanin" w:hAnsi="IRNazanin" w:eastAsia="IRNazanin"/>
          <w:color w:val="111111"/>
          <w:sz w:val="28"/>
          <w:sz w:val="28"/>
          <w:szCs w:val="28"/>
          <w:rtl w:val="true"/>
          <w:lang w:bidi="fa-IR"/>
        </w:rPr>
        <w:t xml:space="preserve">تبعاً للإسکافی </w:t>
      </w:r>
      <w:r>
        <w:rPr>
          <w:rStyle w:val="FootnoteAnchor"/>
          <w:rtl w:val="true"/>
        </w:rPr>
        <w:footnoteReference w:id="781"/>
      </w:r>
      <w:r>
        <w:rPr>
          <w:rFonts w:ascii="IRNazanin" w:hAnsi="IRNazanin" w:eastAsia="IRNazanin"/>
          <w:color w:val="111111"/>
          <w:sz w:val="28"/>
          <w:sz w:val="28"/>
          <w:szCs w:val="28"/>
          <w:rtl w:val="true"/>
          <w:lang w:bidi="fa-IR"/>
        </w:rPr>
        <w:t>لأنّ المستأجر یستحقّ الحرکة المخصوصة علیه،لکن ظاهر جماعة جواز الاحتساب فی هذه الصورة؛لأنّ استحقاق الحمل غیر استحقاق الإطافة به کما لو استؤجر لحمل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حمله حامل فی الطواف أمکن أن یحتسب</w:t>
      </w:r>
    </w:p>
    <w:p>
      <w:pPr>
        <w:pStyle w:val="BookText"/>
        <w:rPr/>
      </w:pPr>
      <w:r>
        <w:rPr>
          <w:rFonts w:ascii="IRNazanin" w:hAnsi="IRNazanin" w:eastAsia="IRNazanin"/>
          <w:color w:val="111111"/>
          <w:sz w:val="28"/>
          <w:sz w:val="28"/>
          <w:szCs w:val="28"/>
          <w:rtl w:val="true"/>
          <w:lang w:bidi="fa-IR"/>
        </w:rPr>
        <w:t xml:space="preserve">کلّ منهما طوافه عن نفسه </w:t>
      </w:r>
      <w:r>
        <w:rPr>
          <w:rStyle w:val="FootnoteAnchor"/>
          <w:rtl w:val="true"/>
        </w:rPr>
        <w:footnoteReference w:id="7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الحامل متبرّعاً أو حاملاً بجعالة أو کان مستأجراً للحمل فی طوافه،أمّا لو استؤجر للحمل مطلقاً لم یحتسب للحامل؛لأنّ الحرکة المخصوصة قد صارت مستحقّة علیه لغیره، فلا یجوز صرفها إلی نفسه،و فی المسألة أقوال هذا أجودها </w:t>
      </w:r>
      <w:r>
        <w:rPr>
          <w:rStyle w:val="FootnoteAnchor"/>
          <w:rtl w:val="true"/>
        </w:rPr>
        <w:footnoteReference w:id="7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بالأقوال إلی القول بجواز الاحتساب مطلقاً،کما هو ظاهر الشرائع و ظاهر القواعد </w:t>
      </w:r>
      <w:r>
        <w:rPr>
          <w:rStyle w:val="FootnoteAnchor"/>
          <w:rtl w:val="true"/>
        </w:rPr>
        <w:footnoteReference w:id="784"/>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الدروس،من أنّه یحتسب لکلٍّ من الحامل و المحمول ما لم یستأجره للحمل لا فی طوافه </w:t>
      </w:r>
      <w:r>
        <w:rPr>
          <w:rStyle w:val="FootnoteAnchor"/>
          <w:rtl w:val="true"/>
        </w:rPr>
        <w:footnoteReference w:id="7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المسالک من التفصیل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محشّی الشرائع </w:t>
      </w:r>
      <w:r>
        <w:rPr>
          <w:rStyle w:val="FootnoteAnchor"/>
          <w:rtl w:val="true"/>
        </w:rPr>
        <w:footnoteReference w:id="787"/>
      </w:r>
      <w:r>
        <w:rPr>
          <w:rFonts w:ascii="IRNazanin" w:hAnsi="IRNazanin" w:eastAsia="IRNazanin"/>
          <w:color w:val="111111"/>
          <w:sz w:val="28"/>
          <w:sz w:val="28"/>
          <w:szCs w:val="28"/>
          <w:rtl w:val="true"/>
          <w:lang w:bidi="fa-IR"/>
        </w:rPr>
        <w:t>من استثناء صورة الاستئجار علی الحمل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الاستئجار للطواف به،و بین الاستئجار</w:t>
      </w:r>
      <w:bookmarkStart w:id="144" w:name="pg19674_191646"/>
    </w:p>
    <w:p>
      <w:pPr>
        <w:pStyle w:val="BookText"/>
        <w:rPr/>
      </w:pPr>
      <w:bookmarkEnd w:id="144"/>
      <w:r>
        <w:rPr>
          <w:rFonts w:ascii="IRNazanin" w:hAnsi="IRNazanin" w:eastAsia="IRNazanin"/>
          <w:color w:val="111111"/>
          <w:sz w:val="28"/>
          <w:sz w:val="28"/>
          <w:szCs w:val="28"/>
          <w:rtl w:val="true"/>
          <w:lang w:bidi="fa-IR"/>
        </w:rPr>
        <w:t xml:space="preserve">لحملة فی الطواف،و هو ما اختاره فی المختلف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بنی فخر الدین فی الإیضاح جواز الاحتساب فی صورة الاستئجار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استشکل والده رحمه اللّه فیها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ضمّ نیّة التبرّد إلی الوضوء قادح أم لا </w:t>
      </w:r>
      <w:r>
        <w:rPr>
          <w:rStyle w:val="FootnoteAnchor"/>
          <w:rtl w:val="true"/>
        </w:rPr>
        <w:footnoteReference w:id="790"/>
      </w:r>
      <w:r>
        <w:rPr>
          <w:rFonts w:ascii="IRNazanin" w:hAnsi="IRNazanin" w:eastAsia="IRNazanin"/>
          <w:color w:val="111111"/>
          <w:sz w:val="28"/>
          <w:sz w:val="28"/>
          <w:szCs w:val="28"/>
          <w:rtl w:val="true"/>
          <w:lang w:bidi="fa-IR"/>
        </w:rPr>
        <w:t xml:space="preserve">؟و المسألة مورد نظر و إن کان ما تقدّم من المسالک </w:t>
      </w:r>
      <w:r>
        <w:rPr>
          <w:rStyle w:val="FootnoteAnchor"/>
          <w:rtl w:val="true"/>
        </w:rPr>
        <w:footnoteReference w:id="791"/>
      </w:r>
      <w:r>
        <w:rPr>
          <w:rFonts w:ascii="IRNazanin" w:hAnsi="IRNazanin" w:eastAsia="IRNazanin"/>
          <w:color w:val="111111"/>
          <w:sz w:val="28"/>
          <w:sz w:val="28"/>
          <w:szCs w:val="28"/>
          <w:rtl w:val="true"/>
          <w:lang w:bidi="fa-IR"/>
        </w:rPr>
        <w:t>لا یخلو عن وجه</w:t>
      </w:r>
      <w:r>
        <w:rPr>
          <w:rFonts w:eastAsia="IRNazanin" w:cs="IRNazanin"/>
          <w:color w:val="111111"/>
          <w:sz w:val="28"/>
          <w:szCs w:val="28"/>
          <w:rtl w:val="true"/>
          <w:lang w:bidi="fa-IR"/>
        </w:rPr>
        <w:t>.</w:t>
      </w:r>
    </w:p>
    <w:p>
      <w:pPr>
        <w:pStyle w:val="Heading4"/>
        <w:numPr>
          <w:ilvl w:val="3"/>
          <w:numId w:val="1"/>
        </w:numPr>
        <w:rPr/>
      </w:pPr>
      <w:bookmarkStart w:id="145" w:name="__RefHeading___Toc5027760_2314609296"/>
      <w:bookmarkStart w:id="146" w:name="_Toc56"/>
      <w:bookmarkEnd w:id="145"/>
      <w:r>
        <w:rPr>
          <w:rtl w:val="true"/>
        </w:rPr>
        <w:t>[</w:t>
      </w:r>
      <w:r>
        <w:rPr>
          <w:rtl w:val="true"/>
        </w:rPr>
        <w:t>أخذ الأجرة علی الأذان</w:t>
      </w:r>
      <w:r>
        <w:rPr>
          <w:rtl w:val="true"/>
        </w:rPr>
        <w:t>]</w:t>
      </w:r>
      <w:bookmarkEnd w:id="1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ظهر ممّا ذکرناه </w:t>
      </w:r>
      <w:r>
        <w:rPr>
          <w:rStyle w:val="FootnoteAnchor"/>
          <w:rtl w:val="true"/>
        </w:rPr>
        <w:footnoteReference w:id="792"/>
      </w:r>
      <w:r>
        <w:rPr>
          <w:rFonts w:ascii="IRNazanin" w:hAnsi="IRNazanin" w:eastAsia="IRNazanin"/>
          <w:color w:val="111111"/>
          <w:sz w:val="28"/>
          <w:sz w:val="28"/>
          <w:szCs w:val="28"/>
          <w:rtl w:val="true"/>
          <w:lang w:bidi="fa-IR"/>
        </w:rPr>
        <w:t xml:space="preserve">من عدم جواز الاستئجار علی المستحب إذا کان من العبادات،أنّه لا یجوز أخذ الأُجرة علی أذان المکلّف لصلاة نفسه إذا کان ممّا یرجع نفع منه إلی الغیر یصحّ لأجله الاستئجار کالإعلام بدخول الوقت،أو الاجتزاء به فی الصلاة،و کذا أذان المکلّف للإعلام عند الأکثر کما عن الذکری </w:t>
      </w:r>
      <w:r>
        <w:rPr>
          <w:rStyle w:val="FootnoteAnchor"/>
          <w:rtl w:val="true"/>
        </w:rPr>
        <w:footnoteReference w:id="793"/>
      </w:r>
      <w:r>
        <w:rPr>
          <w:rFonts w:ascii="IRNazanin" w:hAnsi="IRNazanin" w:eastAsia="IRNazanin"/>
          <w:color w:val="111111"/>
          <w:sz w:val="28"/>
          <w:sz w:val="28"/>
          <w:szCs w:val="28"/>
          <w:rtl w:val="true"/>
          <w:lang w:bidi="fa-IR"/>
        </w:rPr>
        <w:t xml:space="preserve">،و علی الأشهر </w:t>
      </w:r>
      <w:r>
        <w:rPr>
          <w:rStyle w:val="FootnoteAnchor"/>
          <w:rtl w:val="true"/>
        </w:rPr>
        <w:footnoteReference w:id="794"/>
      </w:r>
      <w:r>
        <w:rPr>
          <w:rFonts w:ascii="IRNazanin" w:hAnsi="IRNazanin" w:eastAsia="IRNazanin"/>
          <w:color w:val="111111"/>
          <w:sz w:val="28"/>
          <w:sz w:val="28"/>
          <w:szCs w:val="28"/>
          <w:rtl w:val="true"/>
          <w:lang w:bidi="fa-IR"/>
        </w:rPr>
        <w:t xml:space="preserve">کما فی الروضة </w:t>
      </w:r>
      <w:r>
        <w:rPr>
          <w:rStyle w:val="FootnoteAnchor"/>
          <w:rtl w:val="true"/>
        </w:rPr>
        <w:footnoteReference w:id="795"/>
      </w:r>
      <w:r>
        <w:rPr>
          <w:rFonts w:ascii="IRNazanin" w:hAnsi="IRNazanin" w:eastAsia="IRNazanin"/>
          <w:color w:val="111111"/>
          <w:sz w:val="28"/>
          <w:sz w:val="28"/>
          <w:szCs w:val="28"/>
          <w:rtl w:val="true"/>
          <w:lang w:bidi="fa-IR"/>
        </w:rPr>
        <w:t xml:space="preserve">،و هو المشهور کما فی المختلف </w:t>
      </w:r>
      <w:r>
        <w:rPr>
          <w:rStyle w:val="FootnoteAnchor"/>
          <w:rtl w:val="true"/>
        </w:rPr>
        <w:footnoteReference w:id="796"/>
      </w:r>
      <w:r>
        <w:rPr>
          <w:rFonts w:ascii="IRNazanin" w:hAnsi="IRNazanin" w:eastAsia="IRNazanin"/>
          <w:color w:val="111111"/>
          <w:sz w:val="28"/>
          <w:sz w:val="28"/>
          <w:szCs w:val="28"/>
          <w:rtl w:val="true"/>
          <w:lang w:bidi="fa-IR"/>
        </w:rPr>
        <w:t xml:space="preserve">،و مذهب الأصحاب إلّا من شذّ،کما عنه </w:t>
      </w:r>
      <w:r>
        <w:rPr>
          <w:rStyle w:val="FootnoteAnchor"/>
          <w:rtl w:val="true"/>
        </w:rPr>
        <w:footnoteReference w:id="797"/>
      </w:r>
      <w:r>
        <w:rPr>
          <w:rFonts w:ascii="IRNazanin" w:hAnsi="IRNazanin" w:eastAsia="IRNazanin"/>
          <w:color w:val="111111"/>
          <w:sz w:val="28"/>
          <w:sz w:val="28"/>
          <w:szCs w:val="28"/>
          <w:rtl w:val="true"/>
          <w:lang w:bidi="fa-IR"/>
        </w:rPr>
        <w:t xml:space="preserve">و عن جامع المقاصد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بالإجماع کما عن محکیّ</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798"/>
      </w:r>
      <w:r>
        <w:rPr>
          <w:rFonts w:ascii="IRNazanin" w:hAnsi="IRNazanin" w:eastAsia="IRNazanin"/>
          <w:color w:val="111111"/>
          <w:sz w:val="28"/>
          <w:sz w:val="28"/>
          <w:szCs w:val="28"/>
          <w:rtl w:val="true"/>
          <w:lang w:bidi="fa-IR"/>
        </w:rPr>
        <w:t>بناء علی أنّها عبادة یعتبر فیها وقوعها للّه فلا یجوز أن یستحقّها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زید بن علی </w:t>
      </w:r>
      <w:r>
        <w:rPr>
          <w:rStyle w:val="FootnoteAnchor"/>
          <w:rtl w:val="true"/>
        </w:rPr>
        <w:footnoteReference w:id="799"/>
      </w:r>
      <w:r>
        <w:rPr>
          <w:rFonts w:ascii="Amiri" w:hAnsi="Amiri" w:eastAsia="Amiri" w:cs="Amiri"/>
          <w:color w:val="111111"/>
          <w:sz w:val="28"/>
          <w:sz w:val="28"/>
          <w:szCs w:val="28"/>
          <w:rtl w:val="true"/>
          <w:lang w:bidi="ar-SA"/>
        </w:rPr>
        <w:t>عن آبائه عن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أُحبّک 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أُبغضک 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تبغی فی الأذان أجراً،و تأخذ علی تعلیم القرآن أجراً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حمران الواردة فی فساد الدنیا و اضمحلال الدین، و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الأذان بالأجر </w:t>
      </w:r>
      <w:r>
        <w:rPr>
          <w:rStyle w:val="FootnoteAnchor"/>
          <w:rtl w:val="true"/>
        </w:rPr>
        <w:footnoteReference w:id="801"/>
      </w:r>
      <w:r>
        <w:rPr>
          <w:rFonts w:ascii="Amiri" w:hAnsi="Amiri" w:eastAsia="Amiri" w:cs="Amiri"/>
          <w:color w:val="111111"/>
          <w:sz w:val="28"/>
          <w:sz w:val="28"/>
          <w:szCs w:val="28"/>
          <w:rtl w:val="true"/>
          <w:lang w:bidi="ar-SA"/>
        </w:rPr>
        <w:t>و الصلاة بالأجر</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کونها عبادة عدم حصول الثواب إذا لم یتقرّب بها،لا فساد الإجارة مع فرض کون العمل مما ینتفع به و إن لم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 الإعلام بدخول الوقت المستحبّ کفایة لا یتأتّی بالأذان الذی لا یتقرّب به،صحّ ما ذکر،لکن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نقف علیه فیهما</w:t>
      </w:r>
      <w:r>
        <w:rPr>
          <w:rFonts w:eastAsia="IRNazanin" w:cs="IRNazanin"/>
          <w:color w:val="111111"/>
          <w:sz w:val="28"/>
          <w:szCs w:val="28"/>
          <w:rtl w:val="true"/>
          <w:lang w:bidi="fa-IR"/>
        </w:rPr>
        <w:t>.</w:t>
      </w:r>
      <w:bookmarkStart w:id="147" w:name="pg19674_191648"/>
    </w:p>
    <w:p>
      <w:pPr>
        <w:pStyle w:val="BookText"/>
        <w:rPr/>
      </w:pPr>
      <w:bookmarkEnd w:id="147"/>
      <w:r>
        <w:rPr>
          <w:rFonts w:ascii="IRNazanin" w:hAnsi="IRNazanin" w:eastAsia="IRNazanin"/>
          <w:color w:val="111111"/>
          <w:sz w:val="28"/>
          <w:sz w:val="28"/>
          <w:szCs w:val="28"/>
          <w:rtl w:val="true"/>
          <w:lang w:bidi="fa-IR"/>
        </w:rPr>
        <w:t xml:space="preserve">و أمّا الروایة فضعیفة،و من هنا استوجه الحکم بالکراهة فی الذکری </w:t>
      </w:r>
      <w:r>
        <w:rPr>
          <w:rStyle w:val="FootnoteAnchor"/>
          <w:rtl w:val="true"/>
        </w:rPr>
        <w:footnoteReference w:id="803"/>
      </w:r>
      <w:r>
        <w:rPr>
          <w:rFonts w:ascii="IRNazanin" w:hAnsi="IRNazanin" w:eastAsia="IRNazanin"/>
          <w:color w:val="111111"/>
          <w:sz w:val="28"/>
          <w:sz w:val="28"/>
          <w:szCs w:val="28"/>
          <w:rtl w:val="true"/>
          <w:lang w:bidi="fa-IR"/>
        </w:rPr>
        <w:t xml:space="preserve">و المدارک </w:t>
      </w:r>
      <w:r>
        <w:rPr>
          <w:rStyle w:val="FootnoteAnchor"/>
          <w:rtl w:val="true"/>
        </w:rPr>
        <w:footnoteReference w:id="804"/>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805"/>
      </w:r>
      <w:r>
        <w:rPr>
          <w:rFonts w:ascii="IRNazanin" w:hAnsi="IRNazanin" w:eastAsia="IRNazanin"/>
          <w:color w:val="111111"/>
          <w:sz w:val="28"/>
          <w:sz w:val="28"/>
          <w:szCs w:val="28"/>
          <w:rtl w:val="true"/>
          <w:lang w:bidi="fa-IR"/>
        </w:rPr>
        <w:t xml:space="preserve">و البحار </w:t>
      </w:r>
      <w:r>
        <w:rPr>
          <w:rStyle w:val="FootnoteAnchor"/>
          <w:rtl w:val="true"/>
        </w:rPr>
        <w:footnoteReference w:id="806"/>
      </w:r>
      <w:r>
        <w:rPr>
          <w:rFonts w:ascii="IRNazanin" w:hAnsi="IRNazanin" w:eastAsia="IRNazanin"/>
          <w:color w:val="111111"/>
          <w:sz w:val="28"/>
          <w:sz w:val="28"/>
          <w:szCs w:val="28"/>
          <w:rtl w:val="true"/>
          <w:lang w:bidi="fa-IR"/>
        </w:rPr>
        <w:t>بعد أن حکی عن علم الهدی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اتّضحت دلالة الروایات أمکن جبر سند الأُولی بالشهرة،مع أنّ روایة حمران حسنة علی الظاهر بابن هاشم</w:t>
      </w:r>
      <w:r>
        <w:rPr>
          <w:rFonts w:eastAsia="IRNazanin" w:cs="IRNazanin"/>
          <w:color w:val="111111"/>
          <w:sz w:val="28"/>
          <w:szCs w:val="28"/>
          <w:rtl w:val="true"/>
          <w:lang w:bidi="fa-IR"/>
        </w:rPr>
        <w:t>.</w:t>
      </w:r>
    </w:p>
    <w:p>
      <w:pPr>
        <w:pStyle w:val="Heading4"/>
        <w:numPr>
          <w:ilvl w:val="3"/>
          <w:numId w:val="1"/>
        </w:numPr>
        <w:rPr/>
      </w:pPr>
      <w:bookmarkStart w:id="148" w:name="__RefHeading___Toc5027762_2314609296"/>
      <w:bookmarkStart w:id="149" w:name="_Toc57"/>
      <w:bookmarkEnd w:id="148"/>
      <w:r>
        <w:rPr>
          <w:rtl w:val="true"/>
        </w:rPr>
        <w:t>[</w:t>
      </w:r>
      <w:r>
        <w:rPr>
          <w:rtl w:val="true"/>
        </w:rPr>
        <w:t>أخذ الأجرة علی الإمامة</w:t>
      </w:r>
      <w:r>
        <w:rPr>
          <w:rtl w:val="true"/>
        </w:rPr>
        <w:t>]</w:t>
      </w:r>
      <w:bookmarkEnd w:id="149"/>
    </w:p>
    <w:p>
      <w:pPr>
        <w:pStyle w:val="BookText"/>
        <w:rPr/>
      </w:pPr>
      <w:r>
        <w:rPr>
          <w:rFonts w:ascii="IRNazanin" w:hAnsi="IRNazanin" w:eastAsia="IRNazanin"/>
          <w:color w:val="111111"/>
          <w:sz w:val="28"/>
          <w:sz w:val="28"/>
          <w:szCs w:val="28"/>
          <w:rtl w:val="true"/>
          <w:lang w:bidi="fa-IR"/>
        </w:rPr>
        <w:t xml:space="preserve">و من هنا </w:t>
      </w:r>
      <w:r>
        <w:rPr>
          <w:rStyle w:val="FootnoteAnchor"/>
          <w:rtl w:val="true"/>
        </w:rPr>
        <w:footnoteReference w:id="807"/>
      </w:r>
      <w:r>
        <w:rPr>
          <w:rFonts w:ascii="IRNazanin" w:hAnsi="IRNazanin" w:eastAsia="IRNazanin"/>
          <w:color w:val="111111"/>
          <w:sz w:val="28"/>
          <w:sz w:val="28"/>
          <w:szCs w:val="28"/>
          <w:rtl w:val="true"/>
          <w:lang w:bidi="fa-IR"/>
        </w:rPr>
        <w:t xml:space="preserve">یظهر وجه </w:t>
      </w:r>
      <w:r>
        <w:rPr>
          <w:rStyle w:val="FootnoteAnchor"/>
          <w:rtl w:val="true"/>
        </w:rPr>
        <w:footnoteReference w:id="808"/>
      </w:r>
      <w:r>
        <w:rPr>
          <w:rFonts w:ascii="IRNazanin" w:hAnsi="IRNazanin" w:eastAsia="IRNazanin"/>
          <w:color w:val="111111"/>
          <w:sz w:val="28"/>
          <w:sz w:val="28"/>
          <w:szCs w:val="28"/>
          <w:rtl w:val="true"/>
          <w:lang w:bidi="fa-IR"/>
        </w:rPr>
        <w:t xml:space="preserve">ما ذکروه فی هذا المقام من حرمة أخذ الأُجرة علی الإمامة </w:t>
      </w:r>
      <w:r>
        <w:rPr>
          <w:rStyle w:val="FootnoteAnchor"/>
          <w:rtl w:val="true"/>
        </w:rPr>
        <w:footnoteReference w:id="809"/>
      </w:r>
      <w:r>
        <w:rPr>
          <w:rFonts w:ascii="IRNazanin" w:hAnsi="IRNazanin" w:eastAsia="IRNazanin"/>
          <w:color w:val="111111"/>
          <w:sz w:val="28"/>
          <w:sz w:val="28"/>
          <w:szCs w:val="28"/>
          <w:rtl w:val="true"/>
          <w:lang w:bidi="fa-IR"/>
        </w:rPr>
        <w:t xml:space="preserve">،مضافاً إلی موافقتها للقاعدة المتقدمة </w:t>
      </w:r>
      <w:r>
        <w:rPr>
          <w:rStyle w:val="FootnoteAnchor"/>
          <w:rtl w:val="true"/>
        </w:rPr>
        <w:footnoteReference w:id="810"/>
      </w:r>
      <w:r>
        <w:rPr>
          <w:rFonts w:ascii="IRNazanin" w:hAnsi="IRNazanin" w:eastAsia="IRNazanin"/>
          <w:color w:val="111111"/>
          <w:sz w:val="28"/>
          <w:sz w:val="28"/>
          <w:szCs w:val="28"/>
          <w:rtl w:val="true"/>
          <w:lang w:bidi="fa-IR"/>
        </w:rPr>
        <w:t xml:space="preserve">من أنّ ما کان انتفاع الغیر به موقوفاً علی تحقّقه علی وجه الإخلاص لا یجوز </w:t>
      </w:r>
      <w:r>
        <w:rPr>
          <w:rStyle w:val="FootnoteAnchor"/>
          <w:rtl w:val="true"/>
        </w:rPr>
        <w:footnoteReference w:id="811"/>
      </w:r>
      <w:r>
        <w:rPr>
          <w:rFonts w:ascii="IRNazanin" w:hAnsi="IRNazanin" w:eastAsia="IRNazanin"/>
          <w:color w:val="111111"/>
          <w:sz w:val="28"/>
          <w:sz w:val="28"/>
          <w:szCs w:val="28"/>
          <w:rtl w:val="true"/>
          <w:lang w:bidi="fa-IR"/>
        </w:rPr>
        <w:t>الاستئجار علیه؛لأنّ شرط العمل المستأجر علیه قابلیة إیقاعه لأجل استحقاق المستأجر له حتی یکون وفاءً بالعقد،و ما کان من قبیل العبادة غیر قابل لذلک</w:t>
      </w:r>
      <w:r>
        <w:rPr>
          <w:rFonts w:eastAsia="IRNazanin" w:cs="IRNazanin"/>
          <w:color w:val="111111"/>
          <w:sz w:val="28"/>
          <w:szCs w:val="28"/>
          <w:rtl w:val="true"/>
          <w:lang w:bidi="fa-IR"/>
        </w:rPr>
        <w:t>.</w:t>
      </w:r>
    </w:p>
    <w:p>
      <w:pPr>
        <w:pStyle w:val="Heading4"/>
        <w:numPr>
          <w:ilvl w:val="3"/>
          <w:numId w:val="1"/>
        </w:numPr>
        <w:rPr/>
      </w:pPr>
      <w:bookmarkStart w:id="150" w:name="__RefHeading___Toc5027764_2314609296"/>
      <w:bookmarkStart w:id="151" w:name="_Toc58"/>
      <w:bookmarkEnd w:id="150"/>
      <w:r>
        <w:rPr>
          <w:rtl w:val="true"/>
        </w:rPr>
        <w:t>ثمّ إنّ من الواجبات التی یحرم أخذ الأُجرة علیها</w:t>
      </w:r>
      <w:bookmarkEnd w:id="1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الواجبات التی یحرم أخذ الأُجرة علیها </w:t>
      </w:r>
      <w:r>
        <w:rPr>
          <w:rStyle w:val="FootnoteAnchor"/>
          <w:rtl w:val="true"/>
        </w:rPr>
        <w:footnoteReference w:id="812"/>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الشهادة،بناء علی وجوبه کما هو أحد الأقوال فی المسألة؛لقوله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الشُّهَدٰاءُ إِذٰا مٰا دُعُوا </w:t>
      </w:r>
      <w:r>
        <w:rPr>
          <w:rStyle w:val="FootnoteAnchor"/>
          <w:rtl w:val="true"/>
        </w:rPr>
        <w:footnoteReference w:id="813"/>
      </w:r>
      <w:r>
        <w:rPr>
          <w:rFonts w:ascii="Amiri" w:hAnsi="Amiri" w:eastAsia="Amiri" w:cs="Amiri"/>
          <w:color w:val="111111"/>
          <w:sz w:val="28"/>
          <w:sz w:val="28"/>
          <w:szCs w:val="28"/>
          <w:rtl w:val="true"/>
          <w:lang w:bidi="ar-SA"/>
        </w:rPr>
        <w:t xml:space="preserve">المفسَّر فی الصحیح بالدعاء للتحمّل </w:t>
      </w:r>
      <w:r>
        <w:rPr>
          <w:rStyle w:val="FootnoteAnchor"/>
          <w:rtl w:val="true"/>
        </w:rPr>
        <w:footnoteReference w:id="814"/>
      </w:r>
      <w:r>
        <w:rPr>
          <w:rFonts w:ascii="IRNazanin" w:hAnsi="IRNazanin" w:eastAsia="IRNazanin"/>
          <w:color w:val="111111"/>
          <w:sz w:val="28"/>
          <w:sz w:val="28"/>
          <w:szCs w:val="28"/>
          <w:rtl w:val="true"/>
          <w:lang w:bidi="fa-IR"/>
        </w:rPr>
        <w:t>،و کذلک أداء الشهادة؛لوجوبه عیناً أو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مع الوجوب العینی واضح،و أمّا مع الوجوب الکفائی؛فلأنّ المستفاد من أدلّة الشهادة کون التحمّل و الأداء حقّا للمشهود له علی الشاهد،فالموجود فی الخارج من الشاهد حقّ للمشهود له </w:t>
      </w:r>
      <w:r>
        <w:rPr>
          <w:rStyle w:val="FootnoteAnchor"/>
          <w:rtl w:val="true"/>
        </w:rPr>
        <w:footnoteReference w:id="815"/>
      </w:r>
      <w:r>
        <w:rPr>
          <w:rFonts w:ascii="IRNazanin" w:hAnsi="IRNazanin" w:eastAsia="IRNazanin"/>
          <w:color w:val="111111"/>
          <w:sz w:val="28"/>
          <w:sz w:val="28"/>
          <w:szCs w:val="28"/>
          <w:rtl w:val="true"/>
          <w:lang w:bidi="fa-IR"/>
        </w:rPr>
        <w:t>لا یقابل بعوض؛للزوم مقابلة حقّ الشخص بشیء من ماله،فیرجع إلی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أنّه کما لا یجوز أخذ الأُجرة من المشهود له،کذلک </w:t>
      </w:r>
      <w:r>
        <w:rPr>
          <w:rStyle w:val="FootnoteAnchor"/>
          <w:rtl w:val="true"/>
        </w:rPr>
        <w:footnoteReference w:id="816"/>
      </w:r>
      <w:r>
        <w:rPr>
          <w:rFonts w:ascii="IRNazanin" w:hAnsi="IRNazanin" w:eastAsia="IRNazanin"/>
          <w:color w:val="111111"/>
          <w:sz w:val="28"/>
          <w:sz w:val="28"/>
          <w:szCs w:val="28"/>
          <w:rtl w:val="true"/>
          <w:lang w:bidi="fa-IR"/>
        </w:rPr>
        <w:t>لا یجوز من بعض من وجبت علیه کفایة إذا استأجره لفائدة إسقاطها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حرمة الأُجرة بین توقّف التحمّل أو الأداء علی قطع مسافة طویلة،و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احتاج إلی بذل مال فالظاهر عدم وجوبه،و لو أمکن إحضار الواقعة عند من یراد تحمّله للشهادة،فله أن یمتنع من الحضور و یطلب الإحضار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شیء،و هو أنّ کثیراً من الأصحاب </w:t>
      </w:r>
      <w:r>
        <w:rPr>
          <w:rStyle w:val="FootnoteAnchor"/>
          <w:rtl w:val="true"/>
        </w:rPr>
        <w:footnoteReference w:id="817"/>
      </w:r>
      <w:r>
        <w:rPr>
          <w:rFonts w:ascii="Amiri" w:hAnsi="Amiri" w:eastAsia="Amiri" w:cs="Amiri"/>
          <w:color w:val="111111"/>
          <w:sz w:val="28"/>
          <w:sz w:val="28"/>
          <w:szCs w:val="28"/>
          <w:rtl w:val="true"/>
          <w:lang w:bidi="ar-SA"/>
        </w:rPr>
        <w:t>صرّحوا فی</w:t>
      </w:r>
      <w:bookmarkStart w:id="152" w:name="pg19674_191650"/>
    </w:p>
    <w:p>
      <w:pPr>
        <w:pStyle w:val="Heading4"/>
        <w:numPr>
          <w:ilvl w:val="3"/>
          <w:numId w:val="1"/>
        </w:numPr>
        <w:rPr/>
      </w:pPr>
      <w:bookmarkStart w:id="153" w:name="__RefHeading___Toc5027766_2314609296"/>
      <w:bookmarkStart w:id="154" w:name="_Toc59"/>
      <w:bookmarkEnd w:id="152"/>
      <w:bookmarkEnd w:id="153"/>
      <w:r>
        <w:rPr>
          <w:rtl w:val="true"/>
        </w:rPr>
        <w:t>[</w:t>
      </w:r>
      <w:r>
        <w:rPr>
          <w:rtl w:val="true"/>
        </w:rPr>
        <w:t>حکم الارتزاق من بیت المال</w:t>
      </w:r>
      <w:r>
        <w:rPr>
          <w:rtl w:val="true"/>
        </w:rPr>
        <w:t>]</w:t>
      </w:r>
      <w:bookmarkEnd w:id="154"/>
    </w:p>
    <w:p>
      <w:pPr>
        <w:pStyle w:val="BookText"/>
        <w:rPr/>
      </w:pPr>
      <w:r>
        <w:rPr>
          <w:rFonts w:ascii="IRNazanin" w:hAnsi="IRNazanin" w:eastAsia="IRNazanin"/>
          <w:color w:val="111111"/>
          <w:sz w:val="28"/>
          <w:sz w:val="28"/>
          <w:szCs w:val="28"/>
          <w:rtl w:val="true"/>
          <w:lang w:bidi="fa-IR"/>
        </w:rPr>
        <w:t xml:space="preserve">کثیر من الواجبات و المستحبّات </w:t>
      </w:r>
      <w:r>
        <w:rPr>
          <w:rStyle w:val="FootnoteAnchor"/>
          <w:rtl w:val="true"/>
        </w:rPr>
        <w:footnoteReference w:id="818"/>
      </w:r>
      <w:r>
        <w:rPr>
          <w:rFonts w:ascii="IRNazanin" w:hAnsi="IRNazanin" w:eastAsia="IRNazanin"/>
          <w:color w:val="111111"/>
          <w:sz w:val="28"/>
          <w:sz w:val="28"/>
          <w:szCs w:val="28"/>
          <w:rtl w:val="true"/>
          <w:lang w:bidi="fa-IR"/>
        </w:rPr>
        <w:t xml:space="preserve">التی یحرم أخذ الأُجرة علیها </w:t>
      </w:r>
      <w:r>
        <w:rPr>
          <w:rStyle w:val="FootnoteAnchor"/>
          <w:rtl w:val="true"/>
        </w:rPr>
        <w:footnoteReference w:id="819"/>
      </w:r>
      <w:r>
        <w:rPr>
          <w:rFonts w:ascii="IRNazanin" w:hAnsi="IRNazanin" w:eastAsia="IRNazanin"/>
          <w:color w:val="111111"/>
          <w:sz w:val="28"/>
          <w:sz w:val="28"/>
          <w:szCs w:val="28"/>
          <w:rtl w:val="true"/>
          <w:lang w:bidi="fa-IR"/>
        </w:rPr>
        <w:t>بجواز ارتزاق مؤدّیها من بیت المال المعدّ لمصالح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أخذ الأُجرة أو الجعل من بیت المال؛لأنّ ما دلّ علی تحریم العوض لا فرق فیه بین کونه من بیت المال أو من غیره </w:t>
      </w:r>
      <w:r>
        <w:rPr>
          <w:rStyle w:val="FootnoteAnchor"/>
          <w:rtl w:val="true"/>
        </w:rPr>
        <w:footnoteReference w:id="820"/>
      </w:r>
      <w:r>
        <w:rPr>
          <w:rFonts w:ascii="IRNazanin" w:hAnsi="IRNazanin" w:eastAsia="IRNazanin"/>
          <w:color w:val="111111"/>
          <w:sz w:val="28"/>
          <w:sz w:val="28"/>
          <w:szCs w:val="28"/>
          <w:rtl w:val="true"/>
          <w:lang w:bidi="fa-IR"/>
        </w:rPr>
        <w:t xml:space="preserve">، بل حیث استفدنا من دلیل الوجوب کونه حقّا للغیر یجب أداؤه إلیه عیناً أو کفایة،فیکون أکل المال بإزائه أکلاً له بالباطل،کان </w:t>
      </w:r>
      <w:r>
        <w:rPr>
          <w:rStyle w:val="FootnoteAnchor"/>
          <w:rtl w:val="true"/>
        </w:rPr>
        <w:footnoteReference w:id="821"/>
      </w:r>
      <w:r>
        <w:rPr>
          <w:rFonts w:ascii="IRNazanin" w:hAnsi="IRNazanin" w:eastAsia="IRNazanin"/>
          <w:color w:val="111111"/>
          <w:sz w:val="28"/>
          <w:sz w:val="28"/>
          <w:szCs w:val="28"/>
          <w:rtl w:val="true"/>
          <w:lang w:bidi="fa-IR"/>
        </w:rPr>
        <w:t>إعطاؤه العوض من بیت المال أولی بالحرمة؛لأنّه تضییع له و إعطاء مال المسلمین بإزاء ما یستحقه المسلمون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أنّه إذا قام المکلّف بما یجب علیه کفایة أو عیناً، مما یرجع إلی مصالح المؤمنین </w:t>
      </w:r>
      <w:r>
        <w:rPr>
          <w:rStyle w:val="FootnoteAnchor"/>
          <w:rtl w:val="true"/>
        </w:rPr>
        <w:footnoteReference w:id="822"/>
      </w:r>
      <w:r>
        <w:rPr>
          <w:rFonts w:ascii="IRNazanin" w:hAnsi="IRNazanin" w:eastAsia="IRNazanin"/>
          <w:color w:val="111111"/>
          <w:sz w:val="28"/>
          <w:sz w:val="28"/>
          <w:szCs w:val="28"/>
          <w:rtl w:val="true"/>
          <w:lang w:bidi="fa-IR"/>
        </w:rPr>
        <w:t>و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کالقضاء و الإفتاء و الأذان و الإقامة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ولیّ المسلمین المصلحة فی تعیین شیء من بیت المال له فی الیوم أو الشهر أو السنة،من جهة قیامه بذلک الأمر؛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المحقق فی الشرائع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،و العلّامة فی القواعد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،و الشهید فی الدروس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،و راجع تفصیل ذلک فی مفتاح الکرامة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لکونه </w:t>
      </w:r>
      <w:r>
        <w:rPr>
          <w:rStyle w:val="FootnoteAnchor"/>
          <w:rtl w:val="true"/>
        </w:rPr>
        <w:footnoteReference w:id="823"/>
      </w:r>
      <w:r>
        <w:rPr>
          <w:rFonts w:ascii="IRNazanin" w:hAnsi="IRNazanin" w:eastAsia="IRNazanin"/>
          <w:color w:val="111111"/>
          <w:sz w:val="28"/>
          <w:sz w:val="28"/>
          <w:szCs w:val="28"/>
          <w:rtl w:val="true"/>
          <w:lang w:bidi="fa-IR"/>
        </w:rPr>
        <w:t xml:space="preserve">فقیراً یمنعه القیام بالواجب المذکور عن تحصیل ضروریاته، فیعیّن </w:t>
      </w:r>
      <w:r>
        <w:rPr>
          <w:rStyle w:val="FootnoteAnchor"/>
          <w:rtl w:val="true"/>
        </w:rPr>
        <w:footnoteReference w:id="824"/>
      </w:r>
      <w:r>
        <w:rPr>
          <w:rFonts w:ascii="IRNazanin" w:hAnsi="IRNazanin" w:eastAsia="IRNazanin"/>
          <w:color w:val="111111"/>
          <w:sz w:val="28"/>
          <w:sz w:val="28"/>
          <w:szCs w:val="28"/>
          <w:rtl w:val="true"/>
          <w:lang w:bidi="fa-IR"/>
        </w:rPr>
        <w:t xml:space="preserve">له ما یرفع حاجته و إن کان أزید من اجرة المثل أو أقلّ منها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أن یکون تعیین الرزق له بعد القیام أو قبله،حتی أنّه لو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فی البلد و أنا أکفیک مئونتک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جاز،و لم یکن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کان،فمقتضی القاعدة عدم جواز الارتزاق إلّا مع الحاجة علی وجه یمنعه القیام بتلک المصلحة عن اکتساب المئونة،فالارتزاق مع الاستغناء و لو بکسب لا یمنعه القیام بتلک المصلحة،غیر جائز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إطلاق جماعة </w:t>
      </w:r>
      <w:r>
        <w:rPr>
          <w:rStyle w:val="FootnoteAnchor"/>
          <w:rtl w:val="true"/>
        </w:rPr>
        <w:footnoteReference w:id="826"/>
      </w:r>
      <w:r>
        <w:rPr>
          <w:rFonts w:ascii="IRNazanin" w:hAnsi="IRNazanin" w:eastAsia="IRNazanin"/>
          <w:color w:val="111111"/>
          <w:sz w:val="28"/>
          <w:sz w:val="28"/>
          <w:szCs w:val="28"/>
          <w:rtl w:val="true"/>
          <w:lang w:bidi="fa-IR"/>
        </w:rPr>
        <w:t xml:space="preserve">فی باب القضاء خلاف ذلک،بل صرّح غیر واحد </w:t>
      </w:r>
      <w:r>
        <w:rPr>
          <w:rStyle w:val="FootnoteAnchor"/>
          <w:rtl w:val="true"/>
        </w:rPr>
        <w:footnoteReference w:id="827"/>
      </w:r>
      <w:r>
        <w:rPr>
          <w:rFonts w:ascii="IRNazanin" w:hAnsi="IRNazanin" w:eastAsia="IRNazanin"/>
          <w:color w:val="111111"/>
          <w:sz w:val="28"/>
          <w:sz w:val="28"/>
          <w:szCs w:val="28"/>
          <w:rtl w:val="true"/>
          <w:lang w:bidi="fa-IR"/>
        </w:rPr>
        <w:t>بالجواز مع وجدان الکفایة</w:t>
      </w:r>
      <w:r>
        <w:rPr>
          <w:rFonts w:eastAsia="IRNazanin" w:cs="IRNazanin"/>
          <w:color w:val="111111"/>
          <w:sz w:val="28"/>
          <w:szCs w:val="28"/>
          <w:rtl w:val="true"/>
          <w:lang w:bidi="fa-IR"/>
        </w:rPr>
        <w:t>.</w:t>
      </w:r>
      <w:bookmarkStart w:id="155" w:name="pg19674_191652"/>
    </w:p>
    <w:p>
      <w:pPr>
        <w:pStyle w:val="Heading3"/>
        <w:numPr>
          <w:ilvl w:val="2"/>
          <w:numId w:val="1"/>
        </w:numPr>
        <w:rPr/>
      </w:pPr>
      <w:bookmarkStart w:id="156" w:name="__RefHeading___Toc5027768_2314609296"/>
      <w:bookmarkStart w:id="157" w:name="_Toc60"/>
      <w:bookmarkEnd w:id="155"/>
      <w:bookmarkEnd w:id="156"/>
      <w:r>
        <w:rPr>
          <w:rtl w:val="true"/>
        </w:rPr>
        <w:t>خاتمة تشتمل علی مسائل</w:t>
      </w:r>
      <w:bookmarkEnd w:id="157"/>
    </w:p>
    <w:p>
      <w:pPr>
        <w:pStyle w:val="Heading4"/>
        <w:numPr>
          <w:ilvl w:val="3"/>
          <w:numId w:val="1"/>
        </w:numPr>
        <w:rPr/>
      </w:pPr>
      <w:bookmarkStart w:id="158" w:name="__RefHeading___Toc5027770_2314609296"/>
      <w:bookmarkStart w:id="159" w:name="_Toc61"/>
      <w:bookmarkEnd w:id="158"/>
      <w:r>
        <w:rPr>
          <w:rtl w:val="true"/>
        </w:rPr>
        <w:t>الأُولی صرّح جماعة</w:t>
      </w:r>
      <w:r>
        <w:rPr>
          <w:rtl w:val="true"/>
        </w:rPr>
        <w:t>-</w:t>
      </w:r>
      <w:r>
        <w:rPr>
          <w:rtl w:val="true"/>
        </w:rPr>
        <w:t>کما عن النهایة</w:t>
      </w:r>
      <w:bookmarkEnd w:id="159"/>
    </w:p>
    <w:p>
      <w:pPr>
        <w:pStyle w:val="Heading5"/>
        <w:numPr>
          <w:ilvl w:val="4"/>
          <w:numId w:val="1"/>
        </w:numPr>
        <w:rPr/>
      </w:pPr>
      <w:bookmarkStart w:id="160" w:name="__RefHeading___Toc5027772_2314609296"/>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الأُولی صرّح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828"/>
      </w:r>
      <w:r>
        <w:rPr>
          <w:rFonts w:ascii="IRNazanin" w:hAnsi="IRNazanin" w:eastAsia="IRNazanin"/>
          <w:color w:val="111111"/>
          <w:sz w:val="28"/>
          <w:sz w:val="28"/>
          <w:szCs w:val="28"/>
          <w:rtl w:val="true"/>
          <w:lang w:bidi="fa-IR"/>
        </w:rPr>
        <w:t xml:space="preserve">و السرائر </w:t>
      </w:r>
      <w:r>
        <w:rPr>
          <w:rStyle w:val="FootnoteAnchor"/>
          <w:rtl w:val="true"/>
        </w:rPr>
        <w:footnoteReference w:id="829"/>
      </w:r>
      <w:r>
        <w:rPr>
          <w:rFonts w:ascii="IRNazanin" w:hAnsi="IRNazanin" w:eastAsia="IRNazanin"/>
          <w:color w:val="111111"/>
          <w:sz w:val="28"/>
          <w:sz w:val="28"/>
          <w:szCs w:val="28"/>
          <w:rtl w:val="true"/>
          <w:lang w:bidi="fa-IR"/>
        </w:rPr>
        <w:t xml:space="preserve">و التذکرة </w:t>
      </w:r>
      <w:r>
        <w:rPr>
          <w:rStyle w:val="FootnoteAnchor"/>
          <w:rtl w:val="true"/>
        </w:rPr>
        <w:footnoteReference w:id="830"/>
      </w:r>
      <w:r>
        <w:rPr>
          <w:rFonts w:ascii="IRNazanin" w:hAnsi="IRNazanin" w:eastAsia="IRNazanin"/>
          <w:color w:val="111111"/>
          <w:sz w:val="28"/>
          <w:sz w:val="28"/>
          <w:szCs w:val="28"/>
          <w:rtl w:val="true"/>
          <w:lang w:bidi="fa-IR"/>
        </w:rPr>
        <w:t xml:space="preserve">و الدروس </w:t>
      </w:r>
      <w:r>
        <w:rPr>
          <w:rStyle w:val="FootnoteAnchor"/>
          <w:rtl w:val="true"/>
        </w:rPr>
        <w:footnoteReference w:id="83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بیع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w:t>
      </w:r>
      <w:r>
        <w:rPr>
          <w:rStyle w:val="FootnoteAnchor"/>
          <w:rtl w:val="true"/>
        </w:rPr>
        <w:footnoteReference w:id="833"/>
      </w:r>
      <w:r>
        <w:rPr>
          <w:rFonts w:ascii="IRNazanin" w:hAnsi="IRNazanin" w:eastAsia="IRNazanin"/>
          <w:color w:val="111111"/>
          <w:sz w:val="28"/>
          <w:sz w:val="28"/>
          <w:szCs w:val="28"/>
          <w:rtl w:val="true"/>
          <w:lang w:bidi="fa-IR"/>
        </w:rPr>
        <w:t xml:space="preserve">فی الدروس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المحکی عن نهایة الإحکام اشتهارها بین الصحابة،حیث تمسّک علی الحرمة بمنع الصحابة </w:t>
      </w:r>
      <w:r>
        <w:rPr>
          <w:rStyle w:val="FootnoteAnchor"/>
          <w:rtl w:val="true"/>
        </w:rPr>
        <w:footnoteReference w:id="835"/>
      </w:r>
      <w:r>
        <w:rPr>
          <w:rFonts w:ascii="IRNazanin" w:hAnsi="IRNazanin" w:eastAsia="IRNazanin"/>
          <w:color w:val="111111"/>
          <w:sz w:val="28"/>
          <w:sz w:val="28"/>
          <w:szCs w:val="28"/>
          <w:rtl w:val="true"/>
          <w:lang w:bidi="fa-IR"/>
        </w:rPr>
        <w:t>،و علیه تدلّ ظواهر الأخبار المستفیضة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تبیعوا المصاحف؛فإنّ بیعها حرام،قلت</w:t>
      </w:r>
    </w:p>
    <w:p>
      <w:pPr>
        <w:pStyle w:val="BookText"/>
        <w:rPr/>
      </w:pPr>
      <w:r>
        <w:rPr>
          <w:rFonts w:ascii="IRNazanin" w:hAnsi="IRNazanin" w:eastAsia="IRNazanin"/>
          <w:color w:val="111111"/>
          <w:sz w:val="28"/>
          <w:sz w:val="28"/>
          <w:szCs w:val="28"/>
          <w:rtl w:val="true"/>
          <w:lang w:bidi="fa-IR"/>
        </w:rPr>
        <w:t>فما تقول فی شرائها؟قال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منه الدفّتین و الحدید و الغلاف،و إیّاک أن تشتری منه الورق و فیه القرآن مکتوب،فیکون علیک حراماً، و علی من باعه حراماً</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مضمرة عثمان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بیع المصاحف و شرائها </w:t>
      </w:r>
      <w:r>
        <w:rPr>
          <w:rStyle w:val="FootnoteAnchor"/>
          <w:rtl w:val="true"/>
        </w:rPr>
        <w:footnoteReference w:id="837"/>
      </w:r>
      <w:r>
        <w:rPr>
          <w:rFonts w:ascii="IRNazanin" w:hAnsi="IRNazanin" w:eastAsia="IRNazanin"/>
          <w:color w:val="111111"/>
          <w:sz w:val="28"/>
          <w:sz w:val="28"/>
          <w:szCs w:val="28"/>
          <w:rtl w:val="true"/>
          <w:lang w:bidi="fa-IR"/>
        </w:rPr>
        <w:t xml:space="preserve">؟قال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کلام اللّه،و لکن اشترِ الجلد و الحدید و الدفّة،و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 هذا بکذا و کذا</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عن عثمان بن عیسی،عن سماعة،عن أبی عبد اللّه علیه السلام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جرّاح المدائنی فی بیع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الکتاب و لا تشتره،و بع الورق و الأدیم و الحدید</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عبد الرحمن بن سیابة </w:t>
      </w:r>
      <w:r>
        <w:rPr>
          <w:rStyle w:val="FootnoteAnchor"/>
          <w:rtl w:val="true"/>
        </w:rPr>
        <w:footnoteReference w:id="8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المصاحف لن تُشتری،فإذا اشتریت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أشتری منک الورق و ما فیه من الأدیم </w:t>
      </w:r>
      <w:r>
        <w:rPr>
          <w:rStyle w:val="FootnoteAnchor"/>
          <w:rtl w:val="true"/>
        </w:rPr>
        <w:footnoteReference w:id="843"/>
      </w:r>
      <w:r>
        <w:rPr>
          <w:rFonts w:ascii="IRNazanin" w:hAnsi="IRNazanin" w:eastAsia="IRNazanin"/>
          <w:color w:val="111111"/>
          <w:sz w:val="28"/>
          <w:sz w:val="28"/>
          <w:szCs w:val="28"/>
          <w:rtl w:val="true"/>
          <w:lang w:bidi="fa-IR"/>
        </w:rPr>
        <w:t>،و حلیته و ما فیه من عمل یدک،بکذا و کذا</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المصاحف لن تُشتری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لا </w:t>
      </w:r>
      <w:r>
        <w:rPr>
          <w:rStyle w:val="FootnoteAnchor"/>
          <w:rtl w:val="true"/>
        </w:rPr>
        <w:footnoteReference w:id="845"/>
      </w:r>
      <w:r>
        <w:rPr>
          <w:rFonts w:ascii="IRNazanin" w:hAnsi="IRNazanin" w:eastAsia="IRNazanin"/>
          <w:color w:val="111111"/>
          <w:sz w:val="28"/>
          <w:sz w:val="28"/>
          <w:szCs w:val="28"/>
          <w:rtl w:val="true"/>
          <w:lang w:bidi="fa-IR"/>
        </w:rPr>
        <w:t xml:space="preserve">تدخل فی ملک أحد علی وجه العوضیة عمّا بذله من الثمن </w:t>
      </w:r>
      <w:r>
        <w:rPr>
          <w:rStyle w:val="FootnoteAnchor"/>
          <w:rtl w:val="true"/>
        </w:rPr>
        <w:footnoteReference w:id="846"/>
      </w:r>
      <w:r>
        <w:rPr>
          <w:rFonts w:ascii="IRNazanin" w:hAnsi="IRNazanin" w:eastAsia="IRNazanin"/>
          <w:color w:val="111111"/>
          <w:sz w:val="28"/>
          <w:sz w:val="28"/>
          <w:szCs w:val="28"/>
          <w:rtl w:val="true"/>
          <w:lang w:bidi="fa-IR"/>
        </w:rPr>
        <w:t>،و أنّها أجلّ من ذلک،و یشیر إلیه تعبیر الإمام فی بعض الأخبار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،الدالّ علی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کان،فالحکم فی المسألة واضح بعد الأخبار و عمل من عرفت،حتّی مثل الحلّی الذی لا یعمل بأخبار الآحاد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هنا ما یصرف هذه الأخبار عن ظواهرها،مثل 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بیع المصاحف و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کان یوضع </w:t>
      </w:r>
      <w:r>
        <w:rPr>
          <w:rStyle w:val="FootnoteAnchor"/>
          <w:rtl w:val="true"/>
        </w:rPr>
        <w:footnoteReference w:id="848"/>
      </w:r>
      <w:r>
        <w:rPr>
          <w:rFonts w:ascii="IRNazanin" w:hAnsi="IRNazanin" w:eastAsia="IRNazanin"/>
          <w:color w:val="111111"/>
          <w:sz w:val="28"/>
          <w:sz w:val="28"/>
          <w:szCs w:val="28"/>
          <w:rtl w:val="true"/>
          <w:lang w:bidi="fa-IR"/>
        </w:rPr>
        <w:t>عند القامة و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بین الحائط و المنبر قدر </w:t>
      </w:r>
      <w:r>
        <w:rPr>
          <w:rStyle w:val="FootnoteAnchor"/>
          <w:rtl w:val="true"/>
        </w:rPr>
        <w:footnoteReference w:id="849"/>
      </w:r>
      <w:r>
        <w:rPr>
          <w:rFonts w:ascii="Amiri" w:hAnsi="Amiri" w:eastAsia="Amiri" w:cs="Amiri"/>
          <w:color w:val="111111"/>
          <w:sz w:val="28"/>
          <w:sz w:val="28"/>
          <w:szCs w:val="28"/>
          <w:rtl w:val="true"/>
          <w:lang w:bidi="ar-SA"/>
        </w:rPr>
        <w:t xml:space="preserve">ممرّ شاة أو رجل و هو </w:t>
      </w:r>
      <w:r>
        <w:rPr>
          <w:rStyle w:val="FootnoteAnchor"/>
          <w:rtl w:val="true"/>
        </w:rPr>
        <w:footnoteReference w:id="850"/>
      </w:r>
      <w:r>
        <w:rPr>
          <w:rFonts w:ascii="IRNazanin" w:hAnsi="IRNazanin" w:eastAsia="IRNazanin"/>
          <w:color w:val="111111"/>
          <w:sz w:val="28"/>
          <w:sz w:val="28"/>
          <w:szCs w:val="28"/>
          <w:rtl w:val="true"/>
          <w:lang w:bidi="fa-IR"/>
        </w:rPr>
        <w:t>منحرف،فکان الرجل</w:t>
      </w:r>
    </w:p>
    <w:p>
      <w:pPr>
        <w:pStyle w:val="BookText"/>
        <w:rPr/>
      </w:pPr>
      <w:r>
        <w:rPr>
          <w:rFonts w:ascii="IRNazanin" w:hAnsi="IRNazanin" w:eastAsia="IRNazanin"/>
          <w:color w:val="111111"/>
          <w:sz w:val="28"/>
          <w:sz w:val="28"/>
          <w:szCs w:val="28"/>
          <w:rtl w:val="true"/>
          <w:lang w:bidi="fa-IR"/>
        </w:rPr>
        <w:t xml:space="preserve">یأتی فیکتب السورة </w:t>
      </w:r>
      <w:r>
        <w:rPr>
          <w:rStyle w:val="FootnoteAnchor"/>
          <w:rtl w:val="true"/>
        </w:rPr>
        <w:footnoteReference w:id="851"/>
      </w:r>
      <w:r>
        <w:rPr>
          <w:rFonts w:ascii="IRNazanin" w:hAnsi="IRNazanin" w:eastAsia="IRNazanin"/>
          <w:color w:val="111111"/>
          <w:sz w:val="28"/>
          <w:sz w:val="28"/>
          <w:szCs w:val="28"/>
          <w:rtl w:val="true"/>
          <w:lang w:bidi="fa-IR"/>
        </w:rPr>
        <w:t xml:space="preserve">،و یجیء آخر فیکتب السورة </w:t>
      </w:r>
      <w:r>
        <w:rPr>
          <w:rStyle w:val="FootnoteAnchor"/>
          <w:rtl w:val="true"/>
        </w:rPr>
        <w:footnoteReference w:id="852"/>
      </w:r>
      <w:r>
        <w:rPr>
          <w:rFonts w:ascii="Amiri" w:hAnsi="Amiri" w:eastAsia="Amiri" w:cs="Amiri"/>
          <w:color w:val="111111"/>
          <w:sz w:val="28"/>
          <w:sz w:val="28"/>
          <w:szCs w:val="28"/>
          <w:rtl w:val="true"/>
          <w:lang w:bidi="ar-SA"/>
        </w:rPr>
        <w:t xml:space="preserve">کذلک کانوا،ثمّ إنّهم </w:t>
      </w:r>
      <w:r>
        <w:rPr>
          <w:rStyle w:val="FootnoteAnchor"/>
          <w:rtl w:val="true"/>
        </w:rPr>
        <w:footnoteReference w:id="853"/>
      </w:r>
      <w:r>
        <w:rPr>
          <w:rFonts w:ascii="IRNazanin" w:hAnsi="IRNazanin" w:eastAsia="IRNazanin"/>
          <w:color w:val="111111"/>
          <w:sz w:val="28"/>
          <w:sz w:val="28"/>
          <w:szCs w:val="28"/>
          <w:rtl w:val="true"/>
          <w:lang w:bidi="fa-IR"/>
        </w:rPr>
        <w:t>اشتروا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روایة روح بن عبد الرحیم </w:t>
      </w:r>
      <w:r>
        <w:rPr>
          <w:rStyle w:val="FootnoteAnchor"/>
          <w:rtl w:val="true"/>
        </w:rPr>
        <w:footnoteReference w:id="855"/>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أن اعطی علی کتابته أجراً؟قال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لکن هکذا کانوا یصنعون</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فإنّها تدلّ علی جواز الشراء من جهة حکایته عن المسلمین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اشتروا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نفی البأس عن الاستئجار لکتابته،کما فی أخبار أُخر غیرها </w:t>
      </w:r>
      <w:r>
        <w:rPr>
          <w:rStyle w:val="FootnoteAnchor"/>
          <w:rtl w:val="true"/>
        </w:rPr>
        <w:footnoteReference w:id="857"/>
      </w:r>
      <w:r>
        <w:rPr>
          <w:rFonts w:ascii="IRNazanin" w:hAnsi="IRNazanin" w:eastAsia="IRNazanin"/>
          <w:color w:val="111111"/>
          <w:sz w:val="28"/>
          <w:sz w:val="28"/>
          <w:szCs w:val="28"/>
          <w:rtl w:val="true"/>
          <w:lang w:bidi="fa-IR"/>
        </w:rPr>
        <w:t>،فیجوز تملّک الکتابة بالأُجرة،فیجوز وقوع جزء من الثمن بإزائها عند بیع المجموع المرکب منها و من القرطاس،و غیرهما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دلالة فیها علی جواز اشتراء خطّ المصحف،و إنّما تدلّ علی أنّ تحصیل المصحف فی الصدر الأوّل کان بمباشرة کتابته،ثم قصرت الهمم فلم یباشروها بأنفسهم،و حصّلوا</w:t>
      </w:r>
    </w:p>
    <w:p>
      <w:pPr>
        <w:pStyle w:val="BookText"/>
        <w:rPr/>
      </w:pPr>
      <w:r>
        <w:rPr>
          <w:rFonts w:ascii="IRNazanin" w:hAnsi="IRNazanin" w:eastAsia="IRNazanin"/>
          <w:color w:val="111111"/>
          <w:sz w:val="28"/>
          <w:sz w:val="28"/>
          <w:szCs w:val="28"/>
          <w:rtl w:val="true"/>
          <w:lang w:bidi="fa-IR"/>
        </w:rPr>
        <w:t>المصاحف بأموالهم شراءً و استئجاراً،و لا دلالة فیها علی کیفیة الشراء، و أنّ الشراء و المعاوضة لا بدّ أن لا یقع إلّا علی ما عدا الخط،من القرطاس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دلالة علی أنّ الأولی مع عدم مباشرة الکتابة بنفسه أن یستکتب بلا شرط ثمّ یعطیه ما یرضیه،مثل روایة عبد الرحمن بن أبی عبد اللّه،عن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 عبد اللّه بنت الحسن </w:t>
      </w:r>
      <w:r>
        <w:rPr>
          <w:rStyle w:val="FootnoteAnchor"/>
          <w:rtl w:val="true"/>
        </w:rPr>
        <w:footnoteReference w:id="858"/>
      </w:r>
      <w:r>
        <w:rPr>
          <w:rFonts w:ascii="IRNazanin" w:hAnsi="IRNazanin" w:eastAsia="IRNazanin"/>
          <w:color w:val="111111"/>
          <w:sz w:val="28"/>
          <w:sz w:val="28"/>
          <w:szCs w:val="28"/>
          <w:rtl w:val="true"/>
          <w:lang w:bidi="fa-IR"/>
        </w:rPr>
        <w:t>أرادت أن تکتب مصحفاً فاشترت ورقاً من عندها،و دعت رجلاً فکتب لها علی غیر شرط،فأعطته حین فرغ خمسین دیناراً،و أنّه لم تُبَع المصاحف إلّا حدیثاً</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عنبسة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أبیع المصاحف فإن نهیتنی لم أبعها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تشتری ورقاً و تکتب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860"/>
      </w:r>
      <w:r>
        <w:rPr>
          <w:rFonts w:ascii="IRNazanin" w:hAnsi="IRNazanin" w:eastAsia="IRNazanin"/>
          <w:color w:val="111111"/>
          <w:sz w:val="28"/>
          <w:sz w:val="28"/>
          <w:szCs w:val="28"/>
          <w:rtl w:val="true"/>
          <w:lang w:bidi="fa-IR"/>
        </w:rPr>
        <w:t>و أُعالجها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إن کانت ظاهرة فی الجواز إلّا أنّ ظهورها من حیث السکوت عن کیفیة البیع،فی مقام الحاجة إلی البیان،فلا تعارض ما تقدّم من الأخبار المتضمّنة للبیان</w:t>
      </w:r>
      <w:r>
        <w:rPr>
          <w:rFonts w:eastAsia="IRNazanin" w:cs="IRNazanin"/>
          <w:color w:val="111111"/>
          <w:sz w:val="28"/>
          <w:szCs w:val="28"/>
          <w:rtl w:val="true"/>
          <w:lang w:bidi="fa-IR"/>
        </w:rPr>
        <w:t>.</w:t>
      </w:r>
      <w:bookmarkStart w:id="162" w:name="pg19674_191657"/>
    </w:p>
    <w:p>
      <w:pPr>
        <w:pStyle w:val="BookText"/>
        <w:rPr/>
      </w:pPr>
      <w:bookmarkEnd w:id="162"/>
      <w:r>
        <w:rPr>
          <w:rFonts w:ascii="IRNazanin" w:hAnsi="IRNazanin" w:eastAsia="IRNazanin"/>
          <w:color w:val="111111"/>
          <w:sz w:val="28"/>
          <w:sz w:val="28"/>
          <w:szCs w:val="28"/>
          <w:rtl w:val="true"/>
          <w:lang w:bidi="fa-IR"/>
        </w:rPr>
        <w:t xml:space="preserve">و کیف کان،فالأظهر فی الأخبار </w:t>
      </w:r>
      <w:r>
        <w:rPr>
          <w:rStyle w:val="FootnoteAnchor"/>
          <w:rtl w:val="true"/>
        </w:rPr>
        <w:footnoteReference w:id="862"/>
      </w:r>
      <w:r>
        <w:rPr>
          <w:rFonts w:ascii="IRNazanin" w:hAnsi="IRNazanin" w:eastAsia="IRNazanin"/>
          <w:color w:val="111111"/>
          <w:sz w:val="28"/>
          <w:sz w:val="28"/>
          <w:szCs w:val="28"/>
          <w:rtl w:val="true"/>
          <w:lang w:bidi="fa-IR"/>
        </w:rPr>
        <w:t xml:space="preserve">ما تقدّم من الأساطین المتقدم إلیهم الإشارة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5027774_2314609296"/>
      <w:bookmarkStart w:id="164" w:name="_Toc63"/>
      <w:bookmarkEnd w:id="163"/>
      <w:r>
        <w:rPr>
          <w:rtl w:val="true"/>
        </w:rPr>
        <w:t>بقی الکلام فی المراد من حرمة البیع و الشراء،</w:t>
      </w:r>
      <w:bookmarkEnd w:id="164"/>
    </w:p>
    <w:p>
      <w:pPr>
        <w:pStyle w:val="BookText"/>
        <w:rPr/>
      </w:pPr>
      <w:r>
        <w:rPr>
          <w:rFonts w:ascii="IRNazanin" w:hAnsi="IRNazanin" w:eastAsia="IRNazanin"/>
          <w:color w:val="111111"/>
          <w:sz w:val="28"/>
          <w:sz w:val="28"/>
          <w:szCs w:val="28"/>
          <w:rtl w:val="true"/>
          <w:lang w:bidi="fa-IR"/>
        </w:rPr>
        <w:t>بعد فرض أنّ الکاتب للمصحف فی الأوراق المملوکة مالک للأوراق و ما فیها من النقوش،فإنّ النقوش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تعدّ من الأعیان المملوکة </w:t>
      </w:r>
      <w:r>
        <w:rPr>
          <w:rStyle w:val="FootnoteAnchor"/>
          <w:rtl w:val="true"/>
        </w:rPr>
        <w:footnoteReference w:id="864"/>
      </w:r>
      <w:r>
        <w:rPr>
          <w:rFonts w:ascii="IRNazanin" w:hAnsi="IRNazanin" w:eastAsia="IRNazanin"/>
          <w:color w:val="111111"/>
          <w:sz w:val="28"/>
          <w:sz w:val="28"/>
          <w:szCs w:val="28"/>
          <w:rtl w:val="true"/>
          <w:lang w:bidi="fa-IR"/>
        </w:rPr>
        <w:t xml:space="preserve">،بل من صفات المنقوش الذی </w:t>
      </w:r>
      <w:r>
        <w:rPr>
          <w:rStyle w:val="FootnoteAnchor"/>
          <w:rtl w:val="true"/>
        </w:rPr>
        <w:footnoteReference w:id="865"/>
      </w:r>
      <w:r>
        <w:rPr>
          <w:rFonts w:ascii="IRNazanin" w:hAnsi="IRNazanin" w:eastAsia="IRNazanin"/>
          <w:color w:val="111111"/>
          <w:sz w:val="28"/>
          <w:sz w:val="28"/>
          <w:szCs w:val="28"/>
          <w:rtl w:val="true"/>
          <w:lang w:bidi="fa-IR"/>
        </w:rPr>
        <w:t xml:space="preserve">تتفاوت </w:t>
      </w:r>
      <w:r>
        <w:rPr>
          <w:rStyle w:val="FootnoteAnchor"/>
          <w:rtl w:val="true"/>
        </w:rPr>
        <w:footnoteReference w:id="866"/>
      </w:r>
      <w:r>
        <w:rPr>
          <w:rFonts w:ascii="IRNazanin" w:hAnsi="IRNazanin" w:eastAsia="IRNazanin"/>
          <w:color w:val="111111"/>
          <w:sz w:val="28"/>
          <w:sz w:val="28"/>
          <w:szCs w:val="28"/>
          <w:rtl w:val="true"/>
          <w:lang w:bidi="fa-IR"/>
        </w:rPr>
        <w:t>قیمته بوجودها و عدمها،فلا حاجة إلی النهی عن بیع الخط؛ فإنّه لا یقع بإزائه جزء من الثمن حتی یقع فی حیّز البیع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عدّت من الأعیان المملوکة </w:t>
      </w:r>
      <w:r>
        <w:rPr>
          <w:rStyle w:val="FootnoteAnchor"/>
          <w:rtl w:val="true"/>
        </w:rPr>
        <w:footnoteReference w:id="867"/>
      </w:r>
      <w:r>
        <w:rPr>
          <w:rFonts w:ascii="IRNazanin" w:hAnsi="IRNazanin" w:eastAsia="IRNazanin"/>
          <w:color w:val="111111"/>
          <w:sz w:val="28"/>
          <w:sz w:val="28"/>
          <w:szCs w:val="28"/>
          <w:rtl w:val="true"/>
          <w:lang w:bidi="fa-IR"/>
        </w:rPr>
        <w:t>،فإن فرض بقاؤها علی ملک البائع بعد بیع الورق و الجلد،فیلزم شرکته مع المشتری،و هو خلاف الاتّفاق، و إن انتقلت إلی المشتری،فإن کان بجزء من العوض فهو البیع المنهی عنه؛لأنّ بیع المصحف المرکب من الخط و غیره لیس إلّا جعل جزء من الثمن بإزاء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انتقلت إلیه قهراً تبعاً لغیرها </w:t>
      </w:r>
      <w:r>
        <w:rPr>
          <w:rStyle w:val="FootnoteAnchor"/>
          <w:rtl w:val="true"/>
        </w:rPr>
        <w:footnoteReference w:id="868"/>
      </w:r>
      <w:r>
        <w:rPr>
          <w:rFonts w:ascii="IRNazanin" w:hAnsi="IRNazanin" w:eastAsia="IRNazanin"/>
          <w:color w:val="111111"/>
          <w:sz w:val="28"/>
          <w:sz w:val="28"/>
          <w:szCs w:val="28"/>
          <w:rtl w:val="true"/>
          <w:lang w:bidi="fa-IR"/>
        </w:rPr>
        <w:t xml:space="preserve">،لا بجزء </w:t>
      </w:r>
      <w:r>
        <w:rPr>
          <w:rStyle w:val="FootnoteAnchor"/>
          <w:rtl w:val="true"/>
        </w:rPr>
        <w:footnoteReference w:id="869"/>
      </w:r>
      <w:r>
        <w:rPr>
          <w:rFonts w:ascii="IRNazanin" w:hAnsi="IRNazanin" w:eastAsia="IRNazanin"/>
          <w:color w:val="111111"/>
          <w:sz w:val="28"/>
          <w:sz w:val="28"/>
          <w:szCs w:val="28"/>
          <w:rtl w:val="true"/>
          <w:lang w:bidi="fa-IR"/>
        </w:rPr>
        <w:t>من</w:t>
      </w:r>
      <w:bookmarkStart w:id="165" w:name="pg19674_191658"/>
    </w:p>
    <w:p>
      <w:pPr>
        <w:pStyle w:val="BookText"/>
        <w:rPr/>
      </w:pPr>
      <w:bookmarkEnd w:id="165"/>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بعض ما یدخل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مقصود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کالتزام کون المبیع هو الورق المقیّد بوجود هذه النقوش فیه،لا الورق و النقوش؛فإنّ النقوش </w:t>
      </w:r>
      <w:r>
        <w:rPr>
          <w:rStyle w:val="FootnoteAnchor"/>
          <w:rtl w:val="true"/>
        </w:rPr>
        <w:footnoteReference w:id="870"/>
      </w:r>
      <w:r>
        <w:rPr>
          <w:rFonts w:ascii="IRNazanin" w:hAnsi="IRNazanin" w:eastAsia="IRNazanin"/>
          <w:color w:val="111111"/>
          <w:sz w:val="28"/>
          <w:sz w:val="28"/>
          <w:szCs w:val="28"/>
          <w:rtl w:val="true"/>
          <w:lang w:bidi="fa-IR"/>
        </w:rPr>
        <w:t>غیر مملوکة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تکلیف صوری؛إذ لا أظنّ أنْ تُعطّل أحکام الملک،فلا تجری علی الخط المذکور إذا بنینا علی أنّه مِلک عرفاً قد نهی عن المعاوضة علیه،بل الظاهر أنّه إذا لم یقصد بالشراء إلّا الجلد و الورق کان الخط باقیاً علی ملک البائع فیکون شریکاً بالنسبة،فالظاهر أنّه لا مناص من </w:t>
      </w:r>
      <w:r>
        <w:rPr>
          <w:rStyle w:val="FootnoteAnchor"/>
          <w:rtl w:val="true"/>
        </w:rPr>
        <w:footnoteReference w:id="871"/>
      </w:r>
      <w:r>
        <w:rPr>
          <w:rFonts w:ascii="IRNazanin" w:hAnsi="IRNazanin" w:eastAsia="IRNazanin"/>
          <w:color w:val="111111"/>
          <w:sz w:val="28"/>
          <w:sz w:val="28"/>
          <w:szCs w:val="28"/>
          <w:rtl w:val="true"/>
          <w:lang w:bidi="fa-IR"/>
        </w:rPr>
        <w:t>التزام التکلیف الصوری،أو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 لا یدخل فی الملک شرعاً و إن دخل فیه عرفاً،فتأمّل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ذکرناه التجأ بعض </w:t>
      </w:r>
      <w:r>
        <w:rPr>
          <w:rStyle w:val="FootnoteAnchor"/>
          <w:rtl w:val="true"/>
        </w:rPr>
        <w:footnoteReference w:id="872"/>
      </w:r>
      <w:r>
        <w:rPr>
          <w:rFonts w:ascii="IRNazanin" w:hAnsi="IRNazanin" w:eastAsia="IRNazanin"/>
          <w:color w:val="111111"/>
          <w:sz w:val="28"/>
          <w:sz w:val="28"/>
          <w:szCs w:val="28"/>
          <w:rtl w:val="true"/>
          <w:lang w:bidi="fa-IR"/>
        </w:rPr>
        <w:t>إلی الحکم بالکراهة،و أولویة الاقتصار فی المعاملة علی ذکر الجلد و الورق بترک إدخال الخط فیه احتراماً،و قد تعارف إلی الآن تسمیة ثمن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p>
    <w:p>
      <w:pPr>
        <w:pStyle w:val="Heading5"/>
        <w:numPr>
          <w:ilvl w:val="4"/>
          <w:numId w:val="1"/>
        </w:numPr>
        <w:rPr/>
      </w:pPr>
      <w:bookmarkStart w:id="166" w:name="__RefHeading___Toc5027776_2314609296"/>
      <w:bookmarkStart w:id="167" w:name="_Toc64"/>
      <w:bookmarkEnd w:id="166"/>
      <w:r>
        <w:rPr>
          <w:rtl w:val="true"/>
        </w:rPr>
        <w:t>[</w:t>
      </w:r>
      <w:r>
        <w:rPr>
          <w:rtl w:val="true"/>
        </w:rPr>
        <w:t>بیع المصحف من الکافر و تملک الکفار للمصاحف</w:t>
      </w:r>
      <w:r>
        <w:rPr>
          <w:rtl w:val="true"/>
        </w:rPr>
        <w:t>]</w:t>
      </w:r>
      <w:bookmarkEnd w:id="1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بین العلّامة رحمه اللّه و من تأخّر عنه </w:t>
      </w:r>
      <w:r>
        <w:rPr>
          <w:rStyle w:val="FootnoteAnchor"/>
          <w:rtl w:val="true"/>
        </w:rPr>
        <w:footnoteReference w:id="873"/>
      </w:r>
      <w:r>
        <w:rPr>
          <w:rFonts w:ascii="IRNazanin" w:hAnsi="IRNazanin" w:eastAsia="IRNazanin"/>
          <w:color w:val="111111"/>
          <w:sz w:val="28"/>
          <w:sz w:val="28"/>
          <w:szCs w:val="28"/>
          <w:rtl w:val="true"/>
          <w:lang w:bidi="fa-IR"/>
        </w:rPr>
        <w:t>عدم جواز بیع</w:t>
      </w:r>
    </w:p>
    <w:p>
      <w:pPr>
        <w:pStyle w:val="BookText"/>
        <w:rPr/>
      </w:pPr>
      <w:r>
        <w:rPr>
          <w:rFonts w:ascii="IRNazanin" w:hAnsi="IRNazanin" w:eastAsia="IRNazanin"/>
          <w:color w:val="111111"/>
          <w:sz w:val="28"/>
          <w:sz w:val="28"/>
          <w:szCs w:val="28"/>
          <w:rtl w:val="true"/>
          <w:lang w:bidi="fa-IR"/>
        </w:rPr>
        <w:t xml:space="preserve">المصحف من الکافر علی الوجه الذی یجوز بیعه </w:t>
      </w:r>
      <w:r>
        <w:rPr>
          <w:rStyle w:val="FootnoteAnchor"/>
          <w:rtl w:val="true"/>
        </w:rPr>
        <w:footnoteReference w:id="874"/>
      </w:r>
      <w:r>
        <w:rPr>
          <w:rFonts w:ascii="IRNazanin" w:hAnsi="IRNazanin" w:eastAsia="IRNazanin"/>
          <w:color w:val="111111"/>
          <w:sz w:val="28"/>
          <w:sz w:val="28"/>
          <w:szCs w:val="28"/>
          <w:rtl w:val="true"/>
          <w:lang w:bidi="fa-IR"/>
        </w:rPr>
        <w:t xml:space="preserve">من المسلم؛و لعلّه لفحوی ما دلّ علی عدم تملّک الکافر للمسلم </w:t>
      </w:r>
      <w:r>
        <w:rPr>
          <w:rStyle w:val="FootnoteAnchor"/>
          <w:rtl w:val="true"/>
        </w:rPr>
        <w:footnoteReference w:id="875"/>
      </w:r>
      <w:r>
        <w:rPr>
          <w:rFonts w:ascii="IRNazanin" w:hAnsi="IRNazanin" w:eastAsia="IRNazanin"/>
          <w:color w:val="111111"/>
          <w:sz w:val="28"/>
          <w:sz w:val="28"/>
          <w:szCs w:val="28"/>
          <w:rtl w:val="true"/>
          <w:lang w:bidi="fa-IR"/>
        </w:rPr>
        <w:t xml:space="preserve">،و أنّ الإسلام یعلو و لا یعلی علیه </w:t>
      </w:r>
      <w:r>
        <w:rPr>
          <w:rStyle w:val="FootnoteAnchor"/>
          <w:rtl w:val="true"/>
        </w:rPr>
        <w:footnoteReference w:id="876"/>
      </w:r>
      <w:r>
        <w:rPr>
          <w:rFonts w:ascii="IRNazanin" w:hAnsi="IRNazanin" w:eastAsia="IRNazanin"/>
          <w:color w:val="111111"/>
          <w:sz w:val="28"/>
          <w:sz w:val="28"/>
          <w:szCs w:val="28"/>
          <w:rtl w:val="true"/>
          <w:lang w:bidi="fa-IR"/>
        </w:rPr>
        <w:t xml:space="preserve">فإنّ الشیخ رحمه اللّه قد استدلّ به علی عدم تملّک الکافر للمسلم </w:t>
      </w:r>
      <w:r>
        <w:rPr>
          <w:rStyle w:val="FootnoteAnchor"/>
          <w:rtl w:val="true"/>
        </w:rPr>
        <w:footnoteReference w:id="877"/>
      </w:r>
      <w:r>
        <w:rPr>
          <w:rFonts w:ascii="IRNazanin" w:hAnsi="IRNazanin" w:eastAsia="IRNazanin"/>
          <w:color w:val="111111"/>
          <w:sz w:val="28"/>
          <w:sz w:val="28"/>
          <w:szCs w:val="28"/>
          <w:rtl w:val="true"/>
          <w:lang w:bidi="fa-IR"/>
        </w:rPr>
        <w:t xml:space="preserve">،و من المعلوم أنّ ملک الکافر للمسلم إن کان علوّاً علی الإسلام فملکه للمصحف أشدّ علوّاً علیه؛و لذا لم یوجد هنا قول بتملّکه و إجباره علی البیع،کما قیل به فی العبد المسلم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حینئذٍ،فلو کفر المسلم انتقل مصحفه إلی وارثه و لو کان الوارث هو الإمام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ذکر فی المبسوط فی باب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یوجد فی دار الحرب من المصاحف و الکتب التی لیست بکتب الزندقة و الکفر داخل فی الغنیمة و یجوز بیعها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ذلک تملّک الکفار للمصاحف، و إلّا لم یکن وجه لدخولها فی الغنیمة،بل کانت من مجهول المالک المسلم،و إرادة غیر القرآن من المصاحف بعیدة</w:t>
      </w:r>
      <w:r>
        <w:rPr>
          <w:rFonts w:eastAsia="IRNazanin" w:cs="IRNazanin"/>
          <w:color w:val="111111"/>
          <w:sz w:val="28"/>
          <w:szCs w:val="28"/>
          <w:rtl w:val="true"/>
          <w:lang w:bidi="fa-IR"/>
        </w:rPr>
        <w:t>.</w:t>
      </w:r>
      <w:bookmarkStart w:id="168" w:name="pg19674_191660"/>
    </w:p>
    <w:p>
      <w:pPr>
        <w:pStyle w:val="Heading5"/>
        <w:numPr>
          <w:ilvl w:val="4"/>
          <w:numId w:val="1"/>
        </w:numPr>
        <w:rPr/>
      </w:pPr>
      <w:bookmarkStart w:id="169" w:name="__RefHeading___Toc5027778_2314609296"/>
      <w:bookmarkStart w:id="170" w:name="_Toc65"/>
      <w:bookmarkEnd w:id="168"/>
      <w:bookmarkEnd w:id="169"/>
      <w:r>
        <w:rPr>
          <w:rtl w:val="true"/>
        </w:rPr>
        <w:t>و الظاهر أنّ أبعاض المصحف فی حکم الکلّ إذا کانت مستقلّة</w:t>
      </w:r>
      <w:bookmarkEnd w:id="170"/>
    </w:p>
    <w:p>
      <w:pPr>
        <w:pStyle w:val="BookText"/>
        <w:rPr/>
      </w:pP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المتفرّقة فی تضاعیف غیر التفاسیر من الکتب؛للاستشهاد بلفظها أو معناها </w:t>
      </w:r>
      <w:r>
        <w:rPr>
          <w:rStyle w:val="FootnoteAnchor"/>
          <w:rtl w:val="true"/>
        </w:rPr>
        <w:footnoteReference w:id="881"/>
      </w:r>
      <w:r>
        <w:rPr>
          <w:rFonts w:ascii="IRNazanin" w:hAnsi="IRNazanin" w:eastAsia="IRNazanin"/>
          <w:color w:val="111111"/>
          <w:sz w:val="28"/>
          <w:sz w:val="28"/>
          <w:szCs w:val="28"/>
          <w:rtl w:val="true"/>
          <w:lang w:bidi="fa-IR"/>
        </w:rPr>
        <w:t xml:space="preserve">،فلا یبعد عدم اللحوق؛لعدم تحقّق الإهانة و العلوّ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5027780_2314609296"/>
      <w:bookmarkStart w:id="172" w:name="_Toc66"/>
      <w:bookmarkEnd w:id="171"/>
      <w:r>
        <w:rPr>
          <w:rtl w:val="true"/>
        </w:rPr>
        <w:t>و فی إلحاق الأدعیة المشتملة علی أسماء اللّه تعالی</w:t>
      </w:r>
      <w:r>
        <w:rPr>
          <w:rtl w:val="true"/>
        </w:rPr>
        <w:t>-</w:t>
      </w:r>
      <w:bookmarkEnd w:id="172"/>
    </w:p>
    <w:p>
      <w:pPr>
        <w:pStyle w:val="BookText"/>
        <w:rPr/>
      </w:pPr>
      <w:r>
        <w:rPr>
          <w:rFonts w:ascii="IRNazanin" w:hAnsi="IRNazanin" w:eastAsia="IRNazanin"/>
          <w:color w:val="111111"/>
          <w:sz w:val="28"/>
          <w:sz w:val="28"/>
          <w:szCs w:val="28"/>
          <w:rtl w:val="true"/>
          <w:lang w:bidi="fa-IR"/>
        </w:rPr>
        <w:t>کالجوشن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مطلقاً،أو مع کون الکافر ملحداً بها دون المقرّ باللّه المحترِم لأسمائه؛لعدم الإهانة و العلو،وجوه</w:t>
      </w:r>
      <w:r>
        <w:rPr>
          <w:rFonts w:eastAsia="IRNazanin" w:cs="IRNazanin"/>
          <w:color w:val="111111"/>
          <w:sz w:val="28"/>
          <w:szCs w:val="28"/>
          <w:rtl w:val="true"/>
          <w:lang w:bidi="fa-IR"/>
        </w:rPr>
        <w:t>.</w:t>
      </w:r>
    </w:p>
    <w:p>
      <w:pPr>
        <w:pStyle w:val="Heading5"/>
        <w:numPr>
          <w:ilvl w:val="4"/>
          <w:numId w:val="1"/>
        </w:numPr>
        <w:rPr/>
      </w:pPr>
      <w:bookmarkStart w:id="173" w:name="__RefHeading___Toc5027782_2314609296"/>
      <w:bookmarkStart w:id="174" w:name="_Toc67"/>
      <w:bookmarkEnd w:id="173"/>
      <w:r>
        <w:rPr>
          <w:rtl w:val="true"/>
        </w:rPr>
        <w:t>و فی إلحاق الأحادیث النبویّة بالقرآن</w:t>
      </w:r>
      <w:bookmarkEnd w:id="174"/>
    </w:p>
    <w:p>
      <w:pPr>
        <w:pStyle w:val="BookText"/>
        <w:rPr/>
      </w:pPr>
      <w:r>
        <w:rPr>
          <w:rFonts w:ascii="IRNazanin" w:hAnsi="IRNazanin" w:eastAsia="IRNazanin"/>
          <w:color w:val="111111"/>
          <w:sz w:val="28"/>
          <w:sz w:val="28"/>
          <w:szCs w:val="28"/>
          <w:rtl w:val="true"/>
          <w:lang w:bidi="fa-IR"/>
        </w:rPr>
        <w:t xml:space="preserve">وجهان،حکی الجزم بهما </w:t>
      </w:r>
      <w:r>
        <w:rPr>
          <w:rStyle w:val="FootnoteAnchor"/>
          <w:rtl w:val="true"/>
        </w:rPr>
        <w:footnoteReference w:id="883"/>
      </w:r>
      <w:r>
        <w:rPr>
          <w:rFonts w:ascii="IRNazanin" w:hAnsi="IRNazanin" w:eastAsia="IRNazanin"/>
          <w:color w:val="111111"/>
          <w:sz w:val="28"/>
          <w:sz w:val="28"/>
          <w:szCs w:val="28"/>
          <w:rtl w:val="true"/>
          <w:lang w:bidi="fa-IR"/>
        </w:rPr>
        <w:t xml:space="preserve">عن الکرکی و فخر الدین قدّس سرّهما،و التردّد بینهما </w:t>
      </w:r>
      <w:r>
        <w:rPr>
          <w:rStyle w:val="FootnoteAnchor"/>
          <w:rtl w:val="true"/>
        </w:rPr>
        <w:footnoteReference w:id="884"/>
      </w:r>
      <w:r>
        <w:rPr>
          <w:rFonts w:ascii="IRNazanin" w:hAnsi="IRNazanin" w:eastAsia="IRNazanin"/>
          <w:color w:val="111111"/>
          <w:sz w:val="28"/>
          <w:sz w:val="28"/>
          <w:szCs w:val="28"/>
          <w:rtl w:val="true"/>
          <w:lang w:bidi="fa-IR"/>
        </w:rPr>
        <w:t xml:space="preserve">عن التذکرة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اللحوق،فیلحق اسم النبی صلّی اللّه علیه و آله و سلم بطریق أولی؛لأنّه أعظم من کلامه صلّی اللّه علیه و آله و سلم،و حینئذٍ فیشکل أن یملک الکفّار الدراهم و الدنانیر المضروبة فی زماننا،المکتوب علیها اسم النبیّ صلّی اللّه علیه و آله و سلم،</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المکتوب فیها غیر مملوک عرفاً،و لا یجعل بإزاء الاسم الشریف المبارک من حیث إنّه اسمه صلّی اللّه علیه و آله و سلم جزء من الثمن،فهو کاسمه المبارک المکتوب علی سیف أو علی باب دار أو جدار،إلّا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مناط الحرمة التسلیط،لا المعاوضة،بل و لا التملیک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أیضاً من جهة مناولتها الکافر مع العلم العادی بمسّه إیّاه </w:t>
      </w:r>
      <w:r>
        <w:rPr>
          <w:rStyle w:val="FootnoteAnchor"/>
          <w:rtl w:val="true"/>
        </w:rPr>
        <w:footnoteReference w:id="887"/>
      </w:r>
      <w:r>
        <w:rPr>
          <w:rFonts w:ascii="Amiri" w:hAnsi="Amiri" w:eastAsia="Amiri" w:cs="Amiri"/>
          <w:color w:val="111111"/>
          <w:sz w:val="28"/>
          <w:sz w:val="28"/>
          <w:szCs w:val="28"/>
          <w:rtl w:val="true"/>
          <w:lang w:bidi="ar-SA"/>
        </w:rPr>
        <w:t>خصوصاً مع الرطوبة</w:t>
      </w:r>
      <w:r>
        <w:rPr>
          <w:rFonts w:eastAsia="Amiri" w:cs="Amiri" w:ascii="Amiri" w:hAnsi="Amiri"/>
          <w:color w:val="111111"/>
          <w:sz w:val="28"/>
          <w:szCs w:val="28"/>
          <w:rtl w:val="true"/>
          <w:lang w:bidi="ar-SA"/>
        </w:rPr>
        <w:t>.</w:t>
      </w:r>
      <w:bookmarkStart w:id="175" w:name="pg19674_19166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5027784_2314609296"/>
      <w:bookmarkStart w:id="177" w:name="_Toc68"/>
      <w:bookmarkEnd w:id="176"/>
      <w:r>
        <w:rPr>
          <w:rtl w:val="true"/>
        </w:rPr>
        <w:t>المسألة</w:t>
      </w:r>
      <w:r>
        <w:rPr>
          <w:rtl w:val="true"/>
        </w:rPr>
        <w:t>]</w:t>
      </w:r>
      <w:r>
        <w:rPr>
          <w:rtl w:val="true"/>
        </w:rPr>
        <w:t>الثانیة جوائز السلطان و عمّاله،</w:t>
      </w:r>
      <w:bookmarkEnd w:id="177"/>
    </w:p>
    <w:p>
      <w:pPr>
        <w:pStyle w:val="Heading5"/>
        <w:numPr>
          <w:ilvl w:val="4"/>
          <w:numId w:val="1"/>
        </w:numPr>
        <w:rPr/>
      </w:pPr>
      <w:bookmarkStart w:id="178" w:name="__RefHeading___Toc5027786_2314609296"/>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بل مطلق المال المأخوذ منهم مجّاناً أو عوضاً،لا یخلو عن 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إمّا أن لا یعلم أنّ </w:t>
      </w:r>
      <w:r>
        <w:rPr>
          <w:rStyle w:val="FootnoteAnchor"/>
          <w:rtl w:val="true"/>
        </w:rPr>
        <w:footnoteReference w:id="888"/>
      </w:r>
      <w:r>
        <w:rPr>
          <w:rFonts w:ascii="IRNazanin" w:hAnsi="IRNazanin" w:eastAsia="IRNazanin"/>
          <w:color w:val="111111"/>
          <w:sz w:val="28"/>
          <w:sz w:val="28"/>
          <w:szCs w:val="28"/>
          <w:rtl w:val="true"/>
          <w:lang w:bidi="fa-IR"/>
        </w:rPr>
        <w:t xml:space="preserve">فی جملة أموال هذا الظالم مال محرّم یصلح لکون المأخوذ هو </w:t>
      </w:r>
      <w:r>
        <w:rPr>
          <w:rStyle w:val="FootnoteAnchor"/>
          <w:rtl w:val="true"/>
        </w:rPr>
        <w:footnoteReference w:id="889"/>
      </w:r>
      <w:r>
        <w:rPr>
          <w:rFonts w:ascii="IRNazanin" w:hAnsi="IRNazanin" w:eastAsia="IRNazanin"/>
          <w:color w:val="111111"/>
          <w:sz w:val="28"/>
          <w:sz w:val="28"/>
          <w:szCs w:val="28"/>
          <w:rtl w:val="true"/>
          <w:lang w:bidi="fa-IR"/>
        </w:rPr>
        <w:t>من ذلک المال،و إمّا أن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لا یعلم أنّ ذلک المحرّم أو شیئاً منه هو </w:t>
      </w:r>
      <w:r>
        <w:rPr>
          <w:rStyle w:val="FootnoteAnchor"/>
          <w:rtl w:val="true"/>
        </w:rPr>
        <w:footnoteReference w:id="890"/>
      </w:r>
      <w:r>
        <w:rPr>
          <w:rFonts w:ascii="IRNazanin" w:hAnsi="IRNazanin" w:eastAsia="IRNazanin"/>
          <w:color w:val="111111"/>
          <w:sz w:val="28"/>
          <w:sz w:val="28"/>
          <w:szCs w:val="28"/>
          <w:rtl w:val="true"/>
          <w:lang w:bidi="fa-IR"/>
        </w:rPr>
        <w:t>داخل فی المأخوذ،و إمّا أن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یعلم تفصیلاً،و إمّا أن یعلم إجمالاً،</w:t>
      </w:r>
    </w:p>
    <w:p>
      <w:pPr>
        <w:pStyle w:val="Heading5"/>
        <w:numPr>
          <w:ilvl w:val="4"/>
          <w:numId w:val="1"/>
        </w:numPr>
        <w:rPr/>
      </w:pPr>
      <w:bookmarkStart w:id="180" w:name="__RefHeading___Toc5027788_2314609296"/>
      <w:bookmarkStart w:id="181" w:name="_Toc70"/>
      <w:bookmarkEnd w:id="180"/>
      <w:r>
        <w:rPr>
          <w:rtl w:val="true"/>
        </w:rPr>
        <w:t>فالصور أربع</w:t>
      </w:r>
      <w:r>
        <w:rPr>
          <w:rtl w:val="true"/>
        </w:rPr>
        <w:t>:</w:t>
      </w:r>
      <w:bookmarkEnd w:id="181"/>
    </w:p>
    <w:p>
      <w:pPr>
        <w:pStyle w:val="Heading6"/>
        <w:numPr>
          <w:ilvl w:val="5"/>
          <w:numId w:val="1"/>
        </w:numPr>
        <w:rPr/>
      </w:pPr>
      <w:bookmarkStart w:id="182" w:name="__RefHeading___Toc5027790_2314609296"/>
      <w:bookmarkStart w:id="183" w:name="_Toc71"/>
      <w:bookmarkEnd w:id="182"/>
      <w:r>
        <w:rPr>
          <w:rtl w:val="true"/>
        </w:rPr>
        <w:t>أمّا الاُولی،</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یعلم بأن للجائر مال حرام یحتمل کون الجائزة 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فیها فی جواز الأخذ و حلّیة التصرّف؛ للأصل و الإجماع و الأخبار الآتیة،لکن ربما یوهم بعض الأخبار أنّه یشترط فی حلّ مال الجائر ثبوت مال حلال له،مثل ما عن</w:t>
      </w:r>
    </w:p>
    <w:p>
      <w:pPr>
        <w:pStyle w:val="BookText"/>
        <w:rPr/>
      </w:pPr>
      <w:r>
        <w:rPr>
          <w:rFonts w:ascii="IRNazanin" w:hAnsi="IRNazanin" w:eastAsia="IRNazanin"/>
          <w:color w:val="111111"/>
          <w:sz w:val="28"/>
          <w:sz w:val="28"/>
          <w:szCs w:val="28"/>
          <w:rtl w:val="true"/>
          <w:lang w:bidi="fa-IR"/>
        </w:rPr>
        <w:t xml:space="preserve">الاحتجاج عن الحمیری،أنّه کتب إلی صاحب الزمان عجّل اللّه فرجه یسأله عن الرجل یکون من وکلاء الوقف مستحلا </w:t>
      </w:r>
      <w:r>
        <w:rPr>
          <w:rStyle w:val="FootnoteAnchor"/>
          <w:rtl w:val="true"/>
        </w:rPr>
        <w:footnoteReference w:id="891"/>
      </w:r>
      <w:r>
        <w:rPr>
          <w:rFonts w:ascii="IRNazanin" w:hAnsi="IRNazanin" w:eastAsia="IRNazanin"/>
          <w:color w:val="111111"/>
          <w:sz w:val="28"/>
          <w:sz w:val="28"/>
          <w:szCs w:val="28"/>
          <w:rtl w:val="true"/>
          <w:lang w:bidi="fa-IR"/>
        </w:rPr>
        <w:t xml:space="preserve">لما فی یده،و لا یتورّع </w:t>
      </w:r>
      <w:r>
        <w:rPr>
          <w:rStyle w:val="FootnoteAnchor"/>
          <w:rtl w:val="true"/>
        </w:rPr>
        <w:footnoteReference w:id="892"/>
      </w:r>
      <w:r>
        <w:rPr>
          <w:rFonts w:ascii="IRNazanin" w:hAnsi="IRNazanin" w:eastAsia="IRNazanin"/>
          <w:color w:val="111111"/>
          <w:sz w:val="28"/>
          <w:sz w:val="28"/>
          <w:szCs w:val="28"/>
          <w:rtl w:val="true"/>
          <w:lang w:bidi="fa-IR"/>
        </w:rPr>
        <w:t xml:space="preserve">عن </w:t>
      </w:r>
      <w:r>
        <w:rPr>
          <w:rStyle w:val="FootnoteAnchor"/>
          <w:rtl w:val="true"/>
        </w:rPr>
        <w:footnoteReference w:id="893"/>
      </w:r>
      <w:r>
        <w:rPr>
          <w:rFonts w:ascii="IRNazanin" w:hAnsi="IRNazanin" w:eastAsia="IRNazanin"/>
          <w:color w:val="111111"/>
          <w:sz w:val="28"/>
          <w:sz w:val="28"/>
          <w:szCs w:val="28"/>
          <w:rtl w:val="true"/>
          <w:lang w:bidi="fa-IR"/>
        </w:rPr>
        <w:t xml:space="preserve">أخذ ماله،ربما نزلتُ فی قریةٍ </w:t>
      </w:r>
      <w:r>
        <w:rPr>
          <w:rStyle w:val="FootnoteAnchor"/>
          <w:rtl w:val="true"/>
        </w:rPr>
        <w:footnoteReference w:id="894"/>
      </w:r>
      <w:r>
        <w:rPr>
          <w:rFonts w:ascii="IRNazanin" w:hAnsi="IRNazanin" w:eastAsia="IRNazanin"/>
          <w:color w:val="111111"/>
          <w:sz w:val="28"/>
          <w:sz w:val="28"/>
          <w:szCs w:val="28"/>
          <w:rtl w:val="true"/>
          <w:lang w:bidi="fa-IR"/>
        </w:rPr>
        <w:t xml:space="preserve">و هو فیها،أو أدخل </w:t>
      </w:r>
      <w:r>
        <w:rPr>
          <w:rStyle w:val="FootnoteAnchor"/>
          <w:rtl w:val="true"/>
        </w:rPr>
        <w:footnoteReference w:id="895"/>
      </w:r>
      <w:r>
        <w:rPr>
          <w:rFonts w:ascii="IRNazanin" w:hAnsi="IRNazanin" w:eastAsia="IRNazanin"/>
          <w:color w:val="111111"/>
          <w:sz w:val="28"/>
          <w:sz w:val="28"/>
          <w:szCs w:val="28"/>
          <w:rtl w:val="true"/>
          <w:lang w:bidi="fa-IR"/>
        </w:rPr>
        <w:t xml:space="preserve">منزله و قد حضر طعامه،فیدعونی إلیه،فإن لم آکل </w:t>
      </w:r>
      <w:r>
        <w:rPr>
          <w:rStyle w:val="FootnoteAnchor"/>
          <w:rtl w:val="true"/>
        </w:rPr>
        <w:footnoteReference w:id="896"/>
      </w:r>
      <w:r>
        <w:rPr>
          <w:rFonts w:ascii="IRNazanin" w:hAnsi="IRNazanin" w:eastAsia="IRNazanin"/>
          <w:color w:val="111111"/>
          <w:sz w:val="28"/>
          <w:sz w:val="28"/>
          <w:szCs w:val="28"/>
          <w:rtl w:val="true"/>
          <w:lang w:bidi="fa-IR"/>
        </w:rPr>
        <w:t xml:space="preserve">عادانی علیه </w:t>
      </w:r>
      <w:r>
        <w:rPr>
          <w:rStyle w:val="FootnoteAnchor"/>
          <w:rtl w:val="true"/>
        </w:rPr>
        <w:footnoteReference w:id="897"/>
      </w:r>
      <w:r>
        <w:rPr>
          <w:rFonts w:ascii="IRNazanin" w:hAnsi="IRNazanin" w:eastAsia="IRNazanin"/>
          <w:color w:val="111111"/>
          <w:sz w:val="28"/>
          <w:sz w:val="28"/>
          <w:szCs w:val="28"/>
          <w:rtl w:val="true"/>
          <w:lang w:bidi="fa-IR"/>
        </w:rPr>
        <w:t xml:space="preserve">،فهل یجوز لی أن آکل من طعامه،و أتصدّق بصدقة؟ و کم مقدار الصدقة؟ و إن أهدی هذا الوکیل هدیة إلی رجل آخر </w:t>
      </w:r>
      <w:r>
        <w:rPr>
          <w:rStyle w:val="FootnoteAnchor"/>
          <w:rtl w:val="true"/>
        </w:rPr>
        <w:footnoteReference w:id="898"/>
      </w:r>
      <w:r>
        <w:rPr>
          <w:rFonts w:ascii="IRNazanin" w:hAnsi="IRNazanin" w:eastAsia="IRNazanin"/>
          <w:color w:val="111111"/>
          <w:sz w:val="28"/>
          <w:sz w:val="28"/>
          <w:szCs w:val="28"/>
          <w:rtl w:val="true"/>
          <w:lang w:bidi="fa-IR"/>
        </w:rPr>
        <w:t xml:space="preserve">فیدعونی إلی أن أنال منها،و أنا أعلم أنّ الوکیل لا یتورّع عن أخذ ما فی یده،فهل علیّ فیه </w:t>
      </w:r>
      <w:r>
        <w:rPr>
          <w:rStyle w:val="FootnoteAnchor"/>
          <w:rtl w:val="true"/>
        </w:rPr>
        <w:footnoteReference w:id="899"/>
      </w:r>
      <w:r>
        <w:rPr>
          <w:rFonts w:ascii="IRNazanin" w:hAnsi="IRNazanin" w:eastAsia="IRNazanin"/>
          <w:color w:val="111111"/>
          <w:sz w:val="28"/>
          <w:sz w:val="28"/>
          <w:szCs w:val="28"/>
          <w:rtl w:val="true"/>
          <w:lang w:bidi="fa-IR"/>
        </w:rPr>
        <w:t xml:space="preserve">شیء إن أنا نلت منه؟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لهذا الرجل مال أو معاش غیر ما فی یده،</w:t>
      </w:r>
      <w:bookmarkStart w:id="184" w:name="pg19674_191664"/>
    </w:p>
    <w:p>
      <w:pPr>
        <w:pStyle w:val="BookText"/>
        <w:rPr/>
      </w:pPr>
      <w:bookmarkEnd w:id="184"/>
      <w:r>
        <w:rPr>
          <w:rFonts w:ascii="Amiri" w:hAnsi="Amiri" w:eastAsia="Amiri" w:cs="Amiri"/>
          <w:color w:val="111111"/>
          <w:sz w:val="28"/>
          <w:sz w:val="28"/>
          <w:szCs w:val="28"/>
          <w:rtl w:val="true"/>
          <w:lang w:bidi="ar-SA"/>
        </w:rPr>
        <w:t xml:space="preserve">فاقبل بِرّه </w:t>
      </w:r>
      <w:r>
        <w:rPr>
          <w:rStyle w:val="FootnoteAnchor"/>
          <w:rtl w:val="true"/>
        </w:rPr>
        <w:footnoteReference w:id="901"/>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بناءً علی أنّ الشرط فی الحلّیة هو وجود مال آخر،فإذا لم یعلم به لم یثبت الحلّ،لکن هذه الصورة قلیلة </w:t>
      </w:r>
      <w:r>
        <w:rPr>
          <w:rStyle w:val="FootnoteAnchor"/>
          <w:rtl w:val="true"/>
        </w:rPr>
        <w:footnoteReference w:id="903"/>
      </w:r>
      <w:r>
        <w:rPr>
          <w:rFonts w:ascii="Amiri" w:hAnsi="Amiri" w:eastAsia="Amiri" w:cs="Amiri"/>
          <w:color w:val="111111"/>
          <w:sz w:val="28"/>
          <w:sz w:val="28"/>
          <w:szCs w:val="28"/>
          <w:rtl w:val="true"/>
          <w:lang w:bidi="ar-SA"/>
        </w:rPr>
        <w:t>التحقّق</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5027792_2314609296"/>
      <w:bookmarkStart w:id="186" w:name="_Toc72"/>
      <w:bookmarkEnd w:id="185"/>
      <w:r>
        <w:rPr>
          <w:rtl w:val="true"/>
        </w:rPr>
        <w:t xml:space="preserve">و أمّا الثانیة، </w:t>
      </w:r>
      <w:r>
        <w:rPr>
          <w:rtl w:val="true"/>
        </w:rPr>
        <w:t>[</w:t>
      </w:r>
      <w:r>
        <w:rPr>
          <w:rtl w:val="true"/>
        </w:rPr>
        <w:t>ان یعلم بوجود مال محرم للجائر لکن لا یعلم بکون الجائزة منها</w:t>
      </w:r>
      <w:r>
        <w:rPr>
          <w:rtl w:val="true"/>
        </w:rPr>
        <w:t>]</w:t>
      </w:r>
      <w:bookmarkEnd w:id="186"/>
    </w:p>
    <w:p>
      <w:pPr>
        <w:pStyle w:val="Heading6"/>
        <w:numPr>
          <w:ilvl w:val="5"/>
          <w:numId w:val="1"/>
        </w:numPr>
        <w:rPr/>
      </w:pPr>
      <w:bookmarkStart w:id="187" w:name="__RefHeading___Toc5027794_2314609296"/>
      <w:bookmarkStart w:id="188" w:name="_Toc73"/>
      <w:bookmarkEnd w:id="187"/>
      <w:r>
        <w:rPr>
          <w:rtl w:val="true"/>
        </w:rPr>
        <w:t>[</w:t>
      </w:r>
      <w:r>
        <w:rPr>
          <w:rtl w:val="true"/>
        </w:rPr>
        <w:t>الحالة الأولی أن تکون الشبهة غیر محصورة</w:t>
      </w:r>
      <w:r>
        <w:rPr>
          <w:rtl w:val="true"/>
        </w:rPr>
        <w:t>]</w:t>
      </w:r>
      <w:bookmarkEnd w:id="1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الشبهة فیها غیر محصورة،فحکمها کالصورة الأُولی،و کذا إذا کانت محصورة بین ما لا یبتلی المکلّف به و بین ما من شأنه الابتلاء به،کما إذا علم أنّ الواحد المردّد بین هذه الجائزة و بین أُمّ ولده المعدودة من خواصّ نسائه مغصوب؛و ذلک لما تقرّر فی الشبهة المحصورة </w:t>
      </w:r>
      <w:r>
        <w:rPr>
          <w:rStyle w:val="FootnoteAnchor"/>
          <w:rtl w:val="true"/>
        </w:rPr>
        <w:footnoteReference w:id="904"/>
      </w:r>
      <w:r>
        <w:rPr>
          <w:rFonts w:ascii="IRNazanin" w:hAnsi="IRNazanin" w:eastAsia="IRNazanin"/>
          <w:color w:val="111111"/>
          <w:sz w:val="28"/>
          <w:sz w:val="28"/>
          <w:szCs w:val="28"/>
          <w:rtl w:val="true"/>
          <w:lang w:bidi="fa-IR"/>
        </w:rPr>
        <w:t xml:space="preserve">من اشتراط </w:t>
      </w:r>
      <w:r>
        <w:rPr>
          <w:rStyle w:val="FootnoteAnchor"/>
          <w:rtl w:val="true"/>
        </w:rPr>
        <w:footnoteReference w:id="905"/>
      </w:r>
      <w:r>
        <w:rPr>
          <w:rFonts w:ascii="IRNazanin" w:hAnsi="IRNazanin" w:eastAsia="IRNazanin"/>
          <w:color w:val="111111"/>
          <w:sz w:val="28"/>
          <w:sz w:val="28"/>
          <w:szCs w:val="28"/>
          <w:rtl w:val="true"/>
          <w:lang w:bidi="fa-IR"/>
        </w:rPr>
        <w:t xml:space="preserve">تعلّق التکلیف فیها بالحرام الواقعی بکون کلّ من المشتبهین بحیث یکون التکلیف بالاجتناب عنه منجّزاً لو فرض کونه هو المحرّم الواقعی،لا مشروطاً بوقت الابتلاء المفروض انتفاؤه فی أحدهما </w:t>
      </w:r>
      <w:r>
        <w:rPr>
          <w:rStyle w:val="FootnoteAnchor"/>
          <w:rtl w:val="true"/>
        </w:rPr>
        <w:footnoteReference w:id="906"/>
      </w:r>
      <w:r>
        <w:rPr>
          <w:rFonts w:ascii="IRNazanin" w:hAnsi="IRNazanin" w:eastAsia="IRNazanin"/>
          <w:color w:val="111111"/>
          <w:sz w:val="28"/>
          <w:sz w:val="28"/>
          <w:szCs w:val="28"/>
          <w:rtl w:val="true"/>
          <w:lang w:bidi="fa-IR"/>
        </w:rPr>
        <w:t xml:space="preserve">فی المثال؛فإنّ التکلیف حینئذٍ </w:t>
      </w:r>
      <w:r>
        <w:rPr>
          <w:rStyle w:val="FootnoteAnchor"/>
          <w:rtl w:val="true"/>
        </w:rPr>
        <w:footnoteReference w:id="907"/>
      </w:r>
      <w:r>
        <w:rPr>
          <w:rFonts w:ascii="IRNazanin" w:hAnsi="IRNazanin" w:eastAsia="IRNazanin"/>
          <w:color w:val="111111"/>
          <w:sz w:val="28"/>
          <w:sz w:val="28"/>
          <w:szCs w:val="28"/>
          <w:rtl w:val="true"/>
          <w:lang w:bidi="fa-IR"/>
        </w:rPr>
        <w:t>غیر منجّز بالحرام الواقعی علی أیّ تقدیر؛لاحتمال کون المحرّم فی المثال هی أُمّ الولد،و توضیح المطلب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صرّح جماعة </w:t>
      </w:r>
      <w:r>
        <w:rPr>
          <w:rStyle w:val="FootnoteAnchor"/>
          <w:rtl w:val="true"/>
        </w:rPr>
        <w:footnoteReference w:id="908"/>
      </w:r>
      <w:r>
        <w:rPr>
          <w:rFonts w:ascii="IRNazanin" w:hAnsi="IRNazanin" w:eastAsia="IRNazanin"/>
          <w:color w:val="111111"/>
          <w:sz w:val="28"/>
          <w:sz w:val="28"/>
          <w:szCs w:val="28"/>
          <w:rtl w:val="true"/>
          <w:lang w:bidi="fa-IR"/>
        </w:rPr>
        <w:t xml:space="preserve">بکراهة الأخذ،و عن المنتهی </w:t>
      </w:r>
      <w:r>
        <w:rPr>
          <w:rStyle w:val="FootnoteAnchor"/>
          <w:rtl w:val="true"/>
        </w:rPr>
        <w:footnoteReference w:id="909"/>
      </w:r>
      <w:r>
        <w:rPr>
          <w:rFonts w:ascii="IRNazanin" w:hAnsi="IRNazanin" w:eastAsia="IRNazanin"/>
          <w:color w:val="111111"/>
          <w:sz w:val="28"/>
          <w:sz w:val="28"/>
          <w:szCs w:val="28"/>
          <w:rtl w:val="true"/>
          <w:lang w:bidi="fa-IR"/>
        </w:rPr>
        <w:t xml:space="preserve">الاستدلال له باحتمال الحرمة،و بمثل قولهم علیهم السلام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نجا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یزاد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أخذ المال منهم یوجب محبّتهم؛فإنّ القلوب مجبولة علی حبّ من أحسن إلیها،و یترتّب علیه </w:t>
      </w:r>
      <w:r>
        <w:rPr>
          <w:rStyle w:val="FootnoteAnchor"/>
          <w:rtl w:val="true"/>
        </w:rPr>
        <w:footnoteReference w:id="913"/>
      </w:r>
      <w:r>
        <w:rPr>
          <w:rFonts w:ascii="IRNazanin" w:hAnsi="IRNazanin" w:eastAsia="IRNazanin"/>
          <w:color w:val="111111"/>
          <w:sz w:val="28"/>
          <w:sz w:val="28"/>
          <w:szCs w:val="28"/>
          <w:rtl w:val="true"/>
          <w:lang w:bidi="fa-IR"/>
        </w:rPr>
        <w:t>من المفاسد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لا یصیب من دنیاهم شیئاً إلّا أصابوا من دینه مثله</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915"/>
      </w:r>
      <w:r>
        <w:rPr>
          <w:rFonts w:ascii="IRNazanin" w:hAnsi="IRNazanin" w:eastAsia="IRNazanin"/>
          <w:color w:val="111111"/>
          <w:sz w:val="28"/>
          <w:sz w:val="28"/>
          <w:szCs w:val="28"/>
          <w:rtl w:val="true"/>
          <w:lang w:bidi="fa-IR"/>
        </w:rPr>
        <w:t xml:space="preserve">عن الإمام الکاظم من </w:t>
      </w:r>
      <w:r>
        <w:rPr>
          <w:rStyle w:val="FootnoteAnchor"/>
          <w:rtl w:val="true"/>
        </w:rPr>
        <w:footnoteReference w:id="916"/>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أری مَن</w:t>
      </w:r>
    </w:p>
    <w:p>
      <w:pPr>
        <w:pStyle w:val="BookText"/>
        <w:rPr/>
      </w:pPr>
      <w:r>
        <w:rPr>
          <w:rFonts w:ascii="Amiri" w:hAnsi="Amiri" w:eastAsia="Amiri" w:cs="Amiri"/>
          <w:color w:val="111111"/>
          <w:sz w:val="28"/>
          <w:sz w:val="28"/>
          <w:szCs w:val="28"/>
          <w:rtl w:val="true"/>
          <w:lang w:bidi="ar-SA"/>
        </w:rPr>
        <w:t xml:space="preserve">أُزوّجه بها </w:t>
      </w:r>
      <w:r>
        <w:rPr>
          <w:rStyle w:val="FootnoteAnchor"/>
          <w:rtl w:val="true"/>
        </w:rPr>
        <w:footnoteReference w:id="917"/>
      </w:r>
      <w:r>
        <w:rPr>
          <w:rFonts w:ascii="Amiri" w:hAnsi="Amiri" w:eastAsia="Amiri" w:cs="Amiri"/>
          <w:color w:val="111111"/>
          <w:sz w:val="28"/>
          <w:sz w:val="28"/>
          <w:szCs w:val="28"/>
          <w:rtl w:val="true"/>
          <w:lang w:bidi="ar-SA"/>
        </w:rPr>
        <w:t xml:space="preserve">من عزّاب آل </w:t>
      </w:r>
      <w:r>
        <w:rPr>
          <w:rStyle w:val="FootnoteAnchor"/>
          <w:rtl w:val="true"/>
        </w:rPr>
        <w:footnoteReference w:id="918"/>
      </w:r>
      <w:r>
        <w:rPr>
          <w:rFonts w:ascii="IRNazanin" w:hAnsi="IRNazanin" w:eastAsia="IRNazanin"/>
          <w:color w:val="111111"/>
          <w:sz w:val="28"/>
          <w:sz w:val="28"/>
          <w:szCs w:val="28"/>
          <w:rtl w:val="true"/>
          <w:lang w:bidi="fa-IR"/>
        </w:rPr>
        <w:t xml:space="preserve">أبی طالب لئلّا ینقطع نسله ما قبلتها </w:t>
      </w:r>
      <w:r>
        <w:rPr>
          <w:rStyle w:val="FootnoteAnchor"/>
          <w:rtl w:val="true"/>
        </w:rPr>
        <w:footnoteReference w:id="919"/>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ذکروا ارتفاع الکراهة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المجیز بحلیّته </w:t>
      </w:r>
      <w:r>
        <w:rPr>
          <w:rStyle w:val="FootnoteAnchor"/>
          <w:rtl w:val="true"/>
        </w:rPr>
        <w:footnoteReference w:id="921"/>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الجائزة من تجارتی أو زراعتی،أو نحو ذلک ممّا یحلّ للآخذ التصرف فیه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المحکی عن الریاض </w:t>
      </w:r>
      <w:r>
        <w:rPr>
          <w:rStyle w:val="FootnoteAnchor"/>
          <w:rtl w:val="true"/>
        </w:rPr>
        <w:footnoteReference w:id="922"/>
      </w:r>
      <w:r>
        <w:rPr>
          <w:rFonts w:ascii="IRNazanin" w:hAnsi="IRNazanin" w:eastAsia="IRNazanin"/>
          <w:color w:val="111111"/>
          <w:sz w:val="28"/>
          <w:sz w:val="28"/>
          <w:szCs w:val="28"/>
          <w:rtl w:val="true"/>
          <w:lang w:bidi="fa-IR"/>
        </w:rPr>
        <w:t xml:space="preserve">تبعاً لظاهر الحدائق </w:t>
      </w:r>
      <w:r>
        <w:rPr>
          <w:rStyle w:val="FootnoteAnchor"/>
          <w:rtl w:val="true"/>
        </w:rPr>
        <w:footnoteReference w:id="923"/>
      </w:r>
      <w:r>
        <w:rPr>
          <w:rFonts w:ascii="IRNazanin" w:hAnsi="IRNazanin" w:eastAsia="IRNazanin"/>
          <w:color w:val="111111"/>
          <w:sz w:val="28"/>
          <w:sz w:val="28"/>
          <w:szCs w:val="28"/>
          <w:rtl w:val="true"/>
          <w:lang w:bidi="fa-IR"/>
        </w:rPr>
        <w:t>أنّه ممّا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اعترف ولده قدّس سرّه فی المناهل </w:t>
      </w:r>
      <w:r>
        <w:rPr>
          <w:rStyle w:val="FootnoteAnchor"/>
          <w:rtl w:val="true"/>
        </w:rPr>
        <w:footnoteReference w:id="924"/>
      </w:r>
      <w:r>
        <w:rPr>
          <w:rFonts w:ascii="Amiri" w:hAnsi="Amiri" w:eastAsia="Amiri" w:cs="Amiri"/>
          <w:color w:val="111111"/>
          <w:sz w:val="28"/>
          <w:sz w:val="28"/>
          <w:szCs w:val="28"/>
          <w:rtl w:val="true"/>
          <w:lang w:bidi="ar-SA"/>
        </w:rPr>
        <w:t xml:space="preserve">بأنّه لم یجد </w:t>
      </w:r>
      <w:r>
        <w:rPr>
          <w:rStyle w:val="FootnoteAnchor"/>
          <w:rtl w:val="true"/>
        </w:rPr>
        <w:footnoteReference w:id="925"/>
      </w:r>
      <w:r>
        <w:rPr>
          <w:rFonts w:ascii="Amiri" w:hAnsi="Amiri" w:eastAsia="Amiri" w:cs="Amiri"/>
          <w:color w:val="111111"/>
          <w:sz w:val="28"/>
          <w:sz w:val="28"/>
          <w:szCs w:val="28"/>
          <w:rtl w:val="true"/>
          <w:lang w:bidi="ar-SA"/>
        </w:rPr>
        <w:t xml:space="preserve">له مستنداً،مع أنّه </w:t>
      </w:r>
      <w:r>
        <w:rPr>
          <w:rStyle w:val="FootnoteAnchor"/>
          <w:rtl w:val="true"/>
        </w:rPr>
        <w:footnoteReference w:id="926"/>
      </w:r>
      <w:r>
        <w:rPr>
          <w:rFonts w:ascii="IRNazanin" w:hAnsi="IRNazanin" w:eastAsia="IRNazanin"/>
          <w:color w:val="111111"/>
          <w:sz w:val="28"/>
          <w:sz w:val="28"/>
          <w:szCs w:val="28"/>
          <w:rtl w:val="true"/>
          <w:lang w:bidi="fa-IR"/>
        </w:rPr>
        <w:t xml:space="preserve">لم یحکِ التصریح به إلّا عن الأردبیلی </w:t>
      </w:r>
      <w:r>
        <w:rPr>
          <w:rStyle w:val="FootnoteAnchor"/>
          <w:rtl w:val="true"/>
        </w:rPr>
        <w:footnoteReference w:id="927"/>
      </w:r>
      <w:r>
        <w:rPr>
          <w:rFonts w:ascii="Amiri" w:hAnsi="Amiri" w:eastAsia="Amiri" w:cs="Amiri"/>
          <w:color w:val="111111"/>
          <w:sz w:val="28"/>
          <w:sz w:val="28"/>
          <w:szCs w:val="28"/>
          <w:rtl w:val="true"/>
          <w:lang w:bidi="ar-SA"/>
        </w:rPr>
        <w:t xml:space="preserve">،ثمّ عن </w:t>
      </w:r>
      <w:r>
        <w:rPr>
          <w:rStyle w:val="FootnoteAnchor"/>
          <w:rtl w:val="true"/>
        </w:rPr>
        <w:footnoteReference w:id="928"/>
      </w:r>
      <w:r>
        <w:rPr>
          <w:rFonts w:ascii="IRNazanin" w:hAnsi="IRNazanin" w:eastAsia="IRNazanin"/>
          <w:color w:val="111111"/>
          <w:sz w:val="28"/>
          <w:sz w:val="28"/>
          <w:szCs w:val="28"/>
          <w:rtl w:val="true"/>
          <w:lang w:bidi="fa-IR"/>
        </w:rPr>
        <w:t xml:space="preserve">العلّامة الطباطبائی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المستند ما دلّ علی قبول قول </w:t>
      </w:r>
      <w:r>
        <w:rPr>
          <w:rStyle w:val="FootnoteAnchor"/>
          <w:rtl w:val="true"/>
        </w:rPr>
        <w:footnoteReference w:id="930"/>
      </w:r>
      <w:r>
        <w:rPr>
          <w:rFonts w:ascii="IRNazanin" w:hAnsi="IRNazanin" w:eastAsia="IRNazanin"/>
          <w:color w:val="111111"/>
          <w:sz w:val="28"/>
          <w:sz w:val="28"/>
          <w:szCs w:val="28"/>
          <w:rtl w:val="true"/>
          <w:lang w:bidi="fa-IR"/>
        </w:rPr>
        <w:t xml:space="preserve">ذی الید </w:t>
      </w:r>
      <w:r>
        <w:rPr>
          <w:rStyle w:val="FootnoteAnchor"/>
          <w:rtl w:val="true"/>
        </w:rPr>
        <w:footnoteReference w:id="931"/>
      </w:r>
      <w:r>
        <w:rPr>
          <w:rFonts w:ascii="IRNazanin" w:hAnsi="IRNazanin" w:eastAsia="IRNazanin"/>
          <w:color w:val="111111"/>
          <w:sz w:val="28"/>
          <w:sz w:val="28"/>
          <w:szCs w:val="28"/>
          <w:rtl w:val="true"/>
          <w:lang w:bidi="fa-IR"/>
        </w:rPr>
        <w:t xml:space="preserve">فیعمل بقوله،کما لو قامت البیّنة علی تملّکه،و شبهة الحرمة و إن لم ترتفع بذلک،إلّا أنّ الموجب للکراهة لیس مجرّد الاحتمال،و إلّا لعمّت </w:t>
      </w:r>
      <w:r>
        <w:rPr>
          <w:rStyle w:val="FootnoteAnchor"/>
          <w:rtl w:val="true"/>
        </w:rPr>
        <w:footnoteReference w:id="932"/>
      </w:r>
      <w:r>
        <w:rPr>
          <w:rFonts w:ascii="IRNazanin" w:hAnsi="IRNazanin" w:eastAsia="IRNazanin"/>
          <w:color w:val="111111"/>
          <w:sz w:val="28"/>
          <w:sz w:val="28"/>
          <w:szCs w:val="28"/>
          <w:rtl w:val="true"/>
          <w:lang w:bidi="fa-IR"/>
        </w:rPr>
        <w:t>الکراهة أخذ المال من کلّ أحد،بل الموجب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الظالم مظنّة الظلم و الغصب و غیر متورّع عن المحارم،نظیر کراهة سؤر مَن لا یتوقّی النجاسة،و هذا المعنی یرتفع بإخباره،إلّا إذا کان خبره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 للکذب؛لکونه ظالماً غاصباً،فیکون خبره حینئذ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و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مفید إلّا للإباحة الظاهریة الغیر المنافیة للکراهة،فیخصّ </w:t>
      </w:r>
      <w:r>
        <w:rPr>
          <w:rStyle w:val="FootnoteAnchor"/>
          <w:rtl w:val="true"/>
        </w:rPr>
        <w:footnoteReference w:id="933"/>
      </w:r>
      <w:r>
        <w:rPr>
          <w:rFonts w:ascii="IRNazanin" w:hAnsi="IRNazanin" w:eastAsia="IRNazanin"/>
          <w:color w:val="111111"/>
          <w:sz w:val="28"/>
          <w:sz w:val="28"/>
          <w:szCs w:val="28"/>
          <w:rtl w:val="true"/>
          <w:lang w:bidi="fa-IR"/>
        </w:rPr>
        <w:t xml:space="preserve">الحکم برفع الکراهة بما إذا کان مأموناً فی خبره،و قد صرّح الأردبیلی قدّس سرّه بهذا القید فی إخبار وکیله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یندفع ما یقال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فرق بین ید الظالم و تصرفه،و بین خبره،فی کون کلٍّ منهما مفیداً للملکیّة الظاهریة غیر منافٍ للحرمة الواقعیة المقتضیة للاحتیاط،فلا وجه لوجود الکراهة الناشئة عن حسن الاحتیاط مع الید،و ارتفاعها مع الأخبار،فتأمّل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الخمس منه،حکی عن المنتهی </w:t>
      </w:r>
      <w:r>
        <w:rPr>
          <w:rStyle w:val="FootnoteAnchor"/>
          <w:rtl w:val="true"/>
        </w:rPr>
        <w:footnoteReference w:id="936"/>
      </w:r>
      <w:r>
        <w:rPr>
          <w:rFonts w:ascii="IRNazanin" w:hAnsi="IRNazanin" w:eastAsia="IRNazanin"/>
          <w:color w:val="111111"/>
          <w:sz w:val="28"/>
          <w:sz w:val="28"/>
          <w:szCs w:val="28"/>
          <w:rtl w:val="true"/>
          <w:lang w:bidi="fa-IR"/>
        </w:rPr>
        <w:t xml:space="preserve">و المحقق الأردبیلی قدّس سرّه </w:t>
      </w:r>
      <w:r>
        <w:rPr>
          <w:rStyle w:val="FootnoteAnchor"/>
          <w:rtl w:val="true"/>
        </w:rPr>
        <w:footnoteReference w:id="937"/>
      </w:r>
      <w:r>
        <w:rPr>
          <w:rFonts w:ascii="IRNazanin" w:hAnsi="IRNazanin" w:eastAsia="IRNazanin"/>
          <w:color w:val="111111"/>
          <w:sz w:val="28"/>
          <w:sz w:val="28"/>
          <w:szCs w:val="28"/>
          <w:rtl w:val="true"/>
          <w:lang w:bidi="fa-IR"/>
        </w:rPr>
        <w:t xml:space="preserve">،و ظاهر الریاض </w:t>
      </w:r>
      <w:r>
        <w:rPr>
          <w:rStyle w:val="FootnoteAnchor"/>
          <w:rtl w:val="true"/>
        </w:rPr>
        <w:footnoteReference w:id="938"/>
      </w:r>
      <w:r>
        <w:rPr>
          <w:rFonts w:ascii="IRNazanin" w:hAnsi="IRNazanin" w:eastAsia="IRNazanin"/>
          <w:color w:val="111111"/>
          <w:sz w:val="28"/>
          <w:sz w:val="28"/>
          <w:szCs w:val="28"/>
          <w:rtl w:val="true"/>
          <w:lang w:bidi="fa-IR"/>
        </w:rPr>
        <w:t>هنا أیضاً عدم الخلاف،و لعلّه لما ذکر فی المنتهی فی وجه استحباب إخراج الخمس من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الخمس مطهّر للمال المختلط یقیناً بالحرام،فمحتمل الحرمة أولی بالطهر به </w:t>
      </w:r>
      <w:r>
        <w:rPr>
          <w:rStyle w:val="FootnoteAnchor"/>
          <w:rtl w:val="true"/>
        </w:rPr>
        <w:footnoteReference w:id="939"/>
      </w:r>
      <w:r>
        <w:rPr>
          <w:rFonts w:ascii="IRNazanin" w:hAnsi="IRNazanin" w:eastAsia="IRNazanin"/>
          <w:color w:val="111111"/>
          <w:sz w:val="28"/>
          <w:sz w:val="28"/>
          <w:szCs w:val="28"/>
          <w:rtl w:val="true"/>
          <w:lang w:bidi="fa-IR"/>
        </w:rPr>
        <w:t>،فإنّ مقتضی الطهارة بالخمس صیرورة المال حلالاً واقعیّاً، فلا یبقی حکم الشبهة کما لا یبقی فی المال المختلط یقیناً بعد إخراج الخمس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940"/>
      </w:r>
      <w:r>
        <w:rPr>
          <w:rFonts w:ascii="IRNazanin" w:hAnsi="IRNazanin" w:eastAsia="IRNazanin"/>
          <w:color w:val="111111"/>
          <w:sz w:val="28"/>
          <w:sz w:val="28"/>
          <w:szCs w:val="28"/>
          <w:rtl w:val="true"/>
          <w:lang w:bidi="fa-IR"/>
        </w:rPr>
        <w:t>،یمکن الخدشة فی أصل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الخمس إنّما یطهّر المختلط بالحرام،حیث إنّ بعضه حرام و بعضه حلال،فکأنّ الشارع جعل الخمس بدل ما فیه من الحرام،فمعنی تطهیره تخلیصه بإخراج الخمس ممّا فیه من الحرام،فکأنّ المقدار الحلال طاهر </w:t>
      </w:r>
      <w:r>
        <w:rPr>
          <w:rStyle w:val="FootnoteAnchor"/>
          <w:rtl w:val="true"/>
        </w:rPr>
        <w:footnoteReference w:id="941"/>
      </w:r>
      <w:r>
        <w:rPr>
          <w:rFonts w:ascii="IRNazanin" w:hAnsi="IRNazanin" w:eastAsia="IRNazanin"/>
          <w:color w:val="111111"/>
          <w:sz w:val="28"/>
          <w:sz w:val="28"/>
          <w:szCs w:val="28"/>
          <w:rtl w:val="true"/>
          <w:lang w:bidi="fa-IR"/>
        </w:rPr>
        <w:t xml:space="preserve">فی نفسه إلّا أنّه قد تلوّث بسبب الاختلاط مع الحرام </w:t>
      </w:r>
      <w:r>
        <w:rPr>
          <w:rStyle w:val="FootnoteAnchor"/>
          <w:rtl w:val="true"/>
        </w:rPr>
        <w:footnoteReference w:id="942"/>
      </w:r>
      <w:r>
        <w:rPr>
          <w:rFonts w:ascii="IRNazanin" w:hAnsi="IRNazanin" w:eastAsia="IRNazanin"/>
          <w:color w:val="111111"/>
          <w:sz w:val="28"/>
          <w:sz w:val="28"/>
          <w:szCs w:val="28"/>
          <w:rtl w:val="true"/>
          <w:lang w:bidi="fa-IR"/>
        </w:rPr>
        <w:t>بحکم الحرام و هو وجوب</w:t>
      </w:r>
    </w:p>
    <w:p>
      <w:pPr>
        <w:pStyle w:val="BookText"/>
        <w:rPr/>
      </w:pPr>
      <w:r>
        <w:rPr>
          <w:rFonts w:ascii="Amiri" w:hAnsi="Amiri" w:eastAsia="Amiri" w:cs="Amiri"/>
          <w:color w:val="111111"/>
          <w:sz w:val="28"/>
          <w:sz w:val="28"/>
          <w:szCs w:val="28"/>
          <w:rtl w:val="true"/>
          <w:lang w:bidi="ar-SA"/>
        </w:rPr>
        <w:t xml:space="preserve">الاجتناب،فإخراج الخمس مطهّر له عن هذه القذارة </w:t>
      </w:r>
      <w:r>
        <w:rPr>
          <w:rStyle w:val="FootnoteAnchor"/>
          <w:rtl w:val="true"/>
        </w:rPr>
        <w:footnoteReference w:id="943"/>
      </w:r>
      <w:r>
        <w:rPr>
          <w:rFonts w:ascii="Amiri" w:hAnsi="Amiri" w:eastAsia="Amiri" w:cs="Amiri"/>
          <w:color w:val="111111"/>
          <w:sz w:val="28"/>
          <w:sz w:val="28"/>
          <w:szCs w:val="28"/>
          <w:rtl w:val="true"/>
          <w:lang w:bidi="ar-SA"/>
        </w:rPr>
        <w:t xml:space="preserve">العَرَضیّة، و أمّا المال المحتمل لکونه بنفسه حراماً و قذراً ذاتیّاً فلا معنی لتطهّره </w:t>
      </w:r>
      <w:r>
        <w:rPr>
          <w:rStyle w:val="FootnoteAnchor"/>
          <w:rtl w:val="true"/>
        </w:rPr>
        <w:footnoteReference w:id="944"/>
      </w:r>
      <w:r>
        <w:rPr>
          <w:rFonts w:ascii="IRNazanin" w:hAnsi="IRNazanin" w:eastAsia="IRNazanin"/>
          <w:color w:val="111111"/>
          <w:sz w:val="28"/>
          <w:sz w:val="28"/>
          <w:szCs w:val="28"/>
          <w:rtl w:val="true"/>
          <w:lang w:bidi="fa-IR"/>
        </w:rPr>
        <w:t>بإخراج خمسة،بل المناسب لحکم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الاختلاط قذارة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الحرام قذر العین،و لازمه أنّ المال المحتمل الحرمة غیر قابل للتطهیر فلا بدّ من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أن یستأنس أو یستدلّ علی استحباب الخمس بعد فتوی النهایة </w:t>
      </w:r>
      <w:r>
        <w:rPr>
          <w:rStyle w:val="FootnoteAnchor"/>
          <w:rtl w:val="true"/>
        </w:rPr>
        <w:footnoteReference w:id="945"/>
      </w:r>
      <w:r>
        <w:rPr>
          <w:rFonts w:ascii="IRNazanin" w:hAnsi="IRNazanin" w:eastAsia="IRNazanin"/>
          <w:color w:val="111111"/>
          <w:sz w:val="28"/>
          <w:sz w:val="28"/>
          <w:szCs w:val="28"/>
          <w:rtl w:val="true"/>
          <w:lang w:bidi="fa-IR"/>
        </w:rPr>
        <w:t xml:space="preserve">التی هی کالروایة،ففیها </w:t>
      </w:r>
      <w:r>
        <w:rPr>
          <w:rStyle w:val="FootnoteAnchor"/>
          <w:rtl w:val="true"/>
        </w:rPr>
        <w:footnoteReference w:id="946"/>
      </w:r>
      <w:r>
        <w:rPr>
          <w:rFonts w:ascii="IRNazanin" w:hAnsi="IRNazanin" w:eastAsia="IRNazanin"/>
          <w:color w:val="111111"/>
          <w:sz w:val="28"/>
          <w:sz w:val="28"/>
          <w:szCs w:val="28"/>
          <w:rtl w:val="true"/>
          <w:lang w:bidi="fa-IR"/>
        </w:rPr>
        <w:t xml:space="preserve">کفایة فی الحکم بالاستحباب </w:t>
      </w:r>
      <w:r>
        <w:rPr>
          <w:rStyle w:val="FootnoteAnchor"/>
          <w:rtl w:val="true"/>
        </w:rPr>
        <w:footnoteReference w:id="947"/>
      </w:r>
      <w:r>
        <w:rPr>
          <w:rFonts w:ascii="IRNazanin" w:hAnsi="IRNazanin" w:eastAsia="IRNazanin"/>
          <w:color w:val="111111"/>
          <w:sz w:val="28"/>
          <w:sz w:val="28"/>
          <w:szCs w:val="28"/>
          <w:rtl w:val="true"/>
          <w:lang w:bidi="fa-IR"/>
        </w:rPr>
        <w:t xml:space="preserve">، و کذلک فتوی السرائر </w:t>
      </w:r>
      <w:r>
        <w:rPr>
          <w:rStyle w:val="FootnoteAnchor"/>
          <w:rtl w:val="true"/>
        </w:rPr>
        <w:footnoteReference w:id="948"/>
      </w:r>
      <w:r>
        <w:rPr>
          <w:rFonts w:ascii="IRNazanin" w:hAnsi="IRNazanin" w:eastAsia="IRNazanin"/>
          <w:color w:val="111111"/>
          <w:sz w:val="28"/>
          <w:sz w:val="28"/>
          <w:szCs w:val="28"/>
          <w:rtl w:val="true"/>
          <w:lang w:bidi="fa-IR"/>
        </w:rPr>
        <w:t>مع عدم العمل فیها إلّا بالقطعیّات بالموثّقة المسئول فیها عن عمل السلطان یخرج فیه الرجل،قال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لا،إلّا أن لا یقدر علی شیءٍ یأکل و یشرب </w:t>
      </w:r>
      <w:r>
        <w:rPr>
          <w:rStyle w:val="FootnoteAnchor"/>
          <w:rtl w:val="true"/>
        </w:rPr>
        <w:footnoteReference w:id="949"/>
      </w:r>
      <w:r>
        <w:rPr>
          <w:rFonts w:ascii="IRNazanin" w:hAnsi="IRNazanin" w:eastAsia="IRNazanin"/>
          <w:color w:val="111111"/>
          <w:sz w:val="28"/>
          <w:sz w:val="28"/>
          <w:szCs w:val="28"/>
          <w:rtl w:val="true"/>
          <w:lang w:bidi="fa-IR"/>
        </w:rPr>
        <w:t xml:space="preserve">و لا یقدر علی حیلةٍ </w:t>
      </w:r>
      <w:r>
        <w:rPr>
          <w:rStyle w:val="FootnoteAnchor"/>
          <w:rtl w:val="true"/>
        </w:rPr>
        <w:footnoteReference w:id="950"/>
      </w:r>
      <w:r>
        <w:rPr>
          <w:rFonts w:ascii="IRNazanin" w:hAnsi="IRNazanin" w:eastAsia="IRNazanin"/>
          <w:color w:val="111111"/>
          <w:sz w:val="28"/>
          <w:sz w:val="28"/>
          <w:szCs w:val="28"/>
          <w:rtl w:val="true"/>
          <w:lang w:bidi="fa-IR"/>
        </w:rPr>
        <w:t>فإن فعل فصار فی یده شیءٌ فلیبعث بخمسه إلی أهل البیت علیهم السلام</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فإنّ موردها و إن کان ما یقع فی یده بإزاء العمل إلّا أنّ الظاهر عدم الفرق بینه و بین ما یقع فی الید علی وجه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یستدلّ له أیضاً بما دلّ علی وجوب الخمس فی الجائزة مطلقاً،و هی عدّة أخبار مذکورة فی محلّها </w:t>
      </w:r>
      <w:r>
        <w:rPr>
          <w:rStyle w:val="FootnoteAnchor"/>
          <w:rtl w:val="true"/>
        </w:rPr>
        <w:footnoteReference w:id="952"/>
      </w:r>
      <w:r>
        <w:rPr>
          <w:rFonts w:ascii="IRNazanin" w:hAnsi="IRNazanin" w:eastAsia="IRNazanin"/>
          <w:color w:val="111111"/>
          <w:sz w:val="28"/>
          <w:sz w:val="28"/>
          <w:szCs w:val="28"/>
          <w:rtl w:val="true"/>
          <w:lang w:bidi="fa-IR"/>
        </w:rPr>
        <w:t xml:space="preserve">،و حیث إنّ المشهور غیر قائلین بوجوب الخمس فی الجائزة حملوا تلک الأخبار علی الاستحباب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المستفاد ممّا تقدّم </w:t>
      </w:r>
      <w:r>
        <w:rPr>
          <w:rStyle w:val="FootnoteAnchor"/>
          <w:rtl w:val="true"/>
        </w:rPr>
        <w:footnoteReference w:id="954"/>
      </w:r>
      <w:r>
        <w:rPr>
          <w:rFonts w:ascii="IRNazanin" w:hAnsi="IRNazanin" w:eastAsia="IRNazanin"/>
          <w:color w:val="111111"/>
          <w:sz w:val="28"/>
          <w:sz w:val="28"/>
          <w:szCs w:val="28"/>
          <w:rtl w:val="true"/>
          <w:lang w:bidi="fa-IR"/>
        </w:rPr>
        <w:t>من اعتذار الکاظم علیه السلام من قبول الجائزة بتزویج عزّاب الطالبیّین لئلّا ینقطع نسلهم،و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الکراهة ترتفع بکلّ مصلحة هی أهمّ فی نظر الشارع من الاجتناب عن الشبهة،و یمکن أن یکون اعتذاره علیه السلام إشارة إلی أنّه لولا صرفها فیما یصرف فیه المظالم المردودة لَمَا قَبِلَها،فیجب أو ینبغی أن یأخذها ثم یصرفها فی مصارفها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الفروع کلّها بعد الفراغ عن إباحة أخذ الجائزة،و المتّفق علیه من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عدم العلم بالحرام فی ماله أصلاً،أو العلم</w:t>
      </w:r>
      <w:bookmarkStart w:id="189" w:name="pg19674_191671"/>
    </w:p>
    <w:p>
      <w:pPr>
        <w:pStyle w:val="BookText"/>
        <w:rPr/>
      </w:pPr>
      <w:bookmarkEnd w:id="189"/>
      <w:r>
        <w:rPr>
          <w:rFonts w:ascii="IRNazanin" w:hAnsi="IRNazanin" w:eastAsia="IRNazanin"/>
          <w:color w:val="111111"/>
          <w:sz w:val="28"/>
          <w:sz w:val="28"/>
          <w:szCs w:val="28"/>
          <w:rtl w:val="true"/>
          <w:lang w:bidi="fa-IR"/>
        </w:rPr>
        <w:t>بوجود الحرام مع کون الشبهة غیر محصورة،أو محصورة ملحقة بغیر المحصورة،علی ما عرفت</w:t>
      </w:r>
      <w:r>
        <w:rPr>
          <w:rFonts w:eastAsia="IRNazanin" w:cs="IRNazanin"/>
          <w:color w:val="111111"/>
          <w:sz w:val="28"/>
          <w:szCs w:val="28"/>
          <w:rtl w:val="true"/>
          <w:lang w:bidi="fa-IR"/>
        </w:rPr>
        <w:t>.</w:t>
      </w:r>
    </w:p>
    <w:p>
      <w:pPr>
        <w:pStyle w:val="Heading6"/>
        <w:numPr>
          <w:ilvl w:val="5"/>
          <w:numId w:val="1"/>
        </w:numPr>
        <w:rPr/>
      </w:pPr>
      <w:bookmarkStart w:id="190" w:name="__RefHeading___Toc5027796_2314609296"/>
      <w:bookmarkStart w:id="191" w:name="_Toc74"/>
      <w:bookmarkEnd w:id="190"/>
      <w:r>
        <w:rPr>
          <w:rtl w:val="true"/>
        </w:rPr>
        <w:t>[</w:t>
      </w:r>
      <w:r>
        <w:rPr>
          <w:rtl w:val="true"/>
        </w:rPr>
        <w:t>الحالة الثانیة</w:t>
      </w:r>
      <w:r>
        <w:rPr>
          <w:rtl w:val="true"/>
        </w:rPr>
        <w:t>]</w:t>
      </w:r>
      <w:bookmarkEnd w:id="191"/>
    </w:p>
    <w:p>
      <w:pPr>
        <w:pStyle w:val="BookText"/>
        <w:rPr/>
      </w:pPr>
      <w:r>
        <w:rPr>
          <w:rFonts w:ascii="IRNazanin" w:hAnsi="IRNazanin" w:eastAsia="IRNazanin"/>
          <w:color w:val="111111"/>
          <w:sz w:val="28"/>
          <w:sz w:val="28"/>
          <w:szCs w:val="28"/>
          <w:rtl w:val="true"/>
          <w:lang w:bidi="fa-IR"/>
        </w:rPr>
        <w:t>و إن کانت الشبهة محصورة</w:t>
      </w:r>
    </w:p>
    <w:p>
      <w:pPr>
        <w:pStyle w:val="BookText"/>
        <w:rPr/>
      </w:pPr>
      <w:r>
        <w:rPr>
          <w:rFonts w:ascii="IRNazanin" w:hAnsi="IRNazanin" w:eastAsia="IRNazanin"/>
          <w:color w:val="111111"/>
          <w:sz w:val="28"/>
          <w:sz w:val="28"/>
          <w:szCs w:val="28"/>
          <w:rtl w:val="true"/>
          <w:lang w:bidi="fa-IR"/>
        </w:rPr>
        <w:t>بحیث تقتضی قاعدة الاحتیاط لزوم الاجتناب عن الجمیع؛لقابلیة تنجز التکلیف بالحرام المعلوم إجمالاً، فظاهر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 به فی المسالک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و عدم لحوق حکم الشبهة المحصورة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جوائز السلطان الظالم </w:t>
      </w:r>
      <w:r>
        <w:rPr>
          <w:rStyle w:val="FootnoteAnchor"/>
          <w:rtl w:val="true"/>
        </w:rPr>
        <w:footnoteReference w:id="956"/>
      </w:r>
      <w:r>
        <w:rPr>
          <w:rFonts w:ascii="IRNazanin" w:hAnsi="IRNazanin" w:eastAsia="IRNazanin"/>
          <w:color w:val="111111"/>
          <w:sz w:val="28"/>
          <w:sz w:val="28"/>
          <w:szCs w:val="28"/>
          <w:rtl w:val="true"/>
          <w:lang w:bidi="fa-IR"/>
        </w:rPr>
        <w:t xml:space="preserve">إن علمت حراماً بعینها فهی حرام </w:t>
      </w:r>
      <w:r>
        <w:rPr>
          <w:rStyle w:val="FootnoteAnchor"/>
          <w:rtl w:val="true"/>
        </w:rPr>
        <w:footnoteReference w:id="957"/>
      </w:r>
      <w:r>
        <w:rPr>
          <w:rFonts w:ascii="IRNazanin" w:hAnsi="IRNazanin" w:eastAsia="IRNazanin"/>
          <w:color w:val="111111"/>
          <w:sz w:val="28"/>
          <w:sz w:val="28"/>
          <w:szCs w:val="28"/>
          <w:rtl w:val="true"/>
          <w:lang w:bidi="fa-IR"/>
        </w:rPr>
        <w:t xml:space="preserve">،و نحوه عن نهایة الإحکام </w:t>
      </w:r>
      <w:r>
        <w:rPr>
          <w:rStyle w:val="FootnoteAnchor"/>
          <w:rtl w:val="true"/>
        </w:rPr>
        <w:footnoteReference w:id="958"/>
      </w:r>
      <w:r>
        <w:rPr>
          <w:rFonts w:ascii="IRNazanin" w:hAnsi="IRNazanin" w:eastAsia="IRNazanin"/>
          <w:color w:val="111111"/>
          <w:sz w:val="28"/>
          <w:sz w:val="28"/>
          <w:szCs w:val="28"/>
          <w:rtl w:val="true"/>
          <w:lang w:bidi="fa-IR"/>
        </w:rPr>
        <w:t xml:space="preserve">و الدروس </w:t>
      </w:r>
      <w:r>
        <w:rPr>
          <w:rStyle w:val="FootnoteAnchor"/>
          <w:rtl w:val="true"/>
        </w:rPr>
        <w:footnoteReference w:id="959"/>
      </w:r>
      <w:r>
        <w:rPr>
          <w:rFonts w:ascii="IRNazanin" w:hAnsi="IRNazanin" w:eastAsia="IRNazanin"/>
          <w:color w:val="111111"/>
          <w:sz w:val="28"/>
          <w:sz w:val="28"/>
          <w:szCs w:val="28"/>
          <w:rtl w:val="true"/>
          <w:lang w:bidi="fa-IR"/>
        </w:rPr>
        <w:t xml:space="preserve">و غیرهما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التقیید بالعین إشارة إلی جواز أخذها و إن علم أنّ فی ماله مظالم،کما هو مقتضی حال الظالم،و لا یکون حکمه حکم المال المختلط بالحرام فی وجوب اجتناب الجمیع؛للنصّ علی ذلک </w:t>
      </w:r>
      <w:r>
        <w:rPr>
          <w:rStyle w:val="FootnoteAnchor"/>
          <w:rtl w:val="true"/>
        </w:rPr>
        <w:footnoteReference w:id="9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أخبار الباب ما یکون حاکماً علی قاعدة الاحتیاط فی الشبهة المحصورة،بل هی مطلقة أقصاها کونها من قبیل</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تقرّر </w:t>
      </w:r>
      <w:r>
        <w:rPr>
          <w:rStyle w:val="FootnoteAnchor"/>
          <w:rtl w:val="true"/>
        </w:rPr>
        <w:footnoteReference w:id="964"/>
      </w:r>
      <w:r>
        <w:rPr>
          <w:rFonts w:ascii="IRNazanin" w:hAnsi="IRNazanin" w:eastAsia="IRNazanin"/>
          <w:color w:val="111111"/>
          <w:sz w:val="28"/>
          <w:sz w:val="28"/>
          <w:szCs w:val="28"/>
          <w:rtl w:val="true"/>
          <w:lang w:bidi="fa-IR"/>
        </w:rPr>
        <w:t xml:space="preserve">حکومة قاعدة الاحتیاط علی ذلک،فلا بدّ حینئذٍ من حمل الأخبار علی مورد لا تقتضی القاعدة لزوم الاجتناب عنه، کالشبهة الغیر المحصورة أو المحصورة التی </w:t>
      </w:r>
      <w:r>
        <w:rPr>
          <w:rStyle w:val="FootnoteAnchor"/>
          <w:rtl w:val="true"/>
        </w:rPr>
        <w:footnoteReference w:id="965"/>
      </w:r>
      <w:r>
        <w:rPr>
          <w:rFonts w:ascii="IRNazanin" w:hAnsi="IRNazanin" w:eastAsia="IRNazanin"/>
          <w:color w:val="111111"/>
          <w:sz w:val="28"/>
          <w:sz w:val="28"/>
          <w:szCs w:val="28"/>
          <w:rtl w:val="true"/>
          <w:lang w:bidi="fa-IR"/>
        </w:rPr>
        <w:t xml:space="preserve">لم یکن کل من محتملاتها </w:t>
      </w:r>
      <w:r>
        <w:rPr>
          <w:rStyle w:val="FootnoteAnchor"/>
          <w:rtl w:val="true"/>
        </w:rPr>
        <w:footnoteReference w:id="966"/>
      </w:r>
      <w:r>
        <w:rPr>
          <w:rFonts w:ascii="IRNazanin" w:hAnsi="IRNazanin" w:eastAsia="IRNazanin"/>
          <w:color w:val="111111"/>
          <w:sz w:val="28"/>
          <w:sz w:val="28"/>
          <w:szCs w:val="28"/>
          <w:rtl w:val="true"/>
          <w:lang w:bidi="fa-IR"/>
        </w:rPr>
        <w:t xml:space="preserve">مورداً لابتلاء المکلّف،أو علی أنّ ما یتصرّف فیه الجائر بالإعطاء یجوز أخذه؛حملاً لتصرّفه علی الصحیح،أو لأنّ تردّد الحرام بین ما ملّکه الجائر و بین غیره </w:t>
      </w:r>
      <w:r>
        <w:rPr>
          <w:rStyle w:val="FootnoteAnchor"/>
          <w:rtl w:val="true"/>
        </w:rPr>
        <w:footnoteReference w:id="967"/>
      </w:r>
      <w:r>
        <w:rPr>
          <w:rFonts w:ascii="IRNazanin" w:hAnsi="IRNazanin" w:eastAsia="IRNazanin"/>
          <w:color w:val="111111"/>
          <w:sz w:val="28"/>
          <w:sz w:val="28"/>
          <w:szCs w:val="28"/>
          <w:rtl w:val="true"/>
          <w:lang w:bidi="fa-IR"/>
        </w:rPr>
        <w:t xml:space="preserve">،من قبیل التردّد بین ما ابتلی به المکلّف، و ما لم یبتل به،و هو ما لم یعرّضه الجائر لتملیکه </w:t>
      </w:r>
      <w:r>
        <w:rPr>
          <w:rStyle w:val="FootnoteAnchor"/>
          <w:rtl w:val="true"/>
        </w:rPr>
        <w:footnoteReference w:id="968"/>
      </w:r>
      <w:r>
        <w:rPr>
          <w:rFonts w:ascii="IRNazanin" w:hAnsi="IRNazanin" w:eastAsia="IRNazanin"/>
          <w:color w:val="111111"/>
          <w:sz w:val="28"/>
          <w:sz w:val="28"/>
          <w:szCs w:val="28"/>
          <w:rtl w:val="true"/>
          <w:lang w:bidi="fa-IR"/>
        </w:rPr>
        <w:t xml:space="preserve">،فلا یحرم قبول ما ملّکه،لدوران الحرام بینه و بین ما لم یعرضه لتملیکه،فالتکلیف بالاجتناب عن الحرام الواقعی غیر منجَّز علیه کما أشرنا إلیه سابقاً </w:t>
      </w:r>
      <w:r>
        <w:rPr>
          <w:rStyle w:val="FootnoteAnchor"/>
          <w:rtl w:val="true"/>
        </w:rPr>
        <w:footnoteReference w:id="9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مورداً خارجاً عن هذه الوجوه المذکورة،کما إذا أراد أخذ شیء من ماله مقاصّة،أو أذن له الجائر فی أخذ شیء من أمواله علی سبیل التخییر </w:t>
      </w:r>
      <w:r>
        <w:rPr>
          <w:rStyle w:val="FootnoteAnchor"/>
          <w:rtl w:val="true"/>
        </w:rPr>
        <w:footnoteReference w:id="970"/>
      </w:r>
      <w:r>
        <w:rPr>
          <w:rFonts w:ascii="IRNazanin" w:hAnsi="IRNazanin" w:eastAsia="IRNazanin"/>
          <w:color w:val="111111"/>
          <w:sz w:val="28"/>
          <w:sz w:val="28"/>
          <w:szCs w:val="28"/>
          <w:rtl w:val="true"/>
          <w:lang w:bidi="fa-IR"/>
        </w:rPr>
        <w:t>،أو علم أنّ المجیز قد أجازه من المال المختلط فی اعتقاده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w:t>
      </w:r>
      <w:r>
        <w:rPr>
          <w:rStyle w:val="FootnoteAnchor"/>
          <w:rtl w:val="true"/>
        </w:rPr>
        <w:footnoteReference w:id="971"/>
      </w:r>
      <w:r>
        <w:rPr>
          <w:rFonts w:ascii="Amiri" w:hAnsi="Amiri" w:eastAsia="Amiri" w:cs="Amiri"/>
          <w:color w:val="111111"/>
          <w:sz w:val="28"/>
          <w:sz w:val="28"/>
          <w:szCs w:val="28"/>
          <w:rtl w:val="true"/>
          <w:lang w:bidi="ar-SA"/>
        </w:rPr>
        <w:t xml:space="preserve">علی أنّ الید لا تؤثّر فی حلّ ما کلّف </w:t>
      </w:r>
      <w:r>
        <w:rPr>
          <w:rStyle w:val="FootnoteAnchor"/>
          <w:rtl w:val="true"/>
        </w:rPr>
        <w:footnoteReference w:id="972"/>
      </w:r>
      <w:r>
        <w:rPr>
          <w:rFonts w:ascii="IRNazanin" w:hAnsi="IRNazanin" w:eastAsia="IRNazanin"/>
          <w:color w:val="111111"/>
          <w:sz w:val="28"/>
          <w:sz w:val="28"/>
          <w:szCs w:val="28"/>
          <w:rtl w:val="true"/>
          <w:lang w:bidi="fa-IR"/>
        </w:rPr>
        <w:t xml:space="preserve">ظاهراً بالاجتناب عنه </w:t>
      </w:r>
      <w:r>
        <w:rPr>
          <w:rStyle w:val="FootnoteAnchor"/>
          <w:rtl w:val="true"/>
        </w:rPr>
        <w:footnoteReference w:id="973"/>
      </w:r>
      <w:r>
        <w:rPr>
          <w:rFonts w:ascii="IRNazanin" w:hAnsi="IRNazanin" w:eastAsia="IRNazanin"/>
          <w:color w:val="111111"/>
          <w:sz w:val="28"/>
          <w:sz w:val="28"/>
          <w:szCs w:val="28"/>
          <w:rtl w:val="true"/>
          <w:lang w:bidi="fa-IR"/>
        </w:rPr>
        <w:t>،کما لو علمنا أنّ الشخص أعارنا أحد الثوبین المشتبهین فی نظره،فإنّه لا یحکم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فی هذه الصور </w:t>
      </w:r>
      <w:r>
        <w:rPr>
          <w:rStyle w:val="FootnoteAnchor"/>
          <w:rtl w:val="true"/>
        </w:rPr>
        <w:footnoteReference w:id="974"/>
      </w:r>
      <w:r>
        <w:rPr>
          <w:rFonts w:ascii="IRNazanin" w:hAnsi="IRNazanin" w:eastAsia="IRNazanin"/>
          <w:color w:val="111111"/>
          <w:sz w:val="28"/>
          <w:sz w:val="28"/>
          <w:szCs w:val="28"/>
          <w:rtl w:val="true"/>
          <w:lang w:bidi="fa-IR"/>
        </w:rPr>
        <w:t xml:space="preserve">بجواز أخذ بعض ذلک مع العلم بالحرام فیه </w:t>
      </w:r>
      <w:r>
        <w:rPr>
          <w:rStyle w:val="FootnoteAnchor"/>
          <w:rtl w:val="true"/>
        </w:rPr>
        <w:footnoteReference w:id="975"/>
      </w:r>
      <w:r>
        <w:rPr>
          <w:rFonts w:ascii="IRNazanin" w:hAnsi="IRNazanin" w:eastAsia="IRNazanin"/>
          <w:color w:val="111111"/>
          <w:sz w:val="28"/>
          <w:sz w:val="28"/>
          <w:szCs w:val="28"/>
          <w:rtl w:val="true"/>
          <w:lang w:bidi="fa-IR"/>
        </w:rPr>
        <w:t>،و طرح قاعدة الاحتیاط فی الشبهة المحصورة فی غایة الإشکال،بل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فلنذکر النصوص الواردة فی هذا المقام،و نتکلّم فی مقدار شمول کلّ واحد منها بعد ذکره </w:t>
      </w:r>
      <w:r>
        <w:rPr>
          <w:rStyle w:val="FootnoteAnchor"/>
          <w:rtl w:val="true"/>
        </w:rPr>
        <w:footnoteReference w:id="976"/>
      </w:r>
      <w:r>
        <w:rPr>
          <w:rFonts w:ascii="IRNazanin" w:hAnsi="IRNazanin" w:eastAsia="IRNazanin"/>
          <w:color w:val="111111"/>
          <w:sz w:val="28"/>
          <w:sz w:val="28"/>
          <w:szCs w:val="28"/>
          <w:rtl w:val="true"/>
          <w:lang w:bidi="fa-IR"/>
        </w:rPr>
        <w:t>حتی یعلم عدم نهوضها للحکومة علی القاعدة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الأخبار التی استدلّ بها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p>
    <w:p>
      <w:pPr>
        <w:pStyle w:val="BookText"/>
        <w:rPr/>
      </w:pPr>
      <w:r>
        <w:rPr>
          <w:rFonts w:ascii="IRNazanin" w:hAnsi="IRNazanin" w:eastAsia="IRNazanin"/>
          <w:color w:val="111111"/>
          <w:sz w:val="28"/>
          <w:sz w:val="28"/>
          <w:szCs w:val="28"/>
          <w:rtl w:val="true"/>
          <w:lang w:bidi="fa-IR"/>
        </w:rPr>
        <w:t>فتدعه</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المستند فی المسألة لو کان مثل هذا لکان الواجب إمّا التزام أنّ القاعدة فی الشبهة المحصورة عدم وجوب الاحتیاط مطلقاً، کما علیه شرذمة من متأخّری المتأخّرین </w:t>
      </w:r>
      <w:r>
        <w:rPr>
          <w:rStyle w:val="FootnoteAnchor"/>
          <w:rtl w:val="true"/>
        </w:rPr>
        <w:footnoteReference w:id="979"/>
      </w:r>
      <w:r>
        <w:rPr>
          <w:rFonts w:ascii="IRNazanin" w:hAnsi="IRNazanin" w:eastAsia="IRNazanin"/>
          <w:color w:val="111111"/>
          <w:sz w:val="28"/>
          <w:sz w:val="28"/>
          <w:szCs w:val="28"/>
          <w:rtl w:val="true"/>
          <w:lang w:bidi="fa-IR"/>
        </w:rPr>
        <w:t xml:space="preserve">،أو أنّ مورد الشبهة المحصورة من جوائز الظلمة خارج عن عنوان الأصحاب،و علی أی تقدیر فهو علی طرف النقیض ممّا تقدّم عن المسالک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ولاّد،قال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فی رجل یلی أعمال السلطان لیس له مکسب إلّا من أعمالهم، و أنا أمرّ به و أنزل علیه فیضیّفنی و یحسن إلیّ،و ربما أمر لی بالدراهم و الکسوة،و قد ضاق صدری من ذلک؟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 خذ منها </w:t>
      </w:r>
      <w:r>
        <w:rPr>
          <w:rStyle w:val="FootnoteAnchor"/>
          <w:rtl w:val="true"/>
        </w:rPr>
        <w:footnoteReference w:id="981"/>
      </w:r>
      <w:r>
        <w:rPr>
          <w:rFonts w:ascii="Amiri" w:hAnsi="Amiri" w:eastAsia="Amiri" w:cs="Amiri"/>
          <w:color w:val="111111"/>
          <w:sz w:val="28"/>
          <w:sz w:val="28"/>
          <w:szCs w:val="28"/>
          <w:rtl w:val="true"/>
          <w:lang w:bidi="ar-SA"/>
        </w:rPr>
        <w:t xml:space="preserve">، فلک المَهْنَأ </w:t>
      </w:r>
      <w:r>
        <w:rPr>
          <w:rStyle w:val="FootnoteAnchor"/>
          <w:rtl w:val="true"/>
        </w:rPr>
        <w:footnoteReference w:id="982"/>
      </w:r>
      <w:r>
        <w:rPr>
          <w:rFonts w:ascii="IRNazanin" w:hAnsi="IRNazanin" w:eastAsia="IRNazanin"/>
          <w:color w:val="111111"/>
          <w:sz w:val="28"/>
          <w:sz w:val="28"/>
          <w:szCs w:val="28"/>
          <w:rtl w:val="true"/>
          <w:lang w:bidi="fa-IR"/>
        </w:rPr>
        <w:t xml:space="preserve">،و علیه الوزر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به علی المدّعی لا یخلو عن نظر؛لأنّ الاستشهاد إن</w:t>
      </w:r>
    </w:p>
    <w:p>
      <w:pPr>
        <w:pStyle w:val="BookText"/>
        <w:rPr/>
      </w:pPr>
      <w:r>
        <w:rPr>
          <w:rFonts w:ascii="IRNazanin" w:hAnsi="IRNazanin" w:eastAsia="IRNazanin"/>
          <w:color w:val="111111"/>
          <w:sz w:val="28"/>
          <w:sz w:val="28"/>
          <w:szCs w:val="28"/>
          <w:rtl w:val="true"/>
          <w:lang w:bidi="fa-IR"/>
        </w:rPr>
        <w:t>کان من حیث حکمه علیه السلام بحلّ مال العامل المجیز للسائل،فلا یخفی أنّ الظاهر من هذه الروایة و من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ما یأخذه عمّال السلطان بإزاء عملهم له،و أنّ العمل للسلطان من المکاسب المحرمة،فالحکم بالحلّ لیس إلّا من حیث احتمال کون ما یعطی من غیر أعیان ما یأخذه من السلطان،بل ممّا اقترضه أو اشتراه فی الذمّة، و أمّا من حیث إنّ ما یقع من العامل بید السائل لکونه من </w:t>
      </w:r>
      <w:r>
        <w:rPr>
          <w:rStyle w:val="FootnoteAnchor"/>
          <w:rtl w:val="true"/>
        </w:rPr>
        <w:footnoteReference w:id="985"/>
      </w:r>
      <w:r>
        <w:rPr>
          <w:rFonts w:ascii="IRNazanin" w:hAnsi="IRNazanin" w:eastAsia="IRNazanin"/>
          <w:color w:val="111111"/>
          <w:sz w:val="28"/>
          <w:sz w:val="28"/>
          <w:szCs w:val="28"/>
          <w:rtl w:val="true"/>
          <w:lang w:bidi="fa-IR"/>
        </w:rPr>
        <w:t>مال السلطان حلال لمن وجده،فیتمّ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فیه مع أنّ الاحتمال الأوّل مسقط للاستدلال علی حلّ المشتبه المحصور الذی تقضی </w:t>
      </w:r>
      <w:r>
        <w:rPr>
          <w:rStyle w:val="FootnoteAnchor"/>
          <w:rtl w:val="true"/>
        </w:rPr>
        <w:footnoteReference w:id="986"/>
      </w:r>
      <w:r>
        <w:rPr>
          <w:rFonts w:ascii="IRNazanin" w:hAnsi="IRNazanin" w:eastAsia="IRNazanin"/>
          <w:color w:val="111111"/>
          <w:sz w:val="28"/>
          <w:sz w:val="28"/>
          <w:szCs w:val="28"/>
          <w:rtl w:val="true"/>
          <w:lang w:bidi="fa-IR"/>
        </w:rPr>
        <w:t>القاعدة لزوم الاحتیاط فیه؛لأنّ الاعتماد حینئذٍ علی الید،کما لو فرض مثله فی غیر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بالحلّ علی هذا الاحتمال غیر وجیه،إلّا علی تقدیر کون المال المذکور من الخراج و المقاسمة المباحین للشیعة؛إذ لو کان من صلب مال السلطان أو غیره لم یتّجه حلّه لغیر المالک بغیر رضاه؛لأنّ المفروض حرمته علی العامل؛لعدم احترام عمله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کان،فالروایة إمّا من أدلّة حلّ مال السلطان،المحمول </w:t>
      </w:r>
      <w:r>
        <w:rPr>
          <w:rStyle w:val="FootnoteAnchor"/>
          <w:rtl w:val="true"/>
        </w:rPr>
        <w:footnoteReference w:id="987"/>
      </w:r>
      <w:r>
        <w:rPr>
          <w:rFonts w:ascii="IRNazanin" w:hAnsi="IRNazanin" w:eastAsia="IRNazanin"/>
          <w:color w:val="111111"/>
          <w:sz w:val="28"/>
          <w:sz w:val="28"/>
          <w:szCs w:val="28"/>
          <w:rtl w:val="true"/>
          <w:lang w:bidi="fa-IR"/>
        </w:rPr>
        <w:t xml:space="preserve">بحکم الغلبة إلی </w:t>
      </w:r>
      <w:r>
        <w:rPr>
          <w:rStyle w:val="FootnoteAnchor"/>
          <w:rtl w:val="true"/>
        </w:rPr>
        <w:footnoteReference w:id="988"/>
      </w:r>
      <w:r>
        <w:rPr>
          <w:rFonts w:ascii="IRNazanin" w:hAnsi="IRNazanin" w:eastAsia="IRNazanin"/>
          <w:color w:val="111111"/>
          <w:sz w:val="28"/>
          <w:sz w:val="28"/>
          <w:szCs w:val="28"/>
          <w:rtl w:val="true"/>
          <w:lang w:bidi="fa-IR"/>
        </w:rPr>
        <w:t>الخراج و المقاسمة،و إمّا من أدلّة حلّ المال المأخوذ من المسلم؛لاحتمال کون المعطی مالکاً له،و لا اختصاص له بالسلطان</w:t>
      </w:r>
    </w:p>
    <w:p>
      <w:pPr>
        <w:pStyle w:val="BookText"/>
        <w:rPr/>
      </w:pPr>
      <w:r>
        <w:rPr>
          <w:rFonts w:ascii="IRNazanin" w:hAnsi="IRNazanin" w:eastAsia="IRNazanin"/>
          <w:color w:val="111111"/>
          <w:sz w:val="28"/>
          <w:sz w:val="28"/>
          <w:szCs w:val="28"/>
          <w:rtl w:val="true"/>
          <w:lang w:bidi="fa-IR"/>
        </w:rPr>
        <w:t xml:space="preserve">أو عماله أو مطلق الظالم أو غیره،و أین هذا من المطلب الذی هو حِلّ ما فی ید الجائر مع العلم إجمالاً بحرمة بعضه،المقتضی مع حصر الشبهة للاجتناب عن جمیعه؟ و ممّا ذکرنا یظهر الکلام فی مصحّحة </w:t>
      </w:r>
      <w:r>
        <w:rPr>
          <w:rStyle w:val="FootnoteAnchor"/>
          <w:rtl w:val="true"/>
        </w:rPr>
        <w:footnoteReference w:id="989"/>
      </w:r>
      <w:r>
        <w:rPr>
          <w:rFonts w:ascii="IRNazanin" w:hAnsi="IRNazanin" w:eastAsia="IRNazanin"/>
          <w:color w:val="111111"/>
          <w:sz w:val="28"/>
          <w:sz w:val="28"/>
          <w:szCs w:val="28"/>
          <w:rtl w:val="true"/>
          <w:lang w:bidi="fa-IR"/>
        </w:rPr>
        <w:t xml:space="preserve">أبی المغراء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بالعامل فیجیزنی بالدراهم آخذها؟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أحجّ بها؟ قال </w:t>
      </w:r>
      <w:r>
        <w:rPr>
          <w:rStyle w:val="FootnoteAnchor"/>
          <w:rtl w:val="true"/>
        </w:rPr>
        <w:footnoteReference w:id="991"/>
      </w:r>
      <w:r>
        <w:rPr>
          <w:rFonts w:ascii="IRNazanin" w:hAnsi="IRNazanin" w:eastAsia="IRNazanin"/>
          <w:color w:val="111111"/>
          <w:sz w:val="28"/>
          <w:sz w:val="28"/>
          <w:szCs w:val="28"/>
          <w:rtl w:val="true"/>
          <w:lang w:bidi="fa-IR"/>
        </w:rPr>
        <w:t>نعم، و حجّ بها</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بالعامل فیصلنی بالصلة </w:t>
      </w:r>
      <w:r>
        <w:rPr>
          <w:rStyle w:val="FootnoteAnchor"/>
          <w:rtl w:val="true"/>
        </w:rPr>
        <w:footnoteReference w:id="993"/>
      </w:r>
      <w:r>
        <w:rPr>
          <w:rFonts w:ascii="IRNazanin" w:hAnsi="IRNazanin" w:eastAsia="IRNazanin"/>
          <w:color w:val="111111"/>
          <w:sz w:val="28"/>
          <w:sz w:val="28"/>
          <w:szCs w:val="28"/>
          <w:rtl w:val="true"/>
          <w:lang w:bidi="fa-IR"/>
        </w:rPr>
        <w:t>أقبلها؟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أحجّ بها </w:t>
      </w:r>
      <w:r>
        <w:rPr>
          <w:rStyle w:val="FootnoteAnchor"/>
          <w:rtl w:val="true"/>
        </w:rPr>
        <w:footnoteReference w:id="9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w:t>
      </w:r>
      <w:r>
        <w:rPr>
          <w:rStyle w:val="FootnoteAnchor"/>
          <w:rtl w:val="true"/>
        </w:rPr>
        <w:footnoteReference w:id="995"/>
      </w:r>
      <w:r>
        <w:rPr>
          <w:rFonts w:ascii="Amiri" w:hAnsi="Amiri" w:eastAsia="Amiri" w:cs="Amiri"/>
          <w:color w:val="111111"/>
          <w:sz w:val="28"/>
          <w:sz w:val="28"/>
          <w:szCs w:val="28"/>
          <w:rtl w:val="true"/>
          <w:lang w:bidi="ar-SA"/>
        </w:rPr>
        <w:t xml:space="preserve">حجّ بها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998"/>
      </w:r>
      <w:r>
        <w:rPr>
          <w:rFonts w:ascii="IRNazanin" w:hAnsi="IRNazanin" w:eastAsia="IRNazanin"/>
          <w:color w:val="111111"/>
          <w:sz w:val="28"/>
          <w:sz w:val="28"/>
          <w:szCs w:val="28"/>
          <w:rtl w:val="true"/>
          <w:lang w:bidi="fa-IR"/>
        </w:rPr>
        <w:t>محمد بن مسلم و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السلطان لیس بها بأس</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الإطلاقات التی لا تشمل من صورة العلم الإجمالی بوجود الحرام إلّا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شمولها لصورة العلم الإجمالی مع انحصار الشبهة، فلا تجدی؛لأنّ الحلّ فیها مستند إلی تصرّف الجائر بالإباحة و التملیک، و هو محمول علی الصحیح،مع أنّه لو أُغمض النظر عن هذا أو رُدّ بشمول </w:t>
      </w:r>
      <w:r>
        <w:rPr>
          <w:rStyle w:val="FootnoteAnchor"/>
          <w:rtl w:val="true"/>
        </w:rPr>
        <w:footnoteReference w:id="1000"/>
      </w:r>
      <w:r>
        <w:rPr>
          <w:rFonts w:ascii="IRNazanin" w:hAnsi="IRNazanin" w:eastAsia="IRNazanin"/>
          <w:color w:val="111111"/>
          <w:sz w:val="28"/>
          <w:sz w:val="28"/>
          <w:szCs w:val="28"/>
          <w:rtl w:val="true"/>
          <w:lang w:bidi="fa-IR"/>
        </w:rPr>
        <w:t>الأخبار لما إذا أجاز الجائر من المشتبهات فی نظره بالشبهة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هنا أصالة الصحة فی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w:t>
      </w:r>
      <w:r>
        <w:rPr>
          <w:rStyle w:val="FootnoteAnchor"/>
          <w:rtl w:val="true"/>
        </w:rPr>
        <w:footnoteReference w:id="1001"/>
      </w:r>
      <w:r>
        <w:rPr>
          <w:rFonts w:ascii="IRNazanin" w:hAnsi="IRNazanin" w:eastAsia="IRNazanin"/>
          <w:color w:val="111111"/>
          <w:sz w:val="28"/>
          <w:sz w:val="28"/>
          <w:szCs w:val="28"/>
          <w:rtl w:val="true"/>
          <w:lang w:bidi="fa-IR"/>
        </w:rPr>
        <w:t xml:space="preserve">استناد الحِلّ فیها إلی ما ذکرنا سابقاً </w:t>
      </w:r>
      <w:r>
        <w:rPr>
          <w:rStyle w:val="FootnoteAnchor"/>
          <w:rtl w:val="true"/>
        </w:rPr>
        <w:footnoteReference w:id="1002"/>
      </w:r>
      <w:r>
        <w:rPr>
          <w:rFonts w:ascii="IRNazanin" w:hAnsi="IRNazanin" w:eastAsia="IRNazanin"/>
          <w:color w:val="111111"/>
          <w:sz w:val="28"/>
          <w:sz w:val="28"/>
          <w:szCs w:val="28"/>
          <w:rtl w:val="true"/>
          <w:lang w:bidi="fa-IR"/>
        </w:rPr>
        <w:t>،من أنّ تردّد الحرام بین ما أباحه الجائر أو ملّکه و بین ما بقی تحت یده من الأموال التی لا دخل فیها للشخص المجاز،تردّد بین ما ابتلی به المکلّف من المشتبهین و بین ما لم یبتلِ به، و لا یجب الاجتناب حینئذٍ عن شیء منهما،من غیر فرق بین هذه المسألة و غیرها من موارد الاشتباه،مع کون أحد المشتبهین مختصّاً بابتلاء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نصٌّ مطلق فی حَلّ هذه الشبهة مع قطع النظر عن التصرّف و عدم الابتلاء بکلا المشتبهین،لم ینهض للحکومة علی قاعدة الاحتیاط فی الشبهة المحصورة،کما لا ینهض ما تقدّم من قولهم علیهم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الجماعة </w:t>
      </w:r>
      <w:r>
        <w:rPr>
          <w:rStyle w:val="FootnoteAnchor"/>
          <w:rtl w:val="true"/>
        </w:rPr>
        <w:footnoteReference w:id="1003"/>
      </w:r>
      <w:r>
        <w:rPr>
          <w:rFonts w:ascii="IRNazanin" w:hAnsi="IRNazanin" w:eastAsia="IRNazanin"/>
          <w:color w:val="111111"/>
          <w:sz w:val="28"/>
          <w:sz w:val="28"/>
          <w:szCs w:val="28"/>
          <w:rtl w:val="true"/>
          <w:lang w:bidi="fa-IR"/>
        </w:rPr>
        <w:t>لحِلّ ما یعطیه الجائر مع عدم العلم بحرمته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شاملاً لصورة العلم الإجمالی بوجود حرام فی الجائزة مردّد بین هذا و بین غیره مع انحصار الشبهة،فهو مستند إلی حمل تصرّفه علی الصحّة أو إلی عدم الاعتناء بالعلم الإجمالی؛لعدم ابتلاء المکلّف بالجمیع،لا لکون هذه المسألة خارجة بالنصّ عن </w:t>
      </w:r>
      <w:r>
        <w:rPr>
          <w:rStyle w:val="FootnoteAnchor"/>
          <w:rtl w:val="true"/>
        </w:rPr>
        <w:footnoteReference w:id="1004"/>
      </w:r>
      <w:r>
        <w:rPr>
          <w:rFonts w:ascii="IRNazanin" w:hAnsi="IRNazanin" w:eastAsia="IRNazanin"/>
          <w:color w:val="111111"/>
          <w:sz w:val="28"/>
          <w:sz w:val="28"/>
          <w:szCs w:val="28"/>
          <w:rtl w:val="true"/>
          <w:lang w:bidi="fa-IR"/>
        </w:rPr>
        <w:t>حکم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یخدش فی حمل تصرّف الظالم علی الصحیح من حیث إنّه مُقدم علی التصرّف فیما فی یده من المال المشتمل علی الحرام علی وجه عدم المبالاة بالتصرّف فی الحرام،فهو کمن أقدم علی ما فی یده من المال المشتبه المختلط عنده بالحرام،و لم یقل أحد بحمل تصرّفه حینئذٍ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هذه الخدشة غیر مسموعة عند الأصحاب؛فإنّهم لا یعتبرون فی الحمل علی الصحیح احتمال تورّع المتصرّف عن التصرّف الحرام لکونه حراماً،بل یکتفون باحتمال صدور الصحیح منه و لو لدواعٍ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الحمل فیما إذا أقدم المتصرّف علی الشبهة المحصورة الواقعة تحت یده؛فلفساد تصرّفه فی ظاهر الشرع،فلا یحمل علی الصحیح الواقعی،فتأمّل،فإنّ المقام لا یخلو عن إشکال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تقدیر،فلم یثبت من النصّ و لا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w:t>
      </w:r>
      <w:bookmarkStart w:id="192" w:name="pg19674_191679"/>
    </w:p>
    <w:p>
      <w:pPr>
        <w:pStyle w:val="BookText"/>
        <w:rPr/>
      </w:pPr>
      <w:bookmarkEnd w:id="192"/>
      <w:r>
        <w:rPr>
          <w:rFonts w:ascii="IRNazanin" w:hAnsi="IRNazanin" w:eastAsia="IRNazanin"/>
          <w:color w:val="111111"/>
          <w:sz w:val="28"/>
          <w:sz w:val="28"/>
          <w:szCs w:val="28"/>
          <w:rtl w:val="true"/>
          <w:lang w:bidi="fa-IR"/>
        </w:rPr>
        <w:t xml:space="preserve">شرائط إعمال قاعدة الاحتیاط فی الشبهة المحصورة عدم بوجوب الاجتناب فی المقام،و إلغاء </w:t>
      </w:r>
      <w:r>
        <w:rPr>
          <w:rStyle w:val="FootnoteAnchor"/>
          <w:rtl w:val="true"/>
        </w:rPr>
        <w:footnoteReference w:id="1005"/>
      </w:r>
      <w:r>
        <w:rPr>
          <w:rFonts w:ascii="IRNazanin" w:hAnsi="IRNazanin" w:eastAsia="IRNazanin"/>
          <w:color w:val="111111"/>
          <w:sz w:val="28"/>
          <w:sz w:val="28"/>
          <w:szCs w:val="28"/>
          <w:rtl w:val="true"/>
          <w:lang w:bidi="fa-IR"/>
        </w:rPr>
        <w:t>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ما فی هذا الباب من عبارات الأصحاب ما فی السرائر،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یعلم أنّ فیه شیئاً مغصوباً إلّا أنّه غیر متمیّز العین، بل هو مخلوط فی غیره من أمواله أو غلّاته التی یأخذها علی جهة الخراج،فلا بأس بشرائه منه و قبول صلته؛لأنّها صارت بمنزلة المستهلک؛لأنّه غیر قادر علی ردّها بعینها </w:t>
      </w:r>
      <w:r>
        <w:rPr>
          <w:rStyle w:val="FootnoteAnchor"/>
          <w:rtl w:val="true"/>
        </w:rPr>
        <w:footnoteReference w:id="10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منها ظاهر عبارة النهایة </w:t>
      </w:r>
      <w:r>
        <w:rPr>
          <w:rStyle w:val="FootnoteAnchor"/>
          <w:rtl w:val="true"/>
        </w:rPr>
        <w:footnoteReference w:id="1007"/>
      </w:r>
      <w:r>
        <w:rPr>
          <w:rFonts w:ascii="IRNazanin" w:hAnsi="IRNazanin" w:eastAsia="IRNazanin"/>
          <w:color w:val="111111"/>
          <w:sz w:val="28"/>
          <w:sz w:val="28"/>
          <w:szCs w:val="28"/>
          <w:rtl w:val="true"/>
          <w:lang w:bidi="fa-IR"/>
        </w:rPr>
        <w:t xml:space="preserve">بدون ذکر التعلیل،و لا ریب أنّ الحلّی لم یستند فی تجویز أخذ المال المردّد إلی النصّ،بل إلی ما زعمه من القاعدة،و لا یخفی عدم تمامیتها </w:t>
      </w:r>
      <w:r>
        <w:rPr>
          <w:rStyle w:val="FootnoteAnchor"/>
          <w:rtl w:val="true"/>
        </w:rPr>
        <w:footnoteReference w:id="1008"/>
      </w:r>
      <w:r>
        <w:rPr>
          <w:rFonts w:ascii="IRNazanin" w:hAnsi="IRNazanin" w:eastAsia="IRNazanin"/>
          <w:color w:val="111111"/>
          <w:sz w:val="28"/>
          <w:sz w:val="28"/>
          <w:szCs w:val="28"/>
          <w:rtl w:val="true"/>
          <w:lang w:bidi="fa-IR"/>
        </w:rPr>
        <w:t xml:space="preserve">،إلّا أن یرید به الشبهة الغیر المحصورة بقرینة الاستهلاک،فتأمّل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5027798_2314609296"/>
      <w:bookmarkStart w:id="194" w:name="_Toc75"/>
      <w:bookmarkEnd w:id="193"/>
      <w:r>
        <w:rPr>
          <w:rtl w:val="true"/>
        </w:rPr>
        <w:t>الصورة الثالثة</w:t>
      </w:r>
      <w:r>
        <w:rPr>
          <w:rtl w:val="true"/>
        </w:rPr>
        <w:t>:</w:t>
      </w:r>
      <w:r>
        <w:rPr>
          <w:rtl w:val="true"/>
        </w:rPr>
        <w:t>أن</w:t>
      </w:r>
      <w:bookmarkEnd w:id="194"/>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010"/>
      </w:r>
      <w:r>
        <w:rPr>
          <w:rFonts w:ascii="IRNazanin" w:hAnsi="IRNazanin" w:eastAsia="IRNazanin"/>
          <w:color w:val="111111"/>
          <w:sz w:val="28"/>
          <w:sz w:val="28"/>
          <w:szCs w:val="28"/>
          <w:rtl w:val="true"/>
          <w:lang w:bidi="fa-IR"/>
        </w:rPr>
        <w:t>یعلم تفصیلاً حرمة ما یأخذه،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w:t>
      </w:r>
      <w:r>
        <w:rPr>
          <w:rStyle w:val="FootnoteAnchor"/>
          <w:rtl w:val="true"/>
        </w:rPr>
        <w:footnoteReference w:id="1011"/>
      </w:r>
      <w:r>
        <w:rPr>
          <w:rFonts w:ascii="IRNazanin" w:hAnsi="IRNazanin" w:eastAsia="IRNazanin"/>
          <w:color w:val="111111"/>
          <w:sz w:val="28"/>
          <w:sz w:val="28"/>
          <w:szCs w:val="28"/>
          <w:rtl w:val="true"/>
          <w:lang w:bidi="fa-IR"/>
        </w:rPr>
        <w:t xml:space="preserve">فی حرمته حینئذٍ علی الآخذ </w:t>
      </w:r>
      <w:r>
        <w:rPr>
          <w:rStyle w:val="FootnoteAnchor"/>
          <w:rtl w:val="true"/>
        </w:rPr>
        <w:footnoteReference w:id="1012"/>
      </w:r>
      <w:r>
        <w:rPr>
          <w:rFonts w:ascii="IRNazanin" w:hAnsi="IRNazanin" w:eastAsia="IRNazanin"/>
          <w:color w:val="111111"/>
          <w:sz w:val="28"/>
          <w:sz w:val="28"/>
          <w:szCs w:val="28"/>
          <w:rtl w:val="true"/>
          <w:lang w:bidi="fa-IR"/>
        </w:rPr>
        <w:t>،إلّا أنّ الکلام فی حکمه إذا وقع فی یده،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بحرمته إمّا أن یکون قبل وقوعه فی یده،و إمّا أن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قبله لم یجز له أن یأخذه بغیر نیّة الردّ إلی صاحبه، سواء أخذه اختیاراً أو تقیّة؛لأنّ أخذه بغیر هذه النیّة </w:t>
      </w:r>
      <w:r>
        <w:rPr>
          <w:rStyle w:val="FootnoteAnchor"/>
          <w:rtl w:val="true"/>
        </w:rPr>
        <w:footnoteReference w:id="1013"/>
      </w:r>
      <w:r>
        <w:rPr>
          <w:rFonts w:ascii="IRNazanin" w:hAnsi="IRNazanin" w:eastAsia="IRNazanin"/>
          <w:color w:val="111111"/>
          <w:sz w:val="28"/>
          <w:sz w:val="28"/>
          <w:szCs w:val="28"/>
          <w:rtl w:val="true"/>
          <w:lang w:bidi="fa-IR"/>
        </w:rPr>
        <w:t xml:space="preserve">تصرّف لم یعلم رضا صاحبه به،و التقیة تتأدّی </w:t>
      </w:r>
      <w:r>
        <w:rPr>
          <w:rStyle w:val="FootnoteAnchor"/>
          <w:rtl w:val="true"/>
        </w:rPr>
        <w:footnoteReference w:id="1014"/>
      </w:r>
      <w:r>
        <w:rPr>
          <w:rFonts w:ascii="IRNazanin" w:hAnsi="IRNazanin" w:eastAsia="IRNazanin"/>
          <w:color w:val="111111"/>
          <w:sz w:val="28"/>
          <w:sz w:val="28"/>
          <w:szCs w:val="28"/>
          <w:rtl w:val="true"/>
          <w:lang w:bidi="fa-IR"/>
        </w:rPr>
        <w:t>بقصد الردّ،فإن أخذه بغیر هذه النیّة کان غاصباً ترتّب علیه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أخذه بنیّة الردّ کان محسناً، و کان فی یده أمانة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العلم به بعد وقوعه فی یده کان کذلک أیضاً،و یحتمل قویاً الضمان هنا؛لأنّه أخذه بنیّة التملّک،لا بنیّة الحفظ و الرد،و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المسالک عدم الضمان رأساً مع القبض جاهلاً،قال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ید أمانة فیستصحب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موافقته عن العلّامة الطباطبائی رحمه اللّه فی مصابیحه </w:t>
      </w:r>
      <w:r>
        <w:rPr>
          <w:rStyle w:val="FootnoteAnchor"/>
          <w:rtl w:val="true"/>
        </w:rPr>
        <w:footnoteReference w:id="1017"/>
      </w:r>
      <w:r>
        <w:rPr>
          <w:rFonts w:ascii="IRNazanin" w:hAnsi="IRNazanin" w:eastAsia="IRNazanin"/>
          <w:color w:val="111111"/>
          <w:sz w:val="28"/>
          <w:sz w:val="28"/>
          <w:szCs w:val="28"/>
          <w:rtl w:val="true"/>
          <w:lang w:bidi="fa-IR"/>
        </w:rPr>
        <w:t xml:space="preserve">،لکن المعروف من المسالک </w:t>
      </w:r>
      <w:r>
        <w:rPr>
          <w:rStyle w:val="FootnoteAnchor"/>
          <w:rtl w:val="true"/>
        </w:rPr>
        <w:footnoteReference w:id="1018"/>
      </w:r>
      <w:r>
        <w:rPr>
          <w:rFonts w:ascii="IRNazanin" w:hAnsi="IRNazanin" w:eastAsia="IRNazanin"/>
          <w:color w:val="111111"/>
          <w:sz w:val="28"/>
          <w:sz w:val="28"/>
          <w:szCs w:val="28"/>
          <w:rtl w:val="true"/>
          <w:lang w:bidi="fa-IR"/>
        </w:rPr>
        <w:t xml:space="preserve">و غیره </w:t>
      </w:r>
      <w:r>
        <w:rPr>
          <w:rStyle w:val="FootnoteAnchor"/>
          <w:rtl w:val="true"/>
        </w:rPr>
        <w:footnoteReference w:id="1019"/>
      </w:r>
      <w:r>
        <w:rPr>
          <w:rFonts w:ascii="IRNazanin" w:hAnsi="IRNazanin" w:eastAsia="IRNazanin"/>
          <w:color w:val="111111"/>
          <w:sz w:val="28"/>
          <w:sz w:val="28"/>
          <w:szCs w:val="28"/>
          <w:rtl w:val="true"/>
          <w:lang w:bidi="fa-IR"/>
        </w:rPr>
        <w:t>فی مسألة ترتّب الأیدی علی مال الغیر،ضمان کلّ منهم و لو مع الجهل،غایة الأمر</w:t>
      </w:r>
    </w:p>
    <w:p>
      <w:pPr>
        <w:pStyle w:val="BookText"/>
        <w:rPr/>
      </w:pPr>
      <w:r>
        <w:rPr>
          <w:rFonts w:ascii="IRNazanin" w:hAnsi="IRNazanin" w:eastAsia="IRNazanin"/>
          <w:color w:val="111111"/>
          <w:sz w:val="28"/>
          <w:sz w:val="28"/>
          <w:szCs w:val="28"/>
          <w:rtl w:val="true"/>
          <w:lang w:bidi="fa-IR"/>
        </w:rPr>
        <w:t xml:space="preserve">رجوع الجاهل علی العالم إذا لم یُقدم علی أخذه مضموناً،و لا إشکال عندهم ظاهراً فی أنّه لو استمرّ جهل القابض المتّهب إلی أن تلف فی یده کان للمالک الرجوع علیه،و لا رافع </w:t>
      </w:r>
      <w:r>
        <w:rPr>
          <w:rStyle w:val="FootnoteAnchor"/>
          <w:rtl w:val="true"/>
        </w:rPr>
        <w:footnoteReference w:id="1020"/>
      </w:r>
      <w:r>
        <w:rPr>
          <w:rFonts w:ascii="Amiri" w:hAnsi="Amiri" w:eastAsia="Amiri" w:cs="Amiri"/>
          <w:color w:val="111111"/>
          <w:sz w:val="28"/>
          <w:sz w:val="28"/>
          <w:szCs w:val="28"/>
          <w:rtl w:val="true"/>
          <w:lang w:bidi="ar-SA"/>
        </w:rPr>
        <w:t xml:space="preserve">یقینیاً </w:t>
      </w:r>
      <w:r>
        <w:rPr>
          <w:rStyle w:val="FootnoteAnchor"/>
          <w:rtl w:val="true"/>
        </w:rPr>
        <w:footnoteReference w:id="1021"/>
      </w:r>
      <w:r>
        <w:rPr>
          <w:rFonts w:ascii="IRNazanin" w:hAnsi="IRNazanin" w:eastAsia="IRNazanin"/>
          <w:color w:val="111111"/>
          <w:sz w:val="28"/>
          <w:sz w:val="28"/>
          <w:szCs w:val="28"/>
          <w:rtl w:val="true"/>
          <w:lang w:bidi="fa-IR"/>
        </w:rPr>
        <w:t>لهذا المعنی مع حصول العلم بکونه مال الغیر،فیستصحب الضمان 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المسالک فی من استودعه الغاصب مالاً مغصوباً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یردّه إلیه مع الإمکان،و لو أخذه منه قهراً ففی الضمان نظر،و الذی یقتضیه قواعد الغصب أنّ للمالک الرجوع علی أیّهما شاء و إن کان قرار الضمان علی الغاصب </w:t>
      </w:r>
      <w:r>
        <w:rPr>
          <w:rStyle w:val="FootnoteAnchor"/>
          <w:rtl w:val="true"/>
        </w:rPr>
        <w:footnoteReference w:id="10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أخذ الودعی المال من الغاصب جهلاً بغصبه ثمّ تبیّن له،و هو الذی حکم فیه هنا بعدم الضمان لو استردّه الظالم المجیز أو تلف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حال،فیجب علی المُجاز ردّ الجائزة بعد العلم بغصبیتها </w:t>
      </w:r>
      <w:r>
        <w:rPr>
          <w:rStyle w:val="FootnoteAnchor"/>
          <w:rtl w:val="true"/>
        </w:rPr>
        <w:footnoteReference w:id="1023"/>
      </w:r>
      <w:r>
        <w:rPr>
          <w:rFonts w:ascii="IRNazanin" w:hAnsi="IRNazanin" w:eastAsia="IRNazanin"/>
          <w:color w:val="111111"/>
          <w:sz w:val="28"/>
          <w:sz w:val="28"/>
          <w:szCs w:val="28"/>
          <w:rtl w:val="true"/>
          <w:lang w:bidi="fa-IR"/>
        </w:rPr>
        <w:t xml:space="preserve">إلی مالکها أو ولیّه،و الظاهر أنّه لا خلاف فی کونه فوریّاً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نعم،یسقط بإعلام صاحبه به،و ظاهر أدلّة وجوب أداء الأمانة وجوب الإقباض،و عدم کفایة التخلیة،إلّا أن یدّعی أنّها فی مقام حرمة الحبس و وجوب التمکین،لا تکلیف الأمین بالإقباض،و من هنا</w:t>
      </w:r>
    </w:p>
    <w:p>
      <w:pPr>
        <w:pStyle w:val="BookText"/>
        <w:rPr/>
      </w:pPr>
      <w:r>
        <w:rPr>
          <w:rFonts w:ascii="IRNazanin" w:hAnsi="IRNazanin" w:eastAsia="IRNazanin"/>
          <w:color w:val="111111"/>
          <w:sz w:val="28"/>
          <w:sz w:val="28"/>
          <w:szCs w:val="28"/>
          <w:rtl w:val="true"/>
          <w:lang w:bidi="fa-IR"/>
        </w:rPr>
        <w:t xml:space="preserve">ذکر غیر واحد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التذکرة </w:t>
      </w:r>
      <w:r>
        <w:rPr>
          <w:rStyle w:val="FootnoteAnchor"/>
          <w:rtl w:val="true"/>
        </w:rPr>
        <w:footnoteReference w:id="1026"/>
      </w:r>
      <w:r>
        <w:rPr>
          <w:rFonts w:ascii="IRNazanin" w:hAnsi="IRNazanin" w:eastAsia="IRNazanin"/>
          <w:color w:val="111111"/>
          <w:sz w:val="28"/>
          <w:sz w:val="28"/>
          <w:szCs w:val="28"/>
          <w:rtl w:val="true"/>
          <w:lang w:bidi="fa-IR"/>
        </w:rPr>
        <w:t xml:space="preserve">و المسالک </w:t>
      </w:r>
      <w:r>
        <w:rPr>
          <w:rStyle w:val="FootnoteAnchor"/>
          <w:rtl w:val="true"/>
        </w:rPr>
        <w:footnoteReference w:id="102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المراد بردّ الأمانة رفع یده عنها و التخلیة بینه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فیشکل حملها إلیه؛لأنّه تصرّف لم یؤذن فیه،إلّا إذا کان الحمل مساویاً لمکانة الموجود فیه أو أحفظ؛فإنّ الظاهر جواز نقل الأمانة الشرعیة من مکان إلی ما لا یکون أدون من الأوّل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صاحبه وجب الفحص مع الإمکان؛لتوقّف الأداء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التمکین و عدم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الفحص،مضافاً إلی الأمر به فی الدین المجهول المالک </w:t>
      </w:r>
      <w:r>
        <w:rPr>
          <w:rStyle w:val="FootnoteAnchor"/>
          <w:rtl w:val="true"/>
        </w:rPr>
        <w:footnoteReference w:id="1029"/>
      </w:r>
      <w:r>
        <w:rPr>
          <w:rFonts w:ascii="IRNazanin" w:hAnsi="IRNazanin" w:eastAsia="IRNazanin"/>
          <w:color w:val="111111"/>
          <w:sz w:val="28"/>
          <w:sz w:val="28"/>
          <w:szCs w:val="28"/>
          <w:rtl w:val="true"/>
          <w:lang w:bidi="fa-IR"/>
        </w:rPr>
        <w:t>،ثمّ لو ادّعاه مدّعٍ،ففی سماع قول من یدّعیه مطلقاً؛لأنّه لا معارض له،أو مع الوصف؛تنزیلاً له منزلة اللقطة، أو یعتبر الثبوت شرعاً؛للأصل،وجوه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الفحص؛لإطلاق غیر واحد من الأخبار </w:t>
      </w:r>
      <w:r>
        <w:rPr>
          <w:rStyle w:val="FootnoteAnchor"/>
          <w:rtl w:val="true"/>
        </w:rPr>
        <w:footnoteReference w:id="1030"/>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المناط صدق اشتغال الرجل بالفحص نظیر ما ذکروه فی تعریف اللقطة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احتاج الفحص إلی بذل مالٍ،کاُجرة دلّال صائح علیه، فالظاهر عدم وجوبه علی الآخذ </w:t>
      </w:r>
      <w:r>
        <w:rPr>
          <w:rStyle w:val="FootnoteAnchor"/>
          <w:rtl w:val="true"/>
        </w:rPr>
        <w:footnoteReference w:id="1033"/>
      </w:r>
      <w:r>
        <w:rPr>
          <w:rFonts w:ascii="IRNazanin" w:hAnsi="IRNazanin" w:eastAsia="IRNazanin"/>
          <w:color w:val="111111"/>
          <w:sz w:val="28"/>
          <w:sz w:val="28"/>
          <w:szCs w:val="28"/>
          <w:rtl w:val="true"/>
          <w:lang w:bidi="fa-IR"/>
        </w:rPr>
        <w:t xml:space="preserve">،بل یتولّاه الحاکم ولایة عن صاحبه،و یُخرج من </w:t>
      </w:r>
      <w:r>
        <w:rPr>
          <w:rStyle w:val="FootnoteAnchor"/>
          <w:rtl w:val="true"/>
        </w:rPr>
        <w:footnoteReference w:id="1034"/>
      </w:r>
      <w:r>
        <w:rPr>
          <w:rFonts w:ascii="IRNazanin" w:hAnsi="IRNazanin" w:eastAsia="IRNazanin"/>
          <w:color w:val="111111"/>
          <w:sz w:val="28"/>
          <w:sz w:val="28"/>
          <w:szCs w:val="28"/>
          <w:rtl w:val="true"/>
          <w:lang w:bidi="fa-IR"/>
        </w:rPr>
        <w:t xml:space="preserve">العین اجرة الدلّال ثمّ یتصدّق بالباقی إن لم یوجد </w:t>
      </w:r>
      <w:r>
        <w:rPr>
          <w:rStyle w:val="FootnoteAnchor"/>
          <w:rtl w:val="true"/>
        </w:rPr>
        <w:footnoteReference w:id="1035"/>
      </w:r>
      <w:r>
        <w:rPr>
          <w:rFonts w:ascii="IRNazanin" w:hAnsi="IRNazanin" w:eastAsia="IRNazanin"/>
          <w:color w:val="111111"/>
          <w:sz w:val="28"/>
          <w:sz w:val="28"/>
          <w:szCs w:val="28"/>
          <w:rtl w:val="true"/>
          <w:lang w:bidi="fa-IR"/>
        </w:rPr>
        <w:t>صاحبه،و یحتمل وجوبه علیه؛لتوقّف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جماعة </w:t>
      </w:r>
      <w:r>
        <w:rPr>
          <w:rStyle w:val="FootnoteAnchor"/>
          <w:rtl w:val="true"/>
        </w:rPr>
        <w:footnoteReference w:id="1036"/>
      </w:r>
      <w:r>
        <w:rPr>
          <w:rFonts w:ascii="IRNazanin" w:hAnsi="IRNazanin" w:eastAsia="IRNazanin"/>
          <w:color w:val="111111"/>
          <w:sz w:val="28"/>
          <w:sz w:val="28"/>
          <w:szCs w:val="28"/>
          <w:rtl w:val="true"/>
          <w:lang w:bidi="fa-IR"/>
        </w:rPr>
        <w:t>فی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اجرة التعریف علی الواجد،لکن حکی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قصد الحفظ دائماً یرجع أمره إلی الحاکم؛ لیبذل أُجرته من بیت المال،أو یستقرض علی المالک،أو یبیع بعضها إن رآه أصلح </w:t>
      </w:r>
      <w:r>
        <w:rPr>
          <w:rStyle w:val="FootnoteAnchor"/>
          <w:rtl w:val="true"/>
        </w:rPr>
        <w:footnoteReference w:id="1037"/>
      </w:r>
      <w:r>
        <w:rPr>
          <w:rFonts w:ascii="IRNazanin" w:hAnsi="IRNazanin" w:eastAsia="IRNazanin"/>
          <w:color w:val="111111"/>
          <w:sz w:val="28"/>
          <w:sz w:val="28"/>
          <w:szCs w:val="28"/>
          <w:rtl w:val="true"/>
          <w:lang w:bidi="fa-IR"/>
        </w:rPr>
        <w:t xml:space="preserve">،و استوجه ذلک جامع المقاصد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الفحص لا یتقیّد بالسنة،علی ما ذکره الأکثر هنا </w:t>
      </w:r>
      <w:r>
        <w:rPr>
          <w:rStyle w:val="FootnoteAnchor"/>
          <w:rtl w:val="true"/>
        </w:rPr>
        <w:footnoteReference w:id="1039"/>
      </w:r>
      <w:r>
        <w:rPr>
          <w:rFonts w:ascii="IRNazanin" w:hAnsi="IRNazanin" w:eastAsia="IRNazanin"/>
          <w:color w:val="111111"/>
          <w:sz w:val="28"/>
          <w:sz w:val="28"/>
          <w:szCs w:val="28"/>
          <w:rtl w:val="true"/>
          <w:lang w:bidi="fa-IR"/>
        </w:rPr>
        <w:t>، بل حدّه الیأس و هو مقتضی الأصل،إلّا أنّ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p>
    <w:p>
      <w:pPr>
        <w:pStyle w:val="BookText"/>
        <w:rPr/>
      </w:pP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إذا أودع الغاصب مال الغصب لم یجز الردّ إلیه،بل یجب ردّه إلی </w:t>
      </w:r>
      <w:r>
        <w:rPr>
          <w:rStyle w:val="FootnoteAnchor"/>
          <w:rtl w:val="true"/>
        </w:rPr>
        <w:footnoteReference w:id="1041"/>
      </w:r>
      <w:r>
        <w:rPr>
          <w:rFonts w:ascii="IRNazanin" w:hAnsi="IRNazanin" w:eastAsia="IRNazanin"/>
          <w:color w:val="111111"/>
          <w:sz w:val="28"/>
          <w:sz w:val="28"/>
          <w:szCs w:val="28"/>
          <w:rtl w:val="true"/>
          <w:lang w:bidi="fa-IR"/>
        </w:rPr>
        <w:t>مالکه،فإن جُهل عرّف سنة ثمّ یتصدّق به عنه مع الضمان،و به روایة حفص بن غیاث،لکن موردها فی من أودعه رجل من اللّصوص دراهم أو متاعاً و اللّص مسلم،فهل یردّ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یرد </w:t>
      </w:r>
      <w:r>
        <w:rPr>
          <w:rStyle w:val="FootnoteAnchor"/>
          <w:rtl w:val="true"/>
        </w:rPr>
        <w:footnoteReference w:id="1042"/>
      </w:r>
      <w:r>
        <w:rPr>
          <w:rFonts w:ascii="IRNazanin" w:hAnsi="IRNazanin" w:eastAsia="IRNazanin"/>
          <w:color w:val="111111"/>
          <w:sz w:val="28"/>
          <w:sz w:val="28"/>
          <w:szCs w:val="28"/>
          <w:rtl w:val="true"/>
          <w:lang w:bidi="fa-IR"/>
        </w:rPr>
        <w:t xml:space="preserve">،فإن أمکنه أن یردّه علی صاحبه فعل،و إلّا کان فی یده بمنزلة اللقطة یصیبها،فیعرّفها حولاً،فإن أصاب صاحبها ردّها علیه </w:t>
      </w:r>
      <w:r>
        <w:rPr>
          <w:rStyle w:val="FootnoteAnchor"/>
          <w:rtl w:val="true"/>
        </w:rPr>
        <w:footnoteReference w:id="1043"/>
      </w:r>
      <w:r>
        <w:rPr>
          <w:rFonts w:ascii="IRNazanin" w:hAnsi="IRNazanin" w:eastAsia="IRNazanin"/>
          <w:color w:val="111111"/>
          <w:sz w:val="28"/>
          <w:sz w:val="28"/>
          <w:szCs w:val="28"/>
          <w:rtl w:val="true"/>
          <w:lang w:bidi="fa-IR"/>
        </w:rPr>
        <w:t xml:space="preserve">،و إلّا تصدّق بها،فإن جاء صاحبها بعد ذلک خیّره </w:t>
      </w:r>
      <w:r>
        <w:rPr>
          <w:rStyle w:val="FootnoteAnchor"/>
          <w:rtl w:val="true"/>
        </w:rPr>
        <w:footnoteReference w:id="1044"/>
      </w:r>
      <w:r>
        <w:rPr>
          <w:rFonts w:ascii="IRNazanin" w:hAnsi="IRNazanin" w:eastAsia="IRNazanin"/>
          <w:color w:val="111111"/>
          <w:sz w:val="28"/>
          <w:sz w:val="28"/>
          <w:szCs w:val="28"/>
          <w:rtl w:val="true"/>
          <w:lang w:bidi="fa-IR"/>
        </w:rPr>
        <w:t xml:space="preserve">بین الغرم و الأجر،فإن اختار الأجر فالأجر له </w:t>
      </w:r>
      <w:r>
        <w:rPr>
          <w:rStyle w:val="FootnoteAnchor"/>
          <w:rtl w:val="true"/>
        </w:rPr>
        <w:footnoteReference w:id="1045"/>
      </w:r>
      <w:r>
        <w:rPr>
          <w:rFonts w:ascii="IRNazanin" w:hAnsi="IRNazanin" w:eastAsia="IRNazanin"/>
          <w:color w:val="111111"/>
          <w:sz w:val="28"/>
          <w:sz w:val="28"/>
          <w:szCs w:val="28"/>
          <w:rtl w:val="true"/>
          <w:lang w:bidi="fa-IR"/>
        </w:rPr>
        <w:t xml:space="preserve">،و إن اختار الغرم غرم له و کان الأجر 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048"/>
      </w:r>
      <w:r>
        <w:rPr>
          <w:rFonts w:ascii="IRNazanin" w:hAnsi="IRNazanin" w:eastAsia="IRNazanin"/>
          <w:color w:val="111111"/>
          <w:sz w:val="28"/>
          <w:sz w:val="28"/>
          <w:szCs w:val="28"/>
          <w:rtl w:val="true"/>
          <w:lang w:bidi="fa-IR"/>
        </w:rPr>
        <w:t xml:space="preserve">تعدّی الأصحاب من اللّص إلی مطلق الغاصب،بل الظالم </w:t>
      </w:r>
      <w:r>
        <w:rPr>
          <w:rStyle w:val="FootnoteAnchor"/>
          <w:rtl w:val="true"/>
        </w:rPr>
        <w:footnoteReference w:id="1049"/>
      </w:r>
      <w:r>
        <w:rPr>
          <w:rFonts w:ascii="IRNazanin" w:hAnsi="IRNazanin" w:eastAsia="IRNazanin"/>
          <w:color w:val="111111"/>
          <w:sz w:val="28"/>
          <w:sz w:val="28"/>
          <w:szCs w:val="28"/>
          <w:rtl w:val="true"/>
          <w:lang w:bidi="fa-IR"/>
        </w:rPr>
        <w:t>، و لم یتعدّوا من الودیعة المجهول مالکها إلی مطلق ما یعطیه الغاصب و لو بعنوان غیر الودیعة،کما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فی السرائر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بمنزلة اللقطة </w:t>
      </w:r>
      <w:r>
        <w:rPr>
          <w:rStyle w:val="FootnoteAnchor"/>
          <w:rtl w:val="true"/>
        </w:rPr>
        <w:footnoteReference w:id="1050"/>
      </w:r>
      <w:r>
        <w:rPr>
          <w:rFonts w:ascii="IRNazanin" w:hAnsi="IRNazanin" w:eastAsia="IRNazanin"/>
          <w:color w:val="111111"/>
          <w:sz w:val="28"/>
          <w:sz w:val="28"/>
          <w:szCs w:val="28"/>
          <w:rtl w:val="true"/>
          <w:lang w:bidi="fa-IR"/>
        </w:rPr>
        <w:t>،ففهم التعدّی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إجراء حکم اللقطة فی ما نحن فیه لیس ببعید </w:t>
      </w:r>
      <w:r>
        <w:rPr>
          <w:rStyle w:val="FootnoteAnchor"/>
          <w:rtl w:val="true"/>
        </w:rPr>
        <w:footnoteReference w:id="1051"/>
      </w:r>
      <w:r>
        <w:rPr>
          <w:rFonts w:ascii="IRNazanin" w:hAnsi="IRNazanin" w:eastAsia="IRNazanin"/>
          <w:color w:val="111111"/>
          <w:sz w:val="28"/>
          <w:sz w:val="28"/>
          <w:szCs w:val="28"/>
          <w:rtl w:val="true"/>
          <w:lang w:bidi="fa-IR"/>
        </w:rPr>
        <w:t xml:space="preserve">،کما أنّه عکس فی النهایة و السرائر </w:t>
      </w:r>
      <w:r>
        <w:rPr>
          <w:rStyle w:val="FootnoteAnchor"/>
          <w:rtl w:val="true"/>
        </w:rPr>
        <w:footnoteReference w:id="1052"/>
      </w:r>
      <w:r>
        <w:rPr>
          <w:rFonts w:ascii="IRNazanin" w:hAnsi="IRNazanin" w:eastAsia="IRNazanin"/>
          <w:color w:val="111111"/>
          <w:sz w:val="28"/>
          <w:sz w:val="28"/>
          <w:szCs w:val="28"/>
          <w:rtl w:val="true"/>
          <w:lang w:bidi="fa-IR"/>
        </w:rPr>
        <w:t xml:space="preserve">،فألحقا الودیعة بمطلق مجهول المالک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یعمل بها فی الودیعة أو مطلق ما أُخذ من الغاصب بعنوان الحسبة للمالک،لا مطلق ما أُخذ منه حتّی لمصلحة الآخذ،فإنّ الأقوی فیه تحدید التعریف فیه بالیأس؛للأصل بعد اختصاص المخرج عنه بما عدا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ورد من الأمر بالتصدّق بمجهول المالک مع عدم معرفة المالک،کما فی الروایة الواردة فی بعض عمّال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الأمر بالصدقة بما لا یعرف صاحبه ممّا وقع فی یده من أموال الناس بغیر حقّ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الحکم بالصدقة هو المشهور فی ما نحن فیه،أعنی جوائز الظالم،و نسبه فی السرائر </w:t>
      </w:r>
      <w:r>
        <w:rPr>
          <w:rStyle w:val="FootnoteAnchor"/>
          <w:rtl w:val="true"/>
        </w:rPr>
        <w:footnoteReference w:id="1055"/>
      </w:r>
      <w:r>
        <w:rPr>
          <w:rFonts w:ascii="IRNazanin" w:hAnsi="IRNazanin" w:eastAsia="IRNazanin"/>
          <w:color w:val="111111"/>
          <w:sz w:val="28"/>
          <w:sz w:val="28"/>
          <w:szCs w:val="28"/>
          <w:rtl w:val="true"/>
          <w:lang w:bidi="fa-IR"/>
        </w:rPr>
        <w:t>إلی روایة أصحابنا،فهی مرسلة مجبورة</w:t>
      </w:r>
    </w:p>
    <w:p>
      <w:pPr>
        <w:pStyle w:val="BookText"/>
        <w:rPr/>
      </w:pPr>
      <w:r>
        <w:rPr>
          <w:rFonts w:ascii="IRNazanin" w:hAnsi="IRNazanin" w:eastAsia="IRNazanin"/>
          <w:color w:val="111111"/>
          <w:sz w:val="28"/>
          <w:sz w:val="28"/>
          <w:szCs w:val="28"/>
          <w:rtl w:val="true"/>
          <w:lang w:bidi="fa-IR"/>
        </w:rPr>
        <w:t>بالشهرة المحقّقة،مؤیّدة بأنّ التصدّق أقرب طرق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الحلّی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إبقائها أمانة فی یده و الوصیة </w:t>
      </w:r>
      <w:r>
        <w:rPr>
          <w:rStyle w:val="FootnoteAnchor"/>
          <w:rtl w:val="true"/>
        </w:rPr>
        <w:footnoteReference w:id="1057"/>
      </w:r>
      <w:r>
        <w:rPr>
          <w:rFonts w:ascii="IRNazanin" w:hAnsi="IRNazanin" w:eastAsia="IRNazanin"/>
          <w:color w:val="111111"/>
          <w:sz w:val="28"/>
          <w:sz w:val="28"/>
          <w:szCs w:val="28"/>
          <w:rtl w:val="true"/>
          <w:lang w:bidi="fa-IR"/>
        </w:rPr>
        <w:t xml:space="preserve">،معرّض المال </w:t>
      </w:r>
      <w:r>
        <w:rPr>
          <w:rStyle w:val="FootnoteAnchor"/>
          <w:rtl w:val="true"/>
        </w:rPr>
        <w:footnoteReference w:id="1058"/>
      </w:r>
      <w:r>
        <w:rPr>
          <w:rFonts w:ascii="IRNazanin" w:hAnsi="IRNazanin" w:eastAsia="IRNazanin"/>
          <w:color w:val="111111"/>
          <w:sz w:val="28"/>
          <w:sz w:val="28"/>
          <w:szCs w:val="28"/>
          <w:rtl w:val="true"/>
          <w:lang w:bidi="fa-IR"/>
        </w:rPr>
        <w:t>للتلف،مع أنّه لا یبعد دعوی شهادة حال المالک؛للقطع برضاه بانتفاعه بماله فی الآخرة علی تقدیر عدم انتفاعه به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أرسله فی السرائر </w:t>
      </w:r>
      <w:r>
        <w:rPr>
          <w:rStyle w:val="FootnoteAnchor"/>
          <w:rtl w:val="true"/>
        </w:rPr>
        <w:footnoteReference w:id="1059"/>
      </w:r>
      <w:r>
        <w:rPr>
          <w:rFonts w:ascii="Amiri" w:hAnsi="Amiri" w:eastAsia="Amiri" w:cs="Amiri"/>
          <w:color w:val="111111"/>
          <w:sz w:val="28"/>
          <w:sz w:val="28"/>
          <w:szCs w:val="28"/>
          <w:rtl w:val="true"/>
          <w:lang w:bidi="ar-SA"/>
        </w:rPr>
        <w:t xml:space="preserve">،مؤیّداً بأخبار اللقطة </w:t>
      </w:r>
      <w:r>
        <w:rPr>
          <w:rStyle w:val="FootnoteAnchor"/>
          <w:rtl w:val="true"/>
        </w:rPr>
        <w:footnoteReference w:id="1060"/>
      </w:r>
      <w:r>
        <w:rPr>
          <w:rFonts w:ascii="IRNazanin" w:hAnsi="IRNazanin" w:eastAsia="IRNazanin"/>
          <w:color w:val="111111"/>
          <w:sz w:val="28"/>
          <w:sz w:val="28"/>
          <w:szCs w:val="28"/>
          <w:rtl w:val="true"/>
          <w:lang w:bidi="fa-IR"/>
        </w:rPr>
        <w:t xml:space="preserve">و ما فی حکمها </w:t>
      </w:r>
      <w:r>
        <w:rPr>
          <w:rStyle w:val="FootnoteAnchor"/>
          <w:rtl w:val="true"/>
        </w:rPr>
        <w:footnoteReference w:id="1061"/>
      </w:r>
      <w:r>
        <w:rPr>
          <w:rFonts w:ascii="IRNazanin" w:hAnsi="IRNazanin" w:eastAsia="IRNazanin"/>
          <w:color w:val="111111"/>
          <w:sz w:val="28"/>
          <w:sz w:val="28"/>
          <w:szCs w:val="28"/>
          <w:rtl w:val="true"/>
          <w:lang w:bidi="fa-IR"/>
        </w:rPr>
        <w:t xml:space="preserve">،و ببعض الأخبار الواردة فی حکم ما فی ید بعض عمّال بنی أُمیة،الشامل بإطلاقها </w:t>
      </w:r>
      <w:r>
        <w:rPr>
          <w:rStyle w:val="FootnoteAnchor"/>
          <w:rtl w:val="true"/>
        </w:rPr>
        <w:footnoteReference w:id="1062"/>
      </w:r>
      <w:r>
        <w:rPr>
          <w:rFonts w:ascii="IRNazanin" w:hAnsi="IRNazanin" w:eastAsia="IRNazanin"/>
          <w:color w:val="111111"/>
          <w:sz w:val="28"/>
          <w:sz w:val="28"/>
          <w:szCs w:val="28"/>
          <w:rtl w:val="true"/>
          <w:lang w:bidi="fa-IR"/>
        </w:rPr>
        <w:t xml:space="preserve">لما نحن فیه من جوائز بنی أُمیة، حیث قال علیه السلام له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جمیع ما اکتسبت فی دیوانهم،فمن عرفت منهم رددت علیه ماله،و من لم تعرف تصدّقت</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بالتصدّق بما یجتمع عند الصیّاغین من أجزاء النقدین </w:t>
      </w:r>
      <w:r>
        <w:rPr>
          <w:rStyle w:val="FootnoteAnchor"/>
          <w:rtl w:val="true"/>
        </w:rPr>
        <w:footnoteReference w:id="1065"/>
      </w:r>
      <w:r>
        <w:rPr>
          <w:rFonts w:ascii="Amiri" w:hAnsi="Amiri" w:eastAsia="Amiri" w:cs="Amiri"/>
          <w:color w:val="111111"/>
          <w:sz w:val="28"/>
          <w:sz w:val="28"/>
          <w:szCs w:val="28"/>
          <w:rtl w:val="true"/>
          <w:lang w:bidi="ar-SA"/>
        </w:rPr>
        <w:t xml:space="preserve">،و ما ورد من الأمر بالتصدّق بغلّة الوقف المجهول أربابه </w:t>
      </w:r>
      <w:r>
        <w:rPr>
          <w:rStyle w:val="FootnoteAnchor"/>
          <w:rtl w:val="true"/>
        </w:rPr>
        <w:footnoteReference w:id="10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الأمر بالتصدّق بما یبقی فی ذمّة الشخص لأجیر استأجره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Style w:val="FootnoteAnchor"/>
          <w:rtl w:val="true"/>
        </w:rPr>
        <w:footnoteReference w:id="1068"/>
      </w:r>
      <w:r>
        <w:rPr>
          <w:rFonts w:ascii="IRNazanin" w:hAnsi="IRNazanin" w:eastAsia="IRNazanin"/>
          <w:color w:val="111111"/>
          <w:sz w:val="28"/>
          <w:sz w:val="28"/>
          <w:szCs w:val="28"/>
          <w:rtl w:val="true"/>
          <w:lang w:bidi="fa-IR"/>
        </w:rPr>
        <w:t>مصحّحة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Style w:val="FootnoteAnchor"/>
          <w:rtl w:val="true"/>
        </w:rPr>
        <w:footnoteReference w:id="1069"/>
      </w:r>
      <w:r>
        <w:rPr>
          <w:rFonts w:ascii="IRNazanin" w:hAnsi="IRNazanin" w:eastAsia="IRNazanin"/>
          <w:color w:val="111111"/>
          <w:sz w:val="28"/>
          <w:sz w:val="28"/>
          <w:szCs w:val="28"/>
          <w:rtl w:val="true"/>
          <w:lang w:bidi="fa-IR"/>
        </w:rPr>
        <w:t>کنّا مرافقین لقومٍ بمکّة،فارتحلنا عنهم و حملنا بعض متاعهم بغیر علم،و قد ذهب القوم و لا نعرفهم و لا نعرف أوطانهم و قد بقی المتاع عندنا،فما نصنع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تحملونه حتّی تلحقوهم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أعرفهم،و لا ندری کیف نسأل عنهم؟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أعطِ ثمنه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فداک،أهل الولایة؟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نعم،یظهر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مجهول المالک مال الإمام علیه السلام،کروایة داود بن أبی یزید </w:t>
      </w:r>
      <w:r>
        <w:rPr>
          <w:rStyle w:val="FootnoteAnchor"/>
          <w:rtl w:val="true"/>
        </w:rPr>
        <w:footnoteReference w:id="1074"/>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رجل </w:t>
      </w:r>
      <w:r>
        <w:rPr>
          <w:rStyle w:val="FootnoteAnchor"/>
          <w:rtl w:val="true"/>
        </w:rPr>
        <w:footnoteReference w:id="1075"/>
      </w:r>
      <w:r>
        <w:rPr>
          <w:rFonts w:ascii="Amiri" w:hAnsi="Amiri" w:eastAsia="Amiri" w:cs="Amiri"/>
          <w:color w:val="111111"/>
          <w:sz w:val="28"/>
          <w:sz w:val="28"/>
          <w:szCs w:val="28"/>
          <w:rtl w:val="true"/>
          <w:lang w:bidi="ar-SA"/>
        </w:rPr>
        <w:t xml:space="preserve">إنّی قد أصبت مالاً،و إنّی قد خفت فیه </w:t>
      </w:r>
      <w:r>
        <w:rPr>
          <w:rStyle w:val="FootnoteAnchor"/>
          <w:rtl w:val="true"/>
        </w:rPr>
        <w:footnoteReference w:id="1076"/>
      </w:r>
      <w:r>
        <w:rPr>
          <w:rFonts w:ascii="IRNazanin" w:hAnsi="IRNazanin" w:eastAsia="IRNazanin"/>
          <w:color w:val="111111"/>
          <w:sz w:val="28"/>
          <w:sz w:val="28"/>
          <w:szCs w:val="28"/>
          <w:rtl w:val="true"/>
          <w:lang w:bidi="fa-IR"/>
        </w:rPr>
        <w:t>علی نفسی،</w:t>
      </w:r>
    </w:p>
    <w:p>
      <w:pPr>
        <w:pStyle w:val="BookText"/>
        <w:rPr/>
      </w:pPr>
      <w:r>
        <w:rPr>
          <w:rFonts w:ascii="IRNazanin" w:hAnsi="IRNazanin" w:eastAsia="IRNazanin"/>
          <w:color w:val="111111"/>
          <w:sz w:val="28"/>
          <w:sz w:val="28"/>
          <w:szCs w:val="28"/>
          <w:rtl w:val="true"/>
          <w:lang w:bidi="fa-IR"/>
        </w:rPr>
        <w:t xml:space="preserve">فلو أصبت صاحبه دفعته إلیه و تخلّصت منه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Style w:val="FootnoteAnchor"/>
          <w:rtl w:val="true"/>
        </w:rPr>
        <w:footnoteReference w:id="1078"/>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أصبته کنت تدفعه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Style w:val="FootnoteAnchor"/>
          <w:rtl w:val="true"/>
        </w:rPr>
        <w:footnoteReference w:id="1079"/>
      </w:r>
      <w:r>
        <w:rPr>
          <w:rFonts w:ascii="IRNazanin" w:hAnsi="IRNazanin" w:eastAsia="IRNazanin"/>
          <w:color w:val="111111"/>
          <w:sz w:val="28"/>
          <w:sz w:val="28"/>
          <w:szCs w:val="28"/>
          <w:rtl w:val="true"/>
          <w:lang w:bidi="fa-IR"/>
        </w:rPr>
        <w:t>ما له صاحب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فاستحلفه أن یدفعه إلی من 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و قسّمه </w:t>
      </w:r>
      <w:r>
        <w:rPr>
          <w:rStyle w:val="FootnoteAnchor"/>
          <w:rtl w:val="true"/>
        </w:rPr>
        <w:footnoteReference w:id="1081"/>
      </w:r>
      <w:r>
        <w:rPr>
          <w:rFonts w:ascii="IRNazanin" w:hAnsi="IRNazanin" w:eastAsia="IRNazanin"/>
          <w:color w:val="111111"/>
          <w:sz w:val="28"/>
          <w:sz w:val="28"/>
          <w:szCs w:val="28"/>
          <w:rtl w:val="true"/>
          <w:lang w:bidi="fa-IR"/>
        </w:rPr>
        <w:t xml:space="preserve">بین </w:t>
      </w:r>
      <w:r>
        <w:rPr>
          <w:rStyle w:val="FootnoteAnchor"/>
          <w:rtl w:val="true"/>
        </w:rPr>
        <w:footnoteReference w:id="1082"/>
      </w:r>
      <w:r>
        <w:rPr>
          <w:rFonts w:ascii="IRNazanin" w:hAnsi="IRNazanin" w:eastAsia="IRNazanin"/>
          <w:color w:val="111111"/>
          <w:sz w:val="28"/>
          <w:sz w:val="28"/>
          <w:szCs w:val="28"/>
          <w:rtl w:val="true"/>
          <w:lang w:bidi="fa-IR"/>
        </w:rPr>
        <w:t xml:space="preserve">إخوانک و لک الأمن ممّا خفت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فقسّمه بین إخوانه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أمّا باقی </w:t>
      </w:r>
      <w:r>
        <w:rPr>
          <w:rStyle w:val="FootnoteAnchor"/>
          <w:rtl w:val="true"/>
        </w:rPr>
        <w:footnoteReference w:id="1086"/>
      </w:r>
      <w:r>
        <w:rPr>
          <w:rFonts w:ascii="IRNazanin" w:hAnsi="IRNazanin" w:eastAsia="IRNazanin"/>
          <w:color w:val="111111"/>
          <w:sz w:val="28"/>
          <w:sz w:val="28"/>
          <w:szCs w:val="28"/>
          <w:rtl w:val="true"/>
          <w:lang w:bidi="fa-IR"/>
        </w:rPr>
        <w:t>ما ذکرناه فی وجه التصدّق من أنّه إحسان، و أنّه أقرب طرق الإیصال،و أنّ الإذن فیه حاصل بشهادة الحال، فلا یصلح شیء منها للتأیید،فضلاً عن الاستدلال؛لمنع جواز کلّ إحسان فی مال الغائب،و منع کونه أقرب طرق الإیصال،بل الأقرب دفعه إلی الحاکم الذی هو ولیّ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شهادة الحال،فغیر مطّردة؛إذ بعض الناس لا یرضی بالتصدّق؛لعدم یأسه عن وصوله إلیه،خصوصاً إذا کان المالک مخالفاً أو ذمّیا یرضی بالتلف و لا یرضی بالتصدّق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ما تقدّم من النصّ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لزوم الدفع إلی الحاکم،ثمّ الحاکم یتبع شهادة حال المالک،فإن شهدت برضاه بالصدقة أو بالإمساک،عمل علیها </w:t>
      </w:r>
      <w:r>
        <w:rPr>
          <w:rStyle w:val="FootnoteAnchor"/>
          <w:rtl w:val="true"/>
        </w:rPr>
        <w:footnoteReference w:id="1088"/>
      </w:r>
      <w:r>
        <w:rPr>
          <w:rFonts w:ascii="Amiri" w:hAnsi="Amiri" w:eastAsia="Amiri" w:cs="Amiri"/>
          <w:color w:val="111111"/>
          <w:sz w:val="28"/>
          <w:sz w:val="28"/>
          <w:szCs w:val="28"/>
          <w:rtl w:val="true"/>
          <w:lang w:bidi="ar-SA"/>
        </w:rPr>
        <w:t xml:space="preserve">،و إلّا تخیّر </w:t>
      </w:r>
      <w:r>
        <w:rPr>
          <w:rStyle w:val="FootnoteAnchor"/>
          <w:rtl w:val="true"/>
        </w:rPr>
        <w:footnoteReference w:id="1089"/>
      </w:r>
      <w:r>
        <w:rPr>
          <w:rFonts w:ascii="IRNazanin" w:hAnsi="IRNazanin" w:eastAsia="IRNazanin"/>
          <w:color w:val="111111"/>
          <w:sz w:val="28"/>
          <w:sz w:val="28"/>
          <w:szCs w:val="28"/>
          <w:rtl w:val="true"/>
          <w:lang w:bidi="fa-IR"/>
        </w:rPr>
        <w:t xml:space="preserve">بینهما؛لأنّ کلاّ منهما تصرّف لم یؤذن فیه من المالک و لا بدّ من أحدهما،و لا ضمان فیهما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یحتمل قویاً تعیّن </w:t>
      </w:r>
      <w:r>
        <w:rPr>
          <w:rStyle w:val="FootnoteAnchor"/>
          <w:rtl w:val="true"/>
        </w:rPr>
        <w:footnoteReference w:id="1091"/>
      </w:r>
      <w:r>
        <w:rPr>
          <w:rFonts w:ascii="IRNazanin" w:hAnsi="IRNazanin" w:eastAsia="IRNazanin"/>
          <w:color w:val="111111"/>
          <w:sz w:val="28"/>
          <w:sz w:val="28"/>
          <w:szCs w:val="28"/>
          <w:rtl w:val="true"/>
          <w:lang w:bidi="fa-IR"/>
        </w:rPr>
        <w:t>الإمساک؛لأنّ الشکّ فی جواز التصدّق یوجب بطلانه؛لأصالة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بملاحظة ورود النصّ بالتصدّق،فالظاهر عدم جواز الإمساک أمانة؛لأنّه تصرّف لم یؤذن فیه من المالک و لا الشارع،و یبقی الدفع إلی الحاکم و التصدّق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الجمع بینه،و بین دلیل ولایة الحاکم هو</w:t>
      </w:r>
    </w:p>
    <w:p>
      <w:pPr>
        <w:pStyle w:val="BookText"/>
        <w:rPr/>
      </w:pPr>
      <w:r>
        <w:rPr>
          <w:rFonts w:ascii="IRNazanin" w:hAnsi="IRNazanin" w:eastAsia="IRNazanin"/>
          <w:color w:val="111111"/>
          <w:sz w:val="28"/>
          <w:sz w:val="28"/>
          <w:szCs w:val="28"/>
          <w:rtl w:val="true"/>
          <w:lang w:bidi="fa-IR"/>
        </w:rPr>
        <w:t>التخییر بین الصدقة و الدفع إلی الحاکم،فلکلّ منهما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بظهور النصّ فی تعیین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الدفع إلیه من حیث ولایته علی مستحقّی الصدقة و کونه أعرف بمواقعها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التصدّق واردة فی مقام إذن الإمام علیه السلام بالصدقة،أو محمولة علی بیان المصرف،فإنّک إذا تأمّلت کثیراً من التصرّفات الموقوفة علی إذن الحاکم وجدتها واردة فی النصوص علی طریق الحکم العام،کإقامة البیّنة و الإحلاف و المقاصّة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بملاحظة ما دلّ </w:t>
      </w:r>
      <w:r>
        <w:rPr>
          <w:rStyle w:val="FootnoteAnchor"/>
          <w:rtl w:val="true"/>
        </w:rPr>
        <w:footnoteReference w:id="1093"/>
      </w:r>
      <w:r>
        <w:rPr>
          <w:rFonts w:ascii="IRNazanin" w:hAnsi="IRNazanin" w:eastAsia="IRNazanin"/>
          <w:color w:val="111111"/>
          <w:sz w:val="28"/>
          <w:sz w:val="28"/>
          <w:szCs w:val="28"/>
          <w:rtl w:val="true"/>
          <w:lang w:bidi="fa-IR"/>
        </w:rPr>
        <w:t>علی أنّ مجهول المالک مال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مراجعة الحاکم فی الدفع إلیه أو استئذانه،و یتأکّد ذلک فی الدین المجهول المالک؛إذ الکلّی لا یتشخّص للغریم إلّا بقبض الحاکم الذی هو ولیّه و إن کان ظاهر الأخبار الواردة فیه </w:t>
      </w:r>
      <w:r>
        <w:rPr>
          <w:rStyle w:val="FootnoteAnchor"/>
          <w:rtl w:val="true"/>
        </w:rPr>
        <w:footnoteReference w:id="1094"/>
      </w:r>
      <w:r>
        <w:rPr>
          <w:rFonts w:ascii="IRNazanin" w:hAnsi="IRNazanin" w:eastAsia="IRNazanin"/>
          <w:color w:val="111111"/>
          <w:sz w:val="28"/>
          <w:sz w:val="28"/>
          <w:szCs w:val="28"/>
          <w:rtl w:val="true"/>
          <w:lang w:bidi="fa-IR"/>
        </w:rPr>
        <w:t>ثبوت الولایة للمدیون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حکمَ تعذّر الإیصال إلی المالک المعلوم تفصیلاً حکمُ جهالة المالک و تردّده بین غیر محصورین فی التصدّق استقلالاً أو بإذن الحاکم، کما صرّح به جماعة،منهم المحقّق فی الشرائع </w:t>
      </w:r>
      <w:r>
        <w:rPr>
          <w:rStyle w:val="FootnoteAnchor"/>
          <w:rtl w:val="true"/>
        </w:rPr>
        <w:footnoteReference w:id="1095"/>
      </w:r>
      <w:r>
        <w:rPr>
          <w:rFonts w:ascii="IRNazanin" w:hAnsi="IRNazanin" w:eastAsia="IRNazanin"/>
          <w:color w:val="111111"/>
          <w:sz w:val="28"/>
          <w:sz w:val="28"/>
          <w:szCs w:val="28"/>
          <w:rtl w:val="true"/>
          <w:lang w:bidi="fa-IR"/>
        </w:rPr>
        <w:t xml:space="preserve">و غیره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مستحقّ هذه الصدقة هو الفقیر؛لأنّه المتبادر من إطلاق</w:t>
      </w:r>
    </w:p>
    <w:p>
      <w:pPr>
        <w:pStyle w:val="BookText"/>
        <w:rPr/>
      </w:pPr>
      <w:r>
        <w:rPr>
          <w:rFonts w:ascii="IRNazanin" w:hAnsi="IRNazanin" w:eastAsia="IRNazanin"/>
          <w:color w:val="111111"/>
          <w:sz w:val="28"/>
          <w:sz w:val="28"/>
          <w:szCs w:val="28"/>
          <w:rtl w:val="true"/>
          <w:lang w:bidi="fa-IR"/>
        </w:rPr>
        <w:t>الأمر بالتصدّق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إعطائها للهاشمیّ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أنّها صدقة مندوبة علی </w:t>
      </w:r>
      <w:r>
        <w:rPr>
          <w:rStyle w:val="FootnoteAnchor"/>
          <w:rtl w:val="true"/>
        </w:rPr>
        <w:footnoteReference w:id="1097"/>
      </w:r>
      <w:r>
        <w:rPr>
          <w:rFonts w:ascii="IRNazanin" w:hAnsi="IRNazanin" w:eastAsia="IRNazanin"/>
          <w:color w:val="111111"/>
          <w:sz w:val="28"/>
          <w:sz w:val="28"/>
          <w:szCs w:val="28"/>
          <w:rtl w:val="true"/>
          <w:lang w:bidi="fa-IR"/>
        </w:rPr>
        <w:t xml:space="preserve">المالک و إن وجب علی من هی بیده إلّا أنّه نائب کالوکیل و الوصی،و من أنّها </w:t>
      </w:r>
      <w:r>
        <w:rPr>
          <w:rStyle w:val="FootnoteAnchor"/>
          <w:rtl w:val="true"/>
        </w:rPr>
        <w:footnoteReference w:id="1098"/>
      </w:r>
      <w:r>
        <w:rPr>
          <w:rFonts w:ascii="IRNazanin" w:hAnsi="IRNazanin" w:eastAsia="IRNazanin"/>
          <w:color w:val="111111"/>
          <w:sz w:val="28"/>
          <w:sz w:val="28"/>
          <w:szCs w:val="28"/>
          <w:rtl w:val="true"/>
          <w:lang w:bidi="fa-IR"/>
        </w:rPr>
        <w:t>مال تعیّن صرفه بحکم الشارع،لا بأمر المالک حتّی تکون مندوبة،مع أنّ کونها من المالک غیر معلوم فلعلّها ممّن 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المالک و لم یرضَ بالتصدّق و عدمه مطلقاً أو بشرط عدم ترتّب ید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أخذه من الغاصب حسبة لا بقصد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وجوهاً </w:t>
      </w:r>
      <w:r>
        <w:rPr>
          <w:rStyle w:val="FootnoteAnchor"/>
          <w:rtl w:val="true"/>
        </w:rPr>
        <w:footnoteReference w:id="1099"/>
      </w:r>
      <w:r>
        <w:rPr>
          <w:rFonts w:ascii="IRNazanin" w:hAnsi="IRNazanin" w:eastAsia="IRNazanin"/>
          <w:color w:val="111111"/>
          <w:sz w:val="28"/>
          <w:sz w:val="28"/>
          <w:szCs w:val="28"/>
          <w:rtl w:val="true"/>
          <w:lang w:bidi="fa-IR"/>
        </w:rPr>
        <w:t>من أصالة براءة ذمّة المتصدّق، و أصالة لزوم الصدقة بمعنی عدم انقلابها عن الوجه الذی وقعت علیه، و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مَن أتلف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إذن الشارع؛لاحتمال أنّه أذِنَ فی التصدّق علی هذا الوجه کإذنه فی التصدّق باللقطة المضمونة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استودع من الغاصب،و لیس هنا أمر مطلق بالتصدّق ساکت عن ذکر الضمان حتّی یستظهر منه عدم الضمان مع السکوت عنه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یضعِّف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دلیل الإتلاف </w:t>
      </w:r>
      <w:r>
        <w:rPr>
          <w:rStyle w:val="FootnoteAnchor"/>
          <w:rtl w:val="true"/>
        </w:rPr>
        <w:footnoteReference w:id="1100"/>
      </w:r>
      <w:r>
        <w:rPr>
          <w:rFonts w:ascii="IRNazanin" w:hAnsi="IRNazanin" w:eastAsia="IRNazanin"/>
          <w:color w:val="111111"/>
          <w:sz w:val="28"/>
          <w:sz w:val="28"/>
          <w:szCs w:val="28"/>
          <w:rtl w:val="true"/>
          <w:lang w:bidi="fa-IR"/>
        </w:rPr>
        <w:t>کونها علّة تامّة للضمان،و لیس کذلک ما نحن فیه و إیجابه للضمان مراعیً بعدم إجازة المالک یحتاج إلی دلیلٍ آخر،إلّا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ضامن بمجرّد</w:t>
      </w:r>
    </w:p>
    <w:p>
      <w:pPr>
        <w:pStyle w:val="BookText"/>
        <w:rPr/>
      </w:pPr>
      <w:r>
        <w:rPr>
          <w:rFonts w:ascii="IRNazanin" w:hAnsi="IRNazanin" w:eastAsia="IRNazanin"/>
          <w:color w:val="111111"/>
          <w:sz w:val="28"/>
          <w:sz w:val="28"/>
          <w:szCs w:val="28"/>
          <w:rtl w:val="true"/>
          <w:lang w:bidi="fa-IR"/>
        </w:rPr>
        <w:t>التصدّق،و یرتفع بإجازته،فتأمّل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 الظاهر من دلیل الإتلاف اختصاصه بالإتلاف علی المالک،لا الإتلاف له و الإحسان إلیه،و المفروض أنّ الصدقة إنّما قلنا بها </w:t>
      </w:r>
      <w:r>
        <w:rPr>
          <w:rStyle w:val="FootnoteAnchor"/>
          <w:rtl w:val="true"/>
        </w:rPr>
        <w:footnoteReference w:id="1101"/>
      </w:r>
      <w:r>
        <w:rPr>
          <w:rFonts w:ascii="IRNazanin" w:hAnsi="IRNazanin" w:eastAsia="IRNazanin"/>
          <w:color w:val="111111"/>
          <w:sz w:val="28"/>
          <w:sz w:val="28"/>
          <w:szCs w:val="28"/>
          <w:rtl w:val="true"/>
          <w:lang w:bidi="fa-IR"/>
        </w:rPr>
        <w:t xml:space="preserve">لکونها إحساناً و أقرب طرق </w:t>
      </w:r>
      <w:r>
        <w:rPr>
          <w:rStyle w:val="FootnoteAnchor"/>
          <w:rtl w:val="true"/>
        </w:rPr>
        <w:footnoteReference w:id="1102"/>
      </w:r>
      <w:r>
        <w:rPr>
          <w:rFonts w:ascii="IRNazanin" w:hAnsi="IRNazanin" w:eastAsia="IRNazanin"/>
          <w:color w:val="111111"/>
          <w:sz w:val="28"/>
          <w:sz w:val="28"/>
          <w:szCs w:val="28"/>
          <w:rtl w:val="true"/>
          <w:lang w:bidi="fa-IR"/>
        </w:rPr>
        <w:t>الإیصال بعد الیأس من وصوله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التصدّق مراعی کالفضولی فمفروض الانتفاء؛ إذ لم یقل أحد برجوع المالک علی الفقیر مع بقاء العین،و انتقال الثواب من شخص إلی غیره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مقتضی للضمان و إن کان مجرّد الإذن فی الصدقة غیر مقتضٍ لعدمه،فلا بدّ من الرجوع إلی الأصل،لکنّ الرجوع إلی أصالة البراءة إنّما یصحّ فیما لم یسبق ید الضمان،و هو ما إذا أخذ المال من الغاصب 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تملّکه منه ثمّ علم بکونه مغصوباً فالأجود استصحاب الضمان فی هذه الصورة؛لأنّ المتیقّن هو ارتفاع الضمان بالتصرّف الذی یرضی به المالک بعد الاطّلاع،لا مطلقاً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التفصیل بین ید الضمان و غیرها أوفق بالقاعدة،لکنّ الأوجه الضمان مطلقاً؛إمّا تحکیماً للاستصحاب،حیث یعارض البراءة و لو بضمیمة عدم القول بالفصل،و إمّا للمرسلة المتقدّمة </w:t>
      </w:r>
      <w:r>
        <w:rPr>
          <w:rStyle w:val="FootnoteAnchor"/>
          <w:rtl w:val="true"/>
        </w:rPr>
        <w:footnoteReference w:id="1103"/>
      </w:r>
      <w:r>
        <w:rPr>
          <w:rFonts w:ascii="IRNazanin" w:hAnsi="IRNazanin" w:eastAsia="IRNazanin"/>
          <w:color w:val="111111"/>
          <w:sz w:val="28"/>
          <w:sz w:val="28"/>
          <w:szCs w:val="28"/>
          <w:rtl w:val="true"/>
          <w:lang w:bidi="fa-IR"/>
        </w:rPr>
        <w:t>عن السرائر،</w:t>
      </w:r>
    </w:p>
    <w:p>
      <w:pPr>
        <w:pStyle w:val="BookText"/>
        <w:rPr/>
      </w:pPr>
      <w:r>
        <w:rPr>
          <w:rFonts w:ascii="IRNazanin" w:hAnsi="IRNazanin" w:eastAsia="IRNazanin"/>
          <w:color w:val="111111"/>
          <w:sz w:val="28"/>
          <w:sz w:val="28"/>
          <w:szCs w:val="28"/>
          <w:rtl w:val="true"/>
          <w:lang w:bidi="fa-IR"/>
        </w:rPr>
        <w:t xml:space="preserve">و إمّا لاستفادة ذلک من خبر الودیعة </w:t>
      </w:r>
      <w:r>
        <w:rPr>
          <w:rStyle w:val="FootnoteAnchor"/>
          <w:rtl w:val="true"/>
        </w:rPr>
        <w:footnoteReference w:id="1104"/>
      </w:r>
      <w:r>
        <w:rPr>
          <w:rFonts w:ascii="Amiri" w:hAnsi="Amiri" w:eastAsia="Amiri" w:cs="Amiri"/>
          <w:color w:val="111111"/>
          <w:sz w:val="28"/>
          <w:sz w:val="28"/>
          <w:szCs w:val="28"/>
          <w:rtl w:val="true"/>
          <w:lang w:bidi="ar-SA"/>
        </w:rPr>
        <w:t xml:space="preserve">إن لم نتعدّ </w:t>
      </w:r>
      <w:r>
        <w:rPr>
          <w:rStyle w:val="FootnoteAnchor"/>
          <w:rtl w:val="true"/>
        </w:rPr>
        <w:footnoteReference w:id="1105"/>
      </w:r>
      <w:r>
        <w:rPr>
          <w:rFonts w:ascii="IRNazanin" w:hAnsi="IRNazanin" w:eastAsia="IRNazanin"/>
          <w:color w:val="111111"/>
          <w:sz w:val="28"/>
          <w:sz w:val="28"/>
          <w:szCs w:val="28"/>
          <w:rtl w:val="true"/>
          <w:lang w:bidi="fa-IR"/>
        </w:rPr>
        <w:t xml:space="preserve">عن </w:t>
      </w:r>
      <w:r>
        <w:rPr>
          <w:rStyle w:val="FootnoteAnchor"/>
          <w:rtl w:val="true"/>
        </w:rPr>
        <w:footnoteReference w:id="1106"/>
      </w:r>
      <w:r>
        <w:rPr>
          <w:rFonts w:ascii="IRNazanin" w:hAnsi="IRNazanin" w:eastAsia="IRNazanin"/>
          <w:color w:val="111111"/>
          <w:sz w:val="28"/>
          <w:sz w:val="28"/>
          <w:szCs w:val="28"/>
          <w:rtl w:val="true"/>
          <w:lang w:bidi="fa-IR"/>
        </w:rPr>
        <w:t>مورده إلی ما نحن فیه من جعله بحکم اللقطة،لکن یستفاد منه أنّ الصدقة بهذا الوجه حکم الیأس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الضمان،هل یثبت بمجرّد التصدّق و إجازته رافعة،أو یثبت بالردّ من حینه،أو من حین التصدّق؟وجوه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دلیل الإتلاف، و الاستصحاب،و من أصالة عدم الضمان قبل الردّ،و من ظاهر الروایة المتقدّمة </w:t>
      </w:r>
      <w:r>
        <w:rPr>
          <w:rStyle w:val="FootnoteAnchor"/>
          <w:rtl w:val="true"/>
        </w:rPr>
        <w:footnoteReference w:id="1107"/>
      </w:r>
      <w:r>
        <w:rPr>
          <w:rFonts w:ascii="IRNazanin" w:hAnsi="IRNazanin" w:eastAsia="IRNazanin"/>
          <w:color w:val="111111"/>
          <w:sz w:val="28"/>
          <w:sz w:val="28"/>
          <w:szCs w:val="28"/>
          <w:rtl w:val="true"/>
          <w:lang w:bidi="fa-IR"/>
        </w:rPr>
        <w:t xml:space="preserve">فی أنّه بمنزلة </w:t>
      </w:r>
      <w:r>
        <w:rPr>
          <w:rStyle w:val="FootnoteAnchor"/>
          <w:rtl w:val="true"/>
        </w:rPr>
        <w:footnoteReference w:id="1108"/>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مات المالک،ففی قیام وارثه مقامه فی إجازة التصدّق و ردّه وجه قوی؛لأنّ ذلک من قبیل الحقوق المتعلّقة بالأموال </w:t>
      </w:r>
      <w:r>
        <w:rPr>
          <w:rStyle w:val="FootnoteAnchor"/>
          <w:rtl w:val="true"/>
        </w:rPr>
        <w:footnoteReference w:id="1109"/>
      </w:r>
      <w:r>
        <w:rPr>
          <w:rFonts w:ascii="IRNazanin" w:hAnsi="IRNazanin" w:eastAsia="IRNazanin"/>
          <w:color w:val="111111"/>
          <w:sz w:val="28"/>
          <w:sz w:val="28"/>
          <w:szCs w:val="28"/>
          <w:rtl w:val="true"/>
          <w:lang w:bidi="fa-IR"/>
        </w:rPr>
        <w:t>،فیورّث کغیره من الحقوق،و یحتمل العدم؛لفرض لزوم التصدّق بالنسبة إلی العین،فلا حقّ لأحدٍ فیه،و المتیقّن من الرجوع إلی القیمة هو المالک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المتصدّق فرد المالک،فالظاهر خروج الغرامة من ترکته؛ لأنّه من الحقوق المالیة اللازمة علیه بسبب فعله</w:t>
      </w:r>
      <w:r>
        <w:rPr>
          <w:rFonts w:eastAsia="IRNazanin" w:cs="IRNazanin"/>
          <w:color w:val="111111"/>
          <w:sz w:val="28"/>
          <w:szCs w:val="28"/>
          <w:rtl w:val="true"/>
          <w:lang w:bidi="fa-IR"/>
        </w:rPr>
        <w:t>.</w:t>
      </w:r>
      <w:bookmarkStart w:id="195" w:name="pg19674_191694"/>
    </w:p>
    <w:p>
      <w:pPr>
        <w:pStyle w:val="BookText"/>
        <w:rPr/>
      </w:pPr>
      <w:bookmarkEnd w:id="195"/>
      <w:r>
        <w:rPr>
          <w:rFonts w:ascii="IRNazanin" w:hAnsi="IRNazanin" w:eastAsia="IRNazanin"/>
          <w:color w:val="111111"/>
          <w:sz w:val="28"/>
          <w:sz w:val="28"/>
          <w:szCs w:val="28"/>
          <w:rtl w:val="true"/>
          <w:lang w:bidi="fa-IR"/>
        </w:rPr>
        <w:t>هذا کلّه علی تقدیر مباشرة المتصدّق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إلی الحاکم فتصدّق به بعد الیأس،فالظاهر عدم الضمان؛لبراءة ذمّة الشخص بالدفع إلی ولیّ الغائب،و تصرّف الولیّ کتصرّف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الضمان؛لأنّ الغرامة هنا لیست </w:t>
      </w:r>
      <w:r>
        <w:rPr>
          <w:rStyle w:val="FootnoteAnchor"/>
          <w:rtl w:val="true"/>
        </w:rPr>
        <w:footnoteReference w:id="1110"/>
      </w:r>
      <w:r>
        <w:rPr>
          <w:rFonts w:ascii="IRNazanin" w:hAnsi="IRNazanin" w:eastAsia="IRNazanin"/>
          <w:color w:val="111111"/>
          <w:sz w:val="28"/>
          <w:sz w:val="28"/>
          <w:szCs w:val="28"/>
          <w:rtl w:val="true"/>
          <w:lang w:bidi="fa-IR"/>
        </w:rPr>
        <w:t xml:space="preserve">لأجل ضمان المال و عدم نفوذ التصرّف الصادر من المتصدّق حتّی یفرّق بین تصرّف الولیّ و غیره؛لثبوت الولایة للمتصدّق فی هذا التصرّف </w:t>
      </w:r>
      <w:r>
        <w:rPr>
          <w:rStyle w:val="FootnoteAnchor"/>
          <w:rtl w:val="true"/>
        </w:rPr>
        <w:footnoteReference w:id="1111"/>
      </w:r>
      <w:r>
        <w:rPr>
          <w:rFonts w:ascii="IRNazanin" w:hAnsi="IRNazanin" w:eastAsia="IRNazanin"/>
          <w:color w:val="111111"/>
          <w:sz w:val="28"/>
          <w:sz w:val="28"/>
          <w:szCs w:val="28"/>
          <w:rtl w:val="true"/>
          <w:lang w:bidi="fa-IR"/>
        </w:rPr>
        <w:t>کالحاکم،و لذا لا یستردّ العین من الفقیر إذا ردّ المالک،فالتصرّف لازم،و الغرامة حکم شرعی تعلّق بالمتصدّق کائناً من کان،فإذا کان المکلّف بالتصدّق هو مَن وقع فی یده لکونه هو المأیوس و الحاکم وکیلاً،کان الغرم علی الموکل،و إن کان المکلّف هو الحاکم لوقوع المال فی یده قبل الیأس عن مالکه،فهو المکلّف بالفحص ثمّ التصدّق کان الضمان علیه</w:t>
      </w:r>
      <w:r>
        <w:rPr>
          <w:rFonts w:eastAsia="IRNazanin" w:cs="IRNazanin"/>
          <w:color w:val="111111"/>
          <w:sz w:val="28"/>
          <w:szCs w:val="28"/>
          <w:rtl w:val="true"/>
          <w:lang w:bidi="fa-IR"/>
        </w:rPr>
        <w:t>.</w:t>
      </w:r>
    </w:p>
    <w:p>
      <w:pPr>
        <w:pStyle w:val="Heading6"/>
        <w:numPr>
          <w:ilvl w:val="5"/>
          <w:numId w:val="1"/>
        </w:numPr>
        <w:rPr/>
      </w:pPr>
      <w:bookmarkStart w:id="196" w:name="__RefHeading___Toc5027800_2314609296"/>
      <w:bookmarkStart w:id="197" w:name="_Toc76"/>
      <w:bookmarkEnd w:id="196"/>
      <w:r>
        <w:rPr>
          <w:rtl w:val="true"/>
        </w:rPr>
        <w:t>و أمّا الصورة الرابعة</w:t>
      </w:r>
      <w:r>
        <w:rPr>
          <w:rtl w:val="true"/>
        </w:rPr>
        <w:t>:</w:t>
      </w:r>
      <w:r>
        <w:rPr>
          <w:rtl w:val="true"/>
        </w:rPr>
        <w:t>و هو</w:t>
      </w:r>
      <w:bookmarkEnd w:id="197"/>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1112"/>
      </w:r>
      <w:r>
        <w:rPr>
          <w:rFonts w:ascii="IRNazanin" w:hAnsi="IRNazanin" w:eastAsia="IRNazanin"/>
          <w:color w:val="111111"/>
          <w:sz w:val="28"/>
          <w:sz w:val="28"/>
          <w:szCs w:val="28"/>
          <w:rtl w:val="true"/>
          <w:lang w:bidi="fa-IR"/>
        </w:rPr>
        <w:t>ما علم إجمالاً اشتمال الجائزة علی الحرام،</w:t>
      </w:r>
    </w:p>
    <w:p>
      <w:pPr>
        <w:pStyle w:val="BookText"/>
        <w:rPr/>
      </w:pPr>
      <w:r>
        <w:rPr>
          <w:rFonts w:ascii="IRNazanin" w:hAnsi="IRNazanin" w:eastAsia="IRNazanin"/>
          <w:color w:val="111111"/>
          <w:sz w:val="28"/>
          <w:sz w:val="28"/>
          <w:szCs w:val="28"/>
          <w:rtl w:val="true"/>
          <w:lang w:bidi="fa-IR"/>
        </w:rPr>
        <w:t xml:space="preserve">فإمّا أن یکون الاشتباه موجباً لحصول الإشاعة و الاشتراک </w:t>
      </w:r>
      <w:r>
        <w:rPr>
          <w:rStyle w:val="FootnoteAnchor"/>
          <w:rtl w:val="true"/>
        </w:rPr>
        <w:footnoteReference w:id="1113"/>
      </w:r>
      <w:r>
        <w:rPr>
          <w:rFonts w:ascii="IRNazanin" w:hAnsi="IRNazanin" w:eastAsia="IRNazanin"/>
          <w:color w:val="111111"/>
          <w:sz w:val="28"/>
          <w:sz w:val="28"/>
          <w:szCs w:val="28"/>
          <w:rtl w:val="true"/>
          <w:lang w:bidi="fa-IR"/>
        </w:rPr>
        <w:t>، 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و المالک إمّا معلومان أو مجهولان أو مختلفان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إخراج الخمس علی</w:t>
      </w:r>
    </w:p>
    <w:p>
      <w:pPr>
        <w:pStyle w:val="BookText"/>
        <w:rPr/>
      </w:pPr>
      <w:r>
        <w:rPr>
          <w:rFonts w:ascii="IRNazanin" w:hAnsi="IRNazanin" w:eastAsia="IRNazanin"/>
          <w:color w:val="111111"/>
          <w:sz w:val="28"/>
          <w:sz w:val="28"/>
          <w:szCs w:val="28"/>
          <w:rtl w:val="true"/>
          <w:lang w:bidi="fa-IR"/>
        </w:rPr>
        <w:t xml:space="preserve">تفصیل مذکور فی باب الخمس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القدر فقد تقدّم 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المالک وجب التخلّص معه بالمصالحة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القرعة أو البیع و الاشتراک فی الثمن،و تفصیل ذلک کلّه فی کتاب الخمس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اعلم،أنّ أخذ ما فی ید الظالم ینقسم باعتبار نفس الأخذ إلی الأحکام الخمسة،و باعتبار نفس المال إلی المحرّم و المکروه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 ما علم کونه مال الغیر مع عدم رضاه بالأخذ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المکروه المال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ما یجب استنقاذه من یده من حقوق الناس، حتّی أنّه یجب علی الحاکم الشرعی استنقاذ ما فی ذمّته من حقوق السادة و الفقراء و لو بعنوان المقاصّة،بل یجوز ذلک لآحاد الناس، خصوصاً نفس المستحقّین مع تعذّر استئذان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کان،فالظاهر أنّه لا إشکال فی کون ما فی ذمّته من قیم المتلفات غصباً من جملة دیونه،نظیر ما استقرّ فی ذمّته بقرض أو ثمن مبیع أو صداق أو غیرها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کونها کذلک بعد موته،فیقدّم جمیع ذلک علی الإرث و الوصیة،إلّا أنّه ذکر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یده من المظالم تالفاً لا یلحقه حکم الدیون فی التقدیم علی الوصایا و المواریث؛ لعدم انصراف الدین إلیه و إن کان منه و بقاء عموم الوصیة و المیراث علی حاله،و للسیرة المأخوذة یداً بید من مبدإ الإسلام إلی یومنا هذا،</w:t>
      </w:r>
    </w:p>
    <w:p>
      <w:pPr>
        <w:pStyle w:val="BookText"/>
        <w:rPr/>
      </w:pPr>
      <w:r>
        <w:rPr>
          <w:rFonts w:ascii="IRNazanin" w:hAnsi="IRNazanin" w:eastAsia="IRNazanin"/>
          <w:color w:val="111111"/>
          <w:sz w:val="28"/>
          <w:sz w:val="28"/>
          <w:szCs w:val="28"/>
          <w:rtl w:val="true"/>
          <w:lang w:bidi="fa-IR"/>
        </w:rPr>
        <w:t xml:space="preserve">فعلی هذا لو أوصی بها بعد التلف أُخرجت من الثلث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الانصراف </w:t>
      </w:r>
      <w:r>
        <w:rPr>
          <w:rStyle w:val="FootnoteAnchor"/>
          <w:rtl w:val="true"/>
        </w:rPr>
        <w:footnoteReference w:id="1117"/>
      </w:r>
      <w:r>
        <w:rPr>
          <w:rFonts w:ascii="IRNazanin" w:hAnsi="IRNazanin" w:eastAsia="IRNazanin"/>
          <w:color w:val="111111"/>
          <w:sz w:val="28"/>
          <w:sz w:val="28"/>
          <w:szCs w:val="28"/>
          <w:rtl w:val="true"/>
          <w:lang w:bidi="fa-IR"/>
        </w:rPr>
        <w:t xml:space="preserve">فإنّا لا نجد بعد مراجعة العرف فرقاً بین ما أتلفه هذا الظالم عدواناً و بین ما أتلفه نسیاناً،و لا بین ما أتلفه عدواناً هذا الظالم </w:t>
      </w:r>
      <w:r>
        <w:rPr>
          <w:rStyle w:val="FootnoteAnchor"/>
          <w:rtl w:val="true"/>
        </w:rPr>
        <w:footnoteReference w:id="1118"/>
      </w:r>
      <w:r>
        <w:rPr>
          <w:rFonts w:ascii="IRNazanin" w:hAnsi="IRNazanin" w:eastAsia="IRNazanin"/>
          <w:color w:val="111111"/>
          <w:sz w:val="28"/>
          <w:sz w:val="28"/>
          <w:szCs w:val="28"/>
          <w:rtl w:val="true"/>
          <w:lang w:bidi="fa-IR"/>
        </w:rPr>
        <w:t xml:space="preserve">و بین ما أتلفه شخص آخر من غیر الظلمة،مع أنّه لا إشکال فی جریان أحکام الدین علیه فی حال حیاته من جواز المقاصّة من ماله کما هو المنصوص </w:t>
      </w:r>
      <w:r>
        <w:rPr>
          <w:rStyle w:val="FootnoteAnchor"/>
          <w:rtl w:val="true"/>
        </w:rPr>
        <w:footnoteReference w:id="1119"/>
      </w:r>
      <w:r>
        <w:rPr>
          <w:rFonts w:ascii="Amiri" w:hAnsi="Amiri" w:eastAsia="Amiri" w:cs="Amiri"/>
          <w:color w:val="111111"/>
          <w:sz w:val="28"/>
          <w:sz w:val="28"/>
          <w:szCs w:val="28"/>
          <w:rtl w:val="true"/>
          <w:lang w:bidi="ar-SA"/>
        </w:rPr>
        <w:t xml:space="preserve">،و تعلّق </w:t>
      </w:r>
      <w:r>
        <w:rPr>
          <w:rStyle w:val="FootnoteAnchor"/>
          <w:rtl w:val="true"/>
        </w:rPr>
        <w:footnoteReference w:id="1120"/>
      </w:r>
      <w:r>
        <w:rPr>
          <w:rFonts w:ascii="IRNazanin" w:hAnsi="IRNazanin" w:eastAsia="IRNazanin"/>
          <w:color w:val="111111"/>
          <w:sz w:val="28"/>
          <w:sz w:val="28"/>
          <w:szCs w:val="28"/>
          <w:rtl w:val="true"/>
          <w:lang w:bidi="fa-IR"/>
        </w:rPr>
        <w:t xml:space="preserve">الخمس و الاستطاعة و غیر ذلک،فلو تمّ الانصراف لزم إهمال الأحکام المنوطة بالدین وجوداً و عدماً </w:t>
      </w:r>
      <w:r>
        <w:rPr>
          <w:rStyle w:val="FootnoteAnchor"/>
          <w:rtl w:val="true"/>
        </w:rPr>
        <w:footnoteReference w:id="1121"/>
      </w:r>
      <w:r>
        <w:rPr>
          <w:rFonts w:ascii="IRNazanin" w:hAnsi="IRNazanin" w:eastAsia="IRNazanin"/>
          <w:color w:val="111111"/>
          <w:sz w:val="28"/>
          <w:sz w:val="28"/>
          <w:szCs w:val="28"/>
          <w:rtl w:val="true"/>
          <w:lang w:bidi="fa-IR"/>
        </w:rPr>
        <w:t>من غیر فرق بین حیاته و موته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ادّعاه من السیرة،فهو ناشٍ من قلّة مبالاة الناس کما هو دَیْدَنهم فی أکثر السیر التی استمرّوا علیها؛و لذا لا یفرّقون فی ذلک بین الظلَمة و غیرهم ممّن علموا باشتغال ذمّته بحقوق الناس من جهة حقّ السادة و الفقراء،أو من جهة العلم بفساد أکثر معاملاته،و لا فی إنفاذ وصایا الظلَمة و توریث ورثتهم بین اشتغال ذممهم بعوض المتلَفات و أرش </w:t>
      </w:r>
      <w:r>
        <w:rPr>
          <w:rStyle w:val="FootnoteAnchor"/>
          <w:rtl w:val="true"/>
        </w:rPr>
        <w:footnoteReference w:id="1122"/>
      </w:r>
      <w:r>
        <w:rPr>
          <w:rFonts w:ascii="IRNazanin" w:hAnsi="IRNazanin" w:eastAsia="IRNazanin"/>
          <w:color w:val="111111"/>
          <w:sz w:val="28"/>
          <w:sz w:val="28"/>
          <w:szCs w:val="28"/>
          <w:rtl w:val="true"/>
          <w:lang w:bidi="fa-IR"/>
        </w:rPr>
        <w:t>الجنایات،و بین اشتغالها بدیونهم المستقرّة علیهم من معاملاتهم</w:t>
      </w:r>
    </w:p>
    <w:p>
      <w:pPr>
        <w:pStyle w:val="BookText"/>
        <w:rPr/>
      </w:pPr>
      <w:r>
        <w:rPr>
          <w:rFonts w:ascii="Amiri" w:hAnsi="Amiri" w:eastAsia="Amiri" w:cs="Amiri"/>
          <w:color w:val="111111"/>
          <w:sz w:val="28"/>
          <w:sz w:val="28"/>
          <w:szCs w:val="28"/>
          <w:rtl w:val="true"/>
          <w:lang w:bidi="ar-SA"/>
        </w:rPr>
        <w:t xml:space="preserve">و صدقاتهم الواجبة </w:t>
      </w:r>
      <w:r>
        <w:rPr>
          <w:rStyle w:val="FootnoteAnchor"/>
          <w:rtl w:val="true"/>
        </w:rPr>
        <w:footnoteReference w:id="1123"/>
      </w:r>
      <w:r>
        <w:rPr>
          <w:rFonts w:ascii="IRNazanin" w:hAnsi="IRNazanin" w:eastAsia="IRNazanin"/>
          <w:color w:val="111111"/>
          <w:sz w:val="28"/>
          <w:sz w:val="28"/>
          <w:szCs w:val="28"/>
          <w:rtl w:val="true"/>
          <w:lang w:bidi="fa-IR"/>
        </w:rPr>
        <w:t xml:space="preserve">علیهم،و لا بین ما علم المظلوم فیه تفصیلاً،و بین ما لم یعلم؛فإنّک إذا تتبّعت أحوال الظلَمة وجدت ما استقرّ فی ذممهم من جهة المعاوضات و المداینات مطلقاً،أو من جهة </w:t>
      </w:r>
      <w:r>
        <w:rPr>
          <w:rStyle w:val="FootnoteAnchor"/>
          <w:rtl w:val="true"/>
        </w:rPr>
        <w:footnoteReference w:id="1124"/>
      </w:r>
      <w:r>
        <w:rPr>
          <w:rFonts w:ascii="IRNazanin" w:hAnsi="IRNazanin" w:eastAsia="IRNazanin"/>
          <w:color w:val="111111"/>
          <w:sz w:val="28"/>
          <w:sz w:val="28"/>
          <w:szCs w:val="28"/>
          <w:rtl w:val="true"/>
          <w:lang w:bidi="fa-IR"/>
        </w:rPr>
        <w:t xml:space="preserve">خصوص </w:t>
      </w:r>
      <w:r>
        <w:rPr>
          <w:rStyle w:val="FootnoteAnchor"/>
          <w:rtl w:val="true"/>
        </w:rPr>
        <w:footnoteReference w:id="1125"/>
      </w:r>
      <w:r>
        <w:rPr>
          <w:rFonts w:ascii="IRNazanin" w:hAnsi="IRNazanin" w:eastAsia="IRNazanin"/>
          <w:color w:val="111111"/>
          <w:sz w:val="28"/>
          <w:sz w:val="28"/>
          <w:szCs w:val="28"/>
          <w:rtl w:val="true"/>
          <w:lang w:bidi="fa-IR"/>
        </w:rPr>
        <w:t xml:space="preserve">أشخاص معلومین تفصیلاً،أو مشتبَهین فی محصور کافیاً </w:t>
      </w:r>
      <w:r>
        <w:rPr>
          <w:rStyle w:val="FootnoteAnchor"/>
          <w:rtl w:val="true"/>
        </w:rPr>
        <w:footnoteReference w:id="1126"/>
      </w:r>
      <w:r>
        <w:rPr>
          <w:rFonts w:ascii="IRNazanin" w:hAnsi="IRNazanin" w:eastAsia="IRNazanin"/>
          <w:color w:val="111111"/>
          <w:sz w:val="28"/>
          <w:sz w:val="28"/>
          <w:szCs w:val="28"/>
          <w:rtl w:val="true"/>
          <w:lang w:bidi="fa-IR"/>
        </w:rPr>
        <w:t>فی استغراق ترکتهم المانع من التصرّف فیها بالوصیة أو الإرث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بالجملة،فالتمسّک بالسیرة المذکورة أوهن من دعوی الانصراف السابقة،فالخروج بها عن القواعد المنصوصة المجمع علیها غیر متوجّه</w:t>
      </w:r>
      <w:r>
        <w:rPr>
          <w:rFonts w:eastAsia="IRNazanin" w:cs="IRNazanin"/>
          <w:color w:val="111111"/>
          <w:sz w:val="28"/>
          <w:szCs w:val="28"/>
          <w:rtl w:val="true"/>
          <w:lang w:bidi="fa-IR"/>
        </w:rPr>
        <w:t>.</w:t>
      </w:r>
      <w:bookmarkStart w:id="198" w:name="pg19674_191698"/>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5027802_2314609296"/>
      <w:bookmarkStart w:id="200" w:name="_Toc77"/>
      <w:bookmarkEnd w:id="199"/>
      <w:r>
        <w:rPr>
          <w:rtl w:val="true"/>
        </w:rPr>
        <w:t>المسألة</w:t>
      </w:r>
      <w:r>
        <w:rPr>
          <w:rtl w:val="true"/>
        </w:rPr>
        <w:t>]</w:t>
      </w:r>
      <w:r>
        <w:rPr>
          <w:rtl w:val="true"/>
        </w:rPr>
        <w:t>الثالثة ما یأخذه السلطان المستحلّ لأخذ الخراج و المقاسمة من الأراضی باسمهما و من الأنعام باسم الزکاة،</w:t>
      </w:r>
      <w:bookmarkEnd w:id="200"/>
    </w:p>
    <w:p>
      <w:pPr>
        <w:pStyle w:val="Heading5"/>
        <w:numPr>
          <w:ilvl w:val="4"/>
          <w:numId w:val="1"/>
        </w:numPr>
        <w:rPr/>
      </w:pPr>
      <w:bookmarkStart w:id="201" w:name="__RefHeading___Toc5027804_2314609296"/>
      <w:bookmarkStart w:id="202" w:name="_Toc78"/>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یجوز أن یقبض منه مجاناً أو بالمعاوضة، و إن کان مقتضی القاعدة حرمته؛لأنّه غیر مستحقّ لأخذه،فتراضیه مع مَن علیه الحقوق المذکورة فی تعیین شیء من ماله لأجلها فاسد،کما إذا تراضی الظالم مع مستأجر دار الغیر فی دفع شیءٍ إلیه عوض الأُجرة، هذا مع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قهره علی أخذ شیء بهذه العنوانات ففساده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کان،فما یأخذه الجائر باقٍ علی ملک المأخوذ منه،و مع ذلک یجوز قبضه عن الجائر بلا خلاف یعتدّ به بین الأصحاب،و عن بعض حکایة الإجماع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الدلیل علی جواز شراء الثلاثة من الجائر و إن لم یکن مستحقّاً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الوارد عنهم علیهم السلام،و الإجماع و إن لم یعلم مستنده،و یمکن أن یکون مستنده أنّ ذلک حقّ للأئمة علیهم السلام و قد أذنوا لشیعتهم فی شراء ذلک،فیکون تصرّف الجائر کتصرّف</w:t>
      </w:r>
    </w:p>
    <w:p>
      <w:pPr>
        <w:pStyle w:val="BookText"/>
        <w:rPr/>
      </w:pPr>
      <w:r>
        <w:rPr>
          <w:rFonts w:ascii="IRNazanin" w:hAnsi="IRNazanin" w:eastAsia="IRNazanin"/>
          <w:color w:val="111111"/>
          <w:sz w:val="28"/>
          <w:sz w:val="28"/>
          <w:szCs w:val="28"/>
          <w:rtl w:val="true"/>
          <w:lang w:bidi="fa-IR"/>
        </w:rPr>
        <w:t xml:space="preserve">الفضولی إذا انضمّ إلیه إذن المالک </w:t>
      </w:r>
      <w:r>
        <w:rPr>
          <w:rStyle w:val="FootnoteAnchor"/>
          <w:rtl w:val="true"/>
        </w:rPr>
        <w:footnoteReference w:id="11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أن یقال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انضمّ إلیه إذن متولّی الملک،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 إجماع فقهاء الإمامیة،و الأخبار المتواترة عن الأئمة الهداة علیهم السلام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أطبق علیه علماؤنا،و لا نعلم فیه مخالفاً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1132"/>
      </w:r>
      <w:r>
        <w:rPr>
          <w:rFonts w:ascii="IRNazanin" w:hAnsi="IRNazanin" w:eastAsia="IRNazanin"/>
          <w:color w:val="111111"/>
          <w:sz w:val="28"/>
          <w:sz w:val="28"/>
          <w:szCs w:val="28"/>
          <w:rtl w:val="true"/>
          <w:lang w:bidi="fa-IR"/>
        </w:rPr>
        <w:t xml:space="preserve">استفاض نقل الإجماع علیه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تأیّدت دعوی هؤلاء بالشهرة المحقّقة بین الشیخ و مَن تأخّر 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الإجماع،مضافاً إلی لزوم الحرج العظیم فی الاجتناب عن هذه الأموال،بل اختلال النظام،و إلی الروایات المتقدّمة </w:t>
      </w:r>
      <w:r>
        <w:rPr>
          <w:rStyle w:val="FootnoteAnchor"/>
          <w:rtl w:val="true"/>
        </w:rPr>
        <w:footnoteReference w:id="1134"/>
      </w:r>
      <w:r>
        <w:rPr>
          <w:rFonts w:ascii="IRNazanin" w:hAnsi="IRNazanin" w:eastAsia="IRNazanin"/>
          <w:color w:val="111111"/>
          <w:sz w:val="28"/>
          <w:sz w:val="28"/>
          <w:szCs w:val="28"/>
          <w:rtl w:val="true"/>
          <w:lang w:bidi="fa-IR"/>
        </w:rPr>
        <w:t>لأخذ الجوائز من السلطان،خصوصاً الجوائز العظام التی لا یحتمل عادة أن تکون من غیر الخراج،و کان الإمام علیه السلام یأبی عن</w:t>
      </w:r>
    </w:p>
    <w:p>
      <w:pPr>
        <w:pStyle w:val="BookText"/>
        <w:rPr/>
      </w:pPr>
      <w:r>
        <w:rPr>
          <w:rFonts w:ascii="Amiri" w:hAnsi="Amiri" w:eastAsia="Amiri" w:cs="Amiri"/>
          <w:color w:val="111111"/>
          <w:sz w:val="28"/>
          <w:sz w:val="28"/>
          <w:szCs w:val="28"/>
          <w:rtl w:val="true"/>
          <w:lang w:bidi="ar-SA"/>
        </w:rPr>
        <w:t>أخذها أحیاناً؛معلّلاً بأنّ فیها حقوق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الحذّاء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منّا یشتری من السلطان </w:t>
      </w:r>
      <w:r>
        <w:rPr>
          <w:rStyle w:val="FootnoteAnchor"/>
          <w:rtl w:val="true"/>
        </w:rPr>
        <w:footnoteReference w:id="1135"/>
      </w:r>
      <w:r>
        <w:rPr>
          <w:rFonts w:ascii="IRNazanin" w:hAnsi="IRNazanin" w:eastAsia="IRNazanin"/>
          <w:color w:val="111111"/>
          <w:sz w:val="28"/>
          <w:sz w:val="28"/>
          <w:szCs w:val="28"/>
          <w:rtl w:val="true"/>
          <w:lang w:bidi="fa-IR"/>
        </w:rPr>
        <w:t>من إبل الصدقة و غنمها،و هو یعلم أنّهم یأخذون منهم أکثر من الحقّ الذی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الإبل و الغنم إلّا مثل الحنطة و الشعیر و غیر ذلک،لا بأس به حتّی یعرف الحرام بعینه فیجتنب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تری فی مصدّق یجیئنا فیأخذ منّا </w:t>
      </w:r>
      <w:r>
        <w:rPr>
          <w:rStyle w:val="FootnoteAnchor"/>
          <w:rtl w:val="true"/>
        </w:rPr>
        <w:footnoteReference w:id="1138"/>
      </w:r>
      <w:r>
        <w:rPr>
          <w:rFonts w:ascii="IRNazanin" w:hAnsi="IRNazanin" w:eastAsia="IRNazanin"/>
          <w:color w:val="111111"/>
          <w:sz w:val="28"/>
          <w:sz w:val="28"/>
          <w:szCs w:val="28"/>
          <w:rtl w:val="true"/>
          <w:lang w:bidi="fa-IR"/>
        </w:rPr>
        <w:t>صدقات أغنامنا،فنقول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بعناها،فیبیعنا إیّاها </w:t>
      </w:r>
      <w:r>
        <w:rPr>
          <w:rStyle w:val="FootnoteAnchor"/>
          <w:rtl w:val="true"/>
        </w:rPr>
        <w:footnoteReference w:id="1139"/>
      </w:r>
      <w:r>
        <w:rPr>
          <w:rFonts w:ascii="IRNazanin" w:hAnsi="IRNazanin" w:eastAsia="IRNazanin"/>
          <w:color w:val="111111"/>
          <w:sz w:val="28"/>
          <w:sz w:val="28"/>
          <w:szCs w:val="28"/>
          <w:rtl w:val="true"/>
          <w:lang w:bidi="fa-IR"/>
        </w:rPr>
        <w:t xml:space="preserve">،فما تری فی شرائها </w:t>
      </w:r>
      <w:r>
        <w:rPr>
          <w:rStyle w:val="FootnoteAnchor"/>
          <w:rtl w:val="true"/>
        </w:rPr>
        <w:footnoteReference w:id="1140"/>
      </w:r>
      <w:r>
        <w:rPr>
          <w:rFonts w:ascii="IRNazanin" w:hAnsi="IRNazanin" w:eastAsia="IRNazanin"/>
          <w:color w:val="111111"/>
          <w:sz w:val="28"/>
          <w:sz w:val="28"/>
          <w:szCs w:val="28"/>
          <w:rtl w:val="true"/>
          <w:lang w:bidi="fa-IR"/>
        </w:rPr>
        <w:t>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أخذها و عزلها فلا بأس،قیل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 فی الحنطة و الشعیر،یجیئنا القاسم فیقسّم لنا حظّنا،و یأخذ حظّه،فیعزله </w:t>
      </w:r>
      <w:r>
        <w:rPr>
          <w:rStyle w:val="FootnoteAnchor"/>
          <w:rtl w:val="true"/>
        </w:rPr>
        <w:footnoteReference w:id="1141"/>
      </w:r>
      <w:r>
        <w:rPr>
          <w:rFonts w:ascii="IRNazanin" w:hAnsi="IRNazanin" w:eastAsia="IRNazanin"/>
          <w:color w:val="111111"/>
          <w:sz w:val="28"/>
          <w:sz w:val="28"/>
          <w:szCs w:val="28"/>
          <w:rtl w:val="true"/>
          <w:lang w:bidi="fa-IR"/>
        </w:rPr>
        <w:t xml:space="preserve">بکیل،فما تری فی شراء ذلک الطعام </w:t>
      </w:r>
      <w:r>
        <w:rPr>
          <w:rStyle w:val="FootnoteAnchor"/>
          <w:rtl w:val="true"/>
        </w:rPr>
        <w:footnoteReference w:id="1142"/>
      </w:r>
      <w:r>
        <w:rPr>
          <w:rFonts w:ascii="IRNazanin" w:hAnsi="IRNazanin" w:eastAsia="IRNazanin"/>
          <w:color w:val="111111"/>
          <w:sz w:val="28"/>
          <w:sz w:val="28"/>
          <w:szCs w:val="28"/>
          <w:rtl w:val="true"/>
          <w:lang w:bidi="fa-IR"/>
        </w:rPr>
        <w:t>منه؟فقال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قد قبضه بکیل و أنتم حضور فلا بأس بشرائه منه من غیر کیل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هذه الروایة علی أنّ شراء الصدقات من الأنعام و الغلّات من عمّال السلطان کان مفروغ الجواز عند السائل،و إنّما سأل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الجواز مع العلم الإجمالی بحصول الحرام فی أیدی العمّال،و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توهّم الحرمة أو الکراهة فی شراء ما یخرج فی الصدقة،کما ذکر فی باب الزکاة </w:t>
      </w:r>
      <w:r>
        <w:rPr>
          <w:rStyle w:val="FootnoteAnchor"/>
          <w:rtl w:val="true"/>
        </w:rPr>
        <w:footnoteReference w:id="1145"/>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کفایة الکیل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بالجملة،ففی هذه الروایة سؤالاً و جواباً إشعار بأنّ الجواز کان من الواضحات الغیر المحتاجة إلی السؤال،و إلّا لکان أصل الجواز أولی بالسؤال؛حیث إنّ ما یأخذونه باسم الزکاة معلوم الحرمة تفصیلاً، فلا فرق بین أخذ الحقّ الذی یجب علیهم،و أخذ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مفروغیّة حلّ ما یأخذونه من الحقّ،و أنّ الحرام هو الزائد،و المراد بالحلال هو الحلال بالنسبة إلی مَن ینتقل إلیه و إن کان حراماً بالنسبة إلی الجائر الآخذ له،بمعنی معاقبته علی أخذه و ضمانه و حرمة التصرّف فی ثمنه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وصفه علیه السلام للمأخوذ بالحلّیة دلالة علی عدم اختصاص الرخصة بالشراء،بل یعمّ جمیع أنواع الانتقال إلی الشخص،فاندفع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الروایة مختصّة بالشراء فلیقتصر فی مخالفة القواعد علیه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من الفقرة الثالثة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 عن حکم المقاسمة، فاعتراض الفاضل القطیفی الذی صنّف فی الردّ علی رسالة المحقّق الکرکی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فی حلّ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زیّف فیها جمیع ما فی الرسالة من أدلّة الجواز بعدم دلالة الفقرة الثالثة </w:t>
      </w:r>
      <w:r>
        <w:rPr>
          <w:rStyle w:val="FootnoteAnchor"/>
          <w:rtl w:val="true"/>
        </w:rPr>
        <w:footnoteReference w:id="1148"/>
      </w:r>
      <w:r>
        <w:rPr>
          <w:rFonts w:ascii="IRNazanin" w:hAnsi="IRNazanin" w:eastAsia="IRNazanin"/>
          <w:color w:val="111111"/>
          <w:sz w:val="28"/>
          <w:sz w:val="28"/>
          <w:szCs w:val="28"/>
          <w:rtl w:val="true"/>
          <w:lang w:bidi="fa-IR"/>
        </w:rPr>
        <w:t xml:space="preserve">علی حکم المقاسمة،و احتمال کون القاسم هو مزارع </w:t>
      </w:r>
      <w:r>
        <w:rPr>
          <w:rStyle w:val="FootnoteAnchor"/>
          <w:rtl w:val="true"/>
        </w:rPr>
        <w:footnoteReference w:id="1149"/>
      </w:r>
      <w:r>
        <w:rPr>
          <w:rFonts w:ascii="IRNazanin" w:hAnsi="IRNazanin" w:eastAsia="IRNazanin"/>
          <w:color w:val="111111"/>
          <w:sz w:val="28"/>
          <w:sz w:val="28"/>
          <w:szCs w:val="28"/>
          <w:rtl w:val="true"/>
          <w:lang w:bidi="fa-IR"/>
        </w:rPr>
        <w:t xml:space="preserve">الأرض أو وکیله </w:t>
      </w:r>
      <w:r>
        <w:rPr>
          <w:rStyle w:val="FootnoteAnchor"/>
          <w:rtl w:val="true"/>
        </w:rPr>
        <w:footnoteReference w:id="1150"/>
      </w:r>
      <w:r>
        <w:rPr>
          <w:rFonts w:ascii="Amiri" w:hAnsi="Amiri" w:eastAsia="Amiri" w:cs="Amiri"/>
          <w:color w:val="111111"/>
          <w:sz w:val="28"/>
          <w:sz w:val="28"/>
          <w:szCs w:val="28"/>
          <w:rtl w:val="true"/>
          <w:lang w:bidi="ar-SA"/>
        </w:rPr>
        <w:t>، 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تبعه علی هذا الاعتراض المحقّق الأردبیلی،و زاد علیه ما سکت هو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دلالة الفقرة الأُولی علی حلّ شراء الزکاة،بدعوی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حتّی یعرف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إلّا علی جواز شراء ما کان حلالاً بل مشتبهاً،و عدم جواز شراء ما کان معروفاً أنّه حرام بعینه،و لا یدلّ علی جواز شراء الزکاة بعینها صریحاً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ظاهرها ذلک،لکن لا ینبغی الحمل علیه؛لمنافاته العقل و النقل، و یمکن أن یکون سبب الإجمال منه </w:t>
      </w:r>
      <w:r>
        <w:rPr>
          <w:rStyle w:val="FootnoteAnchor"/>
          <w:rtl w:val="true"/>
        </w:rPr>
        <w:footnoteReference w:id="1151"/>
      </w:r>
      <w:r>
        <w:rPr>
          <w:rFonts w:ascii="IRNazanin" w:hAnsi="IRNazanin" w:eastAsia="IRNazanin"/>
          <w:color w:val="111111"/>
          <w:sz w:val="28"/>
          <w:sz w:val="28"/>
          <w:szCs w:val="28"/>
          <w:rtl w:val="true"/>
          <w:lang w:bidi="fa-IR"/>
        </w:rPr>
        <w:t>التقیّة،و یؤیّد عدم الحمل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غیر مراد بالاتفاق؛إذ لیس بحلال ما أخذه الجائر، فتأمّل </w:t>
      </w:r>
      <w:r>
        <w:rPr>
          <w:rStyle w:val="FootnoteAnchor"/>
          <w:rtl w:val="true"/>
        </w:rPr>
        <w:footnoteReference w:id="11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لیس فی العقل ما یقتضی قبح الحکم المذکور، و أیّ فارق بین هذا و بین ما أحلّوه علیهم السلام لشیعتهم ممّا فیه حقوقهم؟ و لا فی النقل إلّا عمومات قابلة للتخصیص بمثل هذا الصحیح و غیره المشهور بین الأصحاب روایة و عملاً مع نقل الاتفاق عن جماعة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الحمل علی التقیّة،فلا یجوز بمجرّد معارضة العمومات،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یشتری من العامل و هو یظلم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الشراء من العامل شراء ما هو عامل فیه،و هو الذی یأخذه من الحقوق من قبل </w:t>
      </w:r>
      <w:r>
        <w:rPr>
          <w:rStyle w:val="FootnoteAnchor"/>
          <w:rtl w:val="true"/>
        </w:rPr>
        <w:footnoteReference w:id="1155"/>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بنی علی المناقشة احتمل أن یرید السائل شراء أملاک العامل منه،مع علمه بکونه ظالماً غاصباً،فیکون سؤالاً عن معاملة الظلمة،لکنّه خلاف الإنصاف و إن ارتکبه صاحب الرسالة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بکر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و عنده ابنه إسماعیل،فقال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یمنع ابن أبی سماک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أن یخرج شباب الشیعة فیکفونه ما یکفی الناس،و یعطیهم ما یعطی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لی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عطاءک؟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علی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 ابن أبی سماک </w:t>
      </w:r>
      <w:r>
        <w:rPr>
          <w:rStyle w:val="FootnoteAnchor"/>
          <w:rtl w:val="true"/>
        </w:rPr>
        <w:footnoteReference w:id="1159"/>
      </w:r>
      <w:r>
        <w:rPr>
          <w:rFonts w:ascii="IRNazanin" w:hAnsi="IRNazanin" w:eastAsia="IRNazanin"/>
          <w:color w:val="111111"/>
          <w:sz w:val="28"/>
          <w:sz w:val="28"/>
          <w:szCs w:val="28"/>
          <w:rtl w:val="true"/>
          <w:lang w:bidi="fa-IR"/>
        </w:rPr>
        <w:t>أن یبعث إلیک بعطائک،أما علم أنّ لک فی بیت المال نصیباً؟</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ظاهره </w:t>
      </w:r>
      <w:r>
        <w:rPr>
          <w:rStyle w:val="FootnoteAnchor"/>
          <w:rtl w:val="true"/>
        </w:rPr>
        <w:footnoteReference w:id="1161"/>
      </w:r>
      <w:r>
        <w:rPr>
          <w:rFonts w:ascii="IRNazanin" w:hAnsi="IRNazanin" w:eastAsia="IRNazanin"/>
          <w:color w:val="111111"/>
          <w:sz w:val="28"/>
          <w:sz w:val="28"/>
          <w:szCs w:val="28"/>
          <w:rtl w:val="true"/>
          <w:lang w:bidi="fa-IR"/>
        </w:rPr>
        <w:t>حلّ ما یعطی من بیت المال عطاءً أو اجرة للعمل فی ما یتعلّق به،بل قال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الخبر نصّ فی الباب؛ لأنّه علیه السلام بیّن أن لا خوف علی السائل فی دینه؛لأنّه لم یأخذ إلّا نصیبه من بیت المال،و قد ثبت فی الأُصول تعدّی الحکم بتعدّی العلّة المنصوصة </w:t>
      </w:r>
      <w:r>
        <w:rPr>
          <w:rStyle w:val="FootnoteAnchor"/>
          <w:rtl w:val="true"/>
        </w:rPr>
        <w:footnoteReference w:id="1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تعجّب منه الأردبیلی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ما فهمت منه </w:t>
      </w:r>
      <w:r>
        <w:rPr>
          <w:rStyle w:val="FootnoteAnchor"/>
          <w:rtl w:val="true"/>
        </w:rPr>
        <w:footnoteReference w:id="1163"/>
      </w:r>
      <w:r>
        <w:rPr>
          <w:rFonts w:ascii="IRNazanin" w:hAnsi="IRNazanin" w:eastAsia="IRNazanin"/>
          <w:color w:val="111111"/>
          <w:sz w:val="28"/>
          <w:sz w:val="28"/>
          <w:szCs w:val="28"/>
          <w:rtl w:val="true"/>
          <w:lang w:bidi="fa-IR"/>
        </w:rPr>
        <w:t xml:space="preserve">دلالة ما؛و ذلک لأنّ غایتها ما ذکر،و </w:t>
      </w:r>
      <w:r>
        <w:rPr>
          <w:rStyle w:val="FootnoteAnchor"/>
          <w:rtl w:val="true"/>
        </w:rPr>
        <w:footnoteReference w:id="1164"/>
      </w:r>
      <w:r>
        <w:rPr>
          <w:rFonts w:ascii="IRNazanin" w:hAnsi="IRNazanin" w:eastAsia="IRNazanin"/>
          <w:color w:val="111111"/>
          <w:sz w:val="28"/>
          <w:sz w:val="28"/>
          <w:szCs w:val="28"/>
          <w:rtl w:val="true"/>
          <w:lang w:bidi="fa-IR"/>
        </w:rPr>
        <w:t xml:space="preserve">قد یکون شیء </w:t>
      </w:r>
      <w:r>
        <w:rPr>
          <w:rStyle w:val="FootnoteAnchor"/>
          <w:rtl w:val="true"/>
        </w:rPr>
        <w:footnoteReference w:id="1165"/>
      </w:r>
      <w:r>
        <w:rPr>
          <w:rFonts w:ascii="IRNazanin" w:hAnsi="IRNazanin" w:eastAsia="IRNazanin"/>
          <w:color w:val="111111"/>
          <w:sz w:val="28"/>
          <w:sz w:val="28"/>
          <w:szCs w:val="28"/>
          <w:rtl w:val="true"/>
          <w:lang w:bidi="fa-IR"/>
        </w:rPr>
        <w:t xml:space="preserve">من بیت المال و یجوز </w:t>
      </w:r>
      <w:r>
        <w:rPr>
          <w:rStyle w:val="FootnoteAnchor"/>
          <w:rtl w:val="true"/>
        </w:rPr>
        <w:footnoteReference w:id="1166"/>
      </w:r>
      <w:r>
        <w:rPr>
          <w:rFonts w:ascii="IRNazanin" w:hAnsi="IRNazanin" w:eastAsia="IRNazanin"/>
          <w:color w:val="111111"/>
          <w:sz w:val="28"/>
          <w:sz w:val="28"/>
          <w:szCs w:val="28"/>
          <w:rtl w:val="true"/>
          <w:lang w:bidi="fa-IR"/>
        </w:rPr>
        <w:t xml:space="preserve">أخذه و إعطاؤه للمستحقّین،بأن یکون منذوراً أو وصیّة لهم بأن یعطیهم ابن أبی سماک،و غیر ذلک </w:t>
      </w:r>
      <w:r>
        <w:rPr>
          <w:rStyle w:val="FootnoteAnchor"/>
          <w:rtl w:val="true"/>
        </w:rPr>
        <w:footnoteReference w:id="11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تبع فی ذلک صاحب الرسالة،حیث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الدلیل لا إشعار فیه بالخراج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الروایة ظاهرة فی حلّ ما فی بیت المال ممّا یأخذه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أحکام تقبّل الخراج من السلطان </w:t>
      </w:r>
      <w:r>
        <w:rPr>
          <w:rStyle w:val="FootnoteAnchor"/>
          <w:rtl w:val="true"/>
        </w:rPr>
        <w:footnoteReference w:id="1169"/>
      </w:r>
      <w:r>
        <w:rPr>
          <w:rFonts w:ascii="IRNazanin" w:hAnsi="IRNazanin" w:eastAsia="IRNazanin"/>
          <w:color w:val="111111"/>
          <w:sz w:val="28"/>
          <w:sz w:val="28"/>
          <w:szCs w:val="28"/>
          <w:rtl w:val="true"/>
          <w:lang w:bidi="fa-IR"/>
        </w:rPr>
        <w:t>علی وجه یستفاد من بعضها کون أصل التقبّل مسلّم الجواز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یتقبّل الرجل الأرض و أهلها 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مزارعة أهل الخراج بالنصف و الربع و الثلث </w:t>
      </w:r>
      <w:r>
        <w:rPr>
          <w:rStyle w:val="FootnoteAnchor"/>
          <w:rtl w:val="true"/>
        </w:rPr>
        <w:footnoteReference w:id="1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نعم،لا بأس به،و قد قبّل رسول اللّه صلّی اللّه علیه و آله و سلم خیبراً أعطاها </w:t>
      </w:r>
      <w:r>
        <w:rPr>
          <w:rStyle w:val="FootnoteAnchor"/>
          <w:rtl w:val="true"/>
        </w:rPr>
        <w:footnoteReference w:id="1171"/>
      </w:r>
      <w:r>
        <w:rPr>
          <w:rFonts w:ascii="IRNazanin" w:hAnsi="IRNazanin" w:eastAsia="IRNazanin"/>
          <w:color w:val="111111"/>
          <w:sz w:val="28"/>
          <w:sz w:val="28"/>
          <w:szCs w:val="28"/>
          <w:rtl w:val="true"/>
          <w:lang w:bidi="fa-IR"/>
        </w:rPr>
        <w:t xml:space="preserve">الیهود،حیث </w:t>
      </w:r>
      <w:r>
        <w:rPr>
          <w:rStyle w:val="FootnoteAnchor"/>
          <w:rtl w:val="true"/>
        </w:rPr>
        <w:footnoteReference w:id="1172"/>
      </w:r>
      <w:r>
        <w:rPr>
          <w:rFonts w:ascii="IRNazanin" w:hAnsi="IRNazanin" w:eastAsia="IRNazanin"/>
          <w:color w:val="111111"/>
          <w:sz w:val="28"/>
          <w:sz w:val="28"/>
          <w:szCs w:val="28"/>
          <w:rtl w:val="true"/>
          <w:lang w:bidi="fa-IR"/>
        </w:rPr>
        <w:t xml:space="preserve">فتحت علیه بالخبْر </w:t>
      </w:r>
      <w:r>
        <w:rPr>
          <w:rStyle w:val="FootnoteAnchor"/>
          <w:rtl w:val="true"/>
        </w:rPr>
        <w:footnoteReference w:id="1173"/>
      </w:r>
      <w:r>
        <w:rPr>
          <w:rFonts w:ascii="IRNazanin" w:hAnsi="IRNazanin" w:eastAsia="IRNazanin"/>
          <w:color w:val="111111"/>
          <w:sz w:val="28"/>
          <w:sz w:val="28"/>
          <w:szCs w:val="28"/>
          <w:rtl w:val="true"/>
          <w:lang w:bidi="fa-IR"/>
        </w:rPr>
        <w:t>،و الخبْر هو النصف</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إسماعیل بن الفضل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یتقبّل بخراج الرجال و جزیة رؤوسهم و خراج النخل و الشجر و الآجام و المصائد و السمک و الطیر و هو لا یدری،لعلّ هذا لا یکون أبداً،أ یشتریه،و فی أی زمان یشتریه و یتقبّل؟قال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من ذلک شیئاً واحداً قد أدرک فاشتره و تقبّل به</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الموثّق المروی فی الکافی </w:t>
      </w:r>
      <w:r>
        <w:rPr>
          <w:rStyle w:val="FootnoteAnchor"/>
          <w:rtl w:val="true"/>
        </w:rPr>
        <w:footnoteReference w:id="1176"/>
      </w:r>
      <w:r>
        <w:rPr>
          <w:rFonts w:ascii="IRNazanin" w:hAnsi="IRNazanin" w:eastAsia="IRNazanin"/>
          <w:color w:val="111111"/>
          <w:sz w:val="28"/>
          <w:sz w:val="28"/>
          <w:szCs w:val="28"/>
          <w:rtl w:val="true"/>
          <w:lang w:bidi="fa-IR"/>
        </w:rPr>
        <w:t xml:space="preserve">و التهذیب </w:t>
      </w:r>
      <w:r>
        <w:rPr>
          <w:rStyle w:val="FootnoteAnchor"/>
          <w:rtl w:val="true"/>
        </w:rPr>
        <w:footnoteReference w:id="1177"/>
      </w:r>
      <w:r>
        <w:rPr>
          <w:rFonts w:ascii="IRNazanin" w:hAnsi="IRNazanin" w:eastAsia="IRNazanin"/>
          <w:color w:val="111111"/>
          <w:sz w:val="28"/>
          <w:sz w:val="28"/>
          <w:szCs w:val="28"/>
          <w:rtl w:val="true"/>
          <w:lang w:bidi="fa-IR"/>
        </w:rPr>
        <w:t xml:space="preserve">عن إسماعیل بن الفضل </w:t>
      </w:r>
      <w:r>
        <w:rPr>
          <w:rStyle w:val="FootnoteAnchor"/>
          <w:rtl w:val="true"/>
        </w:rPr>
        <w:footnoteReference w:id="1178"/>
      </w:r>
      <w:r>
        <w:rPr>
          <w:rFonts w:ascii="IRNazanin" w:hAnsi="IRNazanin" w:eastAsia="IRNazanin"/>
          <w:color w:val="111111"/>
          <w:sz w:val="28"/>
          <w:sz w:val="28"/>
          <w:szCs w:val="28"/>
          <w:rtl w:val="true"/>
          <w:lang w:bidi="fa-IR"/>
        </w:rPr>
        <w:t>الهاشمی بأدنی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الفیض بن المختار،قال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فداک،ما تقول فی الأرض أتقبّلها من السلطان ثمّ أُؤاجرها من أکَرَتی </w:t>
      </w:r>
      <w:r>
        <w:rPr>
          <w:rStyle w:val="FootnoteAnchor"/>
          <w:rtl w:val="true"/>
        </w:rPr>
        <w:footnoteReference w:id="1179"/>
      </w:r>
      <w:r>
        <w:rPr>
          <w:rFonts w:ascii="IRNazanin" w:hAnsi="IRNazanin" w:eastAsia="IRNazanin"/>
          <w:color w:val="111111"/>
          <w:sz w:val="28"/>
          <w:sz w:val="28"/>
          <w:szCs w:val="28"/>
          <w:rtl w:val="true"/>
          <w:lang w:bidi="fa-IR"/>
        </w:rPr>
        <w:t>علی أنّ ما أخرج اللّه تعالی منها من شیء لی من ذلک النصف أو الثلث بعد حقّ السلطان؟قال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بأس،کذلک أُعامل أکَرَتی</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الواردة فی باب قبالة الأرض و استئجار أرض الخراج من السلطان ثمّ إجارتها للزارع بأزید من ذلک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یستدلّ بروایات أُخر </w:t>
      </w:r>
      <w:r>
        <w:rPr>
          <w:rStyle w:val="FootnoteAnchor"/>
          <w:rtl w:val="true"/>
        </w:rPr>
        <w:footnoteReference w:id="1182"/>
      </w:r>
      <w:r>
        <w:rPr>
          <w:rFonts w:ascii="IRNazanin" w:hAnsi="IRNazanin" w:eastAsia="IRNazanin"/>
          <w:color w:val="111111"/>
          <w:sz w:val="28"/>
          <w:sz w:val="28"/>
          <w:szCs w:val="28"/>
          <w:rtl w:val="true"/>
          <w:lang w:bidi="fa-IR"/>
        </w:rPr>
        <w:t>لا تخلو عن قصور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جمیل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أرادوا بیع تمر عین أبی زیاد </w:t>
      </w:r>
      <w:r>
        <w:rPr>
          <w:rStyle w:val="FootnoteAnchor"/>
          <w:rtl w:val="true"/>
        </w:rPr>
        <w:footnoteReference w:id="1183"/>
      </w:r>
      <w:r>
        <w:rPr>
          <w:rFonts w:ascii="IRNazanin" w:hAnsi="IRNazanin" w:eastAsia="IRNazanin"/>
          <w:color w:val="111111"/>
          <w:sz w:val="28"/>
          <w:sz w:val="28"/>
          <w:szCs w:val="28"/>
          <w:rtl w:val="true"/>
          <w:lang w:bidi="fa-IR"/>
        </w:rPr>
        <w:t>و أردت أن أشتریه،فقلت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حتّی استأمر </w:t>
      </w:r>
      <w:r>
        <w:rPr>
          <w:rStyle w:val="FootnoteAnchor"/>
          <w:rtl w:val="true"/>
        </w:rPr>
        <w:footnoteReference w:id="1184"/>
      </w:r>
      <w:r>
        <w:rPr>
          <w:rFonts w:ascii="IRNazanin" w:hAnsi="IRNazanin" w:eastAsia="IRNazanin"/>
          <w:color w:val="111111"/>
          <w:sz w:val="28"/>
          <w:sz w:val="28"/>
          <w:szCs w:val="28"/>
          <w:rtl w:val="true"/>
          <w:lang w:bidi="fa-IR"/>
        </w:rPr>
        <w:t>أبا عبد اللّه علیه السلام، فسألت معاذاً أن یستأمره،فسأله،فقال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یشتره؛فإنّه إن لم یشتره اشتراه غیره</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 مبنیّة علی کون عین زیاد من الأملاک الخراجیّة،و لعلّه من الأملاک المغصوبة من الإمام أو غیره الموقوف اشتراء حاصلها علی إذن الإمام علیه السلام،و یظهر من بعض الأخبار أنّ عین زیاد کان ملکاً لأبی عبد اللّه علیه السلام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تدخل مع علیّ فی شراء الطعام،إنّی أظنّک ضیّقاً؟قلت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شئت وسّعت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اشتره</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بالجملة،ففی الأخبار المتقدمة غنی عن ذلک</w:t>
      </w:r>
      <w:r>
        <w:rPr>
          <w:rFonts w:eastAsia="IRNazanin" w:cs="IRNazanin"/>
          <w:color w:val="111111"/>
          <w:sz w:val="28"/>
          <w:szCs w:val="28"/>
          <w:rtl w:val="true"/>
          <w:lang w:bidi="fa-IR"/>
        </w:rPr>
        <w:t>.</w:t>
      </w:r>
      <w:bookmarkStart w:id="203" w:name="pg19674_191708"/>
    </w:p>
    <w:p>
      <w:pPr>
        <w:pStyle w:val="Heading5"/>
        <w:numPr>
          <w:ilvl w:val="4"/>
          <w:numId w:val="1"/>
        </w:numPr>
        <w:rPr/>
      </w:pPr>
      <w:bookmarkStart w:id="204" w:name="__RefHeading___Toc5027806_2314609296"/>
      <w:bookmarkStart w:id="205" w:name="_Toc79"/>
      <w:bookmarkEnd w:id="203"/>
      <w:bookmarkEnd w:id="204"/>
      <w:r>
        <w:rPr>
          <w:rtl w:val="true"/>
        </w:rPr>
        <w:t>و ینبغی</w:t>
      </w:r>
      <w:bookmarkEnd w:id="205"/>
    </w:p>
    <w:p>
      <w:pPr>
        <w:pStyle w:val="Heading6"/>
        <w:numPr>
          <w:ilvl w:val="5"/>
          <w:numId w:val="1"/>
        </w:numPr>
        <w:rPr/>
      </w:pPr>
      <w:bookmarkStart w:id="206" w:name="__RefHeading___Toc5027808_2314609296"/>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و ینبغی </w:t>
      </w:r>
      <w:r>
        <w:rPr>
          <w:rStyle w:val="FootnoteAnchor"/>
          <w:rtl w:val="true"/>
        </w:rPr>
        <w:footnoteReference w:id="1188"/>
      </w:r>
      <w:r>
        <w:rPr>
          <w:rFonts w:ascii="IRNazanin" w:hAnsi="IRNazanin" w:eastAsia="IRNazanin"/>
          <w:color w:val="111111"/>
          <w:sz w:val="28"/>
          <w:sz w:val="28"/>
          <w:szCs w:val="28"/>
          <w:rtl w:val="true"/>
          <w:lang w:bidi="fa-IR"/>
        </w:rPr>
        <w:t>التنبیه علی أُمور</w:t>
      </w:r>
      <w:r>
        <w:rPr>
          <w:rFonts w:eastAsia="IRNazanin" w:cs="IRNazanin"/>
          <w:color w:val="111111"/>
          <w:sz w:val="28"/>
          <w:szCs w:val="28"/>
          <w:rtl w:val="true"/>
          <w:lang w:bidi="fa-IR"/>
        </w:rPr>
        <w:t>:</w:t>
      </w:r>
    </w:p>
    <w:p>
      <w:pPr>
        <w:pStyle w:val="Heading6"/>
        <w:numPr>
          <w:ilvl w:val="5"/>
          <w:numId w:val="1"/>
        </w:numPr>
        <w:rPr/>
      </w:pPr>
      <w:bookmarkStart w:id="208" w:name="__RefHeading___Toc5027810_2314609296"/>
      <w:bookmarkStart w:id="209" w:name="_Toc81"/>
      <w:bookmarkEnd w:id="208"/>
      <w:r>
        <w:rPr>
          <w:rtl w:val="true"/>
        </w:rPr>
        <w:t>الأوّل إنّ ظاهر عبارات الأکثر،بل الکلّ</w:t>
      </w:r>
      <w:r>
        <w:rPr>
          <w:rtl w:val="true"/>
        </w:rPr>
        <w:t>:</w:t>
      </w:r>
      <w:r>
        <w:rPr>
          <w:rtl w:val="true"/>
        </w:rPr>
        <w:t>أنّ الحکم مختصّ بما یأخذه السلطان،</w:t>
      </w:r>
      <w:bookmarkEnd w:id="209"/>
    </w:p>
    <w:p>
      <w:pPr>
        <w:pStyle w:val="BookText"/>
        <w:rPr/>
      </w:pPr>
      <w:r>
        <w:rPr>
          <w:rFonts w:ascii="IRNazanin" w:hAnsi="IRNazanin" w:eastAsia="IRNazanin"/>
          <w:color w:val="111111"/>
          <w:sz w:val="28"/>
          <w:sz w:val="28"/>
          <w:szCs w:val="28"/>
          <w:rtl w:val="true"/>
          <w:lang w:bidi="fa-IR"/>
        </w:rPr>
        <w:t xml:space="preserve">فقبل أخذه للخراج لا یجوز المعاملة علیه بشراء ما فی ذمّة مستعمل الأرض أو الحوالة علیه و نحو ذلک،و به صرّح السید العمید فیما حکی عن شرحه </w:t>
      </w:r>
      <w:r>
        <w:rPr>
          <w:rStyle w:val="FootnoteAnchor"/>
          <w:rtl w:val="true"/>
        </w:rPr>
        <w:footnoteReference w:id="1189"/>
      </w:r>
      <w:r>
        <w:rPr>
          <w:rFonts w:ascii="IRNazanin" w:hAnsi="IRNazanin" w:eastAsia="IRNazanin"/>
          <w:color w:val="111111"/>
          <w:sz w:val="28"/>
          <w:sz w:val="28"/>
          <w:szCs w:val="28"/>
          <w:rtl w:val="true"/>
          <w:lang w:bidi="fa-IR"/>
        </w:rPr>
        <w:t xml:space="preserve">علی النافع </w:t>
      </w:r>
      <w:r>
        <w:rPr>
          <w:rStyle w:val="FootnoteAnchor"/>
          <w:rtl w:val="true"/>
        </w:rPr>
        <w:footnoteReference w:id="1190"/>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 ذلک بعد قبض السلطان أو نائبه،و لذا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یأخذه،انتهی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صریح جماعة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الفرق،بل صرّح المحقّق الثانی بالإجماع علی عدم الفرق بین القبض و عدمه </w:t>
      </w:r>
      <w:r>
        <w:rPr>
          <w:rStyle w:val="FootnoteAnchor"/>
          <w:rtl w:val="true"/>
        </w:rPr>
        <w:footnoteReference w:id="1192"/>
      </w:r>
      <w:r>
        <w:rPr>
          <w:rFonts w:ascii="IRNazanin" w:hAnsi="IRNazanin" w:eastAsia="IRNazanin"/>
          <w:color w:val="111111"/>
          <w:sz w:val="28"/>
          <w:sz w:val="28"/>
          <w:szCs w:val="28"/>
          <w:rtl w:val="true"/>
          <w:lang w:bidi="fa-IR"/>
        </w:rPr>
        <w:t xml:space="preserve">،و فی الریاض صرّح بعدم الخلاف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الظاهر من الأخبار المتقدّمة </w:t>
      </w:r>
      <w:r>
        <w:rPr>
          <w:rStyle w:val="FootnoteAnchor"/>
          <w:rtl w:val="true"/>
        </w:rPr>
        <w:footnoteReference w:id="1194"/>
      </w:r>
      <w:r>
        <w:rPr>
          <w:rFonts w:ascii="IRNazanin" w:hAnsi="IRNazanin" w:eastAsia="IRNazanin"/>
          <w:color w:val="111111"/>
          <w:sz w:val="28"/>
          <w:sz w:val="28"/>
          <w:szCs w:val="28"/>
          <w:rtl w:val="true"/>
          <w:lang w:bidi="fa-IR"/>
        </w:rPr>
        <w:t>الواردة فی قبالة الأرض و جزیة الرؤوس،حیث دلّت علی أنّه یحلّ ما فی ذمّة مستعمل الأرض من الخراج لمن تقبّل الأرض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الأصحاب </w:t>
      </w:r>
      <w:r>
        <w:rPr>
          <w:rStyle w:val="FootnoteAnchor"/>
          <w:rtl w:val="true"/>
        </w:rPr>
        <w:footnoteReference w:id="1195"/>
      </w:r>
      <w:r>
        <w:rPr>
          <w:rFonts w:ascii="IRNazanin" w:hAnsi="IRNazanin" w:eastAsia="IRNazanin"/>
          <w:color w:val="111111"/>
          <w:sz w:val="28"/>
          <w:sz w:val="28"/>
          <w:szCs w:val="28"/>
          <w:rtl w:val="true"/>
          <w:lang w:bidi="fa-IR"/>
        </w:rPr>
        <w:t>فی باب المساقاة حیث یذکرون أنّ خراج السلطان علی مالک الأشجار إلّا أن یشترط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ما یأخذه الجائر منزلة ما یأخذه العادل فی براءة </w:t>
      </w:r>
      <w:r>
        <w:rPr>
          <w:rStyle w:val="FootnoteAnchor"/>
          <w:rtl w:val="true"/>
        </w:rPr>
        <w:footnoteReference w:id="1196"/>
      </w:r>
      <w:r>
        <w:rPr>
          <w:rFonts w:ascii="IRNazanin" w:hAnsi="IRNazanin" w:eastAsia="IRNazanin"/>
          <w:color w:val="111111"/>
          <w:sz w:val="28"/>
          <w:sz w:val="28"/>
          <w:szCs w:val="28"/>
          <w:rtl w:val="true"/>
          <w:lang w:bidi="fa-IR"/>
        </w:rPr>
        <w:t xml:space="preserve">ذمّة مستعمل الأرض الذی استقرّ علیه أُجرتها بأداء غیره،بل ذکروا فی 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خراج الأرض کما فی کلام الأکثر </w:t>
      </w:r>
      <w:r>
        <w:rPr>
          <w:rStyle w:val="FootnoteAnchor"/>
          <w:rtl w:val="true"/>
        </w:rPr>
        <w:footnoteReference w:id="1197"/>
      </w:r>
      <w:r>
        <w:rPr>
          <w:rFonts w:ascii="IRNazanin" w:hAnsi="IRNazanin" w:eastAsia="IRNazanin"/>
          <w:color w:val="111111"/>
          <w:sz w:val="28"/>
          <w:sz w:val="28"/>
          <w:szCs w:val="28"/>
          <w:rtl w:val="true"/>
          <w:lang w:bidi="fa-IR"/>
        </w:rPr>
        <w:t xml:space="preserve">أو الأرض الخراجیّة کما فی الغنیة </w:t>
      </w:r>
      <w:r>
        <w:rPr>
          <w:rStyle w:val="FootnoteAnchor"/>
          <w:rtl w:val="true"/>
        </w:rPr>
        <w:footnoteReference w:id="1198"/>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99"/>
      </w:r>
      <w:r>
        <w:rPr>
          <w:rFonts w:ascii="IRNazanin" w:hAnsi="IRNazanin" w:eastAsia="IRNazanin"/>
          <w:color w:val="111111"/>
          <w:sz w:val="28"/>
          <w:sz w:val="28"/>
          <w:szCs w:val="28"/>
          <w:rtl w:val="true"/>
          <w:lang w:bidi="fa-IR"/>
        </w:rPr>
        <w:t>علی مالکها،و إن کان یشکل توجیهه من جهة عدم المالک للأراضی الخراجیّة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کان،فالأقوی أنّ المعاملة علی الخراج جائزة و لو قبل قبضها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تعبیر الأکثر </w:t>
      </w:r>
      <w:r>
        <w:rPr>
          <w:rStyle w:val="FootnoteAnchor"/>
          <w:rtl w:val="true"/>
        </w:rPr>
        <w:footnoteReference w:id="1200"/>
      </w:r>
      <w:r>
        <w:rPr>
          <w:rFonts w:ascii="IRNazanin" w:hAnsi="IRNazanin" w:eastAsia="IRNazanin"/>
          <w:color w:val="111111"/>
          <w:sz w:val="28"/>
          <w:sz w:val="28"/>
          <w:szCs w:val="28"/>
          <w:rtl w:val="true"/>
          <w:lang w:bidi="fa-IR"/>
        </w:rPr>
        <w:t>بما یأخذه،فالمراد به إمّا الأعمّ ممّا یبنی علی</w:t>
      </w:r>
    </w:p>
    <w:p>
      <w:pPr>
        <w:pStyle w:val="BookText"/>
        <w:rPr/>
      </w:pPr>
      <w:r>
        <w:rPr>
          <w:rFonts w:ascii="IRNazanin" w:hAnsi="IRNazanin" w:eastAsia="IRNazanin"/>
          <w:color w:val="111111"/>
          <w:sz w:val="28"/>
          <w:sz w:val="28"/>
          <w:szCs w:val="28"/>
          <w:rtl w:val="true"/>
          <w:lang w:bidi="fa-IR"/>
        </w:rPr>
        <w:t xml:space="preserve">أخذه و </w:t>
      </w:r>
      <w:r>
        <w:rPr>
          <w:rStyle w:val="FootnoteAnchor"/>
          <w:rtl w:val="true"/>
        </w:rPr>
        <w:footnoteReference w:id="1201"/>
      </w:r>
      <w:r>
        <w:rPr>
          <w:rFonts w:ascii="IRNazanin" w:hAnsi="IRNazanin" w:eastAsia="IRNazanin"/>
          <w:color w:val="111111"/>
          <w:sz w:val="28"/>
          <w:sz w:val="28"/>
          <w:szCs w:val="28"/>
          <w:rtl w:val="true"/>
          <w:lang w:bidi="fa-IR"/>
        </w:rPr>
        <w:t>لو لم یأخذه فعلاً،و إمّا المأخوذ فعلاً،لکن الوجه فی تخصیص العلماء العنوان به جعله کالمستثنی من جوائز السلطان،التی حکموا بوجوب ردّها علی مالکها إذا علمت حراماً بعینها،فافهم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کلام بعضهم،حیث یذکرون هذه المسألة عقیب مسألة الجوائز،خصوصاً عبارة القواعد،حیث صرّح بتعمیم الحکم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عرف </w:t>
      </w:r>
      <w:r>
        <w:rPr>
          <w:rStyle w:val="FootnoteAnchor"/>
          <w:rtl w:val="true"/>
        </w:rPr>
        <w:footnoteReference w:id="1202"/>
      </w:r>
      <w:r>
        <w:rPr>
          <w:rFonts w:ascii="IRNazanin" w:hAnsi="IRNazanin" w:eastAsia="IRNazanin"/>
          <w:color w:val="111111"/>
          <w:sz w:val="28"/>
          <w:sz w:val="28"/>
          <w:szCs w:val="28"/>
          <w:rtl w:val="true"/>
          <w:lang w:bidi="fa-IR"/>
        </w:rPr>
        <w:t xml:space="preserve">أربابه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حواشیه علی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علّق علی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یأخذه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یقبضها الجائر </w:t>
      </w:r>
      <w:r>
        <w:rPr>
          <w:rStyle w:val="FootnoteAnchor"/>
          <w:rtl w:val="true"/>
        </w:rPr>
        <w:footnoteReference w:id="12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10" w:name="pg19674_191711"/>
    </w:p>
    <w:p>
      <w:pPr>
        <w:pStyle w:val="Heading6"/>
        <w:numPr>
          <w:ilvl w:val="5"/>
          <w:numId w:val="1"/>
        </w:numPr>
        <w:rPr/>
      </w:pPr>
      <w:bookmarkStart w:id="211" w:name="__RefHeading___Toc5027812_2314609296"/>
      <w:bookmarkStart w:id="212" w:name="_Toc82"/>
      <w:bookmarkEnd w:id="210"/>
      <w:bookmarkEnd w:id="211"/>
      <w:r>
        <w:rPr>
          <w:rtl w:val="true"/>
        </w:rPr>
        <w:t>الثانی هل یختصّ حکم الخراج من حیث الخروج عن قاعدة کونه مالاً مغصوباً محرّماً بمن ینتقل إلیه،</w:t>
      </w:r>
      <w:bookmarkEnd w:id="212"/>
    </w:p>
    <w:p>
      <w:pPr>
        <w:pStyle w:val="BookText"/>
        <w:rPr/>
      </w:pPr>
      <w:r>
        <w:rPr>
          <w:rFonts w:ascii="IRNazanin" w:hAnsi="IRNazanin" w:eastAsia="IRNazanin"/>
          <w:color w:val="111111"/>
          <w:sz w:val="28"/>
          <w:sz w:val="28"/>
          <w:szCs w:val="28"/>
          <w:rtl w:val="true"/>
          <w:lang w:bidi="fa-IR"/>
        </w:rPr>
        <w:t xml:space="preserve">فلا استحقاق للجائر فی أخذه أصلاً، فلم یمض الشارع من هذه المعاملة إلّا حلّ ذلک للمنتقل إلیه،أو یکون الشارع قد أمضی سلطنة الجائر علیه،فیکون منعه عنه أو عن بدله المعوّض عنه فی العقد معه حراماً،صریح الشهیدین </w:t>
      </w:r>
      <w:r>
        <w:rPr>
          <w:rStyle w:val="FootnoteAnchor"/>
          <w:rtl w:val="true"/>
        </w:rPr>
        <w:footnoteReference w:id="1205"/>
      </w:r>
      <w:r>
        <w:rPr>
          <w:rFonts w:ascii="IRNazanin" w:hAnsi="IRNazanin" w:eastAsia="IRNazanin"/>
          <w:color w:val="111111"/>
          <w:sz w:val="28"/>
          <w:sz w:val="28"/>
          <w:szCs w:val="28"/>
          <w:rtl w:val="true"/>
          <w:lang w:bidi="fa-IR"/>
        </w:rPr>
        <w:t>و المحکیّ عن جماعة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الکرکی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زلنا نسمع من کثیر ممن عاصرناهم لا سیّما شیخنا الأعظم الشیخ علی بن هلال قدّس سرّه،أنّه لا یجوز لمن علیه الخراج سرقته و لا جحوده و لا منعه و لا شیء منه؛ لأنّ ذلک حقّ واجب علیه </w:t>
      </w:r>
      <w:r>
        <w:rPr>
          <w:rStyle w:val="FootnoteAnchor"/>
          <w:rtl w:val="true"/>
        </w:rPr>
        <w:footnoteReference w:id="12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فی باب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الأصحاب أنّه لا یجوز لأحد جحدها و لا منعها،و لا التصرّف فیها بغیر إذنه،بل ادّعی بعضهم الاتّفاق علیه،انتهی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کلامه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 الأصحاب أنّ الخراج و المقاسمة لازم للجائر حیث یطلبه أو یتوقّف علی إذنه </w:t>
      </w:r>
      <w:r>
        <w:rPr>
          <w:rStyle w:val="FootnoteAnchor"/>
          <w:rtl w:val="true"/>
        </w:rPr>
        <w:footnoteReference w:id="12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عوّل بعض الأساطین فی شرحه علی القواعد،حیث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حرمة سرقة الحصّة و خیانتها،و الامتناع عن تسلیمها و عن</w:t>
      </w:r>
    </w:p>
    <w:p>
      <w:pPr>
        <w:pStyle w:val="BookText"/>
        <w:rPr/>
      </w:pPr>
      <w:r>
        <w:rPr>
          <w:rFonts w:ascii="IRNazanin" w:hAnsi="IRNazanin" w:eastAsia="IRNazanin"/>
          <w:color w:val="111111"/>
          <w:sz w:val="28"/>
          <w:sz w:val="28"/>
          <w:szCs w:val="28"/>
          <w:rtl w:val="true"/>
          <w:lang w:bidi="fa-IR"/>
        </w:rPr>
        <w:t xml:space="preserve">تسلیم ثمنها </w:t>
      </w:r>
      <w:r>
        <w:rPr>
          <w:rStyle w:val="FootnoteAnchor"/>
          <w:rtl w:val="true"/>
        </w:rPr>
        <w:footnoteReference w:id="1208"/>
      </w:r>
      <w:r>
        <w:rPr>
          <w:rFonts w:ascii="IRNazanin" w:hAnsi="IRNazanin" w:eastAsia="IRNazanin"/>
          <w:color w:val="111111"/>
          <w:sz w:val="28"/>
          <w:sz w:val="28"/>
          <w:szCs w:val="28"/>
          <w:rtl w:val="true"/>
          <w:lang w:bidi="fa-IR"/>
        </w:rPr>
        <w:t xml:space="preserve">بعد شرائها إلی الجائر و إن حرمت علیه،و دخل تسلیمها فی الإعانة علی الإثم فی البدایة أو الغایة؛لنصّ الأصحاب علی ذلک و دعوی الإجماع علیه </w:t>
      </w:r>
      <w:r>
        <w:rPr>
          <w:rStyle w:val="FootnoteAnchor"/>
          <w:rtl w:val="true"/>
        </w:rPr>
        <w:footnoteReference w:id="12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منع الحصّة مطلقاً فیتصرّف فی الأرض من دون اجرة،فله وجه؛لأنّها ملک المسلمین،فلا بدّ لها من اجرةٍ تُصرف فی مصالحهم،و إن أُرید منعها من خصوص الجائر،فلا دلیل علی حرمته؛ لأنّ اشتغال ذمّة مستعمل الأرض بالأُجرة لا یوجب دفعها إلی الجائر، بل یمکن القول بأنّه لا یجوز مع التمکّن؛لأنّه غیر مستحقّ فیسلّم إلی العادل أو نائبه الخاص أو العام،و مع التعذّر یتولّی صرفه فی المصالح حسبة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فی بعض الأخبار ظهوراً فی جواز الامتناع،مثل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 ضریس بن عبد الملک و أخوه </w:t>
      </w:r>
      <w:r>
        <w:rPr>
          <w:rStyle w:val="FootnoteAnchor"/>
          <w:rtl w:val="true"/>
        </w:rPr>
        <w:footnoteReference w:id="1210"/>
      </w:r>
      <w:r>
        <w:rPr>
          <w:rFonts w:ascii="IRNazanin" w:hAnsi="IRNazanin" w:eastAsia="IRNazanin"/>
          <w:color w:val="111111"/>
          <w:sz w:val="28"/>
          <w:sz w:val="28"/>
          <w:szCs w:val="28"/>
          <w:rtl w:val="true"/>
          <w:lang w:bidi="fa-IR"/>
        </w:rPr>
        <w:t>أرُزاً من هبیرة بثلاثمائة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أو و یحک انظر إلی خمس هذا المال فابعث به إلیه و احتبس الباقی،فأبی علیَّ و ادّی المال و قدم هؤلاء فذهب أمر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ذلک لأبی عبد اللّه علیه السلام، فقال مبادراً للجواب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له،هو له </w:t>
      </w:r>
      <w:r>
        <w:rPr>
          <w:rStyle w:val="FootnoteAnchor"/>
          <w:rtl w:val="true"/>
        </w:rPr>
        <w:footnoteReference w:id="121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أدّاها،فعضّ علی</w:t>
      </w:r>
    </w:p>
    <w:p>
      <w:pPr>
        <w:pStyle w:val="BookText"/>
        <w:rPr/>
      </w:pPr>
      <w:r>
        <w:rPr>
          <w:rFonts w:ascii="IRNazanin" w:hAnsi="IRNazanin" w:eastAsia="IRNazanin"/>
          <w:color w:val="111111"/>
          <w:sz w:val="28"/>
          <w:sz w:val="28"/>
          <w:szCs w:val="28"/>
          <w:rtl w:val="true"/>
          <w:lang w:bidi="fa-IR"/>
        </w:rPr>
        <w:t>إصبعه</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أوضح محامل هذا الخبر أن یکون الأرُز من المقاسمة، و أمّا حمله علی کونه مال الناصب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بعض بنی أُمیة، فیکون دلیلاً علی حِلّ مال الناصب بعد إخراج خمسه کما استظهره فی الحدائق </w:t>
      </w:r>
      <w:r>
        <w:rPr>
          <w:rStyle w:val="FootnoteAnchor"/>
          <w:rtl w:val="true"/>
        </w:rPr>
        <w:footnoteReference w:id="1213"/>
      </w:r>
      <w:r>
        <w:rPr>
          <w:rFonts w:ascii="IRNazanin" w:hAnsi="IRNazanin" w:eastAsia="IRNazanin"/>
          <w:color w:val="111111"/>
          <w:sz w:val="28"/>
          <w:sz w:val="28"/>
          <w:szCs w:val="28"/>
          <w:rtl w:val="true"/>
          <w:lang w:bidi="fa-IR"/>
        </w:rPr>
        <w:t xml:space="preserve">،فقد ضعّف فی محلّه بمنع هذا الحکم،و مخالفته لاتّفاق أصحابنا کما تحقّق </w:t>
      </w:r>
      <w:r>
        <w:rPr>
          <w:rStyle w:val="FootnoteAnchor"/>
          <w:rtl w:val="true"/>
        </w:rPr>
        <w:footnoteReference w:id="1214"/>
      </w:r>
      <w:r>
        <w:rPr>
          <w:rFonts w:ascii="IRNazanin" w:hAnsi="IRNazanin" w:eastAsia="IRNazanin"/>
          <w:color w:val="111111"/>
          <w:sz w:val="28"/>
          <w:sz w:val="28"/>
          <w:szCs w:val="28"/>
          <w:rtl w:val="true"/>
          <w:lang w:bidi="fa-IR"/>
        </w:rPr>
        <w:t xml:space="preserve">فی باب الخمس </w:t>
      </w:r>
      <w:r>
        <w:rPr>
          <w:rStyle w:val="FootnoteAnchor"/>
          <w:rtl w:val="true"/>
        </w:rPr>
        <w:footnoteReference w:id="1215"/>
      </w:r>
      <w:r>
        <w:rPr>
          <w:rFonts w:ascii="IRNazanin" w:hAnsi="IRNazanin" w:eastAsia="IRNazanin"/>
          <w:color w:val="111111"/>
          <w:sz w:val="28"/>
          <w:sz w:val="28"/>
          <w:szCs w:val="28"/>
          <w:rtl w:val="true"/>
          <w:lang w:bidi="fa-IR"/>
        </w:rPr>
        <w:t xml:space="preserve">و إن ورد به غیر واحد من الأخبار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الأمر بإخراج الخمس فی هذه الروایة،فلعلّه من جهة اختلاط مال المقاسمة بغیره </w:t>
      </w:r>
      <w:r>
        <w:rPr>
          <w:rStyle w:val="FootnoteAnchor"/>
          <w:rtl w:val="true"/>
        </w:rPr>
        <w:footnoteReference w:id="1217"/>
      </w:r>
      <w:r>
        <w:rPr>
          <w:rFonts w:ascii="IRNazanin" w:hAnsi="IRNazanin" w:eastAsia="IRNazanin"/>
          <w:color w:val="111111"/>
          <w:sz w:val="28"/>
          <w:sz w:val="28"/>
          <w:szCs w:val="28"/>
          <w:rtl w:val="true"/>
          <w:lang w:bidi="fa-IR"/>
        </w:rPr>
        <w:t xml:space="preserve">من وجوه الحرام فیجب تخمیسه،أو من جهة احتمال اختلاطه بالحرام فیستحبّ تخمیسه </w:t>
      </w:r>
      <w:r>
        <w:rPr>
          <w:rStyle w:val="FootnoteAnchor"/>
          <w:rtl w:val="true"/>
        </w:rPr>
        <w:footnoteReference w:id="1218"/>
      </w:r>
      <w:r>
        <w:rPr>
          <w:rFonts w:ascii="Amiri" w:hAnsi="Amiri" w:eastAsia="Amiri" w:cs="Amiri"/>
          <w:color w:val="111111"/>
          <w:sz w:val="28"/>
          <w:sz w:val="28"/>
          <w:szCs w:val="28"/>
          <w:rtl w:val="true"/>
          <w:lang w:bidi="ar-SA"/>
        </w:rPr>
        <w:t xml:space="preserve">کما تقدّم فی جوائز الظلَمَة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روی من أنّ علی بن یقطین قال له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و لا بدّ فاعلاً،فاتّق أموال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یجبیها من الشیعة علانیة</w:t>
      </w:r>
    </w:p>
    <w:p>
      <w:pPr>
        <w:pStyle w:val="BookText"/>
        <w:rPr/>
      </w:pPr>
      <w:r>
        <w:rPr>
          <w:rFonts w:ascii="Amiri" w:hAnsi="Amiri" w:eastAsia="Amiri" w:cs="Amiri"/>
          <w:color w:val="111111"/>
          <w:sz w:val="28"/>
          <w:sz w:val="28"/>
          <w:szCs w:val="28"/>
          <w:rtl w:val="true"/>
          <w:lang w:bidi="ar-SA"/>
        </w:rPr>
        <w:t xml:space="preserve">و یردّها </w:t>
      </w:r>
      <w:r>
        <w:rPr>
          <w:rStyle w:val="FootnoteAnchor"/>
          <w:rtl w:val="true"/>
        </w:rPr>
        <w:footnoteReference w:id="1220"/>
      </w:r>
      <w:r>
        <w:rPr>
          <w:rFonts w:ascii="Amiri" w:hAnsi="Amiri" w:eastAsia="Amiri" w:cs="Amiri"/>
          <w:color w:val="111111"/>
          <w:sz w:val="28"/>
          <w:sz w:val="28"/>
          <w:szCs w:val="28"/>
          <w:rtl w:val="true"/>
          <w:lang w:bidi="ar-SA"/>
        </w:rPr>
        <w:t>علیهم سرّاً</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الکرکی فی قاطعة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یکون المراد به ما یجعل علیهم من وجوه الظلم المحرّمة،و یمکن أن یراد به وجوه الخراج و المقاسمات و الزکوات؛لأنّها و إن کانت حقّا علیهم،لکنّها لیست حقّا للجائر،فلا یجوز جمعها لأجله إلّا عند الضرورة،و ما زلنا نسمع من کثیرٍ ممّن عاصرناهم لا سیما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تقدم نقله عن مشایخه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الحمل علی وجوه الظلم المحرّمة مخالف لظاهر العامّ فی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أموال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،فالاحتمال الثانی أولی،لکن بالنسبة إلی ما عدا الزکوات؛لأنّها کسائر وجوه الظلم المحرّمة،خصوصاً بناء علی عدم الاجتزاء بها عن الزکاة الواجبة،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هؤلاء قوم غصبوکم أموالکم و إنّما الزکاة لأهلها</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تعطوهم شیئاً ما استطعتم؛فإنّ المال لا ینبغی أن یزکّی مرّتین</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ذکره </w:t>
      </w:r>
      <w:r>
        <w:rPr>
          <w:rStyle w:val="FootnoteAnchor"/>
          <w:rtl w:val="true"/>
        </w:rPr>
        <w:footnoteReference w:id="1225"/>
      </w:r>
      <w:r>
        <w:rPr>
          <w:rFonts w:ascii="IRNazanin" w:hAnsi="IRNazanin" w:eastAsia="IRNazanin"/>
          <w:color w:val="111111"/>
          <w:sz w:val="28"/>
          <w:sz w:val="28"/>
          <w:szCs w:val="28"/>
          <w:rtl w:val="true"/>
          <w:lang w:bidi="fa-IR"/>
        </w:rPr>
        <w:t xml:space="preserve">المحقّق من الوجه الثانی دلالة علی أن مذهبه لیس وجوب دفع الخراج و المقاسمة إلی خصوص الجائر و جواز منعه عنه، و إن نقل بعد </w:t>
      </w:r>
      <w:r>
        <w:rPr>
          <w:rStyle w:val="FootnoteAnchor"/>
          <w:rtl w:val="true"/>
        </w:rPr>
        <w:footnoteReference w:id="1226"/>
      </w:r>
      <w:r>
        <w:rPr>
          <w:rFonts w:ascii="IRNazanin" w:hAnsi="IRNazanin" w:eastAsia="IRNazanin"/>
          <w:color w:val="111111"/>
          <w:sz w:val="28"/>
          <w:sz w:val="28"/>
          <w:szCs w:val="28"/>
          <w:rtl w:val="true"/>
          <w:lang w:bidi="fa-IR"/>
        </w:rPr>
        <w:t xml:space="preserve">عن مشایخه فی کلامه المتقدّم </w:t>
      </w:r>
      <w:r>
        <w:rPr>
          <w:rStyle w:val="FootnoteAnchor"/>
          <w:rtl w:val="true"/>
        </w:rPr>
        <w:footnoteReference w:id="1227"/>
      </w:r>
      <w:r>
        <w:rPr>
          <w:rFonts w:ascii="IRNazanin" w:hAnsi="IRNazanin" w:eastAsia="IRNazanin"/>
          <w:color w:val="111111"/>
          <w:sz w:val="28"/>
          <w:sz w:val="28"/>
          <w:szCs w:val="28"/>
          <w:rtl w:val="true"/>
          <w:lang w:bidi="fa-IR"/>
        </w:rPr>
        <w:t>ما یظهر منه خلاف ذلک،لکن یمکن بل لا یبعد أن یکون مراد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سرقة الخراج أو جحوده رأساً حتی عن نائب العادل،لا منعه عن خصوص الجائر مع دفعه إلی نائب العادل أو صرفه حسبة فی وجوه بیت المال، کما یشهد لذلک تعلیل المنع بکونه حقاً واجباً علیه؛فإنّ وجوبه علیه إنّما یقتضی حرمة منعه رأساً،لا عن خصوص الجائر؛لأنّه لیس حقاً واجباً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ما ذکرناه هو مراد المحقّق،حیث نقل هذا المذهب عن مشایخه رحمهم اللّه بعد ما ذکره من التوجیه المتقدم بلا فصل من دون إشعار بمخالفته لذلک الوجه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المذکور بعد ما ذکر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 ما یأخذه الجائر من الخراج 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وردت به النصوص و أجمع علیه الأصحاب،بل المسلمون قاطبة،قال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أن یتولّی من له النیابة حال الغیبة ذلک،</w:t>
      </w:r>
    </w:p>
    <w:p>
      <w:pPr>
        <w:pStyle w:val="BookText"/>
        <w:rPr/>
      </w:pPr>
      <w:r>
        <w:rPr>
          <w:rFonts w:ascii="IRNazanin" w:hAnsi="IRNazanin" w:eastAsia="IRNazanin"/>
          <w:color w:val="111111"/>
          <w:sz w:val="28"/>
          <w:sz w:val="28"/>
          <w:szCs w:val="28"/>
          <w:rtl w:val="true"/>
          <w:lang w:bidi="fa-IR"/>
        </w:rPr>
        <w:t>أعنی الفقیه الجامع للشرائط؟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للأصحاب فی ذلک تصریحاً،لکن مَن جوّز للفقهاء حال الغیبة تولّی استیفاء الحدود و غیر ذلک من توابع منصب الإمامة،ینبغی له تجویز ذلک بطریق أولی، لا سیما و المستحقّون لذلک موجودون 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تأمّل فی أحوال </w:t>
      </w:r>
      <w:r>
        <w:rPr>
          <w:rStyle w:val="FootnoteAnchor"/>
          <w:rtl w:val="true"/>
        </w:rPr>
        <w:footnoteReference w:id="1229"/>
      </w:r>
      <w:r>
        <w:rPr>
          <w:rFonts w:ascii="IRNazanin" w:hAnsi="IRNazanin" w:eastAsia="IRNazanin"/>
          <w:color w:val="111111"/>
          <w:sz w:val="28"/>
          <w:sz w:val="28"/>
          <w:szCs w:val="28"/>
          <w:rtl w:val="true"/>
          <w:lang w:bidi="fa-IR"/>
        </w:rPr>
        <w:t>کبراء علمائنا الماضین 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علم الهدی و علم المحقّقین نصیر الملّة و الدین و بحر العلوم جمال الملّة و الدین </w:t>
      </w:r>
      <w:r>
        <w:rPr>
          <w:rStyle w:val="FootnoteAnchor"/>
          <w:rtl w:val="true"/>
        </w:rPr>
        <w:footnoteReference w:id="1230"/>
      </w:r>
      <w:r>
        <w:rPr>
          <w:rFonts w:ascii="IRNazanin" w:hAnsi="IRNazanin" w:eastAsia="IRNazanin"/>
          <w:color w:val="111111"/>
          <w:sz w:val="28"/>
          <w:sz w:val="28"/>
          <w:szCs w:val="28"/>
          <w:rtl w:val="true"/>
          <w:lang w:bidi="fa-IR"/>
        </w:rPr>
        <w:t>العلّامة رحمه اللّه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متأمّل منصف لم یشکّ فی أنّهم کانوا </w:t>
      </w:r>
      <w:r>
        <w:rPr>
          <w:rStyle w:val="FootnoteAnchor"/>
          <w:rtl w:val="true"/>
        </w:rPr>
        <w:footnoteReference w:id="1231"/>
      </w:r>
      <w:r>
        <w:rPr>
          <w:rFonts w:ascii="IRNazanin" w:hAnsi="IRNazanin" w:eastAsia="IRNazanin"/>
          <w:color w:val="111111"/>
          <w:sz w:val="28"/>
          <w:sz w:val="28"/>
          <w:szCs w:val="28"/>
          <w:rtl w:val="true"/>
          <w:lang w:bidi="fa-IR"/>
        </w:rPr>
        <w:t xml:space="preserve">یسلکون هذا المسلک،و ما کانوا یودعون فی کتبهم إلّا ما یعتقدون صحته </w:t>
      </w:r>
      <w:r>
        <w:rPr>
          <w:rStyle w:val="FootnoteAnchor"/>
          <w:rtl w:val="true"/>
        </w:rPr>
        <w:footnoteReference w:id="1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ما ذکره من تولّی الفقیه،علی صورة عدم تسلّط الجائر، خلاف الظاهر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استشهاد علی أصل المطلب، و هو حلّ ما یؤخذ من السلطان من الخراج علی وجه الاتّهاب،و من الأراضی علی وجه الاقتطاع </w:t>
      </w:r>
      <w:r>
        <w:rPr>
          <w:rStyle w:val="FootnoteAnchor"/>
          <w:rtl w:val="true"/>
        </w:rPr>
        <w:footnoteReference w:id="1233"/>
      </w:r>
      <w:r>
        <w:rPr>
          <w:rFonts w:ascii="IRNazanin" w:hAnsi="IRNazanin" w:eastAsia="IRNazanin"/>
          <w:color w:val="111111"/>
          <w:sz w:val="28"/>
          <w:sz w:val="28"/>
          <w:szCs w:val="28"/>
          <w:rtl w:val="true"/>
          <w:lang w:bidi="fa-IR"/>
        </w:rPr>
        <w:t>،و لا دخل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أصلاً؛فإنّ علماءنا المذکورین و غیرهم لم یعرف منهم</w:t>
      </w:r>
    </w:p>
    <w:p>
      <w:pPr>
        <w:pStyle w:val="BookText"/>
        <w:rPr/>
      </w:pPr>
      <w:r>
        <w:rPr>
          <w:rFonts w:ascii="IRNazanin" w:hAnsi="IRNazanin" w:eastAsia="IRNazanin"/>
          <w:color w:val="111111"/>
          <w:sz w:val="28"/>
          <w:sz w:val="28"/>
          <w:szCs w:val="28"/>
          <w:rtl w:val="true"/>
          <w:lang w:bidi="fa-IR"/>
        </w:rPr>
        <w:t>الاستقلال علی أراضی الخراج بغیر إذن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یتراءی منه القول بحرمة منع الخراج عن خصوص الجائر شیخنا الشهید رحمه اللّه فی الدروس،حیث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شراء ما یأخذه الجائر باسم الخراج و الزکاة و المقاسمة و إن لم یکن مستحقّاً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ردّ المقاسمة و شبهها علی المالک،و لا یعتبر رضاه،و لا یمنع تظلّمه من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أنّ العامل یظلم،إلّا أن یعلم الظلم بعینه،نعم،یکره معاملة الظلَمة و لا یحرم؛لقول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حلالٌ حتی تعرف الحرام بعینه</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قبض الجائر إیّاها أو وکیله و بین </w:t>
      </w:r>
      <w:r>
        <w:rPr>
          <w:rStyle w:val="FootnoteAnchor"/>
          <w:rtl w:val="true"/>
        </w:rPr>
        <w:footnoteReference w:id="1236"/>
      </w:r>
      <w:r>
        <w:rPr>
          <w:rFonts w:ascii="IRNazanin" w:hAnsi="IRNazanin" w:eastAsia="IRNazanin"/>
          <w:color w:val="111111"/>
          <w:sz w:val="28"/>
          <w:sz w:val="28"/>
          <w:szCs w:val="28"/>
          <w:rtl w:val="true"/>
          <w:lang w:bidi="fa-IR"/>
        </w:rPr>
        <w:t xml:space="preserve">عدم القبض،فلو أحاله بها و قبل الثلاثة،أو وکّله فی قبضها،أو باعها و هی فی ید المالک </w:t>
      </w:r>
      <w:r>
        <w:rPr>
          <w:rStyle w:val="FootnoteAnchor"/>
          <w:rtl w:val="true"/>
        </w:rPr>
        <w:footnoteReference w:id="1237"/>
      </w:r>
      <w:r>
        <w:rPr>
          <w:rFonts w:ascii="IRNazanin" w:hAnsi="IRNazanin" w:eastAsia="IRNazanin"/>
          <w:color w:val="111111"/>
          <w:sz w:val="28"/>
          <w:sz w:val="28"/>
          <w:szCs w:val="28"/>
          <w:rtl w:val="true"/>
          <w:lang w:bidi="fa-IR"/>
        </w:rPr>
        <w:t>أو فی ذمّته،جاز التناول،و یحرم علی المالک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یجوز الشراء یجوز سائر المعاوضات،و الوقف،و الهبة </w:t>
      </w:r>
      <w:r>
        <w:rPr>
          <w:rStyle w:val="FootnoteAnchor"/>
          <w:rtl w:val="true"/>
        </w:rPr>
        <w:footnoteReference w:id="1238"/>
      </w:r>
      <w:r>
        <w:rPr>
          <w:rFonts w:ascii="IRNazanin" w:hAnsi="IRNazanin" w:eastAsia="IRNazanin"/>
          <w:color w:val="111111"/>
          <w:sz w:val="28"/>
          <w:sz w:val="28"/>
          <w:szCs w:val="28"/>
          <w:rtl w:val="true"/>
          <w:lang w:bidi="fa-IR"/>
        </w:rPr>
        <w:t xml:space="preserve">،و الصدقة،و لا یحلّ تناولها بغیر ذلک </w:t>
      </w:r>
      <w:r>
        <w:rPr>
          <w:rStyle w:val="FootnoteAnchor"/>
          <w:rtl w:val="true"/>
        </w:rPr>
        <w:footnoteReference w:id="12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المالک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أحکام الإحالة بها و التوکیل و البیع،</w:t>
      </w:r>
    </w:p>
    <w:p>
      <w:p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المالک المحال و المشتری عنها </w:t>
      </w:r>
      <w:r>
        <w:rPr>
          <w:rStyle w:val="FootnoteAnchor"/>
          <w:rtl w:val="true"/>
        </w:rPr>
        <w:footnoteReference w:id="1240"/>
      </w:r>
      <w:r>
        <w:rPr>
          <w:rFonts w:ascii="IRNazanin" w:hAnsi="IRNazanin" w:eastAsia="IRNazanin"/>
          <w:color w:val="111111"/>
          <w:sz w:val="28"/>
          <w:sz w:val="28"/>
          <w:szCs w:val="28"/>
          <w:rtl w:val="true"/>
          <w:lang w:bidi="fa-IR"/>
        </w:rPr>
        <w:t>،و هذا لا إشکال فیه؛لأنّ اللازم من فرض صحّة الإحالة و الشراء تملّک المحال و المشتری فلا یجوز منعهما عن ملکهما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تناولها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المراد به ما تقدّم </w:t>
      </w:r>
      <w:r>
        <w:rPr>
          <w:rStyle w:val="FootnoteAnchor"/>
          <w:rtl w:val="true"/>
        </w:rPr>
        <w:footnoteReference w:id="1241"/>
      </w:r>
      <w:r>
        <w:rPr>
          <w:rFonts w:ascii="IRNazanin" w:hAnsi="IRNazanin" w:eastAsia="IRNazanin"/>
          <w:color w:val="111111"/>
          <w:sz w:val="28"/>
          <w:sz w:val="28"/>
          <w:szCs w:val="28"/>
          <w:rtl w:val="true"/>
          <w:lang w:bidi="fa-IR"/>
        </w:rPr>
        <w:t xml:space="preserve">فی کلام مشایخ المحقّق الکرکی من إرادة تناولها بغیر إذن أحدٍ حتی الفقیه النائب عن السلطان العادل </w:t>
      </w:r>
      <w:r>
        <w:rPr>
          <w:rStyle w:val="FootnoteAnchor"/>
          <w:rtl w:val="true"/>
        </w:rPr>
        <w:footnoteReference w:id="1242"/>
      </w:r>
      <w:r>
        <w:rPr>
          <w:rFonts w:ascii="IRNazanin" w:hAnsi="IRNazanin" w:eastAsia="IRNazanin"/>
          <w:color w:val="111111"/>
          <w:sz w:val="28"/>
          <w:sz w:val="28"/>
          <w:szCs w:val="28"/>
          <w:rtl w:val="true"/>
          <w:lang w:bidi="fa-IR"/>
        </w:rPr>
        <w:t xml:space="preserve">،و قد عرفت أنّ هذا مسلّم فتوی و نصّاً،و أنّ الخراج لا یسقط من مستعملی </w:t>
      </w:r>
      <w:r>
        <w:rPr>
          <w:rStyle w:val="FootnoteAnchor"/>
          <w:rtl w:val="true"/>
        </w:rPr>
        <w:footnoteReference w:id="1243"/>
      </w:r>
      <w:r>
        <w:rPr>
          <w:rFonts w:ascii="IRNazanin" w:hAnsi="IRNazanin" w:eastAsia="IRNazanin"/>
          <w:color w:val="111111"/>
          <w:sz w:val="28"/>
          <w:sz w:val="28"/>
          <w:szCs w:val="28"/>
          <w:rtl w:val="true"/>
          <w:lang w:bidi="fa-IR"/>
        </w:rPr>
        <w:t>أراضی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جواز الوقف لا یناسب ذکره فی جملة التصرّفات فیما یأخذه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وقف الأرض المأخوذة منه إذا نقلها السلطان إلیه لبعض مصالح المسلمین،فلا یخلو عن إشکال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تقدّم </w:t>
      </w:r>
      <w:r>
        <w:rPr>
          <w:rStyle w:val="FootnoteAnchor"/>
          <w:rtl w:val="true"/>
        </w:rPr>
        <w:footnoteReference w:id="1244"/>
      </w:r>
      <w:r>
        <w:rPr>
          <w:rFonts w:ascii="IRNazanin" w:hAnsi="IRNazanin" w:eastAsia="IRNazanin"/>
          <w:color w:val="111111"/>
          <w:sz w:val="28"/>
          <w:sz w:val="28"/>
          <w:szCs w:val="28"/>
          <w:rtl w:val="true"/>
          <w:lang w:bidi="fa-IR"/>
        </w:rPr>
        <w:t xml:space="preserve">من المسالک من نقل الاتفاق علی عدم جواز المنع عن الجائر </w:t>
      </w:r>
      <w:r>
        <w:rPr>
          <w:rStyle w:val="FootnoteAnchor"/>
          <w:rtl w:val="true"/>
        </w:rPr>
        <w:footnoteReference w:id="1245"/>
      </w:r>
      <w:r>
        <w:rPr>
          <w:rFonts w:ascii="IRNazanin" w:hAnsi="IRNazanin" w:eastAsia="IRNazanin"/>
          <w:color w:val="111111"/>
          <w:sz w:val="28"/>
          <w:sz w:val="28"/>
          <w:szCs w:val="28"/>
          <w:rtl w:val="true"/>
          <w:lang w:bidi="fa-IR"/>
        </w:rPr>
        <w:t>و الجحود،فالظاهر منه أیضاً ما ذکرناه من جحود الخراج و منعه رأساً،لا عن خصوص الجائر مع تسلیمه إلی الفقیه النائب عن العادل؛فإنّه رحمه اللّه بعد ما نقلنا عنه من حکایة الاتفاق،</w:t>
      </w:r>
    </w:p>
    <w:p>
      <w:pPr>
        <w:pStyle w:val="BookText"/>
        <w:rPr/>
      </w:pPr>
      <w:r>
        <w:rPr>
          <w:rFonts w:ascii="IRNazanin" w:hAnsi="IRNazanin" w:eastAsia="IRNazanin"/>
          <w:color w:val="111111"/>
          <w:sz w:val="28"/>
          <w:sz w:val="28"/>
          <w:szCs w:val="28"/>
          <w:rtl w:val="true"/>
          <w:lang w:bidi="fa-IR"/>
        </w:rPr>
        <w:t>قال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یتوقّف التصرّف فی هذا القسم </w:t>
      </w:r>
      <w:r>
        <w:rPr>
          <w:rStyle w:val="FootnoteAnchor"/>
          <w:rtl w:val="true"/>
        </w:rPr>
        <w:footnoteReference w:id="1246"/>
      </w:r>
      <w:r>
        <w:rPr>
          <w:rFonts w:ascii="IRNazanin" w:hAnsi="IRNazanin" w:eastAsia="IRNazanin"/>
          <w:color w:val="111111"/>
          <w:sz w:val="28"/>
          <w:sz w:val="28"/>
          <w:szCs w:val="28"/>
          <w:rtl w:val="true"/>
          <w:lang w:bidi="fa-IR"/>
        </w:rPr>
        <w:t xml:space="preserve">علی إذن الحاکم الشرعی إذا کان متمکّناً من صرفها علی وجهها </w:t>
      </w:r>
      <w:r>
        <w:rPr>
          <w:rStyle w:val="FootnoteAnchor"/>
          <w:rtl w:val="true"/>
        </w:rPr>
        <w:footnoteReference w:id="1247"/>
      </w:r>
      <w:r>
        <w:rPr>
          <w:rFonts w:ascii="IRNazanin" w:hAnsi="IRNazanin" w:eastAsia="IRNazanin"/>
          <w:color w:val="111111"/>
          <w:sz w:val="28"/>
          <w:sz w:val="28"/>
          <w:szCs w:val="28"/>
          <w:rtl w:val="true"/>
          <w:lang w:bidi="fa-IR"/>
        </w:rPr>
        <w:t xml:space="preserve">بناءً علی کونه نائباً عن المستحق علیه السلام </w:t>
      </w:r>
      <w:r>
        <w:rPr>
          <w:rStyle w:val="FootnoteAnchor"/>
          <w:rtl w:val="true"/>
        </w:rPr>
        <w:footnoteReference w:id="1248"/>
      </w:r>
      <w:r>
        <w:rPr>
          <w:rFonts w:ascii="IRNazanin" w:hAnsi="IRNazanin" w:eastAsia="IRNazanin"/>
          <w:color w:val="111111"/>
          <w:sz w:val="28"/>
          <w:sz w:val="28"/>
          <w:szCs w:val="28"/>
          <w:rtl w:val="true"/>
          <w:lang w:bidi="fa-IR"/>
        </w:rPr>
        <w:t>و مفوّضاً إلیه ما هو أعظم من ذلک؟ الظاهر ذلک،و حینئذٍ فیجب علیه صرف حاصلها فی مصالح المسلمین،و مع عدم التمکّن أمرها إلی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جواز التصرّف فیها کیف اتّفق لکلّ واحد من المسلمین، فبعید جدّاً،بل لم أقف علی قائل به؛لأنّ المسلمین بین قائل بأولویة الجائر و توقّف التصرّف علی إذنه،و بین مفوّض الأمر إلی الإمام علیه السلام، و مع غیبته یرجع الأمر إلی نائبه،فالتصرّف بدونهما لا دلیل علیه </w:t>
      </w:r>
      <w:r>
        <w:rPr>
          <w:rStyle w:val="FootnoteAnchor"/>
          <w:rtl w:val="true"/>
        </w:rPr>
        <w:footnoteReference w:id="12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مراده رحمه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علی إذن الحاکم بعد الأخذ من الجائر،و لا خصوص صورة عدم استیلاء الجائر علی الأرض،کما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تحقّق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دلّت علیه النصوص و الفتاوی کفایة إذن الجائر فی حِلّ الخراج،و کون تصرّفه بالإعطاء و المعاوضة و الإسقاط و غیر ذلک نافذاً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انحصاره بذلک،فلم یدلّ علیه دلیل و لا أمارة،بل لو نوقش</w:t>
      </w:r>
    </w:p>
    <w:p>
      <w:pPr>
        <w:pStyle w:val="BookText"/>
        <w:rPr/>
      </w:pPr>
      <w:r>
        <w:rPr>
          <w:rFonts w:ascii="IRNazanin" w:hAnsi="IRNazanin" w:eastAsia="IRNazanin"/>
          <w:color w:val="111111"/>
          <w:sz w:val="28"/>
          <w:sz w:val="28"/>
          <w:szCs w:val="28"/>
          <w:rtl w:val="true"/>
          <w:lang w:bidi="fa-IR"/>
        </w:rPr>
        <w:t>فی کفایة تصرّفه فی الحلّیة و عدم توقّفها علی إذن الحاکم الشرعی مع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الأخبار الظاهرة فی الکفایة </w:t>
      </w:r>
      <w:r>
        <w:rPr>
          <w:rStyle w:val="FootnoteAnchor"/>
          <w:rtl w:val="true"/>
        </w:rPr>
        <w:footnoteReference w:id="1250"/>
      </w:r>
      <w:r>
        <w:rPr>
          <w:rFonts w:ascii="IRNazanin" w:hAnsi="IRNazanin" w:eastAsia="IRNazanin"/>
          <w:color w:val="111111"/>
          <w:sz w:val="28"/>
          <w:sz w:val="28"/>
          <w:szCs w:val="28"/>
          <w:rtl w:val="true"/>
          <w:lang w:bidi="fa-IR"/>
        </w:rPr>
        <w:t>منصرفة إلی الغالب من عدم تیسّر استئذان الإمام علیه السلام 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ذلک،إلّا أنّ المناقشة فی غیر محلّها؛لأنّ المستفاد من الأخبار الإذن العام من الأئمة علیهم السلام،بحیث لا یحتاج بعد ذلک إلی إذن خاص فی الموارد الخاصة منهم علیهم السلام،و لا من نوّابهم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استیلاء الجائر علی تلک الأرض و التمکّن من استئذانه،و أمّا مع عدم استیلائه علی أرض خراجیّة؛لقصور یده عنها؛ لعدم انقیاد أهلها له ابتداء،أو طغیانهم علیه بعد السلطنة علیهم، 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عدم الاستیلاء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استئذانه و عدم مضیّ إذنه فیها،کما صرّح به بعض الأساطین،حیث قال بعد بیان أنّ الحکم مع حضور الإمام علیه السلام مراجعته،أو مراجعة الجائر مع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فقد سلطان الجور،أو ضعفه عن التسلط،أو عدم التمکّن من مراجعته،فالواجب الرجوع إلی الحاکم الشرعی </w:t>
      </w:r>
      <w:r>
        <w:rPr>
          <w:rStyle w:val="FootnoteAnchor"/>
          <w:rtl w:val="true"/>
        </w:rPr>
        <w:footnoteReference w:id="1251"/>
      </w:r>
      <w:r>
        <w:rPr>
          <w:rFonts w:ascii="IRNazanin" w:hAnsi="IRNazanin" w:eastAsia="IRNazanin"/>
          <w:color w:val="111111"/>
          <w:sz w:val="28"/>
          <w:sz w:val="28"/>
          <w:szCs w:val="28"/>
          <w:rtl w:val="true"/>
          <w:lang w:bidi="fa-IR"/>
        </w:rPr>
        <w:t xml:space="preserve">إذ ولایة الجائر إنما ثبتت علی من دخل فی قسم رعیّته حتی یکون فی سلطانه، و یکون مشمولاً لحفظه من الأعداء و حمایته،فمن بَعُدَ عن سلطانهم، أو کان علی الحدّ فیما بینهم،أو تقوّی </w:t>
      </w:r>
      <w:r>
        <w:rPr>
          <w:rStyle w:val="FootnoteAnchor"/>
          <w:rtl w:val="true"/>
        </w:rPr>
        <w:footnoteReference w:id="1252"/>
      </w:r>
      <w:r>
        <w:rPr>
          <w:rFonts w:ascii="IRNazanin" w:hAnsi="IRNazanin" w:eastAsia="IRNazanin"/>
          <w:color w:val="111111"/>
          <w:sz w:val="28"/>
          <w:sz w:val="28"/>
          <w:szCs w:val="28"/>
          <w:rtl w:val="true"/>
          <w:lang w:bidi="fa-IR"/>
        </w:rPr>
        <w:t>علیهم فخرج عن مأموریّتهم،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یجری علیه </w:t>
      </w:r>
      <w:r>
        <w:rPr>
          <w:rStyle w:val="FootnoteAnchor"/>
          <w:rtl w:val="true"/>
        </w:rPr>
        <w:footnoteReference w:id="1253"/>
      </w:r>
      <w:r>
        <w:rPr>
          <w:rFonts w:ascii="IRNazanin" w:hAnsi="IRNazanin" w:eastAsia="IRNazanin"/>
          <w:color w:val="111111"/>
          <w:sz w:val="28"/>
          <w:sz w:val="28"/>
          <w:szCs w:val="28"/>
          <w:rtl w:val="true"/>
          <w:lang w:bidi="fa-IR"/>
        </w:rPr>
        <w:t xml:space="preserve">حکمهم؛اقتصاراً علی المقطوع به من الأخبار و کلام الأصحاب فی قطع الحکم بالأُصول </w:t>
      </w:r>
      <w:r>
        <w:rPr>
          <w:rStyle w:val="FootnoteAnchor"/>
          <w:rtl w:val="true"/>
        </w:rPr>
        <w:footnoteReference w:id="1254"/>
      </w:r>
      <w:r>
        <w:rPr>
          <w:rFonts w:ascii="IRNazanin" w:hAnsi="IRNazanin" w:eastAsia="IRNazanin"/>
          <w:color w:val="111111"/>
          <w:sz w:val="28"/>
          <w:sz w:val="28"/>
          <w:szCs w:val="28"/>
          <w:rtl w:val="true"/>
          <w:lang w:bidi="fa-IR"/>
        </w:rPr>
        <w:t>و القواعد،و تخصیص ما دلّ علی المنع عن الرکون إلیهم و الانقیاد لهم</w:t>
      </w:r>
      <w:r>
        <w:rPr>
          <w:rFonts w:eastAsia="IRNazanin" w:cs="IRNazanin"/>
          <w:color w:val="111111"/>
          <w:sz w:val="28"/>
          <w:szCs w:val="28"/>
          <w:rtl w:val="true"/>
          <w:lang w:bidi="fa-IR"/>
        </w:rPr>
        <w:t>.</w:t>
      </w:r>
      <w:bookmarkStart w:id="213" w:name="pg19674_191722"/>
    </w:p>
    <w:p>
      <w:pPr>
        <w:pStyle w:val="Heading6"/>
        <w:numPr>
          <w:ilvl w:val="5"/>
          <w:numId w:val="1"/>
        </w:numPr>
        <w:rPr/>
      </w:pPr>
      <w:bookmarkStart w:id="214" w:name="__RefHeading___Toc5027814_2314609296"/>
      <w:bookmarkStart w:id="215" w:name="_Toc83"/>
      <w:bookmarkEnd w:id="213"/>
      <w:bookmarkEnd w:id="214"/>
      <w:r>
        <w:rPr>
          <w:rtl w:val="true"/>
        </w:rPr>
        <w:t>الثالث أنّ ظاهر الأخبار</w:t>
      </w:r>
      <w:bookmarkEnd w:id="215"/>
    </w:p>
    <w:p>
      <w:pPr>
        <w:pStyle w:val="BookText"/>
        <w:rPr/>
      </w:pPr>
      <w:r>
        <w:rPr>
          <w:rFonts w:ascii="IRNazanin" w:hAnsi="IRNazanin" w:eastAsia="IRNazanin"/>
          <w:color w:val="111111"/>
          <w:sz w:val="28"/>
          <w:sz w:val="28"/>
          <w:szCs w:val="28"/>
          <w:rtl w:val="true"/>
          <w:lang w:bidi="fa-IR"/>
        </w:rPr>
        <w:t xml:space="preserve">الثالث أنّ ظاهر الأخبار </w:t>
      </w:r>
      <w:r>
        <w:rPr>
          <w:rStyle w:val="FootnoteAnchor"/>
          <w:rtl w:val="true"/>
        </w:rPr>
        <w:footnoteReference w:id="1255"/>
      </w:r>
      <w:r>
        <w:rPr>
          <w:rFonts w:ascii="IRNazanin" w:hAnsi="IRNazanin" w:eastAsia="IRNazanin"/>
          <w:color w:val="111111"/>
          <w:sz w:val="28"/>
          <w:sz w:val="28"/>
          <w:szCs w:val="28"/>
          <w:rtl w:val="true"/>
          <w:lang w:bidi="fa-IR"/>
        </w:rPr>
        <w:t>و إطلاق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الخراج و المقاسمة المأخوذین من الأراضی التی یعتقد الجائر کونها خراجیّة</w:t>
      </w:r>
    </w:p>
    <w:p>
      <w:pPr>
        <w:pStyle w:val="BookText"/>
        <w:rPr/>
      </w:pPr>
      <w:r>
        <w:rPr>
          <w:rFonts w:ascii="IRNazanin" w:hAnsi="IRNazanin" w:eastAsia="IRNazanin"/>
          <w:color w:val="111111"/>
          <w:sz w:val="28"/>
          <w:sz w:val="28"/>
          <w:szCs w:val="28"/>
          <w:rtl w:val="true"/>
          <w:lang w:bidi="fa-IR"/>
        </w:rPr>
        <w:t>و إن کانت عندنا من الأنفال،و هو الذی یقتضیه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نعم،مقتضی بعض أدلّتهم و بعض کلماتهم هو الاختصاص؛فإنّ العلّامة قدّس سرّه قد استدلّ فی کتبه علی حِلّ الخراج و المقاسمة بأنّ هذا مال لا یملکه </w:t>
      </w:r>
      <w:r>
        <w:rPr>
          <w:rStyle w:val="FootnoteAnchor"/>
          <w:rtl w:val="true"/>
        </w:rPr>
        <w:footnoteReference w:id="1256"/>
      </w:r>
      <w:r>
        <w:rPr>
          <w:rFonts w:ascii="IRNazanin" w:hAnsi="IRNazanin" w:eastAsia="IRNazanin"/>
          <w:color w:val="111111"/>
          <w:sz w:val="28"/>
          <w:sz w:val="28"/>
          <w:szCs w:val="28"/>
          <w:rtl w:val="true"/>
          <w:lang w:bidi="fa-IR"/>
        </w:rPr>
        <w:t xml:space="preserve">الزارع و لا صاحب الأرض،بل هو حقٌّ للّه </w:t>
      </w:r>
      <w:r>
        <w:rPr>
          <w:rStyle w:val="FootnoteAnchor"/>
          <w:rtl w:val="true"/>
        </w:rPr>
        <w:footnoteReference w:id="1257"/>
      </w:r>
      <w:r>
        <w:rPr>
          <w:rFonts w:ascii="IRNazanin" w:hAnsi="IRNazanin" w:eastAsia="IRNazanin"/>
          <w:color w:val="111111"/>
          <w:sz w:val="28"/>
          <w:sz w:val="28"/>
          <w:szCs w:val="28"/>
          <w:rtl w:val="true"/>
          <w:lang w:bidi="fa-IR"/>
        </w:rPr>
        <w:t xml:space="preserve">أخذه غیر مستحقّه،فبرأت ذمّته و جاز شراؤه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الدلیل و إن کان فیه ما لا یخفی من الخلل إلّا أنّه کاشف عن اختصاص محلّ الکلام بما کان من الأراضی التی </w:t>
      </w:r>
      <w:r>
        <w:rPr>
          <w:rStyle w:val="FootnoteAnchor"/>
          <w:rtl w:val="true"/>
        </w:rPr>
        <w:footnoteReference w:id="1259"/>
      </w:r>
      <w:r>
        <w:rPr>
          <w:rFonts w:ascii="IRNazanin" w:hAnsi="IRNazanin" w:eastAsia="IRNazanin"/>
          <w:color w:val="111111"/>
          <w:sz w:val="28"/>
          <w:sz w:val="28"/>
          <w:szCs w:val="28"/>
          <w:rtl w:val="true"/>
          <w:lang w:bidi="fa-IR"/>
        </w:rPr>
        <w:t>لها حقٌّ علی الزارع،و لیس الأنفال کذلک؛لکونها مباحة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 غیرهم یجب علیه أُجرة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تحلیل ما یأخذه منهم الجائر بالدلیل المذکور لو تمّ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1260"/>
      </w:r>
      <w:r>
        <w:rPr>
          <w:rFonts w:ascii="IRNazanin" w:hAnsi="IRNazanin" w:eastAsia="IRNazanin"/>
          <w:color w:val="111111"/>
          <w:sz w:val="28"/>
          <w:sz w:val="28"/>
          <w:szCs w:val="28"/>
          <w:rtl w:val="true"/>
          <w:lang w:bidi="fa-IR"/>
        </w:rPr>
        <w:t>یظهر منه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1261"/>
      </w:r>
      <w:r>
        <w:rPr>
          <w:rFonts w:ascii="IRNazanin" w:hAnsi="IRNazanin" w:eastAsia="IRNazanin"/>
          <w:color w:val="111111"/>
          <w:sz w:val="28"/>
          <w:sz w:val="28"/>
          <w:szCs w:val="28"/>
          <w:rtl w:val="true"/>
          <w:lang w:bidi="fa-IR"/>
        </w:rPr>
        <w:t>من الشهید و مشایخ</w:t>
      </w:r>
    </w:p>
    <w:p>
      <w:pPr>
        <w:pStyle w:val="BookText"/>
        <w:rPr/>
      </w:pPr>
      <w:r>
        <w:rPr>
          <w:rFonts w:ascii="IRNazanin" w:hAnsi="IRNazanin" w:eastAsia="IRNazanin"/>
          <w:color w:val="111111"/>
          <w:sz w:val="28"/>
          <w:sz w:val="28"/>
          <w:szCs w:val="28"/>
          <w:rtl w:val="true"/>
          <w:lang w:bidi="fa-IR"/>
        </w:rPr>
        <w:t>المحقّق الثانی من حرمة جحود الخراج و المقاسمة،معلّلین ذلک بأنّ ذلک حقّ علیه؛فإنّ الأنفال لا حقّ و لا اجرة فی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تقدّم </w:t>
      </w:r>
      <w:r>
        <w:rPr>
          <w:rStyle w:val="FootnoteAnchor"/>
          <w:rtl w:val="true"/>
        </w:rPr>
        <w:footnoteReference w:id="1262"/>
      </w:r>
      <w:r>
        <w:rPr>
          <w:rFonts w:ascii="IRNazanin" w:hAnsi="IRNazanin" w:eastAsia="IRNazanin"/>
          <w:color w:val="111111"/>
          <w:sz w:val="28"/>
          <w:sz w:val="28"/>
          <w:szCs w:val="28"/>
          <w:rtl w:val="true"/>
          <w:lang w:bidi="fa-IR"/>
        </w:rPr>
        <w:t xml:space="preserve">من التنقیح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بعد دعوی الإجماع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تصرّف الجائر فی الخراج و المقاسمة من قبیل تصرّف الفضولی إذا أجاز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کلمات الأصحاب بعد التأمّل فی أطرافها ظاهرة فی الاختصاص بأراضی المسلمین،خلافاً لما استظهره المحقّق الکرکی قدّس سرّه </w:t>
      </w:r>
      <w:r>
        <w:rPr>
          <w:rStyle w:val="FootnoteAnchor"/>
          <w:rtl w:val="true"/>
        </w:rPr>
        <w:footnoteReference w:id="1264"/>
      </w:r>
      <w:r>
        <w:rPr>
          <w:rFonts w:ascii="IRNazanin" w:hAnsi="IRNazanin" w:eastAsia="IRNazanin"/>
          <w:color w:val="111111"/>
          <w:sz w:val="28"/>
          <w:sz w:val="28"/>
          <w:szCs w:val="28"/>
          <w:rtl w:val="true"/>
          <w:lang w:bidi="fa-IR"/>
        </w:rPr>
        <w:t xml:space="preserve">من کلمات الأصحاب و إطلاق الأخبار،مع أنّ الأخبار </w:t>
      </w:r>
      <w:r>
        <w:rPr>
          <w:rStyle w:val="FootnoteAnchor"/>
          <w:rtl w:val="true"/>
        </w:rPr>
        <w:footnoteReference w:id="1265"/>
      </w:r>
      <w:r>
        <w:rPr>
          <w:rFonts w:ascii="IRNazanin" w:hAnsi="IRNazanin" w:eastAsia="IRNazanin"/>
          <w:color w:val="111111"/>
          <w:sz w:val="28"/>
          <w:sz w:val="28"/>
          <w:szCs w:val="28"/>
          <w:rtl w:val="true"/>
          <w:lang w:bidi="fa-IR"/>
        </w:rPr>
        <w:t>أکثرها لا عموم فیها و لا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نعم،بعض الأخبار الواردة فی المعاملة علی الأراضی الخراجیة التی جمعها صاحب الکفایة </w:t>
      </w:r>
      <w:r>
        <w:rPr>
          <w:rStyle w:val="FootnoteAnchor"/>
          <w:rtl w:val="true"/>
        </w:rPr>
        <w:footnoteReference w:id="1266"/>
      </w:r>
      <w:r>
        <w:rPr>
          <w:rFonts w:ascii="IRNazanin" w:hAnsi="IRNazanin" w:eastAsia="IRNazanin"/>
          <w:color w:val="111111"/>
          <w:sz w:val="28"/>
          <w:sz w:val="28"/>
          <w:szCs w:val="28"/>
          <w:rtl w:val="true"/>
          <w:lang w:bidi="fa-IR"/>
        </w:rPr>
        <w:t>شاملة لمطلق الأرض المضروب علیها الخراج من السلطان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فرض أنّه ضرب الخراج علی ملک غیر الإمام،أو علی ملک الإمام لا بالإمامة،أو علی الأراضی التی أسلم أهلها علیها طوعاً، لم یدخل فی منصرف الأخبار قطعاً،و لو أخذ الخراج من الأرض المجهولة المالک معتقداً لاستحقاقه إیّاها،ففیه وجهان</w:t>
      </w:r>
      <w:r>
        <w:rPr>
          <w:rFonts w:eastAsia="IRNazanin" w:cs="IRNazanin"/>
          <w:color w:val="111111"/>
          <w:sz w:val="28"/>
          <w:szCs w:val="28"/>
          <w:rtl w:val="true"/>
          <w:lang w:bidi="fa-IR"/>
        </w:rPr>
        <w:t>.</w:t>
      </w:r>
      <w:bookmarkStart w:id="216" w:name="pg19674_191724"/>
    </w:p>
    <w:p>
      <w:pPr>
        <w:pStyle w:val="Heading6"/>
        <w:numPr>
          <w:ilvl w:val="5"/>
          <w:numId w:val="1"/>
        </w:numPr>
        <w:rPr/>
      </w:pPr>
      <w:bookmarkStart w:id="217" w:name="__RefHeading___Toc5027816_2314609296"/>
      <w:bookmarkStart w:id="218" w:name="_Toc84"/>
      <w:bookmarkEnd w:id="216"/>
      <w:bookmarkEnd w:id="217"/>
      <w:r>
        <w:rPr>
          <w:rtl w:val="true"/>
        </w:rPr>
        <w:t>الرابع ظاهر الأخبار و منصرف کلمات الأصحاب</w:t>
      </w:r>
      <w:r>
        <w:rPr>
          <w:rtl w:val="true"/>
        </w:rPr>
        <w:t>:</w:t>
      </w:r>
      <w:r>
        <w:rPr>
          <w:rtl w:val="true"/>
        </w:rPr>
        <w:t>الاختصاص بالسلطان المدّعی للرئاسة العامّة و عمّاله،</w:t>
      </w:r>
      <w:bookmarkEnd w:id="218"/>
    </w:p>
    <w:p>
      <w:pPr>
        <w:pStyle w:val="BookText"/>
        <w:rPr/>
      </w:pPr>
      <w:r>
        <w:rPr>
          <w:rFonts w:ascii="IRNazanin" w:hAnsi="IRNazanin" w:eastAsia="IRNazanin"/>
          <w:color w:val="111111"/>
          <w:sz w:val="28"/>
          <w:sz w:val="28"/>
          <w:szCs w:val="28"/>
          <w:rtl w:val="true"/>
          <w:lang w:bidi="fa-IR"/>
        </w:rPr>
        <w:t>فلا یشمل مَن تسلّط علی قریة أو بلدة خروجاً علی سلطان الوقت فیأخذ منهم حقوق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نعم،ظاهر الدلیل المتقدّم </w:t>
      </w:r>
      <w:r>
        <w:rPr>
          <w:rStyle w:val="FootnoteAnchor"/>
          <w:rtl w:val="true"/>
        </w:rPr>
        <w:footnoteReference w:id="1267"/>
      </w:r>
      <w:r>
        <w:rPr>
          <w:rFonts w:ascii="IRNazanin" w:hAnsi="IRNazanin" w:eastAsia="IRNazanin"/>
          <w:color w:val="111111"/>
          <w:sz w:val="28"/>
          <w:sz w:val="28"/>
          <w:szCs w:val="28"/>
          <w:rtl w:val="true"/>
          <w:lang w:bidi="fa-IR"/>
        </w:rPr>
        <w:t xml:space="preserve">عن </w:t>
      </w:r>
      <w:r>
        <w:rPr>
          <w:rStyle w:val="FootnoteAnchor"/>
          <w:rtl w:val="true"/>
        </w:rPr>
        <w:footnoteReference w:id="1268"/>
      </w:r>
      <w:r>
        <w:rPr>
          <w:rFonts w:ascii="IRNazanin" w:hAnsi="IRNazanin" w:eastAsia="IRNazanin"/>
          <w:color w:val="111111"/>
          <w:sz w:val="28"/>
          <w:sz w:val="28"/>
          <w:szCs w:val="28"/>
          <w:rtl w:val="true"/>
          <w:lang w:bidi="fa-IR"/>
        </w:rPr>
        <w:t>العلّامة شموله له،لکنّک عرفت أنّه قاصر عن إفادة المدّعی،کما أنّ ظاهره عدم الفرق بین السلطان المخالف المعتقد لاستحقاق أخذ الخراج،و المؤمن و الکافر و إن اعترفا بعدم الاستحقاق،إلّا أنّ ظاهر الأخبار الاختصاص بالمخالف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اختصاص موارد الأخبار بالمخالف المعتقد لاستحقاق أخذه </w:t>
      </w:r>
      <w:r>
        <w:rPr>
          <w:rStyle w:val="FootnoteAnchor"/>
          <w:rtl w:val="true"/>
        </w:rPr>
        <w:footnoteReference w:id="1269"/>
      </w:r>
      <w:r>
        <w:rPr>
          <w:rFonts w:ascii="IRNazanin" w:hAnsi="IRNazanin" w:eastAsia="IRNazanin"/>
          <w:color w:val="111111"/>
          <w:sz w:val="28"/>
          <w:sz w:val="28"/>
          <w:szCs w:val="28"/>
          <w:rtl w:val="true"/>
          <w:lang w:bidi="fa-IR"/>
        </w:rPr>
        <w:t>، و لا عموم فیها لغیر المورد،فیقتصر فی مخالفة القاعدة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لزوم الحرج،و دعوی الإطلاق فی بعض الأخبار المتقدمة، مثل قوله علیه السلام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یتقبّل الرجل الأرض و أهلها من السلطان</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دفعها إلیک سلطان فعلیک فیما أخرج اللّه منها</w:t>
      </w:r>
    </w:p>
    <w:p>
      <w:pPr>
        <w:pStyle w:val="BookText"/>
        <w:rPr/>
      </w:pPr>
      <w:r>
        <w:rPr>
          <w:rFonts w:ascii="IRNazanin" w:hAnsi="IRNazanin" w:eastAsia="IRNazanin"/>
          <w:color w:val="111111"/>
          <w:sz w:val="28"/>
          <w:sz w:val="28"/>
          <w:szCs w:val="28"/>
          <w:rtl w:val="true"/>
          <w:lang w:bidi="fa-IR"/>
        </w:rPr>
        <w:t>الذی قاطعک علیه</w:t>
      </w:r>
      <w:r>
        <w:rPr>
          <w:rFonts w:eastAsia="IRNazanin" w:cs="IRNazanin"/>
          <w:color w:val="111111"/>
          <w:sz w:val="28"/>
          <w:szCs w:val="28"/>
          <w:rtl w:val="true"/>
          <w:lang w:bidi="fa-IR"/>
        </w:rPr>
        <w:t xml:space="preserve">»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یردّ لزوم الحرج بلزومه علی کلّ تقدیر؛لأنّ المفروض أنّ السلطان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هذه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 الخراج عن کلّ أرض و لو لم تکن خراجیّة،و أنّهم یأخذون کثیراً من وجوه الظلم المحرّمة منضمّاً إلی الخراج،و لیس الخراج عندهم ممتازاً عن سائر ما یأخذونه ظلماً من العشور و سائر ما یظلمون به الناس،کما لا یخفی علی مَن لاحظ سیرة عمّالهم،فلا بدّ إمّا من الحکم بحِلّ ذلک </w:t>
      </w:r>
      <w:r>
        <w:rPr>
          <w:rStyle w:val="FootnoteAnchor"/>
          <w:rtl w:val="true"/>
        </w:rPr>
        <w:footnoteReference w:id="1272"/>
      </w:r>
      <w:r>
        <w:rPr>
          <w:rFonts w:ascii="IRNazanin" w:hAnsi="IRNazanin" w:eastAsia="IRNazanin"/>
          <w:color w:val="111111"/>
          <w:sz w:val="28"/>
          <w:sz w:val="28"/>
          <w:szCs w:val="28"/>
          <w:rtl w:val="true"/>
          <w:lang w:bidi="fa-IR"/>
        </w:rPr>
        <w:t>کلّه؛ لدفع الحَرَج،و إمّا من الحکم بکون ما فی ید السلطان و عمّاله،من الأموال المجهولة المالک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الإطلاقات،فهی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إمکان دعوی انصرافها إلی الغالب کما فی المسالک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مسوقة لبیان حکم آخر،کجواز إدخال أهل الأرض الخراجیة فی تقبّل الأرض فی صحیحة الحلبی </w:t>
      </w:r>
      <w:r>
        <w:rPr>
          <w:rStyle w:val="FootnoteAnchor"/>
          <w:rtl w:val="true"/>
        </w:rPr>
        <w:footnoteReference w:id="1274"/>
      </w:r>
      <w:r>
        <w:rPr>
          <w:rFonts w:ascii="IRNazanin" w:hAnsi="IRNazanin" w:eastAsia="IRNazanin"/>
          <w:color w:val="111111"/>
          <w:sz w:val="28"/>
          <w:sz w:val="28"/>
          <w:szCs w:val="28"/>
          <w:rtl w:val="true"/>
          <w:lang w:bidi="fa-IR"/>
        </w:rPr>
        <w:t xml:space="preserve">لدفع توهّم حرمة ذلک کما یظهر من أخبار أُخر </w:t>
      </w:r>
      <w:r>
        <w:rPr>
          <w:rStyle w:val="FootnoteAnchor"/>
          <w:rtl w:val="true"/>
        </w:rPr>
        <w:footnoteReference w:id="1275"/>
      </w:r>
      <w:r>
        <w:rPr>
          <w:rFonts w:ascii="IRNazanin" w:hAnsi="IRNazanin" w:eastAsia="IRNazanin"/>
          <w:color w:val="111111"/>
          <w:sz w:val="28"/>
          <w:sz w:val="28"/>
          <w:szCs w:val="28"/>
          <w:rtl w:val="true"/>
          <w:lang w:bidi="fa-IR"/>
        </w:rPr>
        <w:t xml:space="preserve">،و کجواز أخذ أکثر ممّا </w:t>
      </w:r>
      <w:r>
        <w:rPr>
          <w:rStyle w:val="FootnoteAnchor"/>
          <w:rtl w:val="true"/>
        </w:rPr>
        <w:footnoteReference w:id="1276"/>
      </w:r>
      <w:r>
        <w:rPr>
          <w:rFonts w:ascii="IRNazanin" w:hAnsi="IRNazanin" w:eastAsia="IRNazanin"/>
          <w:color w:val="111111"/>
          <w:sz w:val="28"/>
          <w:sz w:val="28"/>
          <w:szCs w:val="28"/>
          <w:rtl w:val="true"/>
          <w:lang w:bidi="fa-IR"/>
        </w:rPr>
        <w:t xml:space="preserve">تقبّل به الأرض من السلطان فی روایة الفیض بن المختار </w:t>
      </w:r>
      <w:r>
        <w:rPr>
          <w:rStyle w:val="FootnoteAnchor"/>
          <w:rtl w:val="true"/>
        </w:rPr>
        <w:footnoteReference w:id="1277"/>
      </w:r>
      <w:r>
        <w:rPr>
          <w:rFonts w:ascii="IRNazanin" w:hAnsi="IRNazanin" w:eastAsia="IRNazanin"/>
          <w:color w:val="111111"/>
          <w:sz w:val="28"/>
          <w:sz w:val="28"/>
          <w:szCs w:val="28"/>
          <w:rtl w:val="true"/>
          <w:lang w:bidi="fa-IR"/>
        </w:rPr>
        <w:t>،و کغیر ذلک من</w:t>
      </w:r>
    </w:p>
    <w:p>
      <w:pPr>
        <w:pStyle w:val="BookText"/>
        <w:rPr/>
      </w:pPr>
      <w:r>
        <w:rPr>
          <w:rFonts w:ascii="IRNazanin" w:hAnsi="IRNazanin" w:eastAsia="IRNazanin"/>
          <w:color w:val="111111"/>
          <w:sz w:val="28"/>
          <w:sz w:val="28"/>
          <w:szCs w:val="28"/>
          <w:rtl w:val="true"/>
          <w:lang w:bidi="fa-IR"/>
        </w:rPr>
        <w:t>أحکام قبالة الأرض و استئجارها فیما عداها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بهذه الأخبار علی عدم البأس بأخذ أموالهم،مع اعترافهم بعدم الاستحقاق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1278"/>
      </w:r>
      <w:r>
        <w:rPr>
          <w:rFonts w:ascii="Amiri" w:hAnsi="Amiri" w:eastAsia="Amiri" w:cs="Amiri"/>
          <w:color w:val="111111"/>
          <w:sz w:val="28"/>
          <w:sz w:val="28"/>
          <w:szCs w:val="28"/>
          <w:rtl w:val="true"/>
          <w:lang w:bidi="ar-SA"/>
        </w:rPr>
        <w:t xml:space="preserve">یدلّ علی عدم </w:t>
      </w:r>
      <w:r>
        <w:rPr>
          <w:rStyle w:val="FootnoteAnchor"/>
          <w:rtl w:val="true"/>
        </w:rPr>
        <w:footnoteReference w:id="1279"/>
      </w:r>
      <w:r>
        <w:rPr>
          <w:rFonts w:ascii="IRNazanin" w:hAnsi="IRNazanin" w:eastAsia="IRNazanin"/>
          <w:color w:val="111111"/>
          <w:sz w:val="28"/>
          <w:sz w:val="28"/>
          <w:szCs w:val="28"/>
          <w:rtl w:val="true"/>
          <w:lang w:bidi="fa-IR"/>
        </w:rPr>
        <w:t>شمول کلمات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المسألة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یأخذه الجائر لشبهة </w:t>
      </w:r>
      <w:r>
        <w:rPr>
          <w:rStyle w:val="FootnoteAnchor"/>
          <w:rtl w:val="true"/>
        </w:rPr>
        <w:footnoteReference w:id="1280"/>
      </w:r>
      <w:r>
        <w:rPr>
          <w:rFonts w:ascii="IRNazanin" w:hAnsi="IRNazanin" w:eastAsia="IRNazanin"/>
          <w:color w:val="111111"/>
          <w:sz w:val="28"/>
          <w:sz w:val="28"/>
          <w:szCs w:val="28"/>
          <w:rtl w:val="true"/>
          <w:lang w:bidi="fa-IR"/>
        </w:rPr>
        <w:t>المقاسمة أو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المنتهی </w:t>
      </w:r>
      <w:r>
        <w:rPr>
          <w:rStyle w:val="FootnoteAnchor"/>
          <w:rtl w:val="true"/>
        </w:rPr>
        <w:footnoteReference w:id="1281"/>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الخراج أو المقاسمة</w:t>
      </w:r>
      <w:r>
        <w:rPr>
          <w:rFonts w:eastAsia="Amiri" w:cs="Amiri" w:ascii="Amiri" w:hAnsi="Amiri"/>
          <w:color w:val="111111"/>
          <w:sz w:val="28"/>
          <w:szCs w:val="28"/>
          <w:rtl w:val="true"/>
          <w:lang w:bidi="ar-SA"/>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کما فی غیره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یأخذه الجائر المؤمن لیس لشبهة الخراج و المقاسمة؛لأنّ المراد بشبهتهما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استحقاقهما الحاصلة فی مذهب العامة،نظیر شبهة تملّک سائر ما یأخذون ممّا لا یستحقّون؛لأنّ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الولایة فی الأراضی الخراجیة إنّما هی للإمام علیه السلام،أو نائبه الخاص،أو العام، فما یأخذه الجائر المعتقد </w:t>
      </w:r>
      <w:r>
        <w:rPr>
          <w:rStyle w:val="FootnoteAnchor"/>
          <w:rtl w:val="true"/>
        </w:rPr>
        <w:footnoteReference w:id="1284"/>
      </w:r>
      <w:r>
        <w:rPr>
          <w:rFonts w:ascii="IRNazanin" w:hAnsi="IRNazanin" w:eastAsia="IRNazanin"/>
          <w:color w:val="111111"/>
          <w:sz w:val="28"/>
          <w:sz w:val="28"/>
          <w:szCs w:val="28"/>
          <w:rtl w:val="true"/>
          <w:lang w:bidi="fa-IR"/>
        </w:rPr>
        <w:t>لذلک إنّما هو شیء یظلم به فی اعتقاده، معترفاً بعدم براءة ذمّة زارع الأرض من أُجرتها شرعاً،نظیر ما یأخذه من الأملاک الخاصّة التی لا خراج علیها أصلاً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حصول شبهة الاستحقاق لبعض سلاطین الشیعة من</w:t>
      </w:r>
    </w:p>
    <w:p>
      <w:pPr>
        <w:pStyle w:val="BookText"/>
        <w:rPr/>
      </w:pPr>
      <w:r>
        <w:rPr>
          <w:rFonts w:ascii="IRNazanin" w:hAnsi="IRNazanin" w:eastAsia="IRNazanin"/>
          <w:color w:val="111111"/>
          <w:sz w:val="28"/>
          <w:sz w:val="28"/>
          <w:szCs w:val="28"/>
          <w:rtl w:val="true"/>
          <w:lang w:bidi="fa-IR"/>
        </w:rPr>
        <w:t>بعض الوجوه،لم یدخل بذلک فی عناوین الأصحاب قطعاً؛لأنّ مرادهم من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من حیث المذهب التی أمضاها الشارع للشیعة، لا الشبهة فی نظر شخصٍ خاص؛لأنّ الشبهة الخاصة إن کانت عن سببٍ صحیح،کاجتهادٍ أو تقلید،فلا إشکال فی حلّیته له و استحقاقه للأخذ بالنسبة إلیه،و إلّا کانت باطلة غیر نافذة فی حقّ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آخذ الخراج و المقاسمة لشبهة الاستحقاق فی کلام الأصحاب لیس إلّا الجائر المخالف،و ممّا </w:t>
      </w:r>
      <w:r>
        <w:rPr>
          <w:rStyle w:val="FootnoteAnchor"/>
          <w:rtl w:val="true"/>
        </w:rPr>
        <w:footnoteReference w:id="1285"/>
      </w:r>
      <w:r>
        <w:rPr>
          <w:rFonts w:ascii="IRNazanin" w:hAnsi="IRNazanin" w:eastAsia="IRNazanin"/>
          <w:color w:val="111111"/>
          <w:sz w:val="28"/>
          <w:sz w:val="28"/>
          <w:szCs w:val="28"/>
          <w:rtl w:val="true"/>
          <w:lang w:bidi="fa-IR"/>
        </w:rPr>
        <w:t>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الزکاة علیها،مع أنّ الجائر الموافق لا یری لنفسه ولایة جبایة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کان،فالذی أتخیّل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1286"/>
      </w:r>
      <w:r>
        <w:rPr>
          <w:rFonts w:ascii="Amiri" w:hAnsi="Amiri" w:eastAsia="Amiri" w:cs="Amiri"/>
          <w:color w:val="111111"/>
          <w:sz w:val="28"/>
          <w:sz w:val="28"/>
          <w:szCs w:val="28"/>
          <w:rtl w:val="true"/>
          <w:lang w:bidi="ar-SA"/>
        </w:rPr>
        <w:t xml:space="preserve">کلّما ازداد </w:t>
      </w:r>
      <w:r>
        <w:rPr>
          <w:rStyle w:val="FootnoteAnchor"/>
          <w:rtl w:val="true"/>
        </w:rPr>
        <w:footnoteReference w:id="1287"/>
      </w:r>
      <w:r>
        <w:rPr>
          <w:rFonts w:ascii="IRNazanin" w:hAnsi="IRNazanin" w:eastAsia="IRNazanin"/>
          <w:color w:val="111111"/>
          <w:sz w:val="28"/>
          <w:sz w:val="28"/>
          <w:szCs w:val="28"/>
          <w:rtl w:val="true"/>
          <w:lang w:bidi="fa-IR"/>
        </w:rPr>
        <w:t xml:space="preserve">المنصف التأمّل فی کلماتهم یزداد </w:t>
      </w:r>
      <w:r>
        <w:rPr>
          <w:rStyle w:val="FootnoteAnchor"/>
          <w:rtl w:val="true"/>
        </w:rPr>
        <w:footnoteReference w:id="1288"/>
      </w:r>
      <w:r>
        <w:rPr>
          <w:rFonts w:ascii="IRNazanin" w:hAnsi="IRNazanin" w:eastAsia="IRNazanin"/>
          <w:color w:val="111111"/>
          <w:sz w:val="28"/>
          <w:sz w:val="28"/>
          <w:szCs w:val="28"/>
          <w:rtl w:val="true"/>
          <w:lang w:bidi="fa-IR"/>
        </w:rPr>
        <w:t xml:space="preserve">له هذا المعنی وضوحاً،فما أطنب به بعضٌ </w:t>
      </w:r>
      <w:r>
        <w:rPr>
          <w:rStyle w:val="FootnoteAnchor"/>
          <w:rtl w:val="true"/>
        </w:rPr>
        <w:footnoteReference w:id="1289"/>
      </w:r>
      <w:r>
        <w:rPr>
          <w:rFonts w:ascii="IRNazanin" w:hAnsi="IRNazanin" w:eastAsia="IRNazanin"/>
          <w:color w:val="111111"/>
          <w:sz w:val="28"/>
          <w:sz w:val="28"/>
          <w:szCs w:val="28"/>
          <w:rtl w:val="true"/>
          <w:lang w:bidi="fa-IR"/>
        </w:rPr>
        <w:t>فی دعوی عموم النصّ و کلمات الأصحاب ممّا لا ینبغی أن یغترّ 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ما ذکرنا و غیره فسّر صاحب إیضاح النافع </w:t>
      </w:r>
      <w:r>
        <w:rPr>
          <w:rStyle w:val="FootnoteAnchor"/>
          <w:rtl w:val="true"/>
        </w:rPr>
        <w:footnoteReference w:id="1290"/>
      </w:r>
      <w:r>
        <w:rPr>
          <w:rFonts w:ascii="IRNazanin" w:hAnsi="IRNazanin" w:eastAsia="IRNazanin"/>
          <w:color w:val="111111"/>
          <w:sz w:val="28"/>
          <w:sz w:val="28"/>
          <w:szCs w:val="28"/>
          <w:rtl w:val="true"/>
          <w:lang w:bidi="fa-IR"/>
        </w:rPr>
        <w:t xml:space="preserve">فی ظاهر کلامه المحکی الجائر فی عبارة النافع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 تقدّم </w:t>
      </w:r>
      <w:r>
        <w:rPr>
          <w:rStyle w:val="FootnoteAnchor"/>
          <w:rtl w:val="true"/>
        </w:rPr>
        <w:footnoteReference w:id="1292"/>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أمیر المؤمنین علیه السلام و اقتفی أثر الثلاثة،فالقول بالاختصاص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فی المسالک </w:t>
      </w:r>
      <w:r>
        <w:rPr>
          <w:rStyle w:val="FootnoteAnchor"/>
          <w:rtl w:val="true"/>
        </w:rPr>
        <w:footnoteReference w:id="1293"/>
      </w:r>
      <w:r>
        <w:rPr>
          <w:rFonts w:ascii="IRNazanin" w:hAnsi="IRNazanin" w:eastAsia="IRNazanin"/>
          <w:color w:val="111111"/>
          <w:sz w:val="28"/>
          <w:sz w:val="28"/>
          <w:szCs w:val="28"/>
          <w:rtl w:val="true"/>
          <w:lang w:bidi="fa-IR"/>
        </w:rPr>
        <w:t xml:space="preserve">،و جزم به فی إیضاح النافع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الأصحّ فی الریاض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فی الأراضی التی بید الجائر الموافق،فی المعاملة علی عینها أو علی ما یؤخذ علیها مراجعة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ظهور سلطان مخالف لا یری نفسه مستحقاً لجبایة تلک الوجوه،و إنّما أخذ ما یأخذ نظیر ما یأخذه </w:t>
      </w:r>
      <w:r>
        <w:rPr>
          <w:rStyle w:val="FootnoteAnchor"/>
          <w:rtl w:val="true"/>
        </w:rPr>
        <w:footnoteReference w:id="1296"/>
      </w:r>
      <w:r>
        <w:rPr>
          <w:rFonts w:ascii="IRNazanin" w:hAnsi="IRNazanin" w:eastAsia="IRNazanin"/>
          <w:color w:val="111111"/>
          <w:sz w:val="28"/>
          <w:sz w:val="28"/>
          <w:szCs w:val="28"/>
          <w:rtl w:val="true"/>
          <w:lang w:bidi="fa-IR"/>
        </w:rPr>
        <w:t>علی غیر الأراضی الخراجیة من الأملاک الخاصّة،فهو أیضاً غیر داخل فی منصرف الأخبار،و لا فی کلمات الأصحاب،فحکمه حکم السلطان الموافق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السلطان الکافر،فلم أجد فیه نصّاً،و ینبغی لمن تمسّک بإطلاق النصّ و الفتوی </w:t>
      </w:r>
      <w:r>
        <w:rPr>
          <w:rStyle w:val="FootnoteAnchor"/>
          <w:rtl w:val="true"/>
        </w:rPr>
        <w:footnoteReference w:id="1297"/>
      </w:r>
      <w:r>
        <w:rPr>
          <w:rFonts w:ascii="IRNazanin" w:hAnsi="IRNazanin" w:eastAsia="IRNazanin"/>
          <w:color w:val="111111"/>
          <w:sz w:val="28"/>
          <w:sz w:val="28"/>
          <w:szCs w:val="28"/>
          <w:rtl w:val="true"/>
          <w:lang w:bidi="fa-IR"/>
        </w:rPr>
        <w:t xml:space="preserve">التزام دخوله فیهما،لکنّ الإنصاف انصرافهما </w:t>
      </w:r>
      <w:r>
        <w:rPr>
          <w:rStyle w:val="FootnoteAnchor"/>
          <w:rtl w:val="true"/>
        </w:rPr>
        <w:footnoteReference w:id="1298"/>
      </w:r>
      <w:r>
        <w:rPr>
          <w:rFonts w:ascii="IRNazanin" w:hAnsi="IRNazanin" w:eastAsia="IRNazanin"/>
          <w:color w:val="111111"/>
          <w:sz w:val="28"/>
          <w:sz w:val="28"/>
          <w:szCs w:val="28"/>
          <w:rtl w:val="true"/>
          <w:lang w:bidi="fa-IR"/>
        </w:rPr>
        <w:t xml:space="preserve">إلی غیره،مضافاً إلی ما تقدّم </w:t>
      </w:r>
      <w:r>
        <w:rPr>
          <w:rStyle w:val="FootnoteAnchor"/>
          <w:rtl w:val="true"/>
        </w:rPr>
        <w:footnoteReference w:id="1299"/>
      </w:r>
      <w:r>
        <w:rPr>
          <w:rFonts w:ascii="IRNazanin" w:hAnsi="IRNazanin" w:eastAsia="IRNazanin"/>
          <w:color w:val="111111"/>
          <w:sz w:val="28"/>
          <w:sz w:val="28"/>
          <w:szCs w:val="28"/>
          <w:rtl w:val="true"/>
          <w:lang w:bidi="fa-IR"/>
        </w:rPr>
        <w:t>فی السلطان الموافق من اعتبار کون الأخذ بشبهة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تمسّک فی ذلک بعض </w:t>
      </w:r>
      <w:r>
        <w:rPr>
          <w:rStyle w:val="FootnoteAnchor"/>
          <w:rtl w:val="true"/>
        </w:rPr>
        <w:footnoteReference w:id="1300"/>
      </w:r>
      <w:r>
        <w:rPr>
          <w:rFonts w:ascii="IRNazanin" w:hAnsi="IRNazanin" w:eastAsia="IRNazanin"/>
          <w:color w:val="111111"/>
          <w:sz w:val="28"/>
          <w:sz w:val="28"/>
          <w:szCs w:val="28"/>
          <w:rtl w:val="true"/>
          <w:lang w:bidi="fa-IR"/>
        </w:rPr>
        <w:t>بنفی السبیل للکافر علی المؤمن،فتأمّل</w:t>
      </w:r>
      <w:r>
        <w:rPr>
          <w:rFonts w:eastAsia="IRNazanin" w:cs="IRNazanin"/>
          <w:color w:val="111111"/>
          <w:sz w:val="28"/>
          <w:szCs w:val="28"/>
          <w:rtl w:val="true"/>
          <w:lang w:bidi="fa-IR"/>
        </w:rPr>
        <w:t>.</w:t>
      </w:r>
      <w:bookmarkStart w:id="219" w:name="pg19674_191729"/>
    </w:p>
    <w:p>
      <w:pPr>
        <w:pStyle w:val="Heading6"/>
        <w:numPr>
          <w:ilvl w:val="5"/>
          <w:numId w:val="1"/>
        </w:numPr>
        <w:rPr/>
      </w:pPr>
      <w:bookmarkStart w:id="220" w:name="__RefHeading___Toc5027818_2314609296"/>
      <w:bookmarkStart w:id="221" w:name="_Toc85"/>
      <w:bookmarkEnd w:id="219"/>
      <w:bookmarkEnd w:id="220"/>
      <w:r>
        <w:rPr>
          <w:rtl w:val="true"/>
        </w:rPr>
        <w:t>الخامس الظاهر أنّه لا یعتبر فی حِلّ الخراج المأخوذ أن یکون المأخوذ منه ممّن یعتقد استحقاق الآخذ للأخذ،</w:t>
      </w:r>
      <w:bookmarkEnd w:id="221"/>
    </w:p>
    <w:p>
      <w:pPr>
        <w:pStyle w:val="BookText"/>
        <w:rPr/>
      </w:pPr>
      <w:r>
        <w:rPr>
          <w:rFonts w:ascii="IRNazanin" w:hAnsi="IRNazanin" w:eastAsia="IRNazanin"/>
          <w:color w:val="111111"/>
          <w:sz w:val="28"/>
          <w:sz w:val="28"/>
          <w:szCs w:val="28"/>
          <w:rtl w:val="true"/>
          <w:lang w:bidi="fa-IR"/>
        </w:rPr>
        <w:t xml:space="preserve">فلا فرق حینئذٍ بین المؤمن و المخالف و الکافر؛لإطلاق بعض الأخبار المتقدّمة </w:t>
      </w:r>
      <w:r>
        <w:rPr>
          <w:rStyle w:val="FootnoteAnchor"/>
          <w:rtl w:val="true"/>
        </w:rPr>
        <w:footnoteReference w:id="1301"/>
      </w:r>
      <w:r>
        <w:rPr>
          <w:rFonts w:ascii="IRNazanin" w:hAnsi="IRNazanin" w:eastAsia="IRNazanin"/>
          <w:color w:val="111111"/>
          <w:sz w:val="28"/>
          <w:sz w:val="28"/>
          <w:szCs w:val="28"/>
          <w:rtl w:val="true"/>
          <w:lang w:bidi="fa-IR"/>
        </w:rPr>
        <w:t xml:space="preserve">و اختصاص بعضها الآخر بالمؤمن،کما فی روایتی الحذّاء و إسحاق بن عمّار </w:t>
      </w:r>
      <w:r>
        <w:rPr>
          <w:rStyle w:val="FootnoteAnchor"/>
          <w:rtl w:val="true"/>
        </w:rPr>
        <w:footnoteReference w:id="1302"/>
      </w:r>
      <w:r>
        <w:rPr>
          <w:rFonts w:ascii="IRNazanin" w:hAnsi="IRNazanin" w:eastAsia="IRNazanin"/>
          <w:color w:val="111111"/>
          <w:sz w:val="28"/>
          <w:sz w:val="28"/>
          <w:szCs w:val="28"/>
          <w:rtl w:val="true"/>
          <w:lang w:bidi="fa-IR"/>
        </w:rPr>
        <w:t xml:space="preserve">و بعض روایات قبالة الأراضی الخراجیّة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یستبعد بعضٌ </w:t>
      </w:r>
      <w:r>
        <w:rPr>
          <w:rStyle w:val="FootnoteAnchor"/>
          <w:rtl w:val="true"/>
        </w:rPr>
        <w:footnoteReference w:id="1304"/>
      </w:r>
      <w:r>
        <w:rPr>
          <w:rFonts w:ascii="IRNazanin" w:hAnsi="IRNazanin" w:eastAsia="IRNazanin"/>
          <w:color w:val="111111"/>
          <w:sz w:val="28"/>
          <w:sz w:val="28"/>
          <w:szCs w:val="28"/>
          <w:rtl w:val="true"/>
          <w:lang w:bidi="fa-IR"/>
        </w:rPr>
        <w:t>اختصاص الحکم بالمأخوذ من معتقد استحقاق الآخذ،مع اعترافه بأنّ ظاهر الأصحاب التعمیم،و کأنّه أدخل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مسألة حِلّ الخراج 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القاعدة المعروفة،من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إلزام الناس بما ألزموا به أنفسهم،و وجوب المضیّ معهم فی أحکامهم </w:t>
      </w:r>
      <w:r>
        <w:rPr>
          <w:rStyle w:val="FootnoteAnchor"/>
          <w:rtl w:val="true"/>
        </w:rPr>
        <w:footnoteReference w:id="13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یشهد به تشبیه بعضهم </w:t>
      </w:r>
      <w:r>
        <w:rPr>
          <w:rStyle w:val="FootnoteAnchor"/>
          <w:rtl w:val="true"/>
        </w:rPr>
        <w:footnoteReference w:id="1306"/>
      </w:r>
      <w:r>
        <w:rPr>
          <w:rFonts w:ascii="IRNazanin" w:hAnsi="IRNazanin" w:eastAsia="IRNazanin"/>
          <w:color w:val="111111"/>
          <w:sz w:val="28"/>
          <w:sz w:val="28"/>
          <w:szCs w:val="28"/>
          <w:rtl w:val="true"/>
          <w:lang w:bidi="fa-IR"/>
        </w:rPr>
        <w:t xml:space="preserve">ما نحن فیه باستیفاء الدین من الذمّی من ثمن </w:t>
      </w:r>
      <w:r>
        <w:rPr>
          <w:rStyle w:val="FootnoteAnchor"/>
          <w:rtl w:val="true"/>
        </w:rPr>
        <w:footnoteReference w:id="1307"/>
      </w:r>
      <w:r>
        <w:rPr>
          <w:rFonts w:ascii="IRNazanin" w:hAnsi="IRNazanin" w:eastAsia="IRNazanin"/>
          <w:color w:val="111111"/>
          <w:sz w:val="28"/>
          <w:sz w:val="28"/>
          <w:szCs w:val="28"/>
          <w:rtl w:val="true"/>
          <w:lang w:bidi="fa-IR"/>
        </w:rPr>
        <w:t>ما باعه من الخمر و الخنزیر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المسألة أعمّ من ذلک،و إنّما </w:t>
      </w:r>
      <w:r>
        <w:rPr>
          <w:rStyle w:val="FootnoteAnchor"/>
          <w:rtl w:val="true"/>
        </w:rPr>
        <w:footnoteReference w:id="1308"/>
      </w:r>
      <w:r>
        <w:rPr>
          <w:rFonts w:ascii="IRNazanin" w:hAnsi="IRNazanin" w:eastAsia="IRNazanin"/>
          <w:color w:val="111111"/>
          <w:sz w:val="28"/>
          <w:sz w:val="28"/>
          <w:szCs w:val="28"/>
          <w:rtl w:val="true"/>
          <w:lang w:bidi="fa-IR"/>
        </w:rPr>
        <w:t>الممضی فی ما نحن فیه تصرّف الجائر فی تلک الأراضی مطلقاً</w:t>
      </w:r>
      <w:r>
        <w:rPr>
          <w:rFonts w:eastAsia="IRNazanin" w:cs="IRNazanin"/>
          <w:color w:val="111111"/>
          <w:sz w:val="28"/>
          <w:szCs w:val="28"/>
          <w:rtl w:val="true"/>
          <w:lang w:bidi="fa-IR"/>
        </w:rPr>
        <w:t>.</w:t>
      </w:r>
      <w:bookmarkStart w:id="222" w:name="pg19674_191731"/>
    </w:p>
    <w:p>
      <w:pPr>
        <w:pStyle w:val="Heading6"/>
        <w:numPr>
          <w:ilvl w:val="5"/>
          <w:numId w:val="1"/>
        </w:numPr>
        <w:rPr/>
      </w:pPr>
      <w:bookmarkStart w:id="223" w:name="__RefHeading___Toc5027820_2314609296"/>
      <w:bookmarkStart w:id="224" w:name="_Toc86"/>
      <w:bookmarkEnd w:id="222"/>
      <w:bookmarkEnd w:id="223"/>
      <w:r>
        <w:rPr>
          <w:rtl w:val="true"/>
        </w:rPr>
        <w:t>السادس لیس للخراج قدر معیّن،</w:t>
      </w:r>
      <w:bookmarkEnd w:id="224"/>
    </w:p>
    <w:p>
      <w:pPr>
        <w:pStyle w:val="BookText"/>
        <w:rPr/>
      </w:pPr>
      <w:r>
        <w:rPr>
          <w:rFonts w:ascii="IRNazanin" w:hAnsi="IRNazanin" w:eastAsia="IRNazanin"/>
          <w:color w:val="111111"/>
          <w:sz w:val="28"/>
          <w:sz w:val="28"/>
          <w:szCs w:val="28"/>
          <w:rtl w:val="true"/>
          <w:lang w:bidi="fa-IR"/>
        </w:rPr>
        <w:t xml:space="preserve">بل المناط فیه ما تراضی فیه السلطان و مستعمل الأرض؛لأنّ الخراج هی أُجرة الأرض،فینوط </w:t>
      </w:r>
      <w:r>
        <w:rPr>
          <w:rStyle w:val="FootnoteAnchor"/>
          <w:rtl w:val="true"/>
        </w:rPr>
        <w:footnoteReference w:id="1309"/>
      </w:r>
      <w:r>
        <w:rPr>
          <w:rFonts w:ascii="IRNazanin" w:hAnsi="IRNazanin" w:eastAsia="IRNazanin"/>
          <w:color w:val="111111"/>
          <w:sz w:val="28"/>
          <w:sz w:val="28"/>
          <w:szCs w:val="28"/>
          <w:rtl w:val="true"/>
          <w:lang w:bidi="fa-IR"/>
        </w:rPr>
        <w:t>برضی المؤجر 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استعمل أحدٌ الأرض قبل تعیین الأُجرة تعیَّن علیه اجرة المثل،و هی مضبوطة عند أهل الخبرة،و أمّا قبل العمل فهو تابع لما یقع التراضی علیه،و نسب ما ذکرناه إلی ظاهر الأصحاب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قول أبی الحسن علیه السلام فی مرسلة حمّاد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التی أُخذت عَنوَة بخیل و رکاب،فهی موقوفة متروکة فی ید من یعمرها و یحییها علی صلح ما یصالحهم الوالی علی قدر طاقتهم من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النصف،أو الثلث،أو الثلثان،علی قدر ما یکون لهم صالحاً و لا یضرّ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جعل </w:t>
      </w:r>
      <w:r>
        <w:rPr>
          <w:rStyle w:val="FootnoteAnchor"/>
          <w:rtl w:val="true"/>
        </w:rPr>
        <w:footnoteReference w:id="1312"/>
      </w:r>
      <w:r>
        <w:rPr>
          <w:rFonts w:ascii="IRNazanin" w:hAnsi="IRNazanin" w:eastAsia="IRNazanin"/>
          <w:color w:val="111111"/>
          <w:sz w:val="28"/>
          <w:sz w:val="28"/>
          <w:szCs w:val="28"/>
          <w:rtl w:val="true"/>
          <w:lang w:bidi="fa-IR"/>
        </w:rPr>
        <w:t xml:space="preserve">علیهم من </w:t>
      </w:r>
      <w:r>
        <w:rPr>
          <w:rStyle w:val="FootnoteAnchor"/>
          <w:rtl w:val="true"/>
        </w:rPr>
        <w:footnoteReference w:id="1313"/>
      </w:r>
      <w:r>
        <w:rPr>
          <w:rFonts w:ascii="Amiri" w:hAnsi="Amiri" w:eastAsia="Amiri" w:cs="Amiri"/>
          <w:color w:val="111111"/>
          <w:sz w:val="28"/>
          <w:sz w:val="28"/>
          <w:szCs w:val="28"/>
          <w:rtl w:val="true"/>
          <w:lang w:bidi="ar-SA"/>
        </w:rPr>
        <w:t>الخراج أو المقاسمة</w:t>
      </w:r>
    </w:p>
    <w:p>
      <w:pPr>
        <w:pStyle w:val="BookText"/>
        <w:rPr/>
      </w:pPr>
      <w:r>
        <w:rPr>
          <w:rFonts w:ascii="IRNazanin" w:hAnsi="IRNazanin" w:eastAsia="IRNazanin"/>
          <w:color w:val="111111"/>
          <w:sz w:val="28"/>
          <w:sz w:val="28"/>
          <w:szCs w:val="28"/>
          <w:rtl w:val="true"/>
          <w:lang w:bidi="fa-IR"/>
        </w:rPr>
        <w:t xml:space="preserve">ما یضرّ بهم لم یجز ذلک،کالذی یؤخذ من بعض مزارعی </w:t>
      </w:r>
      <w:r>
        <w:rPr>
          <w:rStyle w:val="FootnoteAnchor"/>
          <w:rtl w:val="true"/>
        </w:rPr>
        <w:footnoteReference w:id="1314"/>
      </w:r>
      <w:r>
        <w:rPr>
          <w:rFonts w:ascii="IRNazanin" w:hAnsi="IRNazanin" w:eastAsia="IRNazanin"/>
          <w:color w:val="111111"/>
          <w:sz w:val="28"/>
          <w:sz w:val="28"/>
          <w:szCs w:val="28"/>
          <w:rtl w:val="true"/>
          <w:lang w:bidi="fa-IR"/>
        </w:rPr>
        <w:t xml:space="preserve">بعض بلادنا،بحیث لا یختار الزارع الزراعة من کثرة الخراج،فیجبرونه علی الزراعة،و حینئذٍ ففی حرمة کلّ ما یؤخذ أو المقدار الزائد علی ما تضرّ </w:t>
      </w:r>
      <w:r>
        <w:rPr>
          <w:rStyle w:val="FootnoteAnchor"/>
          <w:rtl w:val="true"/>
        </w:rPr>
        <w:footnoteReference w:id="1315"/>
      </w:r>
      <w:r>
        <w:rPr>
          <w:rFonts w:ascii="IRNazanin" w:hAnsi="IRNazanin" w:eastAsia="IRNazanin"/>
          <w:color w:val="111111"/>
          <w:sz w:val="28"/>
          <w:sz w:val="28"/>
          <w:szCs w:val="28"/>
          <w:rtl w:val="true"/>
          <w:lang w:bidi="fa-IR"/>
        </w:rPr>
        <w:t>الزیادة علیه،وجهان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w:t>
      </w:r>
      <w:r>
        <w:rPr>
          <w:rStyle w:val="FootnoteAnchor"/>
          <w:rtl w:val="true"/>
        </w:rPr>
        <w:footnoteReference w:id="1316"/>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أن لا یزید علی ما کان یأخذه المتولّی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مستعمل الأرض بالزرع و الغرس إن کان مختاراً فی استعمالها فمقاطعة الخراج و المقاسمة باختیاره و اختیار الجائر،فإذا تراضیا علی شیءٍ فهو الحقّ،قلیلاً کان أو کثیراً،و إن کان لا بدّ له من استعمال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کانت مزرعة له مدّة سنین </w:t>
      </w:r>
      <w:r>
        <w:rPr>
          <w:rStyle w:val="FootnoteAnchor"/>
          <w:rtl w:val="true"/>
        </w:rPr>
        <w:footnoteReference w:id="1317"/>
      </w:r>
      <w:r>
        <w:rPr>
          <w:rFonts w:ascii="IRNazanin" w:hAnsi="IRNazanin" w:eastAsia="IRNazanin"/>
          <w:color w:val="111111"/>
          <w:sz w:val="28"/>
          <w:sz w:val="28"/>
          <w:szCs w:val="28"/>
          <w:rtl w:val="true"/>
          <w:lang w:bidi="fa-IR"/>
        </w:rPr>
        <w:t>و یتضرّر بالارتحال عن تلک القریة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فالمناط ما ذکر فی المرسلة،من عدم کون المضروب علیهم مضرّاً،بأن لا یبقی لهم بعد أداء الخراج ما یکون بإزاء ما أنفقوا علی الزرع من المال،و بذلوا له من أبدانهم الأعمال</w:t>
      </w:r>
      <w:r>
        <w:rPr>
          <w:rFonts w:eastAsia="IRNazanin" w:cs="IRNazanin"/>
          <w:color w:val="111111"/>
          <w:sz w:val="28"/>
          <w:szCs w:val="28"/>
          <w:rtl w:val="true"/>
          <w:lang w:bidi="fa-IR"/>
        </w:rPr>
        <w:t>.</w:t>
      </w:r>
      <w:bookmarkStart w:id="225" w:name="pg19674_191733"/>
    </w:p>
    <w:p>
      <w:pPr>
        <w:pStyle w:val="Heading6"/>
        <w:numPr>
          <w:ilvl w:val="5"/>
          <w:numId w:val="1"/>
        </w:numPr>
        <w:rPr/>
      </w:pPr>
      <w:bookmarkStart w:id="226" w:name="__RefHeading___Toc5027822_2314609296"/>
      <w:bookmarkStart w:id="227" w:name="_Toc87"/>
      <w:bookmarkEnd w:id="225"/>
      <w:bookmarkEnd w:id="226"/>
      <w:r>
        <w:rPr>
          <w:rtl w:val="true"/>
        </w:rPr>
        <w:t>السابع ظاهر إطلاق الأصحاب</w:t>
      </w:r>
      <w:r>
        <w:rPr>
          <w:rtl w:val="true"/>
        </w:rPr>
        <w:t>:</w:t>
      </w:r>
      <w:r>
        <w:rPr>
          <w:rtl w:val="true"/>
        </w:rPr>
        <w:t>أنّه لا یشترط فی مَن یصل إلیه الخراج أو الزکاة من السلطان علی وجه الهدیّة،</w:t>
      </w:r>
      <w:bookmarkEnd w:id="227"/>
    </w:p>
    <w:p>
      <w:pPr>
        <w:pStyle w:val="BookText"/>
        <w:rPr/>
      </w:pPr>
      <w:r>
        <w:rPr>
          <w:rFonts w:ascii="IRNazanin" w:hAnsi="IRNazanin" w:eastAsia="IRNazanin"/>
          <w:color w:val="111111"/>
          <w:sz w:val="28"/>
          <w:sz w:val="28"/>
          <w:szCs w:val="28"/>
          <w:rtl w:val="true"/>
          <w:lang w:bidi="fa-IR"/>
        </w:rPr>
        <w:t xml:space="preserve">أو یقطعه الأرض الخراجیة إقطاعاً،أن یکون مستحقّاً له،و نسبه الکرکی رحمه اللّه فی رسالته </w:t>
      </w:r>
      <w:r>
        <w:rPr>
          <w:rStyle w:val="FootnoteAnchor"/>
          <w:rtl w:val="true"/>
        </w:rPr>
        <w:footnoteReference w:id="1318"/>
      </w:r>
      <w:r>
        <w:rPr>
          <w:rFonts w:ascii="IRNazanin" w:hAnsi="IRNazanin" w:eastAsia="IRNazanin"/>
          <w:color w:val="111111"/>
          <w:sz w:val="28"/>
          <w:sz w:val="28"/>
          <w:szCs w:val="28"/>
          <w:rtl w:val="true"/>
          <w:lang w:bidi="fa-IR"/>
        </w:rPr>
        <w:t xml:space="preserve">إلی إطلاق الأخبار و الأصحاب،و لعلّه أراد إطلاق ما دلّ علی حِلّ جوائز السلطان و عمّاله </w:t>
      </w:r>
      <w:r>
        <w:rPr>
          <w:rStyle w:val="FootnoteAnchor"/>
          <w:rtl w:val="true"/>
        </w:rPr>
        <w:footnoteReference w:id="1319"/>
      </w:r>
      <w:r>
        <w:rPr>
          <w:rFonts w:ascii="IRNazanin" w:hAnsi="IRNazanin" w:eastAsia="IRNazanin"/>
          <w:color w:val="111111"/>
          <w:sz w:val="28"/>
          <w:sz w:val="28"/>
          <w:szCs w:val="28"/>
          <w:rtl w:val="true"/>
          <w:lang w:bidi="fa-IR"/>
        </w:rPr>
        <w:t xml:space="preserve">مع کونها غالباً من بیت المال،و إلّا فما استدلّوا به لأصل المسألة إنّما هی الأخبار الواردة فی جواز ابتیاع الخراج و المقاسمة و الزکاة </w:t>
      </w:r>
      <w:r>
        <w:rPr>
          <w:rStyle w:val="FootnoteAnchor"/>
          <w:rtl w:val="true"/>
        </w:rPr>
        <w:footnoteReference w:id="1320"/>
      </w:r>
      <w:r>
        <w:rPr>
          <w:rFonts w:ascii="Amiri" w:hAnsi="Amiri" w:eastAsia="Amiri" w:cs="Amiri"/>
          <w:color w:val="111111"/>
          <w:sz w:val="28"/>
          <w:sz w:val="28"/>
          <w:szCs w:val="28"/>
          <w:rtl w:val="true"/>
          <w:lang w:bidi="ar-SA"/>
        </w:rPr>
        <w:t xml:space="preserve">،و الواردة فی حِلّ تقبّل </w:t>
      </w:r>
      <w:r>
        <w:rPr>
          <w:rStyle w:val="FootnoteAnchor"/>
          <w:rtl w:val="true"/>
        </w:rPr>
        <w:footnoteReference w:id="1321"/>
      </w:r>
      <w:r>
        <w:rPr>
          <w:rFonts w:ascii="IRNazanin" w:hAnsi="IRNazanin" w:eastAsia="IRNazanin"/>
          <w:color w:val="111111"/>
          <w:sz w:val="28"/>
          <w:sz w:val="28"/>
          <w:szCs w:val="28"/>
          <w:rtl w:val="true"/>
          <w:lang w:bidi="fa-IR"/>
        </w:rPr>
        <w:t xml:space="preserve">الأرض الخراجیّة من السلطان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عدم اشتراط کون المشتری و المتقبّل مستحقّاً لشیءٍ من بیت المال،و لم یرد خبر فی حِلّ ما یهبه السلطان من الخراج حتّی یتمسّک بإطلاقه عدا أخبار جوائز السلطان،مع أنّ تلک الأخبار واردة أیضاً فی أشخاص خاصة،فیحتمل کونهم ذوی حصص من بیت المال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بنفوذ تصرّف الجائر علی الإطلاق فی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البذل و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کنفوذ تصرّفه علی الإطلاق فیه بالقبض و الأخذ و المعاملة علیه،مشکل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الحضرمی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ابن أبی سماک أن یبعث إلیک بعطائک،أما علم أنّ لک نصیباً من بیت المال</w:t>
      </w:r>
      <w:r>
        <w:rPr>
          <w:rFonts w:eastAsia="IRNazanin" w:cs="IRNazanin"/>
          <w:color w:val="111111"/>
          <w:sz w:val="28"/>
          <w:szCs w:val="28"/>
          <w:rtl w:val="true"/>
          <w:lang w:bidi="fa-IR"/>
        </w:rPr>
        <w:t xml:space="preserve">» </w:t>
      </w:r>
      <w:r>
        <w:rPr>
          <w:rStyle w:val="FootnoteAnchor"/>
          <w:rtl w:val="true"/>
        </w:rPr>
        <w:footnoteReference w:id="1323"/>
      </w:r>
      <w:r>
        <w:rPr>
          <w:rFonts w:ascii="Amiri" w:hAnsi="Amiri" w:eastAsia="Amiri" w:cs="Amiri"/>
          <w:color w:val="111111"/>
          <w:sz w:val="28"/>
          <w:sz w:val="28"/>
          <w:szCs w:val="28"/>
          <w:rtl w:val="true"/>
          <w:lang w:bidi="ar-SA"/>
        </w:rPr>
        <w:t>،فإنّما یدلّ علی أنّ کلَّ مَن له نصیب فی بیت المال یجوز له الأخذ،لا أنّ کلّ مَن لا نصیب له لا یجوز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تعلیل العلّامة قدّس سرّه فیما تقدّم من دلیله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الخراج حقّ للّه أخذه غیر مستحقّه </w:t>
      </w:r>
      <w:r>
        <w:rPr>
          <w:rStyle w:val="FootnoteAnchor"/>
          <w:rtl w:val="true"/>
        </w:rPr>
        <w:footnoteReference w:id="1324"/>
      </w:r>
      <w:r>
        <w:rPr>
          <w:rFonts w:ascii="IRNazanin" w:hAnsi="IRNazanin" w:eastAsia="IRNazanin"/>
          <w:color w:val="111111"/>
          <w:sz w:val="28"/>
          <w:sz w:val="28"/>
          <w:szCs w:val="28"/>
          <w:rtl w:val="true"/>
          <w:lang w:bidi="fa-IR"/>
        </w:rPr>
        <w:t>فإنّ هذا لا ینافی إمضاء الشارع لبذل الجائر إیّاه کیف شاء،کما أنّ للإمام علیه السلام أن یتصرّف فی بیت المال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فالاستشهاد بالتعلیل المذکور فی </w:t>
      </w:r>
      <w:r>
        <w:rPr>
          <w:rStyle w:val="FootnoteAnchor"/>
          <w:rtl w:val="true"/>
        </w:rPr>
        <w:footnoteReference w:id="1325"/>
      </w:r>
      <w:r>
        <w:rPr>
          <w:rFonts w:ascii="IRNazanin" w:hAnsi="IRNazanin" w:eastAsia="IRNazanin"/>
          <w:color w:val="111111"/>
          <w:sz w:val="28"/>
          <w:sz w:val="28"/>
          <w:szCs w:val="28"/>
          <w:rtl w:val="true"/>
          <w:lang w:bidi="fa-IR"/>
        </w:rPr>
        <w:t xml:space="preserve">الروایة المذکورة </w:t>
      </w:r>
      <w:r>
        <w:rPr>
          <w:rStyle w:val="FootnoteAnchor"/>
          <w:rtl w:val="true"/>
        </w:rPr>
        <w:footnoteReference w:id="1326"/>
      </w:r>
      <w:r>
        <w:rPr>
          <w:rFonts w:ascii="IRNazanin" w:hAnsi="IRNazanin" w:eastAsia="IRNazanin"/>
          <w:color w:val="111111"/>
          <w:sz w:val="28"/>
          <w:sz w:val="28"/>
          <w:szCs w:val="28"/>
          <w:rtl w:val="true"/>
          <w:lang w:bidi="fa-IR"/>
        </w:rPr>
        <w:t xml:space="preserve">،و المذکور </w:t>
      </w:r>
      <w:r>
        <w:rPr>
          <w:rStyle w:val="FootnoteAnchor"/>
          <w:rtl w:val="true"/>
        </w:rPr>
        <w:footnoteReference w:id="1327"/>
      </w:r>
      <w:r>
        <w:rPr>
          <w:rFonts w:ascii="IRNazanin" w:hAnsi="IRNazanin" w:eastAsia="IRNazanin"/>
          <w:color w:val="111111"/>
          <w:sz w:val="28"/>
          <w:sz w:val="28"/>
          <w:szCs w:val="28"/>
          <w:rtl w:val="true"/>
          <w:lang w:bidi="fa-IR"/>
        </w:rPr>
        <w:t xml:space="preserve">فی کلام العلّامة رحمه اللّه علی اعتبار استحقاق الآخذ لشیء </w:t>
      </w:r>
      <w:r>
        <w:rPr>
          <w:rStyle w:val="FootnoteAnchor"/>
          <w:rtl w:val="true"/>
        </w:rPr>
        <w:footnoteReference w:id="1328"/>
      </w:r>
      <w:r>
        <w:rPr>
          <w:rFonts w:ascii="IRNazanin" w:hAnsi="IRNazanin" w:eastAsia="IRNazanin"/>
          <w:color w:val="111111"/>
          <w:sz w:val="28"/>
          <w:sz w:val="28"/>
          <w:szCs w:val="28"/>
          <w:rtl w:val="true"/>
          <w:lang w:bidi="fa-IR"/>
        </w:rPr>
        <w:t xml:space="preserve">من بیت المال،کما فی الرسالة الخراجیّة </w:t>
      </w:r>
      <w:r>
        <w:rPr>
          <w:rStyle w:val="FootnoteAnchor"/>
          <w:rtl w:val="true"/>
        </w:rPr>
        <w:footnoteReference w:id="1329"/>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أشکل من ذلک تحلیل الزکاة المأخوذة منه لکلّ أحد،کما هو</w:t>
      </w:r>
    </w:p>
    <w:p>
      <w:pPr>
        <w:pStyle w:val="BookText"/>
        <w:rPr/>
      </w:pPr>
      <w:r>
        <w:rPr>
          <w:rFonts w:ascii="IRNazanin" w:hAnsi="IRNazanin" w:eastAsia="IRNazanin"/>
          <w:color w:val="111111"/>
          <w:sz w:val="28"/>
          <w:sz w:val="28"/>
          <w:szCs w:val="28"/>
          <w:rtl w:val="true"/>
          <w:lang w:bidi="fa-IR"/>
        </w:rPr>
        <w:t xml:space="preserve">ظاهر إطلاقهم </w:t>
      </w:r>
      <w:r>
        <w:rPr>
          <w:rStyle w:val="FootnoteAnchor"/>
          <w:rtl w:val="true"/>
        </w:rPr>
        <w:footnoteReference w:id="1330"/>
      </w:r>
      <w:r>
        <w:rPr>
          <w:rFonts w:ascii="IRNazanin" w:hAnsi="IRNazanin" w:eastAsia="IRNazanin"/>
          <w:color w:val="111111"/>
          <w:sz w:val="28"/>
          <w:sz w:val="28"/>
          <w:szCs w:val="28"/>
          <w:rtl w:val="true"/>
          <w:lang w:bidi="fa-IR"/>
        </w:rPr>
        <w:t>القول بحلّ اتهاب ما یؤخذ باسم الزکاة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یشترط أن یکون صرفه لها علی وجهها </w:t>
      </w:r>
      <w:r>
        <w:rPr>
          <w:rStyle w:val="FootnoteAnchor"/>
          <w:rtl w:val="true"/>
        </w:rPr>
        <w:footnoteReference w:id="1331"/>
      </w:r>
      <w:r>
        <w:rPr>
          <w:rFonts w:ascii="IRNazanin" w:hAnsi="IRNazanin" w:eastAsia="IRNazanin"/>
          <w:color w:val="111111"/>
          <w:sz w:val="28"/>
          <w:sz w:val="28"/>
          <w:szCs w:val="28"/>
          <w:rtl w:val="true"/>
          <w:lang w:bidi="fa-IR"/>
        </w:rPr>
        <w:t xml:space="preserve">المعتبر عندهم،بحیث لا یعدّ عندهم غاصباً </w:t>
      </w:r>
      <w:r>
        <w:rPr>
          <w:rStyle w:val="FootnoteAnchor"/>
          <w:rtl w:val="true"/>
        </w:rPr>
        <w:footnoteReference w:id="1332"/>
      </w:r>
      <w:r>
        <w:rPr>
          <w:rFonts w:ascii="IRNazanin" w:hAnsi="IRNazanin" w:eastAsia="IRNazanin"/>
          <w:color w:val="111111"/>
          <w:sz w:val="28"/>
          <w:sz w:val="28"/>
          <w:szCs w:val="28"/>
          <w:rtl w:val="true"/>
          <w:lang w:bidi="fa-IR"/>
        </w:rPr>
        <w:t xml:space="preserve">إذ </w:t>
      </w:r>
      <w:r>
        <w:rPr>
          <w:rStyle w:val="FootnoteAnchor"/>
          <w:rtl w:val="true"/>
        </w:rPr>
        <w:footnoteReference w:id="1333"/>
      </w:r>
      <w:r>
        <w:rPr>
          <w:rFonts w:ascii="IRNazanin" w:hAnsi="IRNazanin" w:eastAsia="IRNazanin"/>
          <w:color w:val="111111"/>
          <w:sz w:val="28"/>
          <w:sz w:val="28"/>
          <w:szCs w:val="28"/>
          <w:rtl w:val="true"/>
          <w:lang w:bidi="fa-IR"/>
        </w:rPr>
        <w:t>یمتنع الأخذ منه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الجواز مطلقاً؛نظراً إلی إطلاق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w:t>
      </w:r>
      <w:r>
        <w:rPr>
          <w:rStyle w:val="FootnoteAnchor"/>
          <w:rtl w:val="true"/>
        </w:rPr>
        <w:footnoteReference w:id="1334"/>
      </w:r>
      <w:r>
        <w:rPr>
          <w:rFonts w:ascii="IRNazanin" w:hAnsi="IRNazanin" w:eastAsia="IRNazanin"/>
          <w:color w:val="111111"/>
          <w:sz w:val="28"/>
          <w:sz w:val="28"/>
          <w:szCs w:val="28"/>
          <w:rtl w:val="true"/>
          <w:lang w:bidi="fa-IR"/>
        </w:rPr>
        <w:t xml:space="preserve">مثله فی المقاسمة و الخراج؛فإنّ مصرفهما </w:t>
      </w:r>
      <w:r>
        <w:rPr>
          <w:rStyle w:val="FootnoteAnchor"/>
          <w:rtl w:val="true"/>
        </w:rPr>
        <w:footnoteReference w:id="1335"/>
      </w:r>
      <w:r>
        <w:rPr>
          <w:rFonts w:ascii="IRNazanin" w:hAnsi="IRNazanin" w:eastAsia="IRNazanin"/>
          <w:color w:val="111111"/>
          <w:sz w:val="28"/>
          <w:sz w:val="28"/>
          <w:szCs w:val="28"/>
          <w:rtl w:val="true"/>
          <w:lang w:bidi="fa-IR"/>
        </w:rPr>
        <w:t xml:space="preserve">بیت المال،و له أرباب مخصوصون عندهم أیضاً </w:t>
      </w:r>
      <w:r>
        <w:rPr>
          <w:rStyle w:val="FootnoteAnchor"/>
          <w:rtl w:val="true"/>
        </w:rPr>
        <w:footnoteReference w:id="13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28" w:name="pg19674_191736"/>
    </w:p>
    <w:p>
      <w:pPr>
        <w:pStyle w:val="Heading6"/>
        <w:numPr>
          <w:ilvl w:val="5"/>
          <w:numId w:val="1"/>
        </w:numPr>
        <w:rPr/>
      </w:pPr>
      <w:bookmarkStart w:id="229" w:name="__RefHeading___Toc5027824_2314609296"/>
      <w:bookmarkStart w:id="230" w:name="_Toc88"/>
      <w:bookmarkEnd w:id="228"/>
      <w:bookmarkEnd w:id="229"/>
      <w:r>
        <w:rPr>
          <w:rtl w:val="true"/>
        </w:rPr>
        <w:t>الثامن أنّ کون الأرض خراجیة</w:t>
      </w:r>
      <w:bookmarkEnd w:id="230"/>
    </w:p>
    <w:p>
      <w:pPr>
        <w:pStyle w:val="BookText"/>
        <w:rPr/>
      </w:pPr>
      <w:r>
        <w:rPr>
          <w:rFonts w:ascii="IRNazanin" w:hAnsi="IRNazanin" w:eastAsia="IRNazanin"/>
          <w:color w:val="111111"/>
          <w:sz w:val="28"/>
          <w:sz w:val="28"/>
          <w:szCs w:val="28"/>
          <w:rtl w:val="true"/>
          <w:lang w:bidi="fa-IR"/>
        </w:rPr>
        <w:t xml:space="preserve">الثامن أنّ کون الأرض خراجیة </w:t>
      </w:r>
      <w:r>
        <w:rPr>
          <w:rStyle w:val="FootnoteAnchor"/>
          <w:rtl w:val="true"/>
        </w:rPr>
        <w:footnoteReference w:id="1337"/>
      </w:r>
      <w:r>
        <w:rPr>
          <w:rFonts w:ascii="IRNazanin" w:hAnsi="IRNazanin" w:eastAsia="IRNazanin"/>
          <w:color w:val="111111"/>
          <w:sz w:val="28"/>
          <w:sz w:val="28"/>
          <w:szCs w:val="28"/>
          <w:rtl w:val="true"/>
          <w:lang w:bidi="fa-IR"/>
        </w:rPr>
        <w:t>،بحیث یتعلّق بما یؤخذ منها ما تقدّم من أحکام الخراج و المقاسمة،یتوقّف علی أُمور ثلاثة</w:t>
      </w:r>
      <w:r>
        <w:rPr>
          <w:rFonts w:eastAsia="IRNazanin" w:cs="IRNazanin"/>
          <w:color w:val="111111"/>
          <w:sz w:val="28"/>
          <w:szCs w:val="28"/>
          <w:rtl w:val="true"/>
          <w:lang w:bidi="fa-IR"/>
        </w:rPr>
        <w:t>:</w:t>
      </w:r>
    </w:p>
    <w:p>
      <w:pPr>
        <w:pStyle w:val="Heading6"/>
        <w:numPr>
          <w:ilvl w:val="5"/>
          <w:numId w:val="1"/>
        </w:numPr>
        <w:rPr/>
      </w:pPr>
      <w:bookmarkStart w:id="231" w:name="__RefHeading___Toc5027826_2314609296"/>
      <w:bookmarkStart w:id="232" w:name="_Toc89"/>
      <w:bookmarkEnd w:id="231"/>
      <w:r>
        <w:rPr>
          <w:rtl w:val="true"/>
        </w:rPr>
        <w:t>الأوّل</w:t>
      </w:r>
      <w:r>
        <w:rPr>
          <w:rtl w:val="true"/>
        </w:rPr>
        <w:t>:</w:t>
      </w:r>
      <w:r>
        <w:rPr>
          <w:rtl w:val="true"/>
        </w:rPr>
        <w:t>کونها مفتوحةً عَنوَةً،أو صلحاً علی أن تکون</w:t>
      </w:r>
      <w:bookmarkEnd w:id="2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کونها مفتوحةً عَنوَةً،أو صلحاً علی أن تکون </w:t>
      </w:r>
      <w:r>
        <w:rPr>
          <w:rStyle w:val="FootnoteAnchor"/>
          <w:rtl w:val="true"/>
        </w:rPr>
        <w:footnoteReference w:id="1338"/>
      </w:r>
      <w:r>
        <w:rPr>
          <w:rFonts w:ascii="IRNazanin" w:hAnsi="IRNazanin" w:eastAsia="IRNazanin"/>
          <w:color w:val="111111"/>
          <w:sz w:val="28"/>
          <w:sz w:val="28"/>
          <w:szCs w:val="28"/>
          <w:rtl w:val="true"/>
          <w:lang w:bidi="fa-IR"/>
        </w:rPr>
        <w:t>الأرض للمسلمین؛</w:t>
      </w:r>
    </w:p>
    <w:p>
      <w:pPr>
        <w:pStyle w:val="BookText"/>
        <w:rPr/>
      </w:pPr>
      <w:r>
        <w:rPr>
          <w:rFonts w:ascii="IRNazanin" w:hAnsi="IRNazanin" w:eastAsia="IRNazanin"/>
          <w:color w:val="111111"/>
          <w:sz w:val="28"/>
          <w:sz w:val="28"/>
          <w:szCs w:val="28"/>
          <w:rtl w:val="true"/>
          <w:lang w:bidi="fa-IR"/>
        </w:rPr>
        <w:t xml:space="preserve">إذ ما عداهما </w:t>
      </w:r>
      <w:r>
        <w:rPr>
          <w:rStyle w:val="FootnoteAnchor"/>
          <w:rtl w:val="true"/>
        </w:rPr>
        <w:footnoteReference w:id="1339"/>
      </w:r>
      <w:r>
        <w:rPr>
          <w:rFonts w:ascii="IRNazanin" w:hAnsi="IRNazanin" w:eastAsia="IRNazanin"/>
          <w:color w:val="111111"/>
          <w:sz w:val="28"/>
          <w:sz w:val="28"/>
          <w:szCs w:val="28"/>
          <w:rtl w:val="true"/>
          <w:lang w:bidi="fa-IR"/>
        </w:rPr>
        <w:t>من الأرضین لا خراج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قلنا بأنّ حکم </w:t>
      </w:r>
      <w:r>
        <w:rPr>
          <w:rStyle w:val="FootnoteAnchor"/>
          <w:rtl w:val="true"/>
        </w:rPr>
        <w:footnoteReference w:id="1340"/>
      </w:r>
      <w:r>
        <w:rPr>
          <w:rFonts w:ascii="IRNazanin" w:hAnsi="IRNazanin" w:eastAsia="IRNazanin"/>
          <w:color w:val="111111"/>
          <w:sz w:val="28"/>
          <w:sz w:val="28"/>
          <w:szCs w:val="28"/>
          <w:rtl w:val="true"/>
          <w:lang w:bidi="fa-IR"/>
        </w:rPr>
        <w:t>ما یأخذه الجائر من الأنفال حکم ما یأخذه من أرض الخراج،دخل ما یثبت کونه من الأنفال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الفتح عَنوَة بالشیاع الموجب للعلم،و بشهادة عدلین، و بالشیاع المفید للظنّ المتاخم للعلم؛بناءً علی کفایته فی کلّ ما یعسر إقامة البیّنة علیه،کالنسب،و الوقف،و الملک المطلق،و أمّا ثبوتها بغیر ذلک من الأمارات الظنّیة حتّی قول من یوثق به من المؤرّخین فمحلّ إشکال؛لأنّ الأصل عدم الفتح عَنوَة،و عدم تملّک المسلمین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نعم،الأصل عدم تملّک غیرهم أیضاً،فإن فرض دخولها بذلک فی الأنفال و ألحقناها بأرض الخراج فی الحکم فهو،و إلّا فمقتضی القاعدة حرمة تناول ما یؤخذ قهراً من زرّاعها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الزرّاع فیجب علیهم</w:t>
      </w:r>
    </w:p>
    <w:p>
      <w:pPr>
        <w:pStyle w:val="BookText"/>
        <w:rPr/>
      </w:pPr>
      <w:r>
        <w:rPr>
          <w:rFonts w:ascii="IRNazanin" w:hAnsi="IRNazanin" w:eastAsia="IRNazanin"/>
          <w:color w:val="111111"/>
          <w:sz w:val="28"/>
          <w:sz w:val="28"/>
          <w:szCs w:val="28"/>
          <w:rtl w:val="true"/>
          <w:lang w:bidi="fa-IR"/>
        </w:rPr>
        <w:t>مراجعة حاکم الشرع،فیعمل فیها معهم علی طبق ما یقتضیه القواعد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مال الإمام علیه السلام،أو مجهول المالک،أو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بین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أرض العراق فتحت عَنوَة،و حکی ذلک عن التواریخ المعتبرة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بعض العامة أنّها فتحت صلحاً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دلّ علی کونها ملکاً للمسلمین یحتمل الأمرین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أبو عبد اللّه علیه السلام عن أرض السواد ما منزلته؟فقال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لجمیع المسلمین،لمن هو الیوم </w:t>
      </w:r>
      <w:r>
        <w:rPr>
          <w:rStyle w:val="FootnoteAnchor"/>
          <w:rtl w:val="true"/>
        </w:rPr>
        <w:footnoteReference w:id="1344"/>
      </w:r>
      <w:r>
        <w:rPr>
          <w:rFonts w:ascii="IRNazanin" w:hAnsi="IRNazanin" w:eastAsia="IRNazanin"/>
          <w:color w:val="111111"/>
          <w:sz w:val="28"/>
          <w:sz w:val="28"/>
          <w:szCs w:val="28"/>
          <w:rtl w:val="true"/>
          <w:lang w:bidi="fa-IR"/>
        </w:rPr>
        <w:t>،و لمن یدخل فی الإسلام بعد الیوم،و لمن لم یخلق بعد</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الربیع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من أرض السواد شیئاً إلّا مَن کانت له ذمّة،فإنّما هی فیء للمسلمین</w:t>
      </w:r>
      <w:r>
        <w:rPr>
          <w:rFonts w:eastAsia="IRNazanin" w:cs="IRNazanin"/>
          <w:color w:val="111111"/>
          <w:sz w:val="28"/>
          <w:szCs w:val="28"/>
          <w:rtl w:val="true"/>
          <w:lang w:bidi="fa-IR"/>
        </w:rPr>
        <w:t xml:space="preserve">»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صحیحة ابن الحجاج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هذه الأرض ممّا ذکر أو اشتهر </w:t>
      </w:r>
      <w:r>
        <w:rPr>
          <w:rStyle w:val="FootnoteAnchor"/>
          <w:rtl w:val="true"/>
        </w:rPr>
        <w:footnoteReference w:id="1348"/>
      </w:r>
      <w:r>
        <w:rPr>
          <w:rFonts w:ascii="Amiri" w:hAnsi="Amiri" w:eastAsia="Amiri" w:cs="Amiri"/>
          <w:color w:val="111111"/>
          <w:sz w:val="28"/>
          <w:sz w:val="28"/>
          <w:szCs w:val="28"/>
          <w:rtl w:val="true"/>
          <w:lang w:bidi="ar-SA"/>
        </w:rPr>
        <w:t>فتحها عَنوَة؛فإن</w:t>
      </w:r>
    </w:p>
    <w:p>
      <w:pPr>
        <w:pStyle w:val="BookText"/>
        <w:rPr/>
      </w:pPr>
      <w:r>
        <w:rPr>
          <w:rFonts w:ascii="IRNazanin" w:hAnsi="IRNazanin" w:eastAsia="IRNazanin"/>
          <w:color w:val="111111"/>
          <w:sz w:val="28"/>
          <w:sz w:val="28"/>
          <w:szCs w:val="28"/>
          <w:rtl w:val="true"/>
          <w:lang w:bidi="fa-IR"/>
        </w:rPr>
        <w:t xml:space="preserve">أخبر به عدلان </w:t>
      </w:r>
      <w:r>
        <w:rPr>
          <w:rStyle w:val="FootnoteAnchor"/>
          <w:rtl w:val="true"/>
        </w:rPr>
        <w:footnoteReference w:id="1349"/>
      </w:r>
      <w:r>
        <w:rPr>
          <w:rFonts w:ascii="IRNazanin" w:hAnsi="IRNazanin" w:eastAsia="IRNazanin"/>
          <w:color w:val="111111"/>
          <w:sz w:val="28"/>
          <w:sz w:val="28"/>
          <w:szCs w:val="28"/>
          <w:rtl w:val="true"/>
          <w:lang w:bidi="fa-IR"/>
        </w:rPr>
        <w:t>یحتمل حصول العلم لهما من السماع أو الظنّ المتاخم من الشیاع أخذ به،علی تأمّل فی الأخیر کما فی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فقد عرفت </w:t>
      </w:r>
      <w:r>
        <w:rPr>
          <w:rStyle w:val="FootnoteAnchor"/>
          <w:rtl w:val="true"/>
        </w:rPr>
        <w:footnoteReference w:id="1350"/>
      </w:r>
      <w:r>
        <w:rPr>
          <w:rFonts w:ascii="IRNazanin" w:hAnsi="IRNazanin" w:eastAsia="IRNazanin"/>
          <w:color w:val="111111"/>
          <w:sz w:val="28"/>
          <w:sz w:val="28"/>
          <w:szCs w:val="28"/>
          <w:rtl w:val="true"/>
          <w:lang w:bidi="fa-IR"/>
        </w:rPr>
        <w:t>الإشکال فی الاعتماد علی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بقول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قولهم فی المقام نظیر قول اللغوی فی اللغة و قول الطبیب و 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منه إثبات ذلک باستمرار السیرة علی أخذ الخراج من أرض،لأنّ ذلک إمّا من جهة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کشف السیرة عن ثبوت ذلک من الصدر الأوّل من غیر نکیر؛إذ لو کان شیئاً حادثاً لنقل فی کتب التواریخ؛لاعتناء أربابها بالمبتدعات و الحوادث </w:t>
      </w:r>
      <w:r>
        <w:rPr>
          <w:rStyle w:val="FootnoteAnchor"/>
          <w:rtl w:val="true"/>
        </w:rPr>
        <w:footnoteReference w:id="1351"/>
      </w:r>
      <w:r>
        <w:rPr>
          <w:rFonts w:ascii="IRNazanin" w:hAnsi="IRNazanin" w:eastAsia="IRNazanin"/>
          <w:color w:val="111111"/>
          <w:sz w:val="28"/>
          <w:sz w:val="28"/>
          <w:szCs w:val="28"/>
          <w:rtl w:val="true"/>
          <w:lang w:bidi="fa-IR"/>
        </w:rPr>
        <w:t>،و إمّا من جهة وجوب حمل تصرّف المسلمین و هو أخذهم الخراج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عدم التعرّض یحتمل کونه لأجل عدم اطّلاعهم الذی لا یدلّ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الأمارة </w:t>
      </w:r>
      <w:r>
        <w:rPr>
          <w:rStyle w:val="FootnoteAnchor"/>
          <w:rtl w:val="true"/>
        </w:rPr>
        <w:footnoteReference w:id="1352"/>
      </w:r>
      <w:r>
        <w:rPr>
          <w:rFonts w:ascii="IRNazanin" w:hAnsi="IRNazanin" w:eastAsia="IRNazanin"/>
          <w:color w:val="111111"/>
          <w:sz w:val="28"/>
          <w:sz w:val="28"/>
          <w:szCs w:val="28"/>
          <w:rtl w:val="true"/>
          <w:lang w:bidi="fa-IR"/>
        </w:rPr>
        <w:t xml:space="preserve">لیست </w:t>
      </w:r>
      <w:r>
        <w:rPr>
          <w:rStyle w:val="FootnoteAnchor"/>
          <w:rtl w:val="true"/>
        </w:rPr>
        <w:footnoteReference w:id="1353"/>
      </w:r>
      <w:r>
        <w:rPr>
          <w:rFonts w:ascii="IRNazanin" w:hAnsi="IRNazanin" w:eastAsia="IRNazanin"/>
          <w:color w:val="111111"/>
          <w:sz w:val="28"/>
          <w:sz w:val="28"/>
          <w:szCs w:val="28"/>
          <w:rtl w:val="true"/>
          <w:lang w:bidi="fa-IR"/>
        </w:rPr>
        <w:t>بأولی من تنصیص أهل التواریخ الذی عرفت حاله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بفعل المسلم تصرّف السلطان بأخذ الخراج،فلا ریب أنّ أخذه حرام و إن علم کون الأرض خراجیّة، فکونها کذلک لا یصحّح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أخذه الخراج من أرض الخراج أقلّ فساداً من أخذه من غیرها،توهّمٌ؛لأنّ مناط الحرمة فی المقامین واحد،و هو أخذ مال الغیر من غیر استحقاق،و اشتغال ذمّة المأخوذ منه بأُجرة الأرض الخراجیة و عدمه فی غیرها لا یهوّن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نعم،بینهما فرق من حیث الحکم المتعلّق بفعل غیر السلطان،و هو مَن یقع فی یده شیء من الخراج بمعاوضة أو تبرّع،فَیَحِلُّ فی الأرض الخراجیّة دون غیرها،مع أنّه لا دلیل علی وجوب حمل الفاسد علی الأقلّ فساداً إذا لم یتعدّد عنوان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دار الأمر بین الزنا مکرِهاً للمرأة،و بین الزنا برضائها؛حیث إنّ الظلم محرّم آخر غیر الزنا، بخلاف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أصالة الصحة لا تثبت الموضوع،و هو کون الأرض 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ترتّب آثار الأخذ الذی هو أقلّ فساداً،و هو حِلّ تناوله من الآخذ و إن لم یثبت کون الأرض خراجیّة بحیث یترتّب علیه الآثار الأُخر،مثل وجوب دفع أُجرة الأرض إلی حاکم الشرع لیصرفه فی المصالح إذا فرض عدم السلطان الجائر،و مثل حرمة التصرّف فیه من دون دفع أُجرة أصلاً،لا إلی الجائر و لا إلی حاکم الشرع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بفعل المسلم تصرّف المسلمین فیما یتناولونه من الجائر من خراج هذه الأرض،ففیه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عبرة بفعلهم إذا علمنا بأنّهم لا یعلمون حال هذه الأراضی،کما هو الغالب فی محلّ الکلام؛إذ نعلم بفساد تصرّفهم من جهة عدم إحراز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احتمل تقلیدهم لمن</w:t>
      </w:r>
      <w:bookmarkStart w:id="233" w:name="pg19674_191740"/>
    </w:p>
    <w:p>
      <w:pPr>
        <w:pStyle w:val="BookText"/>
        <w:rPr/>
      </w:pPr>
      <w:bookmarkEnd w:id="233"/>
      <w:r>
        <w:rPr>
          <w:rFonts w:ascii="IRNazanin" w:hAnsi="IRNazanin" w:eastAsia="IRNazanin"/>
          <w:color w:val="111111"/>
          <w:sz w:val="28"/>
          <w:sz w:val="28"/>
          <w:szCs w:val="28"/>
          <w:rtl w:val="true"/>
          <w:lang w:bidi="fa-IR"/>
        </w:rPr>
        <w:t xml:space="preserve">یری تلک </w:t>
      </w:r>
      <w:r>
        <w:rPr>
          <w:rStyle w:val="FootnoteAnchor"/>
          <w:rtl w:val="true"/>
        </w:rPr>
        <w:footnoteReference w:id="1354"/>
      </w:r>
      <w:r>
        <w:rPr>
          <w:rFonts w:ascii="IRNazanin" w:hAnsi="IRNazanin" w:eastAsia="IRNazanin"/>
          <w:color w:val="111111"/>
          <w:sz w:val="28"/>
          <w:sz w:val="28"/>
          <w:szCs w:val="28"/>
          <w:rtl w:val="true"/>
          <w:lang w:bidi="fa-IR"/>
        </w:rPr>
        <w:t xml:space="preserve">الأرض خراجیّة </w:t>
      </w:r>
      <w:r>
        <w:rPr>
          <w:rStyle w:val="FootnoteAnchor"/>
          <w:rtl w:val="true"/>
        </w:rPr>
        <w:footnoteReference w:id="1355"/>
      </w:r>
      <w:r>
        <w:rPr>
          <w:rFonts w:ascii="IRNazanin" w:hAnsi="IRNazanin" w:eastAsia="IRNazanin"/>
          <w:color w:val="111111"/>
          <w:sz w:val="28"/>
          <w:sz w:val="28"/>
          <w:szCs w:val="28"/>
          <w:rtl w:val="true"/>
          <w:lang w:bidi="fa-IR"/>
        </w:rPr>
        <w:t>لم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احتمال علمهم بکونها خراجیّة کان اللازم من ذلک جواز التناول من أیدیهم لا من ید السلطان،کما لا یخفی</w:t>
      </w:r>
      <w:r>
        <w:rPr>
          <w:rFonts w:eastAsia="IRNazanin" w:cs="IRNazanin"/>
          <w:color w:val="111111"/>
          <w:sz w:val="28"/>
          <w:szCs w:val="28"/>
          <w:rtl w:val="true"/>
          <w:lang w:bidi="fa-IR"/>
        </w:rPr>
        <w:t>.</w:t>
      </w:r>
    </w:p>
    <w:p>
      <w:pPr>
        <w:pStyle w:val="Heading6"/>
        <w:numPr>
          <w:ilvl w:val="5"/>
          <w:numId w:val="1"/>
        </w:numPr>
        <w:rPr/>
      </w:pPr>
      <w:bookmarkStart w:id="234" w:name="__RefHeading___Toc5027828_2314609296"/>
      <w:bookmarkStart w:id="235" w:name="_Toc90"/>
      <w:bookmarkEnd w:id="234"/>
      <w:r>
        <w:rPr>
          <w:rtl w:val="true"/>
        </w:rPr>
        <w:t>الثانی</w:t>
      </w:r>
      <w:r>
        <w:rPr>
          <w:rtl w:val="true"/>
        </w:rPr>
        <w:t>:</w:t>
      </w:r>
      <w:r>
        <w:rPr>
          <w:rtl w:val="true"/>
        </w:rPr>
        <w:t>أن یکون الفتح بإذن الإمام علیه السلام،</w:t>
      </w:r>
      <w:bookmarkEnd w:id="235"/>
    </w:p>
    <w:p>
      <w:pPr>
        <w:pStyle w:val="BookText"/>
        <w:rPr/>
      </w:pPr>
      <w:r>
        <w:rPr>
          <w:rFonts w:ascii="IRNazanin" w:hAnsi="IRNazanin" w:eastAsia="IRNazanin"/>
          <w:color w:val="111111"/>
          <w:sz w:val="28"/>
          <w:sz w:val="28"/>
          <w:szCs w:val="28"/>
          <w:rtl w:val="true"/>
          <w:lang w:bidi="fa-IR"/>
        </w:rPr>
        <w:t>و إلّا کان المفتوح مال الإمام علیه السلام؛بناءً علی المشهور،بل عن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کاد یکون إجماعاً </w:t>
      </w:r>
      <w:r>
        <w:rPr>
          <w:rStyle w:val="FootnoteAnchor"/>
          <w:rtl w:val="true"/>
        </w:rPr>
        <w:footnoteReference w:id="1356"/>
      </w:r>
      <w:r>
        <w:rPr>
          <w:rFonts w:ascii="IRNazanin" w:hAnsi="IRNazanin" w:eastAsia="IRNazanin"/>
          <w:color w:val="111111"/>
          <w:sz w:val="28"/>
          <w:sz w:val="28"/>
          <w:szCs w:val="28"/>
          <w:rtl w:val="true"/>
          <w:lang w:bidi="fa-IR"/>
        </w:rPr>
        <w:t>،و نسبه فی المبسوط إلی روایة أصحابنا،و هی مرسلة العبّاس الورّاق،و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غزی قوم بغیر إذن الإمام فغنموا کانت الغنیمة کلّها </w:t>
      </w:r>
      <w:r>
        <w:rPr>
          <w:rStyle w:val="FootnoteAnchor"/>
          <w:rtl w:val="true"/>
        </w:rPr>
        <w:footnoteReference w:id="1357"/>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الروایة یکون جمیع ما فتحت بعد النبی صلّی الله علیه و آله و سلم إلّا ما فتحت فی زمان الوصیّ علیه السلام من مال الإمام علیه السلام</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فیبتنی حلّ المأخوذ منها خراجاً علی ما تقدّم من حِلّ الخراج المأخوذ من الأنفال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أرض العراق مفتوحة بالإذن کما یکشف عن ذلک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علی أنّها للمسلمین </w:t>
      </w:r>
      <w:r>
        <w:rPr>
          <w:rStyle w:val="FootnoteAnchor"/>
          <w:rtl w:val="true"/>
        </w:rPr>
        <w:footnoteReference w:id="1361"/>
      </w:r>
      <w:r>
        <w:rPr>
          <w:rFonts w:ascii="IRNazanin" w:hAnsi="IRNazanin" w:eastAsia="IRNazanin"/>
          <w:color w:val="111111"/>
          <w:sz w:val="28"/>
          <w:sz w:val="28"/>
          <w:szCs w:val="28"/>
          <w:rtl w:val="true"/>
          <w:lang w:bidi="fa-IR"/>
        </w:rPr>
        <w:t>،و أمّا غیرها ممّا فتحت فی زمان خلافة الثانی،و هی أغلب ما فتحت،فظاهر بعض الأخبار کون ذلک أیضاً بإذن مولانا أمیر المؤمنین علیه السلام و أمره،ففی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أبواب السبعة،فی باب أنّ اللّه تعالی یمتحن أوصیاء الأنبیاء فی حیاة الأنبیاء فی سبعة مواطن،و بعد وفاتهم فی سبعة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و شیخه،عن سعد بن عبد اللّه،عن أحمد بن الحسین بن سعید،عن جعفر بن محمد النوفلی،عن یعقوب بن الرائد </w:t>
      </w:r>
      <w:r>
        <w:rPr>
          <w:rStyle w:val="FootnoteAnchor"/>
          <w:rtl w:val="true"/>
        </w:rPr>
        <w:footnoteReference w:id="1362"/>
      </w:r>
      <w:r>
        <w:rPr>
          <w:rFonts w:ascii="IRNazanin" w:hAnsi="IRNazanin" w:eastAsia="IRNazanin"/>
          <w:color w:val="111111"/>
          <w:sz w:val="28"/>
          <w:sz w:val="28"/>
          <w:szCs w:val="28"/>
          <w:rtl w:val="true"/>
          <w:lang w:bidi="fa-IR"/>
        </w:rPr>
        <w:t xml:space="preserve">،عن أبی عبد اللّه جعفر بن أحمد بن محمد بن عیسی بن محمد بن علی بن عبد اللّه بن جعفر بن أبی طالب، عن یعقوب بن عبد اللّه الکوفی،عن موسی بن عبید </w:t>
      </w:r>
      <w:r>
        <w:rPr>
          <w:rStyle w:val="FootnoteAnchor"/>
          <w:rtl w:val="true"/>
        </w:rPr>
        <w:footnoteReference w:id="1363"/>
      </w:r>
      <w:r>
        <w:rPr>
          <w:rFonts w:ascii="IRNazanin" w:hAnsi="IRNazanin" w:eastAsia="IRNazanin"/>
          <w:color w:val="111111"/>
          <w:sz w:val="28"/>
          <w:sz w:val="28"/>
          <w:szCs w:val="28"/>
          <w:rtl w:val="true"/>
          <w:lang w:bidi="fa-IR"/>
        </w:rPr>
        <w:t xml:space="preserve">،عن عمرو </w:t>
      </w:r>
      <w:r>
        <w:rPr>
          <w:rStyle w:val="FootnoteAnchor"/>
          <w:rtl w:val="true"/>
        </w:rPr>
        <w:footnoteReference w:id="1364"/>
      </w:r>
      <w:r>
        <w:rPr>
          <w:rFonts w:ascii="IRNazanin" w:hAnsi="IRNazanin" w:eastAsia="IRNazanin"/>
          <w:color w:val="111111"/>
          <w:sz w:val="28"/>
          <w:sz w:val="28"/>
          <w:szCs w:val="28"/>
          <w:rtl w:val="true"/>
          <w:lang w:bidi="fa-IR"/>
        </w:rPr>
        <w:t>ابن أبی المقدام،عن جابر الجعفی،عن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یهودی أمیر المؤمنین علیه السلام فی منصرفة عن وقعة النهروان فسأله عن تلک المواطن،و 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المواطن الممتحن بها بعد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القائم بعد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بعد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یشاورنی فی موارد الأُمور </w:t>
      </w:r>
      <w:r>
        <w:rPr>
          <w:rStyle w:val="FootnoteAnchor"/>
          <w:rtl w:val="true"/>
        </w:rPr>
        <w:footnoteReference w:id="1365"/>
      </w:r>
      <w:r>
        <w:rPr>
          <w:rFonts w:ascii="IRNazanin" w:hAnsi="IRNazanin" w:eastAsia="IRNazanin"/>
          <w:color w:val="111111"/>
          <w:sz w:val="28"/>
          <w:sz w:val="28"/>
          <w:szCs w:val="28"/>
          <w:rtl w:val="true"/>
          <w:lang w:bidi="fa-IR"/>
        </w:rPr>
        <w:t xml:space="preserve">،فیصدرها عن أمری،و یناظرنی فی غوامضها فیمضیها عن رأیی </w:t>
      </w:r>
      <w:r>
        <w:rPr>
          <w:rStyle w:val="FootnoteAnchor"/>
          <w:rtl w:val="true"/>
        </w:rPr>
        <w:footnoteReference w:id="1366"/>
      </w:r>
      <w:r>
        <w:rPr>
          <w:rFonts w:ascii="IRNazanin" w:hAnsi="IRNazanin" w:eastAsia="IRNazanin"/>
          <w:color w:val="111111"/>
          <w:sz w:val="28"/>
          <w:sz w:val="28"/>
          <w:szCs w:val="28"/>
          <w:rtl w:val="true"/>
          <w:lang w:bidi="fa-IR"/>
        </w:rPr>
        <w:t>لا أعلم</w:t>
      </w:r>
    </w:p>
    <w:p>
      <w:pPr>
        <w:pStyle w:val="BookText"/>
        <w:rPr/>
      </w:pPr>
      <w:r>
        <w:rPr>
          <w:rFonts w:ascii="Amiri" w:hAnsi="Amiri" w:eastAsia="Amiri" w:cs="Amiri"/>
          <w:color w:val="111111"/>
          <w:sz w:val="28"/>
          <w:sz w:val="28"/>
          <w:szCs w:val="28"/>
          <w:rtl w:val="true"/>
          <w:lang w:bidi="ar-SA"/>
        </w:rPr>
        <w:t xml:space="preserve">أحداً </w:t>
      </w:r>
      <w:r>
        <w:rPr>
          <w:rStyle w:val="FootnoteAnchor"/>
          <w:rtl w:val="true"/>
        </w:rPr>
        <w:footnoteReference w:id="1367"/>
      </w:r>
      <w:r>
        <w:rPr>
          <w:rFonts w:ascii="IRNazanin" w:hAnsi="IRNazanin" w:eastAsia="IRNazanin"/>
          <w:color w:val="111111"/>
          <w:sz w:val="28"/>
          <w:sz w:val="28"/>
          <w:szCs w:val="28"/>
          <w:rtl w:val="true"/>
          <w:lang w:bidi="fa-IR"/>
        </w:rPr>
        <w:t xml:space="preserve">،و لا یعلمه أصحابی،یناظره فی ذلک غیری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عموم الأُمور إضافیٌّ بالنسبة إلی ما لا یقدح فی رئاسته ممّا یتعلّق بالسیاسة،و لا یخفی أنّ الخروج إلی الکفّار و دعاءَهم إلی الإسلام من أعظم تلک الأُمور،بل لا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سند الروایة جماعة تخرجها عن حدّ الاعتبار،إلّا أنّ اعتماد القمّیین علیها و روایتهم لها،مع ما عُرِف من حالهم لمن تتبّعها من أنّهم لا یخرّجون </w:t>
      </w:r>
      <w:r>
        <w:rPr>
          <w:rStyle w:val="FootnoteAnchor"/>
          <w:rtl w:val="true"/>
        </w:rPr>
        <w:footnoteReference w:id="1370"/>
      </w:r>
      <w:r>
        <w:rPr>
          <w:rFonts w:ascii="IRNazanin" w:hAnsi="IRNazanin" w:eastAsia="IRNazanin"/>
          <w:color w:val="111111"/>
          <w:sz w:val="28"/>
          <w:sz w:val="28"/>
          <w:szCs w:val="28"/>
          <w:rtl w:val="true"/>
          <w:lang w:bidi="fa-IR"/>
        </w:rPr>
        <w:t xml:space="preserve">فی کتبهم روایة فی راویها </w:t>
      </w:r>
      <w:r>
        <w:rPr>
          <w:rStyle w:val="FootnoteAnchor"/>
          <w:rtl w:val="true"/>
        </w:rPr>
        <w:footnoteReference w:id="1371"/>
      </w:r>
      <w:r>
        <w:rPr>
          <w:rFonts w:ascii="IRNazanin" w:hAnsi="IRNazanin" w:eastAsia="IRNazanin"/>
          <w:color w:val="111111"/>
          <w:sz w:val="28"/>
          <w:sz w:val="28"/>
          <w:szCs w:val="28"/>
          <w:rtl w:val="true"/>
          <w:lang w:bidi="fa-IR"/>
        </w:rPr>
        <w:t>ضعف إلّا بعد احتفافها بما یوجب الاعتماد علیها،جابر لضعفها فی الجملة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اشتهر من حضور أبی محمد الحسن علیه السلام فی بعض الغزوات </w:t>
      </w:r>
      <w:r>
        <w:rPr>
          <w:rStyle w:val="FootnoteAnchor"/>
          <w:rtl w:val="true"/>
        </w:rPr>
        <w:footnoteReference w:id="1372"/>
      </w:r>
      <w:r>
        <w:rPr>
          <w:rFonts w:ascii="IRNazanin" w:hAnsi="IRNazanin" w:eastAsia="IRNazanin"/>
          <w:color w:val="111111"/>
          <w:sz w:val="28"/>
          <w:sz w:val="28"/>
          <w:szCs w:val="28"/>
          <w:rtl w:val="true"/>
          <w:lang w:bidi="fa-IR"/>
        </w:rPr>
        <w:t xml:space="preserve">،و دخول بعض خواصّ أمیر المؤمنین علیه السلام من الصحابة کعمّار فی أمرهم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سیرة الإمام فی الأرض التی فتحت بعد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قد سار فی أهل العراق بسیرة،فهی إمام لسائر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ظاهرها أنّ سائر الأرضین المفتوحة بعد النبیّ صلّی اللّه علیه و آله و سلم حکمها حکم أرض العراق،مضافاً إلی أنّه یمکن الاکتفاء عن إذن الإمام المنصوص فی مرسلة الورّاق </w:t>
      </w:r>
      <w:r>
        <w:rPr>
          <w:rStyle w:val="FootnoteAnchor"/>
          <w:rtl w:val="true"/>
        </w:rPr>
        <w:footnoteReference w:id="1375"/>
      </w:r>
      <w:r>
        <w:rPr>
          <w:rFonts w:ascii="IRNazanin" w:hAnsi="IRNazanin" w:eastAsia="IRNazanin"/>
          <w:color w:val="111111"/>
          <w:sz w:val="28"/>
          <w:sz w:val="28"/>
          <w:szCs w:val="28"/>
          <w:rtl w:val="true"/>
          <w:lang w:bidi="fa-IR"/>
        </w:rPr>
        <w:t xml:space="preserve">بالعلم بشاهد الحال برضی أمیر المؤمنین علیه السلام و سائر الأئمة بالفتوحات </w:t>
      </w:r>
      <w:r>
        <w:rPr>
          <w:rStyle w:val="FootnoteAnchor"/>
          <w:rtl w:val="true"/>
        </w:rPr>
        <w:footnoteReference w:id="1376"/>
      </w:r>
      <w:r>
        <w:rPr>
          <w:rFonts w:ascii="IRNazanin" w:hAnsi="IRNazanin" w:eastAsia="IRNazanin"/>
          <w:color w:val="111111"/>
          <w:sz w:val="28"/>
          <w:sz w:val="28"/>
          <w:szCs w:val="28"/>
          <w:rtl w:val="true"/>
          <w:lang w:bidi="fa-IR"/>
        </w:rPr>
        <w:t>الإسلامیّة الموجبة لتأیّد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یؤیّد هذا الدین بأقوام لا خلاق لهم منه</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یمکن أن یقال بحمل الصادر من الغزاة من فتح البلاد علی الوجه الصحیح </w:t>
      </w:r>
      <w:r>
        <w:rPr>
          <w:rStyle w:val="FootnoteAnchor"/>
          <w:rtl w:val="true"/>
        </w:rPr>
        <w:footnoteReference w:id="1378"/>
      </w:r>
      <w:r>
        <w:rPr>
          <w:rFonts w:ascii="IRNazanin" w:hAnsi="IRNazanin" w:eastAsia="IRNazanin"/>
          <w:color w:val="111111"/>
          <w:sz w:val="28"/>
          <w:sz w:val="28"/>
          <w:szCs w:val="28"/>
          <w:rtl w:val="true"/>
          <w:lang w:bidi="fa-IR"/>
        </w:rPr>
        <w:t>،و هو کونه بأمر الإمام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عموم ما دلّ من الأخبار الکثیرة علی</w:t>
      </w:r>
      <w:bookmarkStart w:id="236" w:name="pg19674_191744"/>
    </w:p>
    <w:p>
      <w:pPr>
        <w:pStyle w:val="BookText"/>
        <w:rPr/>
      </w:pPr>
      <w:bookmarkEnd w:id="236"/>
      <w:r>
        <w:rPr>
          <w:rFonts w:ascii="IRNazanin" w:hAnsi="IRNazanin" w:eastAsia="IRNazanin"/>
          <w:color w:val="111111"/>
          <w:sz w:val="28"/>
          <w:sz w:val="28"/>
          <w:szCs w:val="28"/>
          <w:rtl w:val="true"/>
          <w:lang w:bidi="fa-IR"/>
        </w:rPr>
        <w:t xml:space="preserve">تقیّد الأرض المعدودة من الأنفال بکونها ممّا لم یوجف </w:t>
      </w:r>
      <w:r>
        <w:rPr>
          <w:rStyle w:val="FootnoteAnchor"/>
          <w:rtl w:val="true"/>
        </w:rPr>
        <w:footnoteReference w:id="1379"/>
      </w:r>
      <w:r>
        <w:rPr>
          <w:rFonts w:ascii="IRNazanin" w:hAnsi="IRNazanin" w:eastAsia="IRNazanin"/>
          <w:color w:val="111111"/>
          <w:sz w:val="28"/>
          <w:sz w:val="28"/>
          <w:szCs w:val="28"/>
          <w:rtl w:val="true"/>
          <w:lang w:bidi="fa-IR"/>
        </w:rPr>
        <w:t xml:space="preserve">علیه بخیلٍ و لا رکاب </w:t>
      </w:r>
      <w:r>
        <w:rPr>
          <w:rStyle w:val="FootnoteAnchor"/>
          <w:rtl w:val="true"/>
        </w:rPr>
        <w:footnoteReference w:id="1380"/>
      </w:r>
      <w:r>
        <w:rPr>
          <w:rFonts w:ascii="IRNazanin" w:hAnsi="IRNazanin" w:eastAsia="IRNazanin"/>
          <w:color w:val="111111"/>
          <w:sz w:val="28"/>
          <w:sz w:val="28"/>
          <w:szCs w:val="28"/>
          <w:rtl w:val="true"/>
          <w:lang w:bidi="fa-IR"/>
        </w:rPr>
        <w:t xml:space="preserve">،و علی أنّ ما أُخذت بالسیف من الأرضین یصرفها فی مصالح المسلمین </w:t>
      </w:r>
      <w:r>
        <w:rPr>
          <w:rStyle w:val="FootnoteAnchor"/>
          <w:rtl w:val="true"/>
        </w:rPr>
        <w:footnoteReference w:id="1381"/>
      </w:r>
      <w:r>
        <w:rPr>
          <w:rFonts w:ascii="Amiri" w:hAnsi="Amiri" w:eastAsia="Amiri" w:cs="Amiri"/>
          <w:color w:val="111111"/>
          <w:sz w:val="28"/>
          <w:sz w:val="28"/>
          <w:szCs w:val="28"/>
          <w:rtl w:val="true"/>
          <w:lang w:bidi="ar-SA"/>
        </w:rPr>
        <w:t xml:space="preserve">،معارض بالعموم من وجه لمرسلة الورّاق </w:t>
      </w:r>
      <w:r>
        <w:rPr>
          <w:rStyle w:val="FootnoteAnchor"/>
          <w:rtl w:val="true"/>
        </w:rPr>
        <w:footnoteReference w:id="1382"/>
      </w:r>
      <w:r>
        <w:rPr>
          <w:rFonts w:ascii="Amiri" w:hAnsi="Amiri" w:eastAsia="Amiri" w:cs="Amiri"/>
          <w:color w:val="111111"/>
          <w:sz w:val="28"/>
          <w:sz w:val="28"/>
          <w:szCs w:val="28"/>
          <w:rtl w:val="true"/>
          <w:lang w:bidi="ar-SA"/>
        </w:rPr>
        <w:t>،فیرجع إلی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الآیة </w:t>
      </w:r>
      <w:r>
        <w:rPr>
          <w:rStyle w:val="FootnoteAnchor"/>
          <w:rtl w:val="true"/>
        </w:rPr>
        <w:footnoteReference w:id="1383"/>
      </w:r>
      <w:r>
        <w:rPr>
          <w:rFonts w:ascii="IRNazanin" w:hAnsi="IRNazanin" w:eastAsia="IRNazanin"/>
          <w:color w:val="111111"/>
          <w:sz w:val="28"/>
          <w:sz w:val="28"/>
          <w:szCs w:val="28"/>
          <w:rtl w:val="true"/>
          <w:lang w:bidi="fa-IR"/>
        </w:rPr>
        <w:t xml:space="preserve">،فیکون الباقی للمسلمین؛إذ لیس لمن قاتَل </w:t>
      </w:r>
      <w:r>
        <w:rPr>
          <w:rStyle w:val="FootnoteAnchor"/>
          <w:rtl w:val="true"/>
        </w:rPr>
        <w:footnoteReference w:id="1384"/>
      </w:r>
      <w:r>
        <w:rPr>
          <w:rFonts w:ascii="Amiri" w:hAnsi="Amiri" w:eastAsia="Amiri" w:cs="Amiri"/>
          <w:color w:val="111111"/>
          <w:sz w:val="28"/>
          <w:sz w:val="28"/>
          <w:szCs w:val="28"/>
          <w:rtl w:val="true"/>
          <w:lang w:bidi="ar-SA"/>
        </w:rPr>
        <w:t>شیء من الأرضین نصّاً و إجماعاً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5027830_2314609296"/>
      <w:bookmarkStart w:id="238" w:name="_Toc91"/>
      <w:bookmarkEnd w:id="237"/>
      <w:r>
        <w:rPr>
          <w:rtl w:val="true"/>
        </w:rPr>
        <w:t>الثالث</w:t>
      </w:r>
      <w:r>
        <w:rPr>
          <w:rtl w:val="true"/>
        </w:rPr>
        <w:t>:</w:t>
      </w:r>
      <w:r>
        <w:rPr>
          <w:rtl w:val="true"/>
        </w:rPr>
        <w:t>أن یثبت کون الأرض المفتوحة عَنوَة بإذن الإمام علیه السلام محیاة حال الفتح،</w:t>
      </w:r>
      <w:bookmarkEnd w:id="2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لتدخل فی الغنائم و یخرج منها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 و یبقی الباقی للمسلمین،فإن کانت حینئذٍ مواتاً کانت للإمام، کما هو المشهور،بل المتّفق علیه،علی الظاهر المصرّح به عن الکفایة </w:t>
      </w:r>
      <w:r>
        <w:rPr>
          <w:rStyle w:val="FootnoteAnchor"/>
          <w:rtl w:val="true"/>
        </w:rPr>
        <w:footnoteReference w:id="1385"/>
      </w:r>
      <w:r>
        <w:rPr>
          <w:rFonts w:ascii="IRNazanin" w:hAnsi="IRNazanin" w:eastAsia="IRNazanin"/>
          <w:color w:val="111111"/>
          <w:sz w:val="28"/>
          <w:sz w:val="28"/>
          <w:szCs w:val="28"/>
          <w:rtl w:val="true"/>
          <w:lang w:bidi="fa-IR"/>
        </w:rPr>
        <w:t xml:space="preserve">و محکی التذکرة </w:t>
      </w:r>
      <w:r>
        <w:rPr>
          <w:rStyle w:val="FootnoteAnchor"/>
          <w:rtl w:val="true"/>
        </w:rPr>
        <w:footnoteReference w:id="1386"/>
      </w:r>
      <w:r>
        <w:rPr>
          <w:rFonts w:ascii="IRNazanin" w:hAnsi="IRNazanin" w:eastAsia="IRNazanin"/>
          <w:color w:val="111111"/>
          <w:sz w:val="28"/>
          <w:sz w:val="28"/>
          <w:szCs w:val="28"/>
          <w:rtl w:val="true"/>
          <w:lang w:bidi="fa-IR"/>
        </w:rPr>
        <w:t xml:space="preserve">،و یقتضیه إطلاق الإجماعات المحکیّة </w:t>
      </w:r>
      <w:r>
        <w:rPr>
          <w:rStyle w:val="FootnoteAnchor"/>
          <w:rtl w:val="true"/>
        </w:rPr>
        <w:footnoteReference w:id="1387"/>
      </w:r>
      <w:r>
        <w:rPr>
          <w:rFonts w:ascii="IRNazanin" w:hAnsi="IRNazanin" w:eastAsia="IRNazanin"/>
          <w:color w:val="111111"/>
          <w:sz w:val="28"/>
          <w:sz w:val="28"/>
          <w:szCs w:val="28"/>
          <w:rtl w:val="true"/>
          <w:lang w:bidi="fa-IR"/>
        </w:rPr>
        <w:t>علی أنّ الموات</w:t>
      </w:r>
    </w:p>
    <w:p>
      <w:pPr>
        <w:pStyle w:val="BookText"/>
        <w:rPr/>
      </w:pPr>
      <w:r>
        <w:rPr>
          <w:rFonts w:ascii="IRNazanin" w:hAnsi="IRNazanin" w:eastAsia="IRNazanin"/>
          <w:color w:val="111111"/>
          <w:sz w:val="28"/>
          <w:sz w:val="28"/>
          <w:szCs w:val="28"/>
          <w:rtl w:val="true"/>
          <w:lang w:bidi="fa-IR"/>
        </w:rPr>
        <w:t xml:space="preserve">من الأنفال؛لإطلاق الأخبار الدالّة علی أنّ الموات بقول مطلق له علیه السلام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یعارضها إطلاق الإجماعات </w:t>
      </w:r>
      <w:r>
        <w:rPr>
          <w:rStyle w:val="FootnoteAnchor"/>
          <w:rtl w:val="true"/>
        </w:rPr>
        <w:footnoteReference w:id="1389"/>
      </w:r>
      <w:r>
        <w:rPr>
          <w:rFonts w:ascii="IRNazanin" w:hAnsi="IRNazanin" w:eastAsia="IRNazanin"/>
          <w:color w:val="111111"/>
          <w:sz w:val="28"/>
          <w:sz w:val="28"/>
          <w:szCs w:val="28"/>
          <w:rtl w:val="true"/>
          <w:lang w:bidi="fa-IR"/>
        </w:rPr>
        <w:t xml:space="preserve">و الأخبار </w:t>
      </w:r>
      <w:r>
        <w:rPr>
          <w:rStyle w:val="FootnoteAnchor"/>
          <w:rtl w:val="true"/>
        </w:rPr>
        <w:footnoteReference w:id="1390"/>
      </w:r>
      <w:r>
        <w:rPr>
          <w:rFonts w:ascii="Amiri" w:hAnsi="Amiri" w:eastAsia="Amiri" w:cs="Amiri"/>
          <w:color w:val="111111"/>
          <w:sz w:val="28"/>
          <w:sz w:val="28"/>
          <w:szCs w:val="28"/>
          <w:rtl w:val="true"/>
          <w:lang w:bidi="ar-SA"/>
        </w:rPr>
        <w:t xml:space="preserve">الدالّة علی أنّ المفتوحة عَنوَة للمسلمین </w:t>
      </w:r>
      <w:r>
        <w:rPr>
          <w:rStyle w:val="FootnoteAnchor"/>
          <w:rtl w:val="true"/>
        </w:rPr>
        <w:footnoteReference w:id="1391"/>
      </w:r>
      <w:r>
        <w:rPr>
          <w:rFonts w:ascii="IRNazanin" w:hAnsi="IRNazanin" w:eastAsia="IRNazanin"/>
          <w:color w:val="111111"/>
          <w:sz w:val="28"/>
          <w:sz w:val="28"/>
          <w:szCs w:val="28"/>
          <w:rtl w:val="true"/>
          <w:lang w:bidi="fa-IR"/>
        </w:rPr>
        <w:t xml:space="preserve">لأنّ موارد الإجماعات هی </w:t>
      </w:r>
      <w:r>
        <w:rPr>
          <w:rStyle w:val="FootnoteAnchor"/>
          <w:rtl w:val="true"/>
        </w:rPr>
        <w:footnoteReference w:id="1392"/>
      </w:r>
      <w:r>
        <w:rPr>
          <w:rFonts w:ascii="Amiri" w:hAnsi="Amiri" w:eastAsia="Amiri" w:cs="Amiri"/>
          <w:color w:val="111111"/>
          <w:sz w:val="28"/>
          <w:sz w:val="28"/>
          <w:szCs w:val="28"/>
          <w:rtl w:val="true"/>
          <w:lang w:bidi="ar-SA"/>
        </w:rPr>
        <w:t xml:space="preserve">الأرض المغنومة </w:t>
      </w:r>
      <w:r>
        <w:rPr>
          <w:rStyle w:val="FootnoteAnchor"/>
          <w:rtl w:val="true"/>
        </w:rPr>
        <w:footnoteReference w:id="1393"/>
      </w:r>
      <w:r>
        <w:rPr>
          <w:rFonts w:ascii="IRNazanin" w:hAnsi="IRNazanin" w:eastAsia="IRNazanin"/>
          <w:color w:val="111111"/>
          <w:sz w:val="28"/>
          <w:sz w:val="28"/>
          <w:szCs w:val="28"/>
          <w:rtl w:val="true"/>
          <w:lang w:bidi="fa-IR"/>
        </w:rPr>
        <w:t xml:space="preserve">من </w:t>
      </w:r>
      <w:r>
        <w:rPr>
          <w:rStyle w:val="FootnoteAnchor"/>
          <w:rtl w:val="true"/>
        </w:rPr>
        <w:footnoteReference w:id="1394"/>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الغنائم التی یملکونها منهم و یجب فیها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الموات من أموالهم </w:t>
      </w:r>
      <w:r>
        <w:rPr>
          <w:rStyle w:val="FootnoteAnchor"/>
          <w:rtl w:val="true"/>
        </w:rPr>
        <w:footnoteReference w:id="1395"/>
      </w:r>
      <w:r>
        <w:rPr>
          <w:rFonts w:ascii="IRNazanin" w:hAnsi="IRNazanin" w:eastAsia="IRNazanin"/>
          <w:color w:val="111111"/>
          <w:sz w:val="28"/>
          <w:sz w:val="28"/>
          <w:szCs w:val="28"/>
          <w:rtl w:val="true"/>
          <w:lang w:bidi="fa-IR"/>
        </w:rPr>
        <w:t>،و إنّما هی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جریان أیدیهم علیه کان بحکم المغصوب لا یعدّ فی الغنیمة،و ظاهر الأخبار خصوص المحیاة،مع أنّ الظاهر عدم الخلاف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مات المحیاة حال الفتح،فالظاهر بقاؤها علی ملک المسلمین،بل عن ظاهر الریاض </w:t>
      </w:r>
      <w:r>
        <w:rPr>
          <w:rStyle w:val="FootnoteAnchor"/>
          <w:rtl w:val="true"/>
        </w:rPr>
        <w:footnoteReference w:id="1396"/>
      </w:r>
      <w:r>
        <w:rPr>
          <w:rFonts w:ascii="IRNazanin" w:hAnsi="IRNazanin" w:eastAsia="IRNazanin"/>
          <w:color w:val="111111"/>
          <w:sz w:val="28"/>
          <w:sz w:val="28"/>
          <w:szCs w:val="28"/>
          <w:rtl w:val="true"/>
          <w:lang w:bidi="fa-IR"/>
        </w:rPr>
        <w:t xml:space="preserve">استفادة عدم الخلاف فی ذلک من السرائر </w:t>
      </w:r>
      <w:r>
        <w:rPr>
          <w:rStyle w:val="FootnoteAnchor"/>
          <w:rtl w:val="true"/>
        </w:rPr>
        <w:footnoteReference w:id="1397"/>
      </w:r>
      <w:r>
        <w:rPr>
          <w:rFonts w:ascii="IRNazanin" w:hAnsi="IRNazanin" w:eastAsia="IRNazanin"/>
          <w:color w:val="111111"/>
          <w:sz w:val="28"/>
          <w:sz w:val="28"/>
          <w:szCs w:val="28"/>
          <w:rtl w:val="true"/>
          <w:lang w:bidi="fa-IR"/>
        </w:rPr>
        <w:t>لاختصاص أدلّة الموات بما إذا لم یجر علیه ملک مسلم،دون ما عرف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یثبت الحیاة حال الفتح بما کان یثبت به الفتح عَنوَة،و مع الشکّ فیها فالأصل العدم و إن وجدناها الآن محیاة؛لأصالة عدمها حال الفتح،فیشکل الأمر فی کثیر من محیاة أراضی البلاد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وجد منها فی ید مدّعٍ للملکیّة حکم 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1398"/>
      </w:r>
      <w:r>
        <w:rPr>
          <w:rFonts w:ascii="IRNazanin" w:hAnsi="IRNazanin" w:eastAsia="IRNazanin"/>
          <w:color w:val="111111"/>
          <w:sz w:val="28"/>
          <w:sz w:val="28"/>
          <w:szCs w:val="28"/>
          <w:rtl w:val="true"/>
          <w:lang w:bidi="fa-IR"/>
        </w:rPr>
        <w:t>إذا کانت بید السلطان أو من أخذها منه فلا یحکم لأجلها بکونها خراجیّة؛لأنّ ید السلطان عادیة علی الأراضی الخراجیّة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ید لمدّعی الملکیّة علیها کان مردّداً بین المسلمین و مالک خاصٍّ مردّدٍ بین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ترکة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غیره،فیجب مراجعة حاکم الشرع فی أمرها،و وظیفة الحاکم فی الأُجرة المأخوذة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القرعة،و إمّا صرفها فی مصرف مشترک بین الکلّ، کفقیر یستحقّ الإنفاق من بیت المال؛لقیامه ببعض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ظاهر الأخبار </w:t>
      </w:r>
      <w:r>
        <w:rPr>
          <w:rStyle w:val="FootnoteAnchor"/>
          <w:rtl w:val="true"/>
        </w:rPr>
        <w:footnoteReference w:id="1399"/>
      </w:r>
      <w:r>
        <w:rPr>
          <w:rFonts w:ascii="IRNazanin" w:hAnsi="IRNazanin" w:eastAsia="IRNazanin"/>
          <w:color w:val="111111"/>
          <w:sz w:val="28"/>
          <w:sz w:val="28"/>
          <w:szCs w:val="28"/>
          <w:rtl w:val="true"/>
          <w:lang w:bidi="fa-IR"/>
        </w:rPr>
        <w:t>تملّک المسلمین لجمیع أرض العراق المسمّی بأرض السواد من غیر تقیید بالعامر،فینزّل علی أنّ کلّها کانت عامرة حال الفتح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أنّهم ضبطوا أرض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المنتهی </w:t>
      </w:r>
      <w:r>
        <w:rPr>
          <w:rStyle w:val="FootnoteAnchor"/>
          <w:rtl w:val="true"/>
        </w:rPr>
        <w:footnoteReference w:id="1400"/>
      </w:r>
      <w:r>
        <w:rPr>
          <w:rFonts w:ascii="IRNazanin" w:hAnsi="IRNazanin" w:eastAsia="IRNazanin"/>
          <w:color w:val="111111"/>
          <w:sz w:val="28"/>
          <w:sz w:val="28"/>
          <w:szCs w:val="28"/>
          <w:rtl w:val="true"/>
          <w:lang w:bidi="fa-IR"/>
        </w:rPr>
        <w:t xml:space="preserve">و غیره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المساحة </w:t>
      </w:r>
      <w:r>
        <w:rPr>
          <w:rStyle w:val="FootnoteAnchor"/>
          <w:rtl w:val="true"/>
        </w:rPr>
        <w:footnoteReference w:id="1402"/>
      </w:r>
      <w:r>
        <w:rPr>
          <w:rFonts w:ascii="IRNazanin" w:hAnsi="IRNazanin" w:eastAsia="IRNazanin"/>
          <w:color w:val="111111"/>
          <w:sz w:val="28"/>
          <w:sz w:val="28"/>
          <w:szCs w:val="28"/>
          <w:rtl w:val="true"/>
          <w:lang w:bidi="fa-IR"/>
        </w:rPr>
        <w:t>بستّة أو اثنین و ثلاثین ألف ألف جریب،و حینئذٍ فالظاهر</w:t>
      </w:r>
    </w:p>
    <w:p>
      <w:pPr>
        <w:pStyle w:val="BookText"/>
        <w:rPr/>
      </w:pPr>
      <w:r>
        <w:rPr>
          <w:rFonts w:ascii="IRNazanin" w:hAnsi="IRNazanin" w:eastAsia="IRNazanin"/>
          <w:color w:val="111111"/>
          <w:sz w:val="28"/>
          <w:sz w:val="28"/>
          <w:szCs w:val="28"/>
          <w:rtl w:val="true"/>
          <w:lang w:bidi="fa-IR"/>
        </w:rPr>
        <w:t xml:space="preserve">أنّ البلاد الإسلامیة المبنیّة فی العراق هی مع ما یتبعها </w:t>
      </w:r>
      <w:r>
        <w:rPr>
          <w:rStyle w:val="FootnoteAnchor"/>
          <w:rtl w:val="true"/>
        </w:rPr>
        <w:footnoteReference w:id="1403"/>
      </w:r>
      <w:r>
        <w:rPr>
          <w:rFonts w:ascii="IRNazanin" w:hAnsi="IRNazanin" w:eastAsia="IRNazanin"/>
          <w:color w:val="111111"/>
          <w:sz w:val="28"/>
          <w:sz w:val="28"/>
          <w:szCs w:val="28"/>
          <w:rtl w:val="true"/>
          <w:lang w:bidi="fa-IR"/>
        </w:rPr>
        <w:t xml:space="preserve">من القری،من المحیاة حال الفتح التی تملّکها </w:t>
      </w:r>
      <w:r>
        <w:rPr>
          <w:rStyle w:val="FootnoteAnchor"/>
          <w:rtl w:val="true"/>
        </w:rPr>
        <w:footnoteReference w:id="1404"/>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العلّامة رحمه اللّه فی کتبه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لبعض ما عن المبسوط </w:t>
      </w:r>
      <w:r>
        <w:rPr>
          <w:rStyle w:val="FootnoteAnchor"/>
          <w:rtl w:val="true"/>
        </w:rPr>
        <w:footnoteReference w:id="1406"/>
      </w:r>
      <w:r>
        <w:rPr>
          <w:rFonts w:ascii="IRNazanin" w:hAnsi="IRNazanin" w:eastAsia="IRNazanin"/>
          <w:color w:val="111111"/>
          <w:sz w:val="28"/>
          <w:sz w:val="28"/>
          <w:szCs w:val="28"/>
          <w:rtl w:val="true"/>
          <w:lang w:bidi="fa-IR"/>
        </w:rPr>
        <w:t xml:space="preserve">و الخلاف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حدّ سواد العراق ما بین منقطع الجبال بحلوان </w:t>
      </w:r>
      <w:r>
        <w:rPr>
          <w:rStyle w:val="FootnoteAnchor"/>
          <w:rtl w:val="true"/>
        </w:rPr>
        <w:footnoteReference w:id="1408"/>
      </w:r>
      <w:r>
        <w:rPr>
          <w:rFonts w:ascii="IRNazanin" w:hAnsi="IRNazanin" w:eastAsia="IRNazanin"/>
          <w:color w:val="111111"/>
          <w:sz w:val="28"/>
          <w:sz w:val="28"/>
          <w:szCs w:val="28"/>
          <w:rtl w:val="true"/>
          <w:lang w:bidi="fa-IR"/>
        </w:rPr>
        <w:t xml:space="preserve">إلی طرف القادسیة </w:t>
      </w:r>
      <w:r>
        <w:rPr>
          <w:rStyle w:val="FootnoteAnchor"/>
          <w:rtl w:val="true"/>
        </w:rPr>
        <w:footnoteReference w:id="1409"/>
      </w:r>
      <w:r>
        <w:rPr>
          <w:rFonts w:ascii="IRNazanin" w:hAnsi="IRNazanin" w:eastAsia="IRNazanin"/>
          <w:color w:val="111111"/>
          <w:sz w:val="28"/>
          <w:sz w:val="28"/>
          <w:szCs w:val="28"/>
          <w:rtl w:val="true"/>
          <w:lang w:bidi="fa-IR"/>
        </w:rPr>
        <w:t xml:space="preserve">المتّصل بعذیب </w:t>
      </w:r>
      <w:r>
        <w:rPr>
          <w:rStyle w:val="FootnoteAnchor"/>
          <w:rtl w:val="true"/>
        </w:rPr>
        <w:footnoteReference w:id="1410"/>
      </w:r>
      <w:r>
        <w:rPr>
          <w:rFonts w:ascii="IRNazanin" w:hAnsi="IRNazanin" w:eastAsia="IRNazanin"/>
          <w:color w:val="111111"/>
          <w:sz w:val="28"/>
          <w:sz w:val="28"/>
          <w:szCs w:val="28"/>
          <w:rtl w:val="true"/>
          <w:lang w:bidi="fa-IR"/>
        </w:rPr>
        <w:t>من أرض العرب عرضاً،و من تخوم الموصل إلی ساحل البحر ببلاد عبّادان طولاً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العلّامة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شرقی دجلة،فأمّا الغربی الذی یلیه البصرة فإنّما هو إسلامی،مثل شط عثمان بن أبی العاص و ما والاها،</w:t>
      </w:r>
    </w:p>
    <w:p>
      <w:pPr>
        <w:pStyle w:val="BookText"/>
        <w:rPr/>
      </w:pPr>
      <w:r>
        <w:rPr>
          <w:rFonts w:ascii="Amiri" w:hAnsi="Amiri" w:eastAsia="Amiri" w:cs="Amiri"/>
          <w:color w:val="111111"/>
          <w:sz w:val="28"/>
          <w:sz w:val="28"/>
          <w:szCs w:val="28"/>
          <w:rtl w:val="true"/>
          <w:lang w:bidi="ar-SA"/>
        </w:rPr>
        <w:t xml:space="preserve">کانت سباخاً </w:t>
      </w:r>
      <w:r>
        <w:rPr>
          <w:rStyle w:val="FootnoteAnchor"/>
          <w:rtl w:val="true"/>
        </w:rPr>
        <w:footnoteReference w:id="1411"/>
      </w:r>
      <w:r>
        <w:rPr>
          <w:rFonts w:ascii="IRNazanin" w:hAnsi="IRNazanin" w:eastAsia="IRNazanin"/>
          <w:color w:val="111111"/>
          <w:sz w:val="28"/>
          <w:sz w:val="28"/>
          <w:szCs w:val="28"/>
          <w:rtl w:val="true"/>
          <w:lang w:bidi="fa-IR"/>
        </w:rPr>
        <w:t>فأحیاها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التقیید أنّ ما عدا ذلک کانت محیاة،کما یؤیّده ما تقدّم من تقدیر الأرض المذکورة بعد المساحة بما ذکر من الجریب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البلاد المحدثة </w:t>
      </w:r>
      <w:r>
        <w:rPr>
          <w:rStyle w:val="FootnoteAnchor"/>
          <w:rtl w:val="true"/>
        </w:rPr>
        <w:footnoteReference w:id="1412"/>
      </w:r>
      <w:r>
        <w:rPr>
          <w:rFonts w:ascii="IRNazanin" w:hAnsi="IRNazanin" w:eastAsia="IRNazanin"/>
          <w:color w:val="111111"/>
          <w:sz w:val="28"/>
          <w:sz w:val="28"/>
          <w:szCs w:val="28"/>
          <w:rtl w:val="true"/>
          <w:lang w:bidi="fa-IR"/>
        </w:rPr>
        <w:t xml:space="preserve">بالعراق مثل بغداد،و الکوفة و الحلّة،و المشاهد المشرّفة إسلامیة بناها المسلمون و لم تفتح عَنوَة، و لم یثبت أنّ أرضها تملکها </w:t>
      </w:r>
      <w:r>
        <w:rPr>
          <w:rStyle w:val="FootnoteAnchor"/>
          <w:rtl w:val="true"/>
        </w:rPr>
        <w:footnoteReference w:id="1413"/>
      </w:r>
      <w:r>
        <w:rPr>
          <w:rFonts w:ascii="IRNazanin" w:hAnsi="IRNazanin" w:eastAsia="IRNazanin"/>
          <w:color w:val="111111"/>
          <w:sz w:val="28"/>
          <w:sz w:val="28"/>
          <w:szCs w:val="28"/>
          <w:rtl w:val="true"/>
          <w:lang w:bidi="fa-IR"/>
        </w:rPr>
        <w:t xml:space="preserve">المسلمون بالاستغنام،و التی فتحت عَنوَة و أُخذت من الکفّار قهراً قد انهدمت </w:t>
      </w:r>
      <w:r>
        <w:rPr>
          <w:rStyle w:val="FootnoteAnchor"/>
          <w:rtl w:val="true"/>
        </w:rPr>
        <w:footnoteReference w:id="1414"/>
      </w:r>
      <w:r>
        <w:rPr>
          <w:rFonts w:ascii="IRNazanin" w:hAnsi="IRNazanin" w:eastAsia="IRNazanin"/>
          <w:color w:val="111111"/>
          <w:sz w:val="28"/>
          <w:sz w:val="28"/>
          <w:szCs w:val="28"/>
          <w:rtl w:val="true"/>
          <w:lang w:bidi="fa-IR"/>
        </w:rPr>
        <w:t>،لا یخلو عن نظر؛لأنّ المفتوح عَنوَة لا یختصّ بالأبنیة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انهدمت،فإذا کانت البلاد المذکورة و ما یتعلّق بها من قرأها غیر مفتوحة عَنوَةً،فأین أرض العراق المفتوحة عَنوَةً المقدّر </w:t>
      </w:r>
      <w:r>
        <w:rPr>
          <w:rStyle w:val="FootnoteAnchor"/>
          <w:rtl w:val="true"/>
        </w:rPr>
        <w:footnoteReference w:id="1415"/>
      </w:r>
      <w:r>
        <w:rPr>
          <w:rFonts w:ascii="IRNazanin" w:hAnsi="IRNazanin" w:eastAsia="IRNazanin"/>
          <w:color w:val="111111"/>
          <w:sz w:val="28"/>
          <w:sz w:val="28"/>
          <w:szCs w:val="28"/>
          <w:rtl w:val="true"/>
          <w:lang w:bidi="fa-IR"/>
        </w:rPr>
        <w:t>بستة و ثلاثین ألف ألف جریب؟ و أیضاً من البعید عادةً أن یکون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علی طرف العراق،بحیث یکون الخارج منها ممّا یلیه البلاد المذکورة مواتاً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معمورة وقت الفتح </w:t>
      </w:r>
      <w:r>
        <w:rPr>
          <w:rStyle w:val="FootnoteAnchor"/>
          <w:rtl w:val="true"/>
        </w:rPr>
        <w:footnoteReference w:id="1417"/>
      </w:r>
      <w:r>
        <w:rPr>
          <w:rFonts w:ascii="Amiri" w:hAnsi="Amiri" w:eastAsia="Amiri" w:cs="Amiri"/>
          <w:color w:val="111111"/>
          <w:sz w:val="28"/>
          <w:sz w:val="28"/>
          <w:szCs w:val="28"/>
          <w:rtl w:val="true"/>
          <w:lang w:bidi="ar-SA"/>
        </w:rPr>
        <w:t>و اللّه العالم،و للّه الحمد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2:1014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حکی الإجماع عنه المحقّق الأردبیلی فی مجمع الفائدة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4:1419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فی المصباح علی التعبیر المذکور،انظر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،و العبارة للأوّل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،و العبارة للثانی مع اختلاف یسیر، و أمّا إیضاح الفوائد و المیسیة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یوجدان عندنا،نعم حکاه عنهما السید العاملی فی مفتاح الکرامة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 لم نقف علی التقیید المذکور فی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نعم،حکاه عنه السید العاملی فی مفتاح الکرامة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انظر التنقیح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،باب الواحد،الحدیث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بن یحیی العری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حال النسخ،و أمّا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الطبعة الحدیثة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بن یحیی بن النعمان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هذا الحدیث طبقاً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،لکونها أقرب إلی المصدر، و هناک اختلافات عدیدة وردت فی النسخ لم نتعرّض لها،انظر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72:263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تحریم الکذب،الحدیث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72:263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کتب المحقق و العلامة قدس سرهما،نعم فی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الکبیرة ما توعّد اللّه فیها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بیاض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له،و ویل له،و ویل 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أن یعد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تمنّی ما یکره الکاره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Pr>
        <w:t>11:270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بذلک،انظر مفتاح الکرامة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به بعض،و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8:568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البیت خال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تصریحاتهم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قوانین الأُصول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یسیر،و المرتاد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 للشیء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8:578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القیام،الحدیث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لهما القوشجی فی شرح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عنها فی الصفحة السابقة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 باب المکاسب من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اقتضت المصلحة الکذب وجبت التوریة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 باب الودیعة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تجب التوریة علی العارف بها بأن یقصد ما یخرجه عن الکذب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أوّل البحث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الأیمان،الحدیث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موجودة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تلزمه الکفارة،و الوسائل </w:t>
      </w:r>
      <w:r>
        <w:rPr>
          <w:rFonts w:eastAsia="IRNazanin" w:cs="IRNazanin"/>
          <w:b w:val="false"/>
          <w:bCs w:val="false"/>
          <w:i w:val="false"/>
          <w:iCs w:val="false"/>
          <w:color w:val="333333"/>
          <w:sz w:val="20"/>
          <w:szCs w:val="20"/>
        </w:rPr>
        <w:t>16:135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شاءوا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 السؤال عن الحلف بالطلاق و العتاق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اضطر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من مسوّغات الکذب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بالعُسر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القدرة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صرّح بعض هؤلاء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صرّح فی باب الطلاق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العدم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علیه،نعم فی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شرائط الإکراه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المکره عن دفع ما توعّد 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مقتضی إطلاقات أدلّة الترخیص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،لکن 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مقتضی إطلاقات أدلّة الترخیص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حکیم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حسّان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فتخبت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هنا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8:578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6:2191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ئِر،و هو سهو؛لأنّه لم یتعرض فی السرائر لتعریف الکهانة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 لیس فیه النسبة إلی القیل،نعم حکی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إلی القیل عن التحریر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الأثیر فی النهایة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بأسباب،و فی المصدر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أشیاء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تشاکل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یلبس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هامشی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الناس،و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للناس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یحدثونه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بمنزلة الناس أیضاً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یحدثه،و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یحدثه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نقله عنه السید العاملی فی مفتاح الکرامة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سقوط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الناس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فنسأله؟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یقول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الحدیث مذکور بتمامه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،ضمن حدیث المناهی،و الوسائل </w:t>
      </w:r>
      <w:r>
        <w:rPr>
          <w:rFonts w:eastAsia="IRNazanin" w:cs="IRNazanin"/>
          <w:b w:val="false"/>
          <w:bCs w:val="false"/>
          <w:i w:val="false"/>
          <w:iCs w:val="false"/>
          <w:color w:val="333333"/>
          <w:sz w:val="20"/>
          <w:szCs w:val="20"/>
        </w:rPr>
        <w:t>12:108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الجعفریة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 و الذم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القاضی للاستدلال فی المهذّب،نعم تعرض له الحلی فی المهذب البارع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،ذیل الحدیث الأوّل،و الوسائل </w:t>
      </w:r>
      <w:r>
        <w:rPr>
          <w:rFonts w:eastAsia="IRNazanin" w:cs="IRNazanin"/>
          <w:b w:val="false"/>
          <w:bCs w:val="false"/>
          <w:i w:val="false"/>
          <w:iCs w:val="false"/>
          <w:color w:val="333333"/>
          <w:sz w:val="20"/>
          <w:szCs w:val="20"/>
        </w:rPr>
        <w:t>11:261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المسافر،الحدیث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حیّاکم حیّاکم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تقدّم فی المکاسب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،و الآیتان من 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عبد الأعلی و غیرها المؤمی إلیها فی أوّل البحث عن الغناء، راجع المکاسب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13:347</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السبق،الحدیث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لهو المؤمن باطل إلّا فی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تأدیبه الفرس،و رمیه عن قوسه،و ملاعبته امرأته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تستحب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تقدّم فی المکاسب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هو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الزفن و المزمار و الکوبات و الکبرات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هو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 الظاهر أنّ ما ورد فی هذه النسخ مأخوذ من روایة أُخری وردت ذیل هذا الحدیث فی الوسائل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،و راجع المکاسب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6:2487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عن الصحاح و القاموس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محمد 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أوّل بحث النمیمة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بعینه،انظر تفسیر الصافی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،و التفسیر الکبیر </w:t>
      </w:r>
      <w:r>
        <w:rPr>
          <w:rFonts w:eastAsia="IRNazanin" w:cs="IRNazanin"/>
          <w:b w:val="false"/>
          <w:bCs w:val="false"/>
          <w:i w:val="false"/>
          <w:iCs w:val="false"/>
          <w:color w:val="333333"/>
          <w:sz w:val="20"/>
          <w:szCs w:val="20"/>
        </w:rPr>
        <w:t>30:233</w:t>
      </w:r>
      <w:r>
        <w:rPr>
          <w:rFonts w:ascii="IRNazanin" w:hAnsi="IRNazanin" w:eastAsia="IRNazanin"/>
          <w:b w:val="false"/>
          <w:b w:val="false"/>
          <w:bCs w:val="false"/>
          <w:i w:val="false"/>
          <w:i w:val="false"/>
          <w:iCs w:val="false"/>
          <w:color w:val="333333"/>
          <w:sz w:val="20"/>
          <w:sz w:val="20"/>
          <w:szCs w:val="20"/>
          <w:rtl w:val="true"/>
        </w:rPr>
        <w:t>، ذیل الآیة المذکورة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المکاسب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لیتکلّم بالکلمة فی المجلس لیضحکهم بها فیهوی فی جهنم ما بین السماء و الأرض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الأوّل،و أُنظر الفقیه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المناهی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11:326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الوسائل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فیسلطه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راجع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یحکم اللّه بین العباد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ففزع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لهو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لأعلم من أشار إلیک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لولا،و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الشیخ البهائی فی الأربعین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أُنظر تفسیر العیاشی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22:476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کاشف الغطاء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أیضاً بأن یمدح السلعة فی البیع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المحقق و العلّامة و غیرهما،انظر الشرائع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المختصر النافع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المنیر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کاشف الغطاء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المعنیّة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الْفِتْنَةُ أَکْبَرُ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مجمع عقوبات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العشرة،و المستدرک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البیضاء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ذلک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 التی رخّص فیها الغیبة لمصلحة أقوی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الإرشاد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،و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غیرهما،و الشهید فی الدروس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یضرب اللّه علیه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المصادر الحدیثیة،و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سرادقاً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لأعطینّه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الغلیظة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کرهت ذلک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و علیّ،و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علیَّ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رأسه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12:136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حذف بعض فقرأته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المحکی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القرآن؛للراوندی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المکاسب المحظورة و المکروهة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من 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یده مغلولة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مجمع عقوبات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الوسائل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فانقطع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أتولّی لهم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کربة مؤمن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یدفع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الأوّل، و أُنظر الفقیه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کصحیحة زید الشحام،و روایة علی بن یقطین المتقدمتین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فواحدة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هکذا فی ما یلیه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فیدفع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ذو الحاجة،و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یفزع ذو الحاجة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نور اللّه فی رعیّتهم و یزهر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یزهر الکواکب الزهر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القیامة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القیامة،و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یضیء منهم یوم القیامة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فهنیئاً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بإدخال السرور علی شیعتنا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رجال الکشّی،و نسبه إلیه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نعم ورد الحدیث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،ذیل ترجمة محمد بن إسماعیل ابن بزیع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التمکن بالأمر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لیستحب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المسالک نفسه،حیث قال بعد التوجیه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ما فی هذا التوجیه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عموم النهی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تقویة،و فی نسخة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بینهما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فیستفاد من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کصحیحة زید الشحام،المتقدمة فی الصفحة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روایة علی بن یقطین،المتقدمة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أنّ ارتفاع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لم ترد فی سائر النسخ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فیلزمک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المنکر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ینظر إلی أدلّة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تعارض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الملزومات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 النسخ بصور مختلفة،و ما أثبتناه مطابق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عبّر بالاستحباب فظاهره إرادة الاستحباب العینی الذی لا ینافی الوجوب الکفائی،نظیر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تولّی القضاء لمن یثق من نفسه،مع أنّه واجب کفائی؛لأجل الأمر بالمعروف الواجب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عبّر بالاستحباب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تولّی القضاء لمن یثق من نفسه،مع أنّه واجب کفائی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الاستحباب العینی الذی لا ینافی الوجوب الکفائی،لأجل الأمر بالمعروف الواجب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هذه العبارة بزیادة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بالوعید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النهی و الأمر،الحدیث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القیام،الأحادیث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یلیق 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یجوز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بالإضرار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بإجباره علی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إرادة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 عَلَیْکُمْ فِی الدِّینِ مِنْ حَرَجٍ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من السنّة ما ورد فی الوسائل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دفع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کنهایة المرام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25:159</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تبرّأت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تماسکها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الدین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الجلالة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نفسک و إخوانک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،ضمن حدیث طویل،و عنه الوسائل </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المأمور 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القتل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السیّد المجاهد،لکنه لم یسند الأقوال الثلاثة إلی ظاهر الأصحاب،بل قال بعد طرح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استظهره فی المصابیح من کلام بعض الأصحاب من التفرقة بین التولیة و فعل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اعتماد ما یأمره،و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ائتمار ما یأمره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الدماء المحرّمة؛فإنّه لا تقیّة فیها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شروطهما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بإکراه صاحبه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اشتراط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المناهل فی أوّل هذا التنبیه،فإنّه و إن لم یصرّح بوجود الخلاف، لکن مجرّد ذکر أقوال ثلاثة فی المسألة دالّ علیه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نسب عدم الخلاف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الدماء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فی المسالک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صرّح الشیخ رحمه اللّه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کتاب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یمثّل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أبتذله،و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ابتدله و ابتذله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بهدایتک و دلالتک و ولایتک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إلیّ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سرّنی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المسلم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 عنه،و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لبّه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برأیی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متخوّفه،و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ارتق فتق رعیتک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یلتزقنّ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رآک،و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أراک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خوازی،و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تخلع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ممزح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العتق و الفتوّة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العبارة 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النجاح و الفتوّة و الصدقة و الحجّ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المشرب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 اجهد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فضل طعام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سمع النبی صلّی اللّه علیه و آله و سلم،بدل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 سلم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هوان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بفدک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اختلفت النسخ فی ضبط الکلمة من حیث تقدیم بعض الحروف و تأخیرها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اختلفت سائر النسخ فی ضبط الکلمة کسابقتها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فأغنیتک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 من شأنی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بطائل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فی ضبط الکلمة هنا أیضاً کما تقدم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وهبها أتتنا بالکنوز و درّها،و 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عزٍّ و ملک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یتجاوز،و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یتحامی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إیّاک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أبی،محمد بن علی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عثراته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کلّ مؤمن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بمقالته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الشیطان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السلطان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یقرأ علیک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اختلفت سائر النسخ فیها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بمخرج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علیهم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 عنه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12:150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6:2533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المصادر الحدیثیة،لکن 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حواشی الشهید علی القواعد،و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محّصوا ذنوبکم بغیبة الفاسقین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ببدعته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لکیلا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فی المکاسب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إرادة،و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إذا زاد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زیادة منّا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ما بأیدینا من کتب السید و رسائله،نعم حکاه عنه الشهید فی الدروس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لم یذکر إلّا إلقاء الصیغة علی المتعاقدین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علیه السیّد الطباطبائی فی الریاض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السید العاملی فی مفتاح الکرامة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المستأجر به،و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المستأجر 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طلب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طلب الحاجة إلی یؤکّدها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المملوک المستحق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للمستأجر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کاشف الغطاء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الفعل یتعیّن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بالفعل یتعیّن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فلأنه بفعله یتعیّن 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لعدم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التفصیل فی الإیضاح،نعم سیأتی عنه التفصیل فی الکفائی بین العبادی و التوصّلی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،و حکاه عنه النراقی فی المستند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فی المختلف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غیره،و المحقق فی الشرائع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صلاة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رسائل الشهید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تعیّنیاً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الطباطبائی فی مصابیحه،کما 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 جواز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لیشمل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لتأخیر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فیستحقّ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تعیینیاً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بعد تشخیص الداء،لکن شطب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 تشخیص الداء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 غیره من الأبواب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الأخذ علیه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مستحباً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یتخیّلون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أنفسهم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أمکن الإخلاص لم یناف لأخذ الأُجرة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یعتبر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،الباب الأوّل من أبواب النیابة فی الحجّ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،الباب الأوّل من أبواب النیابة فی الحجّ،الحدیث الأوّل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کذلک لو استؤجر،و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لو استؤجر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المصرّح بعدم الاحتساب مطلقاً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السابقة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علیه،و لعلّه یشیر إلی ما ذکره الشهید الثانی فی حاشیته علی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،أو المحقق الکرکی فی حاشیته علی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السیّد العاملی فی مفتاح الکرامة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،کتاب الصلاة،المسألة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المصادر الحدیثیة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بالأُجرة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84:161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،الباب الأوّل من أبواب الشهادات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المستحبات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غیره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کأنّ،و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لکونه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فیتعیّن،و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،لکن مع تقییدهما بصورة عدم التعین علیه،و أمّا مع عدم التعیّن 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الأشهر المنع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سبابة،و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سیابة،و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سلیمان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الأدم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مضمرة عثمان بن عیسی،و روایة الکافی المتقدّمتین آنفاً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یوضع الورق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یجیء آخر فیکتب السورة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الحارث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البحث عن بیع المصحف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النقش التی،و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المنقش التی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یتفاوت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لجزء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النقوش،و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المنقوش</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الطباطبائی فی مصابیحه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تبعه صاحب الجواهر،انظر الجواهر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یَجْعَلَ اللّٰهُ لِلْکٰافِرِینَ عَلَی الْمُؤْمِنِینَ سَبِیلاً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روایة حماد بن عیسی المرویة فی 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البیع،و الإجماع المدّعی فی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،الباب الأوّل من کتاب الفرائض و المواریث،الحدیث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الشرائع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لم نقف علی القائل به بعینه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مستقلا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 أو معناه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أثبتناه؛لرجوع الضمیر إلی الوجهین؛حیث حکی السید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بالتحریم عن المحقق الکرکی،و الجواز عن فخر الدین فی شرح الإرشاد،انظر مفتاح الکرامة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حاشیة الشرائع للمحقّق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أمّا شرح الإرشاد فهو مخطوط و لا یوجد لدینا،نعم استقرب الکراهة فی الإیضاح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التکسب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قریته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أدخل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طعامه،و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أهدی إلی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أهدی إلیّ هذا الوکیل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أنا نلت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 طعامه و أقبل برّه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الثالث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 انتفاؤه فی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فرض عدم ابتلائه بأحدهما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2:1026</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18:261</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الریاض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لمثل قولهم،و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بمثل قوله،و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لمثل قوله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قبلته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بحلّیة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،و حکاه السید العاملی فی مفتاح الکرامة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18:214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آداب القاضی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فیختصّ</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بالطهریة،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بالتطهیر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المقدار الحلال طاهراً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محکوماً صحّ</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لتطهیره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الحکم بالاستحباب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یشرب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شیء إلی علی حیلة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کلمات الأصحاب،نعم مقتضی فتوی المشهور بعدم وجوب الخمس فی الجوائز و الهدایا حمل تلک الأخبار علی الاستحباب،قال المحقق السبزواری قدّس سرّه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بین الأصحاب وجوب الخمس فی جمیع أنواع التکسّب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تجارة و صناعة و زراعة و غیر ذلک عدا المیراث و الصداق و الهبة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فی الحدائق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یصرفها فی مصارف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المجهول المالک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جوائز السلطان الجائر،و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جوائز الجائر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،و راجع النص فی الوسائل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لک حلال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 الذی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محتملاته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 بخطٍّ مغایر لخطّ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یعرّضه الجائر لتملیکه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لم یعرضه الجائر لتملیکه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أذن له إلی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علم أنّ المجیز قد أجازه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تؤثّر فیه لما کلّف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،نفس الباب،الحدیث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تعلم أنّه حرام بعینه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الخبر،و الظاهر أنّه لا حاجة إلیه؛لأنّ الخبر مذکور بتمامه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المحمولة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أحجّ بها؟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روایة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الروایة مضمرة،و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جوائز العمّال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لشمول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فیمکن،و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 سابقاً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ذکرهم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الصورة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إشکال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إشکال حینئذٍ فی حرمته علی الآخذ</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هذه 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تنادی،و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تتنادی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فی الجواهر </w:t>
      </w:r>
      <w:r>
        <w:rPr>
          <w:rFonts w:eastAsia="IRNazanin" w:cs="IRNazanin"/>
          <w:b w:val="false"/>
          <w:bCs w:val="false"/>
          <w:i w:val="false"/>
          <w:iCs w:val="false"/>
          <w:color w:val="333333"/>
          <w:sz w:val="20"/>
          <w:szCs w:val="20"/>
        </w:rPr>
        <w:t>22:179</w:t>
      </w:r>
      <w:r>
        <w:rPr>
          <w:rFonts w:ascii="IRNazanin" w:hAnsi="IRNazanin" w:eastAsia="IRNazanin"/>
          <w:b w:val="false"/>
          <w:b w:val="false"/>
          <w:bCs w:val="false"/>
          <w:i w:val="false"/>
          <w:i w:val="false"/>
          <w:iCs w:val="false"/>
          <w:color w:val="333333"/>
          <w:sz w:val="20"/>
          <w:sz w:val="20"/>
          <w:szCs w:val="20"/>
          <w:rtl w:val="true"/>
        </w:rPr>
        <w:t>،و 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دافع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بغصبها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21:426</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17:583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 ما أشبهه،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إمکان الفرق بینه و بین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محلّها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الأخبار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38:359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مصرّح بهذا،و لعلّه یظهر من إطلاق من أوجب الاجتهاد، کما استظهره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الأجر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الرمز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الوصیة بها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منزلتها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بإطلاقه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علیه السلام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الصدقات،الحدیث الأوّل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أُنظر الوسائل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زید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و اللّه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فاقسمه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منه،و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الفقیه،و فی الکافی و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فقسّمته بین إخوانی،و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فقسّمه بین أصحابه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اللقطة،الحدیث الأوّل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یخیّر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یبقی الدفع إلی الحاکم و التصدّق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کتبت فی الهامش مشیراً إلی محلّها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یؤذن فیه من المالک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خمسة أسطر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اللقطة،الحدیث الأوّل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التحریر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،و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الطباطبائی فی الریاض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،و ولده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18:239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نتعدّ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حفص بن غیاث المتقدّمة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بمنزلة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بتلک الأموال،و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 الأموال،و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المتعلّقة بذلک،و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بالأموال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المفروض ثبوت الولایة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 فحکمه حکم الحلال المختلط بالحرام،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 القسم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الرابعة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الاشتراک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الانصراف،کما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أتلفه هذا الظالم عدواناً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لعدم تعلّق،و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تعلّق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أُروش</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عمّال السلطان،و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السلطان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فلیجتنب،و لم ترد الکلمة فی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فیبیعناها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شراء ذلک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فنأخذه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شرائه منه من غیر 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تقدّم ذکرهم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نسخة بدل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السمال،و فی نسختی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السماک،الشمال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السمال،و فی نسختی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السماک،الشمال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ذلک،کما فی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مالٍ یجوز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بالنصف و الثلث و الربع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بفتح الخاء و کسرها و سکون الباء بمعنی المخابرة،و هی المزارعة ببعض ما یخرج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مزارعة أهل الخراج بالربع و النصف و الثلث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أُنظر الوسائل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لأکرتی،و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أُؤاجرها أکرتی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الإجارة،و غیرهما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الحدیثیة فی هذه العبارة،ففی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أبی زیاد،و فی 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أبی ابن زیاد،و فی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ابن زیاد،و فی 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أنّها کانت لأبی عبد اللّه علیه السلام فغصبت منه،انظر الکافی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أستأذن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شرحه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 الفهارس علی شرحٍ للسیّد عمید الدین الأعرجی للنافع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 الفاضل القطیفی فی 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الفاضل السیّد ابن عبد الحمید الحسینی فی شرحه للنافع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منشأ ما نسبه المؤلف قدّس سرّه هو ما ذکره السیّد العاملی فی مفتاح الکرامة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،و راجع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،و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الشیخ الطوسی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21:336</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القاضی فی المهذّب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القواعد،لا یوجد لدینا،و حکاه المحقق الثانی فی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الامتناع من تسلیم ثمنها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 فی سائر النسخ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الکلمة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نسخة بدل،و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فیجتنب،و فی هامشهما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أُنظر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الصدقة لأهلها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المال لا یبقی علی هذا أنْ یزکّیه مرّتین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ذکر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،و راجع الصفحة السابقة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الانقطاع،و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و قلته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الأوّل،مع اختلاف یسیر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مستعمل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متمکّناً فی صرفها فی وجهها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راجع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الباء الجارّة،فصارت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قطع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یملکه،بدل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لا یملکه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،و لم نعثر علیه فی غیر التذکرة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فیها،لکن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تقدّم شطر منها فی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الغلّات،الحدیث الأوّل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 إسماعیل بن فضل المتقدّم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المقاسمة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الجائر و المعتقد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یزاد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صاحب الجواهر قدّس سرّه،انظر الجواهر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نعم،حکاه السید العاملی فی مفتاح الکرامة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لا یوجد لدینا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 الجواهر،کما تقدّم فی الصفحة السابقة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انصرافها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لکن لیس فی روایة إسحاق ما یدلّ علی الاختصاص،فراجع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القطیفی فی رسالة 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الخراجیّات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القاعدة مستفادة من روایات عدیدة،انظر الوسائل </w:t>
      </w:r>
      <w:r>
        <w:rPr>
          <w:rFonts w:eastAsia="IRNazanin" w:cs="IRNazanin"/>
          <w:b w:val="false"/>
          <w:bCs w:val="false"/>
          <w:i w:val="false"/>
          <w:iCs w:val="false"/>
          <w:color w:val="333333"/>
          <w:sz w:val="20"/>
          <w:szCs w:val="20"/>
        </w:rPr>
        <w:t>15:320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الطلاق،و </w:t>
      </w:r>
      <w:r>
        <w:rPr>
          <w:rFonts w:eastAsia="IRNazanin" w:cs="IRNazanin"/>
          <w:b w:val="false"/>
          <w:bCs w:val="false"/>
          <w:i w:val="false"/>
          <w:iCs w:val="false"/>
          <w:color w:val="333333"/>
          <w:sz w:val="20"/>
          <w:szCs w:val="20"/>
        </w:rPr>
        <w:t>17:485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علیه،نعم شبّه الفاضل القطیفی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رسالة السراج الوهّاج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الخراجیات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نحن فیه بجواز ابتیاع عوض الخمر من الیهود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عمید الدین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سنین،و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کان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سنین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الرائع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عاصیاً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الخراجیة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انظر تأریخ الطبری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التذکرة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حنیفة و بعض الشافعیة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أمرین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مسلم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اشتهر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أخبره عدلان،و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الأمارات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الخراجیّة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الرائد،و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بن یزید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عبیدة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مصادرها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مطابق للمصدر،و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یعلمه أحد،و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علمه أحد،و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أعلمه أحد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مطابق للمصدر،و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یناظر فی ذلک غیری،و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یناظرنی غیره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،باب السبعة،الحدیث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یثبتون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تأریخ الطبری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الکامل فی التأریخ لابن الأثیر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لکنهما ذکرا حضور أبی محمد الحسن و أبی عبد اللّه الحسین علیهما السلام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عمّار بن یاسر رضی اللّه عنه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بالمفتوحات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العدو،الحدیث الأوّل،و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 هذا الدین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 الصحیح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،الباب الأوّل من أبواب الأنفال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العدوّ،و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الأنفال،الحدیث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قابل،و فی نسخة بدل أکثرها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علمائنا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أُنظر الخلاف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،کتاب إحیاء الموات،المسألة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،الباب الأوّل من أبواب الأنفال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،کتاب الزکاة،المسألة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الموات لیس من أموالهم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المسامحة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و ما یتبعها،و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یتبعها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،کتاب الفیء و قسمة الغنائم،المسألة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 العراق،و هی فی آخر حدود السواد ممّا یلی الجبال من بغداد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قرب الکوفة،من جهة البرّ،بینها و بین الکوفة خمسة عشر فرسخاً، و بینها و بین العذیب أربعة أمیال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3:1054</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 قادسیة الکوفة إلیه،و کانت مسلحة للفرس،بینها و بین القادسیة حائطان متّصلان،بینهما نخل،و هی ستة أمیال،فإذا خرجت منه دخلت البادیة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مماتاً،و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سباخاً و مواتاً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 بهذا الاسم بلیدة شبیهة بالقریة،بینها و بین بغداد ستة فراسخ،و أهلها فلّاحون یزرعون و یحصدون، و الغالب علی أهلها التشیّع علی مذهب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بالمدینة الشرقیة قرب الإیوان قبر سلمان الفارسی رضی اللّه عنه،و علیه مشهد یزار إلی وقتنا هذا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العبارة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29965</Words>
  <Characters>133798</Characters>
  <CharactersWithSpaces>162577</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2026-08-26T02:16:21Z</dcterms:created>
  <dc:creator>ghaemiyeh.com</dc:creator>
  <dc:description/>
  <dc:language>en-US</dc:language>
  <cp:lastModifiedBy/>
  <dcterms:modified xsi:type="dcterms:W3CDTF">2026-08-26T05:46:47Z</dcterms:modified>
  <cp:revision>1</cp:revision>
  <dc:subject/>
  <dc:title>المکاسب جلد 2</dc:title>
</cp:coreProperties>
</file>

<file path=docProps/custom.xml><?xml version="1.0" encoding="utf-8"?>
<Properties xmlns="http://schemas.openxmlformats.org/officeDocument/2006/custom-properties" xmlns:vt="http://schemas.openxmlformats.org/officeDocument/2006/docPropsVTypes"/>
</file>