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اصول الفقه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3417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493419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493421_2314609296">
            <w:r>
              <w:rPr>
                <w:webHidden/>
                <w:rStyle w:val="IndexLink"/>
                <w:rtl w:val="true"/>
              </w:rPr>
              <w:t>[</w:t>
            </w:r>
            <w:r>
              <w:rPr>
                <w:rStyle w:val="IndexLink"/>
                <w:rtl w:val="true"/>
              </w:rPr>
              <w:t>المقدمة</w:t>
            </w:r>
            <w:r>
              <w:rPr>
                <w:rStyle w:val="IndexLink"/>
                <w:rtl w:val="true"/>
              </w:rPr>
              <w:t>]</w:t>
              <w:tab/>
            </w:r>
            <w:r>
              <w:rPr>
                <w:rStyle w:val="IndexLink"/>
              </w:rPr>
              <w:t>10</w:t>
            </w:r>
          </w:hyperlink>
        </w:p>
        <w:p>
          <w:pPr>
            <w:pStyle w:val="Contents3"/>
            <w:tabs>
              <w:tab w:val="clear" w:pos="8459"/>
              <w:tab w:val="right" w:pos="9026" w:leader="dot"/>
            </w:tabs>
            <w:rPr/>
          </w:pPr>
          <w:hyperlink w:anchor="__RefHeading___Toc3493423_2314609296">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493425_2314609296">
            <w:r>
              <w:rPr>
                <w:webHidden/>
                <w:rStyle w:val="IndexLink"/>
                <w:rtl w:val="true"/>
              </w:rPr>
              <w:t>مدخل البحث</w:t>
            </w:r>
            <w:r>
              <w:rPr>
                <w:rStyle w:val="IndexLink"/>
                <w:rtl w:val="true"/>
              </w:rPr>
              <w:tab/>
            </w:r>
            <w:r>
              <w:rPr>
                <w:rStyle w:val="IndexLink"/>
              </w:rPr>
              <w:t>11</w:t>
            </w:r>
          </w:hyperlink>
        </w:p>
        <w:p>
          <w:pPr>
            <w:pStyle w:val="Contents3"/>
            <w:tabs>
              <w:tab w:val="clear" w:pos="8459"/>
              <w:tab w:val="right" w:pos="9026" w:leader="dot"/>
            </w:tabs>
            <w:rPr/>
          </w:pPr>
          <w:hyperlink w:anchor="__RefHeading___Toc3493427_2314609296">
            <w:r>
              <w:rPr>
                <w:webHidden/>
                <w:rStyle w:val="IndexLink"/>
                <w:rtl w:val="true"/>
              </w:rPr>
              <w:t>مواضیع البحث</w:t>
            </w:r>
            <w:r>
              <w:rPr>
                <w:rStyle w:val="IndexLink"/>
                <w:rtl w:val="true"/>
              </w:rPr>
              <w:tab/>
            </w:r>
            <w:r>
              <w:rPr>
                <w:rStyle w:val="IndexLink"/>
              </w:rPr>
              <w:t>13</w:t>
            </w:r>
          </w:hyperlink>
        </w:p>
        <w:p>
          <w:pPr>
            <w:pStyle w:val="Contents3"/>
            <w:tabs>
              <w:tab w:val="clear" w:pos="8459"/>
              <w:tab w:val="right" w:pos="9026" w:leader="dot"/>
            </w:tabs>
            <w:rPr/>
          </w:pPr>
          <w:hyperlink w:anchor="__RefHeading___Toc3493429_2314609296">
            <w:r>
              <w:rPr>
                <w:webHidden/>
                <w:rStyle w:val="IndexLink"/>
                <w:rtl w:val="true"/>
              </w:rPr>
              <w:t>الباب الأول النجف الأشرف جامعة علمیة دینیة من القرن الخامس الهجری</w:t>
            </w:r>
            <w:r>
              <w:rPr>
                <w:rStyle w:val="IndexLink"/>
                <w:rtl w:val="true"/>
              </w:rPr>
              <w:tab/>
            </w:r>
            <w:r>
              <w:rPr>
                <w:rStyle w:val="IndexLink"/>
              </w:rPr>
              <w:t>16</w:t>
            </w:r>
          </w:hyperlink>
        </w:p>
        <w:p>
          <w:pPr>
            <w:pStyle w:val="Contents4"/>
            <w:tabs>
              <w:tab w:val="clear" w:pos="8176"/>
              <w:tab w:val="right" w:pos="9026" w:leader="dot"/>
            </w:tabs>
            <w:rPr/>
          </w:pPr>
          <w:hyperlink w:anchor="__RefHeading___Toc3493431_2314609296">
            <w:r>
              <w:rPr>
                <w:webHidden/>
                <w:rStyle w:val="IndexLink"/>
                <w:rtl w:val="true"/>
              </w:rPr>
              <w:t>الفصل الأوّل جامعة النجف إحدی أبرز الجامعات الإسلامیة منذ تاریخها القدیم</w:t>
            </w:r>
            <w:r>
              <w:rPr>
                <w:rStyle w:val="IndexLink"/>
                <w:rtl w:val="true"/>
              </w:rPr>
              <w:tab/>
            </w:r>
            <w:r>
              <w:rPr>
                <w:rStyle w:val="IndexLink"/>
              </w:rPr>
              <w:t>16</w:t>
            </w:r>
          </w:hyperlink>
        </w:p>
        <w:p>
          <w:pPr>
            <w:pStyle w:val="Contents4"/>
            <w:tabs>
              <w:tab w:val="clear" w:pos="8176"/>
              <w:tab w:val="right" w:pos="9026" w:leader="dot"/>
            </w:tabs>
            <w:rPr/>
          </w:pPr>
          <w:hyperlink w:anchor="__RefHeading___Toc3493433_2314609296">
            <w:r>
              <w:rPr>
                <w:webHidden/>
                <w:rStyle w:val="IndexLink"/>
                <w:rtl w:val="true"/>
              </w:rPr>
              <w:t>الفصل الثانی الجامعة العلمیة النجفیة بعد عهد السید بحر العلوم حتی السید الاصفهانی</w:t>
            </w:r>
            <w:r>
              <w:rPr>
                <w:rStyle w:val="IndexLink"/>
                <w:rtl w:val="true"/>
              </w:rPr>
              <w:tab/>
            </w:r>
            <w:r>
              <w:rPr>
                <w:rStyle w:val="IndexLink"/>
              </w:rPr>
              <w:t>28</w:t>
            </w:r>
          </w:hyperlink>
        </w:p>
        <w:p>
          <w:pPr>
            <w:pStyle w:val="Contents3"/>
            <w:tabs>
              <w:tab w:val="clear" w:pos="8459"/>
              <w:tab w:val="right" w:pos="9026" w:leader="dot"/>
            </w:tabs>
            <w:rPr/>
          </w:pPr>
          <w:hyperlink w:anchor="__RefHeading___Toc3493435_2314609296">
            <w:r>
              <w:rPr>
                <w:webHidden/>
                <w:rStyle w:val="IndexLink"/>
                <w:rtl w:val="true"/>
              </w:rPr>
              <w:t>الباب الثانی شیخنا الحلی وجود شاخص فی الجامعة العلمیة الدینیة النجفیة</w:t>
            </w:r>
            <w:r>
              <w:rPr>
                <w:rStyle w:val="IndexLink"/>
                <w:rtl w:val="true"/>
              </w:rPr>
              <w:tab/>
            </w:r>
            <w:r>
              <w:rPr>
                <w:rStyle w:val="IndexLink"/>
              </w:rPr>
              <w:t>37</w:t>
            </w:r>
          </w:hyperlink>
        </w:p>
        <w:p>
          <w:pPr>
            <w:pStyle w:val="Contents4"/>
            <w:tabs>
              <w:tab w:val="clear" w:pos="8176"/>
              <w:tab w:val="right" w:pos="9026" w:leader="dot"/>
            </w:tabs>
            <w:rPr/>
          </w:pPr>
          <w:hyperlink w:anchor="__RefHeading___Toc3493437_2314609296">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493439_2314609296">
            <w:r>
              <w:rPr>
                <w:webHidden/>
                <w:rStyle w:val="IndexLink"/>
                <w:rtl w:val="true"/>
              </w:rPr>
              <w:t>الفصل الأول عصر شیخنا الحلی و موقعه فیه</w:t>
            </w:r>
            <w:r>
              <w:rPr>
                <w:rStyle w:val="IndexLink"/>
                <w:rtl w:val="true"/>
              </w:rPr>
              <w:tab/>
            </w:r>
            <w:r>
              <w:rPr>
                <w:rStyle w:val="IndexLink"/>
              </w:rPr>
              <w:t>38</w:t>
            </w:r>
          </w:hyperlink>
        </w:p>
        <w:p>
          <w:pPr>
            <w:pStyle w:val="Contents5"/>
            <w:tabs>
              <w:tab w:val="clear" w:pos="7892"/>
              <w:tab w:val="right" w:pos="9026" w:leader="dot"/>
            </w:tabs>
            <w:rPr/>
          </w:pPr>
          <w:hyperlink w:anchor="__RefHeading___Toc3493441_2314609296">
            <w:r>
              <w:rPr>
                <w:webHidden/>
                <w:rStyle w:val="IndexLink"/>
                <w:rtl w:val="true"/>
              </w:rPr>
              <w:t>أ</w:t>
            </w:r>
            <w:r>
              <w:rPr>
                <w:rStyle w:val="IndexLink"/>
                <w:rtl w:val="true"/>
              </w:rPr>
              <w:t xml:space="preserve">- </w:t>
            </w:r>
            <w:r>
              <w:rPr>
                <w:rStyle w:val="IndexLink"/>
                <w:rtl w:val="true"/>
              </w:rPr>
              <w:t>مراجع عصره</w:t>
            </w:r>
            <w:r>
              <w:rPr>
                <w:rStyle w:val="IndexLink"/>
                <w:rtl w:val="true"/>
              </w:rPr>
              <w:tab/>
            </w:r>
            <w:r>
              <w:rPr>
                <w:rStyle w:val="IndexLink"/>
              </w:rPr>
              <w:t>38</w:t>
            </w:r>
          </w:hyperlink>
        </w:p>
        <w:p>
          <w:pPr>
            <w:pStyle w:val="Contents5"/>
            <w:tabs>
              <w:tab w:val="clear" w:pos="7892"/>
              <w:tab w:val="right" w:pos="9026" w:leader="dot"/>
            </w:tabs>
            <w:rPr/>
          </w:pPr>
          <w:hyperlink w:anchor="__RefHeading___Toc3493443_2314609296">
            <w:r>
              <w:rPr>
                <w:webHidden/>
                <w:rStyle w:val="IndexLink"/>
                <w:rtl w:val="true"/>
              </w:rPr>
              <w:t>ب</w:t>
            </w:r>
            <w:r>
              <w:rPr>
                <w:rStyle w:val="IndexLink"/>
                <w:rtl w:val="true"/>
              </w:rPr>
              <w:t xml:space="preserve">- </w:t>
            </w:r>
            <w:r>
              <w:rPr>
                <w:rStyle w:val="IndexLink"/>
                <w:rtl w:val="true"/>
              </w:rPr>
              <w:t>نسب الشیخ الحلی و نشأته</w:t>
            </w:r>
            <w:r>
              <w:rPr>
                <w:rStyle w:val="IndexLink"/>
                <w:rtl w:val="true"/>
              </w:rPr>
              <w:t>:</w:t>
              <w:tab/>
            </w:r>
            <w:r>
              <w:rPr>
                <w:rStyle w:val="IndexLink"/>
              </w:rPr>
              <w:t>42</w:t>
            </w:r>
          </w:hyperlink>
        </w:p>
        <w:p>
          <w:pPr>
            <w:pStyle w:val="Contents5"/>
            <w:tabs>
              <w:tab w:val="clear" w:pos="7892"/>
              <w:tab w:val="right" w:pos="9026" w:leader="dot"/>
            </w:tabs>
            <w:rPr/>
          </w:pPr>
          <w:hyperlink w:anchor="__RefHeading___Toc3493445_2314609296">
            <w:r>
              <w:rPr>
                <w:webHidden/>
                <w:rStyle w:val="IndexLink"/>
                <w:rtl w:val="true"/>
              </w:rPr>
              <w:t>ج</w:t>
            </w:r>
            <w:r>
              <w:rPr>
                <w:rStyle w:val="IndexLink"/>
                <w:rtl w:val="true"/>
              </w:rPr>
              <w:t xml:space="preserve">- </w:t>
            </w:r>
            <w:r>
              <w:rPr>
                <w:rStyle w:val="IndexLink"/>
                <w:rtl w:val="true"/>
              </w:rPr>
              <w:t>الشیخ الحلی علم بین مراجع عصره</w:t>
            </w:r>
            <w:r>
              <w:rPr>
                <w:rStyle w:val="IndexLink"/>
                <w:rtl w:val="true"/>
              </w:rPr>
              <w:t>:</w:t>
              <w:tab/>
            </w:r>
            <w:r>
              <w:rPr>
                <w:rStyle w:val="IndexLink"/>
              </w:rPr>
              <w:t>48</w:t>
            </w:r>
          </w:hyperlink>
        </w:p>
        <w:p>
          <w:pPr>
            <w:pStyle w:val="Contents5"/>
            <w:tabs>
              <w:tab w:val="clear" w:pos="7892"/>
              <w:tab w:val="right" w:pos="9026" w:leader="dot"/>
            </w:tabs>
            <w:rPr/>
          </w:pPr>
          <w:hyperlink w:anchor="__RefHeading___Toc3493447_2314609296">
            <w:r>
              <w:rPr>
                <w:webHidden/>
                <w:rStyle w:val="IndexLink"/>
                <w:rtl w:val="true"/>
              </w:rPr>
              <w:t>د</w:t>
            </w:r>
            <w:r>
              <w:rPr>
                <w:rStyle w:val="IndexLink"/>
                <w:rtl w:val="true"/>
              </w:rPr>
              <w:t xml:space="preserve">- </w:t>
            </w:r>
            <w:r>
              <w:rPr>
                <w:rStyle w:val="IndexLink"/>
                <w:rtl w:val="true"/>
              </w:rPr>
              <w:t>تأثره العلمی بالمیرزا النائینی</w:t>
            </w:r>
            <w:r>
              <w:rPr>
                <w:rStyle w:val="IndexLink"/>
                <w:rtl w:val="true"/>
              </w:rPr>
              <w:t>:</w:t>
              <w:tab/>
            </w:r>
            <w:r>
              <w:rPr>
                <w:rStyle w:val="IndexLink"/>
              </w:rPr>
              <w:t>49</w:t>
            </w:r>
          </w:hyperlink>
        </w:p>
        <w:p>
          <w:pPr>
            <w:pStyle w:val="Contents5"/>
            <w:tabs>
              <w:tab w:val="clear" w:pos="7892"/>
              <w:tab w:val="right" w:pos="9026" w:leader="dot"/>
            </w:tabs>
            <w:rPr/>
          </w:pPr>
          <w:hyperlink w:anchor="__RefHeading___Toc3493449_2314609296">
            <w:r>
              <w:rPr>
                <w:webHidden/>
                <w:rStyle w:val="IndexLink"/>
                <w:rtl w:val="true"/>
              </w:rPr>
              <w:t>ه</w:t>
            </w:r>
            <w:r>
              <w:rPr>
                <w:rStyle w:val="IndexLink"/>
                <w:rtl w:val="true"/>
              </w:rPr>
              <w:t xml:space="preserve">- </w:t>
            </w:r>
            <w:r>
              <w:rPr>
                <w:rStyle w:val="IndexLink"/>
                <w:rtl w:val="true"/>
              </w:rPr>
              <w:t>علاقته بالإمام الراحل السید محسن الحکیم</w:t>
            </w:r>
            <w:r>
              <w:rPr>
                <w:rStyle w:val="IndexLink"/>
                <w:rtl w:val="true"/>
              </w:rPr>
              <w:t xml:space="preserve">- </w:t>
            </w:r>
            <w:r>
              <w:rPr>
                <w:rStyle w:val="IndexLink"/>
                <w:rtl w:val="true"/>
              </w:rPr>
              <w:t>و المرجعیة العامة فی النجف</w:t>
            </w:r>
            <w:r>
              <w:rPr>
                <w:rStyle w:val="IndexLink"/>
                <w:rtl w:val="true"/>
              </w:rPr>
              <w:t>:</w:t>
              <w:tab/>
            </w:r>
            <w:r>
              <w:rPr>
                <w:rStyle w:val="IndexLink"/>
              </w:rPr>
              <w:t>53</w:t>
            </w:r>
          </w:hyperlink>
        </w:p>
        <w:p>
          <w:pPr>
            <w:pStyle w:val="Contents4"/>
            <w:tabs>
              <w:tab w:val="clear" w:pos="8176"/>
              <w:tab w:val="right" w:pos="9026" w:leader="dot"/>
            </w:tabs>
            <w:rPr/>
          </w:pPr>
          <w:hyperlink w:anchor="__RefHeading___Toc3493451_2314609296">
            <w:r>
              <w:rPr>
                <w:webHidden/>
                <w:rStyle w:val="IndexLink"/>
                <w:rtl w:val="true"/>
              </w:rPr>
              <w:t>الفصل الثانی عطاء الشیخ الحلی العلمی</w:t>
            </w:r>
            <w:r>
              <w:rPr>
                <w:rStyle w:val="IndexLink"/>
                <w:rtl w:val="true"/>
              </w:rPr>
              <w:tab/>
            </w:r>
            <w:r>
              <w:rPr>
                <w:rStyle w:val="IndexLink"/>
              </w:rPr>
              <w:t>57</w:t>
            </w:r>
          </w:hyperlink>
        </w:p>
        <w:p>
          <w:pPr>
            <w:pStyle w:val="Contents5"/>
            <w:tabs>
              <w:tab w:val="clear" w:pos="7892"/>
              <w:tab w:val="right" w:pos="9026" w:leader="dot"/>
            </w:tabs>
            <w:rPr/>
          </w:pPr>
          <w:hyperlink w:anchor="__RefHeading___Toc3493453_2314609296">
            <w:r>
              <w:rPr>
                <w:webHidden/>
                <w:rStyle w:val="IndexLink"/>
                <w:rtl w:val="true"/>
              </w:rPr>
              <w:t>أ</w:t>
            </w:r>
            <w:r>
              <w:rPr>
                <w:rStyle w:val="IndexLink"/>
                <w:rtl w:val="true"/>
              </w:rPr>
              <w:t xml:space="preserve">- </w:t>
            </w:r>
            <w:r>
              <w:rPr>
                <w:rStyle w:val="IndexLink"/>
                <w:rtl w:val="true"/>
              </w:rPr>
              <w:t>عطاء ثر</w:t>
            </w:r>
            <w:r>
              <w:rPr>
                <w:rStyle w:val="IndexLink"/>
                <w:rtl w:val="true"/>
              </w:rPr>
              <w:t>:</w:t>
              <w:tab/>
            </w:r>
            <w:r>
              <w:rPr>
                <w:rStyle w:val="IndexLink"/>
              </w:rPr>
              <w:t>57</w:t>
            </w:r>
          </w:hyperlink>
        </w:p>
        <w:p>
          <w:pPr>
            <w:pStyle w:val="Contents5"/>
            <w:tabs>
              <w:tab w:val="clear" w:pos="7892"/>
              <w:tab w:val="right" w:pos="9026" w:leader="dot"/>
            </w:tabs>
            <w:rPr/>
          </w:pPr>
          <w:hyperlink w:anchor="__RefHeading___Toc3493455_2314609296">
            <w:r>
              <w:rPr>
                <w:webHidden/>
                <w:rStyle w:val="IndexLink"/>
                <w:rtl w:val="true"/>
              </w:rPr>
              <w:t>ب</w:t>
            </w:r>
            <w:r>
              <w:rPr>
                <w:rStyle w:val="IndexLink"/>
                <w:rtl w:val="true"/>
              </w:rPr>
              <w:t xml:space="preserve">- </w:t>
            </w:r>
            <w:r>
              <w:rPr>
                <w:rStyle w:val="IndexLink"/>
                <w:rtl w:val="true"/>
              </w:rPr>
              <w:t>ترکة الشیخ العلمیة</w:t>
            </w:r>
            <w:r>
              <w:rPr>
                <w:rStyle w:val="IndexLink"/>
                <w:rtl w:val="true"/>
              </w:rPr>
              <w:t>:</w:t>
              <w:tab/>
            </w:r>
            <w:r>
              <w:rPr>
                <w:rStyle w:val="IndexLink"/>
              </w:rPr>
              <w:t>59</w:t>
            </w:r>
          </w:hyperlink>
        </w:p>
        <w:p>
          <w:pPr>
            <w:pStyle w:val="Contents6"/>
            <w:tabs>
              <w:tab w:val="clear" w:pos="7609"/>
              <w:tab w:val="right" w:pos="9026" w:leader="dot"/>
            </w:tabs>
            <w:rPr/>
          </w:pPr>
          <w:hyperlink w:anchor="__RefHeading___Toc3493457_2314609296">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3493459_2314609296">
            <w:r>
              <w:rPr>
                <w:webHidden/>
                <w:rStyle w:val="IndexLink"/>
                <w:rtl w:val="true"/>
              </w:rPr>
              <w:t>الأول</w:t>
            </w:r>
            <w:r>
              <w:rPr>
                <w:rStyle w:val="IndexLink"/>
                <w:rtl w:val="true"/>
              </w:rPr>
              <w:t xml:space="preserve">: </w:t>
            </w:r>
            <w:r>
              <w:rPr>
                <w:rStyle w:val="IndexLink"/>
                <w:rtl w:val="true"/>
              </w:rPr>
              <w:t>عطاؤه الفکری</w:t>
            </w:r>
            <w:r>
              <w:rPr>
                <w:rStyle w:val="IndexLink"/>
                <w:rtl w:val="true"/>
              </w:rPr>
              <w:t>.</w:t>
              <w:tab/>
            </w:r>
            <w:r>
              <w:rPr>
                <w:rStyle w:val="IndexLink"/>
              </w:rPr>
              <w:t>59</w:t>
            </w:r>
          </w:hyperlink>
        </w:p>
        <w:p>
          <w:pPr>
            <w:pStyle w:val="Contents6"/>
            <w:tabs>
              <w:tab w:val="clear" w:pos="7609"/>
              <w:tab w:val="right" w:pos="9026" w:leader="dot"/>
            </w:tabs>
            <w:rPr/>
          </w:pPr>
          <w:hyperlink w:anchor="__RefHeading___Toc3493461_2314609296">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3493463_2314609296">
            <w:r>
              <w:rPr>
                <w:webHidden/>
                <w:rStyle w:val="IndexLink"/>
                <w:rtl w:val="true"/>
              </w:rPr>
              <w:t>أولا</w:t>
            </w:r>
            <w:r>
              <w:rPr>
                <w:rStyle w:val="IndexLink"/>
                <w:rtl w:val="true"/>
              </w:rPr>
              <w:t xml:space="preserve">: </w:t>
            </w:r>
            <w:r>
              <w:rPr>
                <w:rStyle w:val="IndexLink"/>
                <w:rtl w:val="true"/>
              </w:rPr>
              <w:t>فی مجال الفقه</w:t>
            </w:r>
            <w:r>
              <w:rPr>
                <w:rStyle w:val="IndexLink"/>
                <w:rtl w:val="true"/>
              </w:rPr>
              <w:t>.</w:t>
              <w:tab/>
            </w:r>
            <w:r>
              <w:rPr>
                <w:rStyle w:val="IndexLink"/>
              </w:rPr>
              <w:t>59</w:t>
            </w:r>
          </w:hyperlink>
        </w:p>
        <w:p>
          <w:pPr>
            <w:pStyle w:val="Contents6"/>
            <w:tabs>
              <w:tab w:val="clear" w:pos="7609"/>
              <w:tab w:val="right" w:pos="9026" w:leader="dot"/>
            </w:tabs>
            <w:rPr/>
          </w:pPr>
          <w:hyperlink w:anchor="__RefHeading___Toc3493465_2314609296">
            <w:r>
              <w:rPr>
                <w:webHidden/>
                <w:rStyle w:val="IndexLink"/>
                <w:rtl w:val="true"/>
              </w:rPr>
              <w:t>ثانیا</w:t>
            </w:r>
            <w:r>
              <w:rPr>
                <w:rStyle w:val="IndexLink"/>
                <w:rtl w:val="true"/>
              </w:rPr>
              <w:t xml:space="preserve">: </w:t>
            </w:r>
            <w:r>
              <w:rPr>
                <w:rStyle w:val="IndexLink"/>
                <w:rtl w:val="true"/>
              </w:rPr>
              <w:t>فی مجال اصول الفقه</w:t>
            </w:r>
            <w:r>
              <w:rPr>
                <w:rStyle w:val="IndexLink"/>
                <w:rtl w:val="true"/>
              </w:rPr>
              <w:t>.</w:t>
              <w:tab/>
            </w:r>
            <w:r>
              <w:rPr>
                <w:rStyle w:val="IndexLink"/>
              </w:rPr>
              <w:t>60</w:t>
            </w:r>
          </w:hyperlink>
        </w:p>
        <w:p>
          <w:pPr>
            <w:pStyle w:val="Contents6"/>
            <w:tabs>
              <w:tab w:val="clear" w:pos="7609"/>
              <w:tab w:val="right" w:pos="9026" w:leader="dot"/>
            </w:tabs>
            <w:rPr/>
          </w:pPr>
          <w:hyperlink w:anchor="__RefHeading___Toc3493467_2314609296">
            <w:r>
              <w:rPr>
                <w:webHidden/>
                <w:rStyle w:val="IndexLink"/>
                <w:rtl w:val="true"/>
              </w:rPr>
              <w:t>ثالثا</w:t>
            </w:r>
            <w:r>
              <w:rPr>
                <w:rStyle w:val="IndexLink"/>
                <w:rtl w:val="true"/>
              </w:rPr>
              <w:t xml:space="preserve">: </w:t>
            </w:r>
            <w:r>
              <w:rPr>
                <w:rStyle w:val="IndexLink"/>
                <w:rtl w:val="true"/>
              </w:rPr>
              <w:t>کتب مشترکة</w:t>
            </w:r>
            <w:r>
              <w:rPr>
                <w:rStyle w:val="IndexLink"/>
                <w:rtl w:val="true"/>
              </w:rPr>
              <w:t>.</w:t>
              <w:tab/>
            </w:r>
            <w:r>
              <w:rPr>
                <w:rStyle w:val="IndexLink"/>
              </w:rPr>
              <w:t>61</w:t>
            </w:r>
          </w:hyperlink>
        </w:p>
        <w:p>
          <w:pPr>
            <w:pStyle w:val="Contents6"/>
            <w:tabs>
              <w:tab w:val="clear" w:pos="7609"/>
              <w:tab w:val="right" w:pos="9026" w:leader="dot"/>
            </w:tabs>
            <w:rPr/>
          </w:pPr>
          <w:hyperlink w:anchor="__RefHeading___Toc3493469_2314609296">
            <w:r>
              <w:rPr>
                <w:webHidden/>
                <w:rStyle w:val="IndexLink"/>
                <w:rtl w:val="true"/>
              </w:rPr>
              <w:t>الثانی</w:t>
            </w:r>
            <w:r>
              <w:rPr>
                <w:rStyle w:val="IndexLink"/>
                <w:rtl w:val="true"/>
              </w:rPr>
              <w:t xml:space="preserve">: </w:t>
            </w:r>
            <w:r>
              <w:rPr>
                <w:rStyle w:val="IndexLink"/>
                <w:rtl w:val="true"/>
              </w:rPr>
              <w:t>ما ترکه تلامیذه من عطاء الشیخ العلمی</w:t>
            </w:r>
            <w:r>
              <w:rPr>
                <w:rStyle w:val="IndexLink"/>
                <w:rtl w:val="true"/>
              </w:rPr>
              <w:t>.</w:t>
              <w:tab/>
            </w:r>
            <w:r>
              <w:rPr>
                <w:rStyle w:val="IndexLink"/>
              </w:rPr>
              <w:t>63</w:t>
            </w:r>
          </w:hyperlink>
        </w:p>
        <w:p>
          <w:pPr>
            <w:pStyle w:val="Contents6"/>
            <w:tabs>
              <w:tab w:val="clear" w:pos="7609"/>
              <w:tab w:val="right" w:pos="9026" w:leader="dot"/>
            </w:tabs>
            <w:rPr/>
          </w:pPr>
          <w:hyperlink w:anchor="__RefHeading___Toc3493471_2314609296">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3493473_2314609296">
            <w:r>
              <w:rPr>
                <w:webHidden/>
                <w:rStyle w:val="IndexLink"/>
                <w:rtl w:val="true"/>
              </w:rPr>
              <w:t>أولا</w:t>
            </w:r>
            <w:r>
              <w:rPr>
                <w:rStyle w:val="IndexLink"/>
                <w:rtl w:val="true"/>
              </w:rPr>
              <w:t xml:space="preserve">: </w:t>
            </w:r>
            <w:r>
              <w:rPr>
                <w:rStyle w:val="IndexLink"/>
                <w:rtl w:val="true"/>
              </w:rPr>
              <w:t>تقریرات تلامیذه</w:t>
            </w:r>
            <w:r>
              <w:rPr>
                <w:rStyle w:val="IndexLink"/>
                <w:rtl w:val="true"/>
              </w:rPr>
              <w:t>.</w:t>
              <w:tab/>
            </w:r>
            <w:r>
              <w:rPr>
                <w:rStyle w:val="IndexLink"/>
              </w:rPr>
              <w:t>63</w:t>
            </w:r>
          </w:hyperlink>
        </w:p>
        <w:p>
          <w:pPr>
            <w:pStyle w:val="Contents6"/>
            <w:tabs>
              <w:tab w:val="clear" w:pos="7609"/>
              <w:tab w:val="right" w:pos="9026" w:leader="dot"/>
            </w:tabs>
            <w:rPr/>
          </w:pPr>
          <w:hyperlink w:anchor="__RefHeading___Toc3493475_2314609296">
            <w:r>
              <w:rPr>
                <w:webHidden/>
                <w:rStyle w:val="IndexLink"/>
                <w:rtl w:val="true"/>
              </w:rPr>
              <w:t>ثانیا</w:t>
            </w:r>
            <w:r>
              <w:rPr>
                <w:rStyle w:val="IndexLink"/>
                <w:rtl w:val="true"/>
              </w:rPr>
              <w:t xml:space="preserve">: </w:t>
            </w:r>
            <w:r>
              <w:rPr>
                <w:rStyle w:val="IndexLink"/>
                <w:rtl w:val="true"/>
              </w:rPr>
              <w:t>المطبوع منها</w:t>
            </w:r>
            <w:r>
              <w:rPr>
                <w:rStyle w:val="IndexLink"/>
                <w:rtl w:val="true"/>
              </w:rPr>
              <w:t>.</w:t>
              <w:tab/>
            </w:r>
            <w:r>
              <w:rPr>
                <w:rStyle w:val="IndexLink"/>
              </w:rPr>
              <w:t>65</w:t>
            </w:r>
          </w:hyperlink>
        </w:p>
        <w:p>
          <w:pPr>
            <w:pStyle w:val="Contents6"/>
            <w:tabs>
              <w:tab w:val="clear" w:pos="7609"/>
              <w:tab w:val="right" w:pos="9026" w:leader="dot"/>
            </w:tabs>
            <w:rPr/>
          </w:pPr>
          <w:hyperlink w:anchor="__RefHeading___Toc3493477_2314609296">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3493479_2314609296">
            <w:r>
              <w:rPr>
                <w:webHidden/>
                <w:rStyle w:val="IndexLink"/>
                <w:rtl w:val="true"/>
              </w:rPr>
              <w:t>الأول</w:t>
            </w:r>
            <w:r>
              <w:rPr>
                <w:rStyle w:val="IndexLink"/>
                <w:rtl w:val="true"/>
              </w:rPr>
              <w:t xml:space="preserve">: </w:t>
            </w:r>
            <w:r>
              <w:rPr>
                <w:rStyle w:val="IndexLink"/>
                <w:rtl w:val="true"/>
              </w:rPr>
              <w:t xml:space="preserve">کتاب </w:t>
            </w:r>
            <w:r>
              <w:rPr>
                <w:rStyle w:val="IndexLink"/>
                <w:rtl w:val="true"/>
              </w:rPr>
              <w:t>«</w:t>
            </w:r>
            <w:r>
              <w:rPr>
                <w:rStyle w:val="IndexLink"/>
                <w:rtl w:val="true"/>
              </w:rPr>
              <w:t>دلیل العروة الوثقی</w:t>
            </w:r>
            <w:r>
              <w:rPr>
                <w:rStyle w:val="IndexLink"/>
                <w:rtl w:val="true"/>
              </w:rPr>
              <w:t xml:space="preserve">» </w:t>
            </w:r>
            <w:r>
              <w:rPr>
                <w:rStyle w:val="IndexLink"/>
                <w:rtl w:val="true"/>
              </w:rPr>
              <w:t>للمرحوم الشیخ حسن سعید الطهرانی،</w:t>
            </w:r>
            <w:r>
              <w:rPr>
                <w:rStyle w:val="IndexLink"/>
                <w:rtl w:val="true"/>
              </w:rPr>
              <w:tab/>
            </w:r>
            <w:r>
              <w:rPr>
                <w:rStyle w:val="IndexLink"/>
              </w:rPr>
              <w:t>65</w:t>
            </w:r>
          </w:hyperlink>
        </w:p>
        <w:p>
          <w:pPr>
            <w:pStyle w:val="Contents6"/>
            <w:tabs>
              <w:tab w:val="clear" w:pos="7609"/>
              <w:tab w:val="right" w:pos="9026" w:leader="dot"/>
            </w:tabs>
            <w:rPr/>
          </w:pPr>
          <w:hyperlink w:anchor="__RefHeading___Toc3493481_2314609296">
            <w:r>
              <w:rPr>
                <w:webHidden/>
                <w:rStyle w:val="IndexLink"/>
                <w:rtl w:val="true"/>
              </w:rPr>
              <w:t>الثانی</w:t>
            </w:r>
            <w:r>
              <w:rPr>
                <w:rStyle w:val="IndexLink"/>
                <w:rtl w:val="true"/>
              </w:rPr>
              <w:t xml:space="preserve">: </w:t>
            </w:r>
            <w:r>
              <w:rPr>
                <w:rStyle w:val="IndexLink"/>
                <w:rtl w:val="true"/>
              </w:rPr>
              <w:t xml:space="preserve">کتاب </w:t>
            </w:r>
            <w:r>
              <w:rPr>
                <w:rStyle w:val="IndexLink"/>
                <w:rtl w:val="true"/>
              </w:rPr>
              <w:t>«</w:t>
            </w:r>
            <w:r>
              <w:rPr>
                <w:rStyle w:val="IndexLink"/>
                <w:rtl w:val="true"/>
              </w:rPr>
              <w:t>بحوث فقهیة</w:t>
            </w:r>
            <w:r>
              <w:rPr>
                <w:rStyle w:val="IndexLink"/>
                <w:rtl w:val="true"/>
              </w:rPr>
              <w:t xml:space="preserve">» </w:t>
            </w:r>
            <w:r>
              <w:rPr>
                <w:rStyle w:val="IndexLink"/>
                <w:rtl w:val="true"/>
              </w:rPr>
              <w:t>للشهید السید عزّ الدین بحر العلوم من تقریرات آیة اللّه العظمی الشیخ الحلی،</w:t>
            </w:r>
            <w:r>
              <w:rPr>
                <w:rStyle w:val="IndexLink"/>
                <w:rtl w:val="true"/>
              </w:rPr>
              <w:tab/>
            </w:r>
            <w:r>
              <w:rPr>
                <w:rStyle w:val="IndexLink"/>
              </w:rPr>
              <w:t>67</w:t>
            </w:r>
          </w:hyperlink>
        </w:p>
        <w:p>
          <w:pPr>
            <w:pStyle w:val="Contents5"/>
            <w:tabs>
              <w:tab w:val="clear" w:pos="7892"/>
              <w:tab w:val="right" w:pos="9026" w:leader="dot"/>
            </w:tabs>
            <w:rPr/>
          </w:pPr>
          <w:hyperlink w:anchor="__RefHeading___Toc3493483_2314609296">
            <w:r>
              <w:rPr>
                <w:webHidden/>
                <w:rStyle w:val="IndexLink"/>
                <w:rtl w:val="true"/>
              </w:rPr>
              <w:t>ممیزات بحثیه الفقهی و الاصولی</w:t>
            </w:r>
            <w:r>
              <w:rPr>
                <w:rStyle w:val="IndexLink"/>
                <w:rtl w:val="true"/>
              </w:rPr>
              <w:t>:</w:t>
              <w:tab/>
            </w:r>
            <w:r>
              <w:rPr>
                <w:rStyle w:val="IndexLink"/>
              </w:rPr>
              <w:t>69</w:t>
            </w:r>
          </w:hyperlink>
        </w:p>
        <w:p>
          <w:pPr>
            <w:pStyle w:val="Contents6"/>
            <w:tabs>
              <w:tab w:val="clear" w:pos="7609"/>
              <w:tab w:val="right" w:pos="9026" w:leader="dot"/>
            </w:tabs>
            <w:rPr/>
          </w:pPr>
          <w:hyperlink w:anchor="__RefHeading___Toc3493485_2314609296">
            <w:r>
              <w:rPr>
                <w:webHidden/>
                <w:rStyle w:val="IndexLink"/>
                <w:rtl w:val="true"/>
              </w:rPr>
              <w:t>و یلاحظ أن شیخنا الحلی وجّه بحثه الفقهی إلی مسارین متوازیین</w:t>
            </w:r>
            <w:r>
              <w:rPr>
                <w:rStyle w:val="IndexLink"/>
                <w:rtl w:val="true"/>
              </w:rPr>
              <w:t>:</w:t>
              <w:tab/>
            </w:r>
            <w:r>
              <w:rPr>
                <w:rStyle w:val="IndexLink"/>
              </w:rPr>
              <w:t>69</w:t>
            </w:r>
          </w:hyperlink>
        </w:p>
        <w:p>
          <w:pPr>
            <w:pStyle w:val="Contents6"/>
            <w:tabs>
              <w:tab w:val="clear" w:pos="7609"/>
              <w:tab w:val="right" w:pos="9026" w:leader="dot"/>
            </w:tabs>
            <w:rPr/>
          </w:pPr>
          <w:hyperlink w:anchor="__RefHeading___Toc3493487_2314609296">
            <w:r>
              <w:rPr>
                <w:webHidden/>
                <w:rStyle w:val="IndexLink"/>
                <w:rtl w:val="true"/>
              </w:rPr>
              <w:t>الشیخ الحلی الاصولی</w:t>
            </w:r>
            <w:r>
              <w:rPr>
                <w:rStyle w:val="IndexLink"/>
                <w:rtl w:val="true"/>
              </w:rPr>
              <w:t>:</w:t>
              <w:tab/>
            </w:r>
            <w:r>
              <w:rPr>
                <w:rStyle w:val="IndexLink"/>
              </w:rPr>
              <w:t>70</w:t>
            </w:r>
          </w:hyperlink>
        </w:p>
        <w:p>
          <w:pPr>
            <w:pStyle w:val="Contents6"/>
            <w:tabs>
              <w:tab w:val="clear" w:pos="7609"/>
              <w:tab w:val="right" w:pos="9026" w:leader="dot"/>
            </w:tabs>
            <w:rPr/>
          </w:pPr>
          <w:hyperlink w:anchor="__RefHeading___Toc3493489_2314609296">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3493491_2314609296">
            <w:r>
              <w:rPr>
                <w:webHidden/>
                <w:rStyle w:val="IndexLink"/>
              </w:rPr>
              <w:t>1</w:t>
            </w:r>
            <w:r>
              <w:rPr>
                <w:rStyle w:val="IndexLink"/>
                <w:rtl w:val="true"/>
              </w:rPr>
              <w:t xml:space="preserve">- </w:t>
            </w:r>
            <w:r>
              <w:rPr>
                <w:rStyle w:val="IndexLink"/>
                <w:rtl w:val="true"/>
              </w:rPr>
              <w:t>فی التعریف</w:t>
            </w:r>
            <w:r>
              <w:rPr>
                <w:rStyle w:val="IndexLink"/>
                <w:rtl w:val="true"/>
              </w:rPr>
              <w:t>:</w:t>
              <w:tab/>
            </w:r>
            <w:r>
              <w:rPr>
                <w:rStyle w:val="IndexLink"/>
              </w:rPr>
              <w:t>71</w:t>
            </w:r>
          </w:hyperlink>
        </w:p>
        <w:p>
          <w:pPr>
            <w:pStyle w:val="Contents6"/>
            <w:tabs>
              <w:tab w:val="clear" w:pos="7609"/>
              <w:tab w:val="right" w:pos="9026" w:leader="dot"/>
            </w:tabs>
            <w:rPr/>
          </w:pPr>
          <w:hyperlink w:anchor="__RefHeading___Toc3493493_2314609296">
            <w:r>
              <w:rPr>
                <w:webHidden/>
                <w:rStyle w:val="IndexLink"/>
              </w:rPr>
              <w:t>2</w:t>
            </w:r>
            <w:r>
              <w:rPr>
                <w:rStyle w:val="IndexLink"/>
                <w:rtl w:val="true"/>
              </w:rPr>
              <w:t xml:space="preserve">- </w:t>
            </w:r>
            <w:r>
              <w:rPr>
                <w:rStyle w:val="IndexLink"/>
                <w:rtl w:val="true"/>
              </w:rPr>
              <w:t xml:space="preserve">تحقیق مصطلح </w:t>
            </w:r>
            <w:r>
              <w:rPr>
                <w:rStyle w:val="IndexLink"/>
                <w:rtl w:val="true"/>
              </w:rPr>
              <w:t>«</w:t>
            </w:r>
            <w:r>
              <w:rPr>
                <w:rStyle w:val="IndexLink"/>
                <w:rtl w:val="true"/>
              </w:rPr>
              <w:t>الحکومة</w:t>
            </w:r>
            <w:r>
              <w:rPr>
                <w:rStyle w:val="IndexLink"/>
                <w:rtl w:val="true"/>
              </w:rPr>
              <w:t xml:space="preserve">» </w:t>
            </w:r>
            <w:r>
              <w:rPr>
                <w:rStyle w:val="IndexLink"/>
                <w:rtl w:val="true"/>
              </w:rPr>
              <w:t xml:space="preserve">و </w:t>
            </w:r>
            <w:r>
              <w:rPr>
                <w:rStyle w:val="IndexLink"/>
                <w:rtl w:val="true"/>
              </w:rPr>
              <w:t>«</w:t>
            </w:r>
            <w:r>
              <w:rPr>
                <w:rStyle w:val="IndexLink"/>
                <w:rtl w:val="true"/>
              </w:rPr>
              <w:t>الورود</w:t>
            </w:r>
            <w:r>
              <w:rPr>
                <w:rStyle w:val="IndexLink"/>
                <w:rtl w:val="true"/>
              </w:rPr>
              <w:t>»:</w:t>
              <w:tab/>
            </w:r>
            <w:r>
              <w:rPr>
                <w:rStyle w:val="IndexLink"/>
              </w:rPr>
              <w:t>71</w:t>
            </w:r>
          </w:hyperlink>
        </w:p>
        <w:p>
          <w:pPr>
            <w:pStyle w:val="Contents6"/>
            <w:tabs>
              <w:tab w:val="clear" w:pos="7609"/>
              <w:tab w:val="right" w:pos="9026" w:leader="dot"/>
            </w:tabs>
            <w:rPr/>
          </w:pPr>
          <w:hyperlink w:anchor="__RefHeading___Toc3493495_2314609296">
            <w:r>
              <w:rPr>
                <w:webHidden/>
                <w:rStyle w:val="IndexLink"/>
              </w:rPr>
              <w:t>3</w:t>
            </w:r>
            <w:r>
              <w:rPr>
                <w:rStyle w:val="IndexLink"/>
                <w:rtl w:val="true"/>
              </w:rPr>
              <w:t xml:space="preserve">- </w:t>
            </w:r>
            <w:r>
              <w:rPr>
                <w:rStyle w:val="IndexLink"/>
                <w:rtl w:val="true"/>
              </w:rPr>
              <w:t>الوضع</w:t>
            </w:r>
            <w:r>
              <w:rPr>
                <w:rStyle w:val="IndexLink"/>
                <w:rtl w:val="true"/>
              </w:rPr>
              <w:t>:</w:t>
              <w:tab/>
            </w:r>
            <w:r>
              <w:rPr>
                <w:rStyle w:val="IndexLink"/>
              </w:rPr>
              <w:t>72</w:t>
            </w:r>
          </w:hyperlink>
        </w:p>
        <w:p>
          <w:pPr>
            <w:pStyle w:val="Contents6"/>
            <w:tabs>
              <w:tab w:val="clear" w:pos="7609"/>
              <w:tab w:val="right" w:pos="9026" w:leader="dot"/>
            </w:tabs>
            <w:rPr/>
          </w:pPr>
          <w:hyperlink w:anchor="__RefHeading___Toc3493497_2314609296">
            <w:r>
              <w:rPr>
                <w:webHidden/>
                <w:rStyle w:val="IndexLink"/>
                <w:rtl w:val="true"/>
              </w:rPr>
              <w:t>المرجعیة المعاصرة تعتمد آراء الشیخ الحلی</w:t>
            </w:r>
            <w:r>
              <w:rPr>
                <w:rStyle w:val="IndexLink"/>
                <w:rtl w:val="true"/>
              </w:rPr>
              <w:t>:</w:t>
              <w:tab/>
            </w:r>
            <w:r>
              <w:rPr>
                <w:rStyle w:val="IndexLink"/>
              </w:rPr>
              <w:t>73</w:t>
            </w:r>
          </w:hyperlink>
        </w:p>
        <w:p>
          <w:pPr>
            <w:pStyle w:val="Contents6"/>
            <w:tabs>
              <w:tab w:val="clear" w:pos="7609"/>
              <w:tab w:val="right" w:pos="9026" w:leader="dot"/>
            </w:tabs>
            <w:rPr/>
          </w:pPr>
          <w:hyperlink w:anchor="__RefHeading___Toc3493499_2314609296">
            <w:r>
              <w:rPr>
                <w:webHidden/>
                <w:rStyle w:val="IndexLink"/>
                <w:rtl w:val="true"/>
              </w:rPr>
              <w:t>من تتلمذ علیه؟</w:t>
            </w:r>
            <w:r>
              <w:rPr>
                <w:rStyle w:val="IndexLink"/>
                <w:rtl w:val="true"/>
              </w:rPr>
              <w:tab/>
            </w:r>
            <w:r>
              <w:rPr>
                <w:rStyle w:val="IndexLink"/>
              </w:rPr>
              <w:t>74</w:t>
            </w:r>
          </w:hyperlink>
        </w:p>
        <w:p>
          <w:pPr>
            <w:pStyle w:val="Contents3"/>
            <w:tabs>
              <w:tab w:val="clear" w:pos="8459"/>
              <w:tab w:val="right" w:pos="9026" w:leader="dot"/>
            </w:tabs>
            <w:rPr/>
          </w:pPr>
          <w:hyperlink w:anchor="__RefHeading___Toc3493501_2314609296">
            <w:r>
              <w:rPr>
                <w:webHidden/>
                <w:rStyle w:val="IndexLink"/>
                <w:rtl w:val="true"/>
              </w:rPr>
              <w:t>الباب الثالث الوجه الآخر لشیخنا الحلی</w:t>
            </w:r>
            <w:r>
              <w:rPr>
                <w:rStyle w:val="IndexLink"/>
                <w:rtl w:val="true"/>
              </w:rPr>
              <w:tab/>
            </w:r>
            <w:r>
              <w:rPr>
                <w:rStyle w:val="IndexLink"/>
              </w:rPr>
              <w:t>88</w:t>
            </w:r>
          </w:hyperlink>
        </w:p>
        <w:p>
          <w:pPr>
            <w:pStyle w:val="Contents4"/>
            <w:tabs>
              <w:tab w:val="clear" w:pos="8176"/>
              <w:tab w:val="right" w:pos="9026" w:leader="dot"/>
            </w:tabs>
            <w:rPr/>
          </w:pPr>
          <w:hyperlink w:anchor="__RefHeading___Toc3493503_2314609296">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3493505_2314609296">
            <w:r>
              <w:rPr>
                <w:webHidden/>
                <w:rStyle w:val="IndexLink"/>
                <w:rtl w:val="true"/>
              </w:rPr>
              <w:t>الفصل الأول ملامح إنسانیة لها الأثر فی بناء شخصیة مترجمنا الشیخ</w:t>
            </w:r>
            <w:r>
              <w:rPr>
                <w:rStyle w:val="IndexLink"/>
                <w:rtl w:val="true"/>
              </w:rPr>
              <w:tab/>
            </w:r>
            <w:r>
              <w:rPr>
                <w:rStyle w:val="IndexLink"/>
              </w:rPr>
              <w:t>89</w:t>
            </w:r>
          </w:hyperlink>
        </w:p>
        <w:p>
          <w:pPr>
            <w:pStyle w:val="Contents5"/>
            <w:tabs>
              <w:tab w:val="clear" w:pos="7892"/>
              <w:tab w:val="right" w:pos="9026" w:leader="dot"/>
            </w:tabs>
            <w:rPr/>
          </w:pPr>
          <w:hyperlink w:anchor="__RefHeading___Toc3493507_2314609296">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3493509_2314609296">
            <w:r>
              <w:rPr>
                <w:webHidden/>
                <w:rStyle w:val="IndexLink"/>
                <w:rtl w:val="true"/>
              </w:rPr>
              <w:t>أولا</w:t>
            </w:r>
            <w:r>
              <w:rPr>
                <w:rStyle w:val="IndexLink"/>
                <w:rtl w:val="true"/>
              </w:rPr>
              <w:t xml:space="preserve">: </w:t>
            </w:r>
            <w:r>
              <w:rPr>
                <w:rStyle w:val="IndexLink"/>
                <w:rtl w:val="true"/>
              </w:rPr>
              <w:t>ورعه و تقواه</w:t>
            </w:r>
            <w:r>
              <w:rPr>
                <w:rStyle w:val="IndexLink"/>
                <w:rtl w:val="true"/>
              </w:rPr>
              <w:t>.</w:t>
              <w:tab/>
            </w:r>
            <w:r>
              <w:rPr>
                <w:rStyle w:val="IndexLink"/>
              </w:rPr>
              <w:t>89</w:t>
            </w:r>
          </w:hyperlink>
        </w:p>
        <w:p>
          <w:pPr>
            <w:pStyle w:val="Contents5"/>
            <w:tabs>
              <w:tab w:val="clear" w:pos="7892"/>
              <w:tab w:val="right" w:pos="9026" w:leader="dot"/>
            </w:tabs>
            <w:rPr/>
          </w:pPr>
          <w:hyperlink w:anchor="__RefHeading___Toc3493511_2314609296">
            <w:r>
              <w:rPr>
                <w:webHidden/>
                <w:rStyle w:val="IndexLink"/>
                <w:rtl w:val="true"/>
              </w:rPr>
              <w:t>ثانیا</w:t>
            </w:r>
            <w:r>
              <w:rPr>
                <w:rStyle w:val="IndexLink"/>
                <w:rtl w:val="true"/>
              </w:rPr>
              <w:t xml:space="preserve">: </w:t>
            </w:r>
            <w:r>
              <w:rPr>
                <w:rStyle w:val="IndexLink"/>
                <w:rtl w:val="true"/>
              </w:rPr>
              <w:t>کرمه و عطاؤه</w:t>
            </w:r>
            <w:r>
              <w:rPr>
                <w:rStyle w:val="IndexLink"/>
                <w:rtl w:val="true"/>
              </w:rPr>
              <w:t>.</w:t>
              <w:tab/>
            </w:r>
            <w:r>
              <w:rPr>
                <w:rStyle w:val="IndexLink"/>
              </w:rPr>
              <w:t>90</w:t>
            </w:r>
          </w:hyperlink>
        </w:p>
        <w:p>
          <w:pPr>
            <w:pStyle w:val="Contents5"/>
            <w:tabs>
              <w:tab w:val="clear" w:pos="7892"/>
              <w:tab w:val="right" w:pos="9026" w:leader="dot"/>
            </w:tabs>
            <w:rPr/>
          </w:pPr>
          <w:hyperlink w:anchor="__RefHeading___Toc3493513_2314609296">
            <w:r>
              <w:rPr>
                <w:webHidden/>
                <w:rStyle w:val="IndexLink"/>
                <w:rtl w:val="true"/>
              </w:rPr>
              <w:t>ثالثا</w:t>
            </w:r>
            <w:r>
              <w:rPr>
                <w:rStyle w:val="IndexLink"/>
                <w:rtl w:val="true"/>
              </w:rPr>
              <w:t xml:space="preserve">: </w:t>
            </w:r>
            <w:r>
              <w:rPr>
                <w:rStyle w:val="IndexLink"/>
                <w:rtl w:val="true"/>
              </w:rPr>
              <w:t xml:space="preserve">أصدقاؤه </w:t>
            </w:r>
            <w:r>
              <w:rPr>
                <w:rStyle w:val="IndexLink"/>
                <w:rtl w:val="true"/>
              </w:rPr>
              <w:t>«</w:t>
            </w:r>
            <w:r>
              <w:rPr>
                <w:rStyle w:val="IndexLink"/>
                <w:rtl w:val="true"/>
              </w:rPr>
              <w:t>الصفوة</w:t>
            </w:r>
            <w:r>
              <w:rPr>
                <w:rStyle w:val="IndexLink"/>
                <w:rtl w:val="true"/>
              </w:rPr>
              <w:t>».</w:t>
              <w:tab/>
            </w:r>
            <w:r>
              <w:rPr>
                <w:rStyle w:val="IndexLink"/>
              </w:rPr>
              <w:t>91</w:t>
            </w:r>
          </w:hyperlink>
        </w:p>
        <w:p>
          <w:pPr>
            <w:pStyle w:val="Contents5"/>
            <w:tabs>
              <w:tab w:val="clear" w:pos="7892"/>
              <w:tab w:val="right" w:pos="9026" w:leader="dot"/>
            </w:tabs>
            <w:rPr/>
          </w:pPr>
          <w:hyperlink w:anchor="__RefHeading___Toc3493515_2314609296">
            <w:r>
              <w:rPr>
                <w:webHidden/>
                <w:rStyle w:val="IndexLink"/>
                <w:rtl w:val="true"/>
              </w:rPr>
              <w:t>رابعا</w:t>
            </w:r>
            <w:r>
              <w:rPr>
                <w:rStyle w:val="IndexLink"/>
                <w:rtl w:val="true"/>
              </w:rPr>
              <w:t xml:space="preserve">: </w:t>
            </w:r>
            <w:r>
              <w:rPr>
                <w:rStyle w:val="IndexLink"/>
                <w:rtl w:val="true"/>
              </w:rPr>
              <w:t>وفاؤه لإخوانه و أصدقائه</w:t>
            </w:r>
            <w:r>
              <w:rPr>
                <w:rStyle w:val="IndexLink"/>
                <w:rtl w:val="true"/>
              </w:rPr>
              <w:t>.</w:t>
              <w:tab/>
            </w:r>
            <w:r>
              <w:rPr>
                <w:rStyle w:val="IndexLink"/>
              </w:rPr>
              <w:t>93</w:t>
            </w:r>
          </w:hyperlink>
        </w:p>
        <w:p>
          <w:pPr>
            <w:pStyle w:val="Contents5"/>
            <w:tabs>
              <w:tab w:val="clear" w:pos="7892"/>
              <w:tab w:val="right" w:pos="9026" w:leader="dot"/>
            </w:tabs>
            <w:rPr/>
          </w:pPr>
          <w:hyperlink w:anchor="__RefHeading___Toc3493517_2314609296">
            <w:r>
              <w:rPr>
                <w:webHidden/>
                <w:rStyle w:val="IndexLink"/>
                <w:rtl w:val="true"/>
              </w:rPr>
              <w:t>خامسا</w:t>
            </w:r>
            <w:r>
              <w:rPr>
                <w:rStyle w:val="IndexLink"/>
                <w:rtl w:val="true"/>
              </w:rPr>
              <w:t xml:space="preserve">: </w:t>
            </w:r>
            <w:r>
              <w:rPr>
                <w:rStyle w:val="IndexLink"/>
                <w:rtl w:val="true"/>
              </w:rPr>
              <w:t>أخلاقه و تواضعه</w:t>
            </w:r>
            <w:r>
              <w:rPr>
                <w:rStyle w:val="IndexLink"/>
                <w:rtl w:val="true"/>
              </w:rPr>
              <w:t>.</w:t>
              <w:tab/>
            </w:r>
            <w:r>
              <w:rPr>
                <w:rStyle w:val="IndexLink"/>
              </w:rPr>
              <w:t>94</w:t>
            </w:r>
          </w:hyperlink>
        </w:p>
        <w:p>
          <w:pPr>
            <w:pStyle w:val="Contents4"/>
            <w:tabs>
              <w:tab w:val="clear" w:pos="8176"/>
              <w:tab w:val="right" w:pos="9026" w:leader="dot"/>
            </w:tabs>
            <w:rPr/>
          </w:pPr>
          <w:hyperlink w:anchor="__RefHeading___Toc3493519_2314609296">
            <w:r>
              <w:rPr>
                <w:webHidden/>
                <w:rStyle w:val="IndexLink"/>
                <w:rtl w:val="true"/>
              </w:rPr>
              <w:t>الفصل الثانی الشیخ الحلی و السیاسة</w:t>
            </w:r>
            <w:r>
              <w:rPr>
                <w:rStyle w:val="IndexLink"/>
                <w:rtl w:val="true"/>
              </w:rPr>
              <w:tab/>
            </w:r>
            <w:r>
              <w:rPr>
                <w:rStyle w:val="IndexLink"/>
              </w:rPr>
              <w:t>96</w:t>
            </w:r>
          </w:hyperlink>
        </w:p>
        <w:p>
          <w:pPr>
            <w:pStyle w:val="Contents5"/>
            <w:tabs>
              <w:tab w:val="clear" w:pos="7892"/>
              <w:tab w:val="right" w:pos="9026" w:leader="dot"/>
            </w:tabs>
            <w:rPr/>
          </w:pPr>
          <w:hyperlink w:anchor="__RefHeading___Toc3493521_2314609296">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3493523_2314609296">
            <w:r>
              <w:rPr>
                <w:webHidden/>
                <w:rStyle w:val="IndexLink"/>
                <w:rtl w:val="true"/>
              </w:rPr>
              <w:t>الشیخ الحلی و جهاد العلماء ضد الانکلیز</w:t>
            </w:r>
            <w:r>
              <w:rPr>
                <w:rStyle w:val="IndexLink"/>
                <w:rtl w:val="true"/>
              </w:rPr>
              <w:t>:</w:t>
              <w:tab/>
            </w:r>
            <w:r>
              <w:rPr>
                <w:rStyle w:val="IndexLink"/>
              </w:rPr>
              <w:t>97</w:t>
            </w:r>
          </w:hyperlink>
        </w:p>
        <w:p>
          <w:pPr>
            <w:pStyle w:val="Contents5"/>
            <w:tabs>
              <w:tab w:val="clear" w:pos="7892"/>
              <w:tab w:val="right" w:pos="9026" w:leader="dot"/>
            </w:tabs>
            <w:rPr/>
          </w:pPr>
          <w:hyperlink w:anchor="__RefHeading___Toc3493525_2314609296">
            <w:r>
              <w:rPr>
                <w:webHidden/>
                <w:rStyle w:val="IndexLink"/>
                <w:rtl w:val="true"/>
              </w:rPr>
              <w:t>و فی خضمّ المشروطة و المستبدة</w:t>
            </w:r>
            <w:r>
              <w:rPr>
                <w:rStyle w:val="IndexLink"/>
                <w:rtl w:val="true"/>
              </w:rPr>
              <w:tab/>
            </w:r>
            <w:r>
              <w:rPr>
                <w:rStyle w:val="IndexLink"/>
              </w:rPr>
              <w:t>102</w:t>
            </w:r>
          </w:hyperlink>
        </w:p>
        <w:p>
          <w:pPr>
            <w:pStyle w:val="Contents5"/>
            <w:tabs>
              <w:tab w:val="clear" w:pos="7892"/>
              <w:tab w:val="right" w:pos="9026" w:leader="dot"/>
            </w:tabs>
            <w:rPr/>
          </w:pPr>
          <w:hyperlink w:anchor="__RefHeading___Toc3493527_2314609296">
            <w:r>
              <w:rPr>
                <w:webHidden/>
                <w:rStyle w:val="IndexLink"/>
                <w:rtl w:val="true"/>
              </w:rPr>
              <w:t>الشیخ الحلی مع المشروطة أو المستبدة؟</w:t>
            </w:r>
            <w:r>
              <w:rPr>
                <w:rStyle w:val="IndexLink"/>
                <w:rtl w:val="true"/>
              </w:rPr>
              <w:tab/>
            </w:r>
            <w:r>
              <w:rPr>
                <w:rStyle w:val="IndexLink"/>
              </w:rPr>
              <w:t>103</w:t>
            </w:r>
          </w:hyperlink>
        </w:p>
        <w:p>
          <w:pPr>
            <w:pStyle w:val="Contents5"/>
            <w:tabs>
              <w:tab w:val="clear" w:pos="7892"/>
              <w:tab w:val="right" w:pos="9026" w:leader="dot"/>
            </w:tabs>
            <w:rPr/>
          </w:pPr>
          <w:hyperlink w:anchor="__RefHeading___Toc3493529_2314609296">
            <w:r>
              <w:rPr>
                <w:webHidden/>
                <w:rStyle w:val="IndexLink"/>
                <w:rtl w:val="true"/>
              </w:rPr>
              <w:t>الشیخ الحلی و أحداث العراق المعاصرة</w:t>
            </w:r>
            <w:r>
              <w:rPr>
                <w:rStyle w:val="IndexLink"/>
                <w:rtl w:val="true"/>
              </w:rPr>
              <w:tab/>
            </w:r>
            <w:r>
              <w:rPr>
                <w:rStyle w:val="IndexLink"/>
              </w:rPr>
              <w:t>107</w:t>
            </w:r>
          </w:hyperlink>
        </w:p>
        <w:p>
          <w:pPr>
            <w:pStyle w:val="Contents4"/>
            <w:tabs>
              <w:tab w:val="clear" w:pos="8176"/>
              <w:tab w:val="right" w:pos="9026" w:leader="dot"/>
            </w:tabs>
            <w:rPr/>
          </w:pPr>
          <w:hyperlink w:anchor="__RefHeading___Toc3493531_2314609296">
            <w:r>
              <w:rPr>
                <w:webHidden/>
                <w:rStyle w:val="IndexLink"/>
                <w:rtl w:val="true"/>
              </w:rPr>
              <w:t>نهایة الحدیث</w:t>
            </w:r>
            <w:r>
              <w:rPr>
                <w:rStyle w:val="IndexLink"/>
                <w:rtl w:val="true"/>
              </w:rPr>
              <w:tab/>
            </w:r>
            <w:r>
              <w:rPr>
                <w:rStyle w:val="IndexLink"/>
              </w:rPr>
              <w:t>112</w:t>
            </w:r>
          </w:hyperlink>
        </w:p>
        <w:p>
          <w:pPr>
            <w:pStyle w:val="Contents5"/>
            <w:tabs>
              <w:tab w:val="clear" w:pos="7892"/>
              <w:tab w:val="right" w:pos="9026" w:leader="dot"/>
            </w:tabs>
            <w:rPr/>
          </w:pPr>
          <w:hyperlink w:anchor="__RefHeading___Toc3493533_2314609296">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493535_2314609296">
            <w:r>
              <w:rPr>
                <w:webHidden/>
                <w:rStyle w:val="IndexLink"/>
                <w:rtl w:val="true"/>
              </w:rPr>
              <w:t>أوّلا</w:t>
            </w:r>
            <w:r>
              <w:rPr>
                <w:rStyle w:val="IndexLink"/>
                <w:rtl w:val="true"/>
              </w:rPr>
              <w:t xml:space="preserve">: </w:t>
            </w:r>
            <w:r>
              <w:rPr>
                <w:rStyle w:val="IndexLink"/>
                <w:rtl w:val="true"/>
              </w:rPr>
              <w:t>العالم المؤمن</w:t>
            </w:r>
            <w:r>
              <w:rPr>
                <w:rStyle w:val="IndexLink"/>
                <w:rtl w:val="true"/>
              </w:rPr>
              <w:t>.</w:t>
              <w:tab/>
            </w:r>
            <w:r>
              <w:rPr>
                <w:rStyle w:val="IndexLink"/>
              </w:rPr>
              <w:t>113</w:t>
            </w:r>
          </w:hyperlink>
        </w:p>
        <w:p>
          <w:pPr>
            <w:pStyle w:val="Contents5"/>
            <w:tabs>
              <w:tab w:val="clear" w:pos="7892"/>
              <w:tab w:val="right" w:pos="9026" w:leader="dot"/>
            </w:tabs>
            <w:rPr/>
          </w:pPr>
          <w:hyperlink w:anchor="__RefHeading___Toc3493537_2314609296">
            <w:r>
              <w:rPr>
                <w:webHidden/>
                <w:rStyle w:val="IndexLink"/>
                <w:rtl w:val="true"/>
              </w:rPr>
              <w:t>ثانیا</w:t>
            </w:r>
            <w:r>
              <w:rPr>
                <w:rStyle w:val="IndexLink"/>
                <w:rtl w:val="true"/>
              </w:rPr>
              <w:t xml:space="preserve">: </w:t>
            </w:r>
            <w:r>
              <w:rPr>
                <w:rStyle w:val="IndexLink"/>
                <w:rtl w:val="true"/>
              </w:rPr>
              <w:t>العالم المجدد</w:t>
            </w:r>
            <w:r>
              <w:rPr>
                <w:rStyle w:val="IndexLink"/>
                <w:rtl w:val="true"/>
              </w:rPr>
              <w:t>.</w:t>
              <w:tab/>
            </w:r>
            <w:r>
              <w:rPr>
                <w:rStyle w:val="IndexLink"/>
              </w:rPr>
              <w:t>115</w:t>
            </w:r>
          </w:hyperlink>
        </w:p>
        <w:p>
          <w:pPr>
            <w:pStyle w:val="Contents5"/>
            <w:tabs>
              <w:tab w:val="clear" w:pos="7892"/>
              <w:tab w:val="right" w:pos="9026" w:leader="dot"/>
            </w:tabs>
            <w:rPr/>
          </w:pPr>
          <w:hyperlink w:anchor="__RefHeading___Toc3493539_2314609296">
            <w:r>
              <w:rPr>
                <w:webHidden/>
                <w:rStyle w:val="IndexLink"/>
                <w:rtl w:val="true"/>
              </w:rPr>
              <w:t>ثالثا</w:t>
            </w:r>
            <w:r>
              <w:rPr>
                <w:rStyle w:val="IndexLink"/>
                <w:rtl w:val="true"/>
              </w:rPr>
              <w:t xml:space="preserve">: </w:t>
            </w:r>
            <w:r>
              <w:rPr>
                <w:rStyle w:val="IndexLink"/>
                <w:rtl w:val="true"/>
              </w:rPr>
              <w:t>العالم المحقق</w:t>
            </w:r>
            <w:r>
              <w:rPr>
                <w:rStyle w:val="IndexLink"/>
                <w:rtl w:val="true"/>
              </w:rPr>
              <w:t>.</w:t>
              <w:tab/>
            </w:r>
            <w:r>
              <w:rPr>
                <w:rStyle w:val="IndexLink"/>
              </w:rPr>
              <w:t>115</w:t>
            </w:r>
          </w:hyperlink>
        </w:p>
        <w:p>
          <w:pPr>
            <w:pStyle w:val="Contents5"/>
            <w:tabs>
              <w:tab w:val="clear" w:pos="7892"/>
              <w:tab w:val="right" w:pos="9026" w:leader="dot"/>
            </w:tabs>
            <w:rPr/>
          </w:pPr>
          <w:hyperlink w:anchor="__RefHeading___Toc3493541_2314609296">
            <w:r>
              <w:rPr>
                <w:webHidden/>
                <w:rStyle w:val="IndexLink"/>
                <w:rtl w:val="true"/>
              </w:rPr>
              <w:t>رابعا</w:t>
            </w:r>
            <w:r>
              <w:rPr>
                <w:rStyle w:val="IndexLink"/>
                <w:rtl w:val="true"/>
              </w:rPr>
              <w:t xml:space="preserve">: </w:t>
            </w:r>
            <w:r>
              <w:rPr>
                <w:rStyle w:val="IndexLink"/>
                <w:rtl w:val="true"/>
              </w:rPr>
              <w:t>الرجل العارف</w:t>
            </w:r>
            <w:r>
              <w:rPr>
                <w:rStyle w:val="IndexLink"/>
                <w:rtl w:val="true"/>
              </w:rPr>
              <w:t>.</w:t>
              <w:tab/>
            </w:r>
            <w:r>
              <w:rPr>
                <w:rStyle w:val="IndexLink"/>
              </w:rPr>
              <w:t>116</w:t>
            </w:r>
          </w:hyperlink>
        </w:p>
        <w:p>
          <w:pPr>
            <w:pStyle w:val="Contents5"/>
            <w:tabs>
              <w:tab w:val="clear" w:pos="7892"/>
              <w:tab w:val="right" w:pos="9026" w:leader="dot"/>
            </w:tabs>
            <w:rPr/>
          </w:pPr>
          <w:hyperlink w:anchor="__RefHeading___Toc3493543_2314609296">
            <w:r>
              <w:rPr>
                <w:webHidden/>
                <w:rStyle w:val="IndexLink"/>
                <w:rtl w:val="true"/>
              </w:rPr>
              <w:t>خامسا</w:t>
            </w:r>
            <w:r>
              <w:rPr>
                <w:rStyle w:val="IndexLink"/>
                <w:rtl w:val="true"/>
              </w:rPr>
              <w:t xml:space="preserve">: </w:t>
            </w:r>
            <w:r>
              <w:rPr>
                <w:rStyle w:val="IndexLink"/>
                <w:rtl w:val="true"/>
              </w:rPr>
              <w:t>العالم الموسوعی</w:t>
            </w:r>
            <w:r>
              <w:rPr>
                <w:rStyle w:val="IndexLink"/>
                <w:rtl w:val="true"/>
              </w:rPr>
              <w:t>.</w:t>
              <w:tab/>
            </w:r>
            <w:r>
              <w:rPr>
                <w:rStyle w:val="IndexLink"/>
              </w:rPr>
              <w:t>116</w:t>
            </w:r>
          </w:hyperlink>
        </w:p>
        <w:p>
          <w:pPr>
            <w:pStyle w:val="Contents5"/>
            <w:tabs>
              <w:tab w:val="clear" w:pos="7892"/>
              <w:tab w:val="right" w:pos="9026" w:leader="dot"/>
            </w:tabs>
            <w:rPr/>
          </w:pPr>
          <w:hyperlink w:anchor="__RefHeading___Toc3493545_2314609296">
            <w:r>
              <w:rPr>
                <w:webHidden/>
                <w:rStyle w:val="IndexLink"/>
                <w:rtl w:val="true"/>
              </w:rPr>
              <w:t>سادسا</w:t>
            </w:r>
            <w:r>
              <w:rPr>
                <w:rStyle w:val="IndexLink"/>
                <w:rtl w:val="true"/>
              </w:rPr>
              <w:t xml:space="preserve">: </w:t>
            </w:r>
            <w:r>
              <w:rPr>
                <w:rStyle w:val="IndexLink"/>
                <w:rtl w:val="true"/>
              </w:rPr>
              <w:t>العالم الوطنی الرزین</w:t>
            </w:r>
            <w:r>
              <w:rPr>
                <w:rStyle w:val="IndexLink"/>
                <w:rtl w:val="true"/>
              </w:rPr>
              <w:t>.</w:t>
              <w:tab/>
            </w:r>
            <w:r>
              <w:rPr>
                <w:rStyle w:val="IndexLink"/>
              </w:rPr>
              <w:t>117</w:t>
            </w:r>
          </w:hyperlink>
        </w:p>
        <w:p>
          <w:pPr>
            <w:pStyle w:val="Contents5"/>
            <w:tabs>
              <w:tab w:val="clear" w:pos="7892"/>
              <w:tab w:val="right" w:pos="9026" w:leader="dot"/>
            </w:tabs>
            <w:rPr/>
          </w:pPr>
          <w:hyperlink w:anchor="__RefHeading___Toc3493547_2314609296">
            <w:r>
              <w:rPr>
                <w:webHidden/>
                <w:rStyle w:val="IndexLink"/>
                <w:rtl w:val="true"/>
              </w:rPr>
              <w:t>سابعا</w:t>
            </w:r>
            <w:r>
              <w:rPr>
                <w:rStyle w:val="IndexLink"/>
                <w:rtl w:val="true"/>
              </w:rPr>
              <w:t xml:space="preserve">: </w:t>
            </w:r>
            <w:r>
              <w:rPr>
                <w:rStyle w:val="IndexLink"/>
                <w:rtl w:val="true"/>
              </w:rPr>
              <w:t>العالم المربی</w:t>
            </w:r>
            <w:r>
              <w:rPr>
                <w:rStyle w:val="IndexLink"/>
                <w:rtl w:val="true"/>
              </w:rPr>
              <w:t>.</w:t>
              <w:tab/>
            </w:r>
            <w:r>
              <w:rPr>
                <w:rStyle w:val="IndexLink"/>
              </w:rPr>
              <w:t>118</w:t>
            </w:r>
          </w:hyperlink>
        </w:p>
        <w:p>
          <w:pPr>
            <w:pStyle w:val="Contents3"/>
            <w:tabs>
              <w:tab w:val="clear" w:pos="8459"/>
              <w:tab w:val="right" w:pos="9026" w:leader="dot"/>
            </w:tabs>
            <w:rPr/>
          </w:pPr>
          <w:hyperlink w:anchor="__RefHeading___Toc3493549_2314609296">
            <w:r>
              <w:rPr>
                <w:webHidden/>
                <w:rStyle w:val="IndexLink"/>
                <w:rtl w:val="true"/>
              </w:rPr>
              <w:t>نهایة البحث</w:t>
            </w:r>
            <w:r>
              <w:rPr>
                <w:rStyle w:val="IndexLink"/>
                <w:rtl w:val="true"/>
              </w:rPr>
              <w:tab/>
            </w:r>
            <w:r>
              <w:rPr>
                <w:rStyle w:val="IndexLink"/>
              </w:rPr>
              <w:t>120</w:t>
            </w:r>
          </w:hyperlink>
        </w:p>
        <w:p>
          <w:pPr>
            <w:pStyle w:val="Contents4"/>
            <w:tabs>
              <w:tab w:val="clear" w:pos="8176"/>
              <w:tab w:val="right" w:pos="9026" w:leader="dot"/>
            </w:tabs>
            <w:rPr/>
          </w:pPr>
          <w:hyperlink w:anchor="__RefHeading___Toc3493551_2314609296">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3493553_2314609296">
            <w:r>
              <w:rPr>
                <w:webHidden/>
                <w:rStyle w:val="IndexLink"/>
                <w:rtl w:val="true"/>
              </w:rPr>
              <w:t>[</w:t>
            </w:r>
            <w:r>
              <w:rPr>
                <w:rStyle w:val="IndexLink"/>
                <w:rtl w:val="true"/>
              </w:rPr>
              <w:t>نص إجازة آیة اللّه العظمی المیرزا النائینی لآیة اللّه الشیخ الحلی قدّس سرّهما فی الاجتهاد و الروایة</w:t>
            </w:r>
            <w:r>
              <w:rPr>
                <w:rStyle w:val="IndexLink"/>
                <w:rtl w:val="true"/>
              </w:rPr>
              <w:t>]</w:t>
              <w:tab/>
            </w:r>
            <w:r>
              <w:rPr>
                <w:rStyle w:val="IndexLink"/>
              </w:rPr>
              <w:t>122</w:t>
            </w:r>
          </w:hyperlink>
        </w:p>
        <w:p>
          <w:pPr>
            <w:pStyle w:val="Contents4"/>
            <w:tabs>
              <w:tab w:val="clear" w:pos="8176"/>
              <w:tab w:val="right" w:pos="9026" w:leader="dot"/>
            </w:tabs>
            <w:rPr/>
          </w:pPr>
          <w:hyperlink w:anchor="__RefHeading___Toc3493555_2314609296">
            <w:r>
              <w:rPr>
                <w:webHidden/>
                <w:rStyle w:val="IndexLink"/>
                <w:rtl w:val="true"/>
              </w:rPr>
              <w:t>مراحل العمل فی تحقیق الکتاب</w:t>
            </w:r>
            <w:r>
              <w:rPr>
                <w:rStyle w:val="IndexLink"/>
                <w:rtl w:val="true"/>
              </w:rPr>
              <w:t>:</w:t>
              <w:tab/>
            </w:r>
            <w:r>
              <w:rPr>
                <w:rStyle w:val="IndexLink"/>
              </w:rPr>
              <w:t>126</w:t>
            </w:r>
          </w:hyperlink>
        </w:p>
        <w:p>
          <w:pPr>
            <w:pStyle w:val="Contents2"/>
            <w:tabs>
              <w:tab w:val="clear" w:pos="8743"/>
              <w:tab w:val="right" w:pos="9026" w:leader="dot"/>
            </w:tabs>
            <w:rPr/>
          </w:pPr>
          <w:hyperlink w:anchor="__RefHeading___Toc3493557_2314609296">
            <w:r>
              <w:rPr>
                <w:webHidden/>
                <w:rStyle w:val="IndexLink"/>
                <w:rtl w:val="true"/>
              </w:rPr>
              <w:t>مقدمات مباحث الأصول</w:t>
            </w:r>
            <w:r>
              <w:rPr>
                <w:rStyle w:val="IndexLink"/>
                <w:rtl w:val="true"/>
              </w:rPr>
              <w:tab/>
            </w:r>
            <w:r>
              <w:rPr>
                <w:rStyle w:val="IndexLink"/>
              </w:rPr>
              <w:t>129</w:t>
            </w:r>
          </w:hyperlink>
        </w:p>
        <w:p>
          <w:pPr>
            <w:pStyle w:val="Contents3"/>
            <w:tabs>
              <w:tab w:val="clear" w:pos="8459"/>
              <w:tab w:val="right" w:pos="9026" w:leader="dot"/>
            </w:tabs>
            <w:rPr/>
          </w:pPr>
          <w:hyperlink w:anchor="__RefHeading___Toc3493559_2314609296">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3493561_2314609296">
            <w:r>
              <w:rPr>
                <w:webHidden/>
                <w:rStyle w:val="IndexLink"/>
                <w:rtl w:val="true"/>
              </w:rPr>
              <w:t>[</w:t>
            </w:r>
            <w:r>
              <w:rPr>
                <w:rStyle w:val="IndexLink"/>
                <w:rtl w:val="true"/>
              </w:rPr>
              <w:t>مرتبة علم الاصول و موضوع کل علم</w:t>
            </w:r>
            <w:r>
              <w:rPr>
                <w:rStyle w:val="IndexLink"/>
                <w:rtl w:val="true"/>
              </w:rPr>
              <w:tab/>
            </w:r>
            <w:r>
              <w:rPr>
                <w:rStyle w:val="IndexLink"/>
              </w:rPr>
              <w:t>131</w:t>
            </w:r>
          </w:hyperlink>
        </w:p>
        <w:p>
          <w:pPr>
            <w:pStyle w:val="Contents4"/>
            <w:tabs>
              <w:tab w:val="clear" w:pos="8176"/>
              <w:tab w:val="right" w:pos="9026" w:leader="dot"/>
            </w:tabs>
            <w:rPr/>
          </w:pPr>
          <w:hyperlink w:anchor="__RefHeading___Toc3493563_2314609296">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3493565_2314609296">
            <w:r>
              <w:rPr>
                <w:webHidden/>
                <w:rStyle w:val="IndexLink"/>
                <w:rtl w:val="true"/>
              </w:rPr>
              <w:t>[</w:t>
            </w:r>
            <w:r>
              <w:rPr>
                <w:rStyle w:val="IndexLink"/>
                <w:rtl w:val="true"/>
              </w:rPr>
              <w:t>علم الاصول من المبادئ التصدیقیة لعلم الفقه</w:t>
            </w:r>
            <w:r>
              <w:rPr>
                <w:rStyle w:val="IndexLink"/>
                <w:rtl w:val="true"/>
              </w:rPr>
              <w:tab/>
            </w:r>
            <w:r>
              <w:rPr>
                <w:rStyle w:val="IndexLink"/>
              </w:rPr>
              <w:t>131</w:t>
            </w:r>
          </w:hyperlink>
        </w:p>
        <w:p>
          <w:pPr>
            <w:pStyle w:val="Contents4"/>
            <w:tabs>
              <w:tab w:val="clear" w:pos="8176"/>
              <w:tab w:val="right" w:pos="9026" w:leader="dot"/>
            </w:tabs>
            <w:rPr/>
          </w:pPr>
          <w:hyperlink w:anchor="__RefHeading___Toc3493567_2314609296">
            <w:r>
              <w:rPr>
                <w:webHidden/>
                <w:rStyle w:val="IndexLink"/>
                <w:rtl w:val="true"/>
              </w:rPr>
              <w:t>[</w:t>
            </w:r>
            <w:r>
              <w:rPr>
                <w:rStyle w:val="IndexLink"/>
                <w:rtl w:val="true"/>
              </w:rPr>
              <w:t>ما هی المبادئ التصدیقیة؟</w:t>
            </w:r>
            <w:r>
              <w:rPr>
                <w:rStyle w:val="IndexLink"/>
                <w:rtl w:val="true"/>
              </w:rPr>
              <w:t>]</w:t>
              <w:tab/>
            </w:r>
            <w:r>
              <w:rPr>
                <w:rStyle w:val="IndexLink"/>
              </w:rPr>
              <w:t>131</w:t>
            </w:r>
          </w:hyperlink>
        </w:p>
        <w:p>
          <w:pPr>
            <w:pStyle w:val="Contents3"/>
            <w:tabs>
              <w:tab w:val="clear" w:pos="8459"/>
              <w:tab w:val="right" w:pos="9026" w:leader="dot"/>
            </w:tabs>
            <w:rPr/>
          </w:pPr>
          <w:hyperlink w:anchor="__RefHeading___Toc3493569_2314609296">
            <w:r>
              <w:rPr>
                <w:webHidden/>
                <w:rStyle w:val="IndexLink"/>
                <w:rtl w:val="true"/>
              </w:rPr>
              <w:t>[</w:t>
            </w:r>
            <w:r>
              <w:rPr>
                <w:rStyle w:val="IndexLink"/>
                <w:rtl w:val="true"/>
              </w:rPr>
              <w:t>موضوع کل علم</w:t>
            </w:r>
            <w:r>
              <w:rPr>
                <w:rStyle w:val="IndexLink"/>
                <w:rtl w:val="true"/>
              </w:rPr>
              <w:tab/>
            </w:r>
            <w:r>
              <w:rPr>
                <w:rStyle w:val="IndexLink"/>
              </w:rPr>
              <w:t>132</w:t>
            </w:r>
          </w:hyperlink>
        </w:p>
        <w:p>
          <w:pPr>
            <w:pStyle w:val="Contents4"/>
            <w:tabs>
              <w:tab w:val="clear" w:pos="8176"/>
              <w:tab w:val="right" w:pos="9026" w:leader="dot"/>
            </w:tabs>
            <w:rPr/>
          </w:pPr>
          <w:hyperlink w:anchor="__RefHeading___Toc3493571_2314609296">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3493573_2314609296">
            <w:r>
              <w:rPr>
                <w:webHidden/>
                <w:rStyle w:val="IndexLink"/>
                <w:rtl w:val="true"/>
              </w:rPr>
              <w:t>[</w:t>
            </w:r>
            <w:r>
              <w:rPr>
                <w:rStyle w:val="IndexLink"/>
                <w:rtl w:val="true"/>
              </w:rPr>
              <w:t>تفسیر الواسطة فی العروض و الثبوت و الاثبات</w:t>
            </w:r>
            <w:r>
              <w:rPr>
                <w:rStyle w:val="IndexLink"/>
                <w:rtl w:val="true"/>
              </w:rPr>
              <w:tab/>
            </w:r>
            <w:r>
              <w:rPr>
                <w:rStyle w:val="IndexLink"/>
              </w:rPr>
              <w:t>133</w:t>
            </w:r>
          </w:hyperlink>
        </w:p>
        <w:p>
          <w:pPr>
            <w:pStyle w:val="Contents4"/>
            <w:tabs>
              <w:tab w:val="clear" w:pos="8176"/>
              <w:tab w:val="right" w:pos="9026" w:leader="dot"/>
            </w:tabs>
            <w:rPr/>
          </w:pPr>
          <w:hyperlink w:anchor="__RefHeading___Toc3493575_2314609296">
            <w:r>
              <w:rPr>
                <w:webHidden/>
                <w:rStyle w:val="IndexLink"/>
                <w:rtl w:val="true"/>
              </w:rPr>
              <w:t>[</w:t>
            </w:r>
            <w:r>
              <w:rPr>
                <w:rStyle w:val="IndexLink"/>
                <w:rtl w:val="true"/>
              </w:rPr>
              <w:t>تحقیق مفصّل حول أقسام العرض و ما یکون ذاتیا و ما یکون غریبا و جهات اخری مرتبطة بالعوارض</w:t>
            </w:r>
            <w:r>
              <w:rPr>
                <w:rStyle w:val="IndexLink"/>
                <w:rtl w:val="true"/>
              </w:rPr>
              <w:tab/>
            </w:r>
            <w:r>
              <w:rPr>
                <w:rStyle w:val="IndexLink"/>
              </w:rPr>
              <w:t>134</w:t>
            </w:r>
          </w:hyperlink>
        </w:p>
        <w:p>
          <w:pPr>
            <w:pStyle w:val="Contents3"/>
            <w:tabs>
              <w:tab w:val="clear" w:pos="8459"/>
              <w:tab w:val="right" w:pos="9026" w:leader="dot"/>
            </w:tabs>
            <w:rPr/>
          </w:pPr>
          <w:hyperlink w:anchor="__RefHeading___Toc3493577_2314609296">
            <w:r>
              <w:rPr>
                <w:webHidden/>
                <w:rStyle w:val="IndexLink"/>
                <w:rtl w:val="true"/>
              </w:rPr>
              <w:t>[</w:t>
            </w:r>
            <w:r>
              <w:rPr>
                <w:rStyle w:val="IndexLink"/>
                <w:rtl w:val="true"/>
              </w:rPr>
              <w:t>الکلام فی الوضع</w:t>
            </w:r>
            <w:r>
              <w:rPr>
                <w:rStyle w:val="IndexLink"/>
                <w:rtl w:val="true"/>
              </w:rPr>
              <w:tab/>
            </w:r>
            <w:r>
              <w:rPr>
                <w:rStyle w:val="IndexLink"/>
              </w:rPr>
              <w:t>164</w:t>
            </w:r>
          </w:hyperlink>
        </w:p>
        <w:p>
          <w:pPr>
            <w:pStyle w:val="Contents4"/>
            <w:tabs>
              <w:tab w:val="clear" w:pos="8176"/>
              <w:tab w:val="right" w:pos="9026" w:leader="dot"/>
            </w:tabs>
            <w:rPr/>
          </w:pPr>
          <w:hyperlink w:anchor="__RefHeading___Toc3493579_2314609296">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3493581_2314609296">
            <w:r>
              <w:rPr>
                <w:webHidden/>
                <w:rStyle w:val="IndexLink"/>
                <w:rtl w:val="true"/>
              </w:rPr>
              <w:t>[</w:t>
            </w:r>
            <w:r>
              <w:rPr>
                <w:rStyle w:val="IndexLink"/>
                <w:rtl w:val="true"/>
              </w:rPr>
              <w:t>سبب الوضع هل هو إلهی أو بشری؟</w:t>
            </w:r>
            <w:r>
              <w:rPr>
                <w:rStyle w:val="IndexLink"/>
                <w:rtl w:val="true"/>
              </w:rPr>
              <w:t>]</w:t>
              <w:tab/>
            </w:r>
            <w:r>
              <w:rPr>
                <w:rStyle w:val="IndexLink"/>
              </w:rPr>
              <w:t>164</w:t>
            </w:r>
          </w:hyperlink>
        </w:p>
        <w:p>
          <w:pPr>
            <w:pStyle w:val="Contents4"/>
            <w:tabs>
              <w:tab w:val="clear" w:pos="8176"/>
              <w:tab w:val="right" w:pos="9026" w:leader="dot"/>
            </w:tabs>
            <w:rPr/>
          </w:pPr>
          <w:hyperlink w:anchor="__RefHeading___Toc3493583_2314609296">
            <w:r>
              <w:rPr>
                <w:webHidden/>
                <w:rStyle w:val="IndexLink"/>
                <w:rtl w:val="true"/>
              </w:rPr>
              <w:t>[</w:t>
            </w:r>
            <w:r>
              <w:rPr>
                <w:rStyle w:val="IndexLink"/>
                <w:rtl w:val="true"/>
              </w:rPr>
              <w:t>عدم حصول الوضع بکثرة الاستعمال المجازی</w:t>
            </w:r>
            <w:r>
              <w:rPr>
                <w:rStyle w:val="IndexLink"/>
                <w:rtl w:val="true"/>
              </w:rPr>
              <w:tab/>
            </w:r>
            <w:r>
              <w:rPr>
                <w:rStyle w:val="IndexLink"/>
              </w:rPr>
              <w:t>164</w:t>
            </w:r>
          </w:hyperlink>
        </w:p>
        <w:p>
          <w:pPr>
            <w:pStyle w:val="Contents4"/>
            <w:tabs>
              <w:tab w:val="clear" w:pos="8176"/>
              <w:tab w:val="right" w:pos="9026" w:leader="dot"/>
            </w:tabs>
            <w:rPr/>
          </w:pPr>
          <w:hyperlink w:anchor="__RefHeading___Toc3493585_2314609296">
            <w:r>
              <w:rPr>
                <w:webHidden/>
                <w:rStyle w:val="IndexLink"/>
                <w:rtl w:val="true"/>
              </w:rPr>
              <w:t>[</w:t>
            </w:r>
            <w:r>
              <w:rPr>
                <w:rStyle w:val="IndexLink"/>
                <w:rtl w:val="true"/>
              </w:rPr>
              <w:t>حصول الوضع بالاستعمال و دفع الاشکال عنه</w:t>
            </w:r>
            <w:r>
              <w:rPr>
                <w:rStyle w:val="IndexLink"/>
                <w:rtl w:val="true"/>
              </w:rPr>
              <w:tab/>
            </w:r>
            <w:r>
              <w:rPr>
                <w:rStyle w:val="IndexLink"/>
              </w:rPr>
              <w:t>165</w:t>
            </w:r>
          </w:hyperlink>
        </w:p>
        <w:p>
          <w:pPr>
            <w:pStyle w:val="Contents4"/>
            <w:tabs>
              <w:tab w:val="clear" w:pos="8176"/>
              <w:tab w:val="right" w:pos="9026" w:leader="dot"/>
            </w:tabs>
            <w:rPr/>
          </w:pPr>
          <w:hyperlink w:anchor="__RefHeading___Toc3493587_2314609296">
            <w:r>
              <w:rPr>
                <w:webHidden/>
                <w:rStyle w:val="IndexLink"/>
                <w:rtl w:val="true"/>
              </w:rPr>
              <w:t>[</w:t>
            </w:r>
            <w:r>
              <w:rPr>
                <w:rStyle w:val="IndexLink"/>
                <w:rtl w:val="true"/>
              </w:rPr>
              <w:t>هل الوضع العام و الموضوع له الخاص ممکن أم لا؟</w:t>
            </w:r>
            <w:r>
              <w:rPr>
                <w:rStyle w:val="IndexLink"/>
                <w:rtl w:val="true"/>
              </w:rPr>
              <w:t>]</w:t>
              <w:tab/>
            </w:r>
            <w:r>
              <w:rPr>
                <w:rStyle w:val="IndexLink"/>
              </w:rPr>
              <w:t>166</w:t>
            </w:r>
          </w:hyperlink>
        </w:p>
        <w:p>
          <w:pPr>
            <w:pStyle w:val="Contents4"/>
            <w:tabs>
              <w:tab w:val="clear" w:pos="8176"/>
              <w:tab w:val="right" w:pos="9026" w:leader="dot"/>
            </w:tabs>
            <w:rPr/>
          </w:pPr>
          <w:hyperlink w:anchor="__RefHeading___Toc3493589_2314609296">
            <w:r>
              <w:rPr>
                <w:webHidden/>
                <w:rStyle w:val="IndexLink"/>
                <w:rtl w:val="true"/>
              </w:rPr>
              <w:t>[</w:t>
            </w:r>
            <w:r>
              <w:rPr>
                <w:rStyle w:val="IndexLink"/>
                <w:rtl w:val="true"/>
              </w:rPr>
              <w:t>المعنی الحرفی</w:t>
            </w:r>
            <w:r>
              <w:rPr>
                <w:rStyle w:val="IndexLink"/>
                <w:rtl w:val="true"/>
              </w:rPr>
              <w:tab/>
            </w:r>
            <w:r>
              <w:rPr>
                <w:rStyle w:val="IndexLink"/>
              </w:rPr>
              <w:t>167</w:t>
            </w:r>
          </w:hyperlink>
        </w:p>
        <w:p>
          <w:pPr>
            <w:pStyle w:val="Contents4"/>
            <w:tabs>
              <w:tab w:val="clear" w:pos="8176"/>
              <w:tab w:val="right" w:pos="9026" w:leader="dot"/>
            </w:tabs>
            <w:rPr/>
          </w:pPr>
          <w:hyperlink w:anchor="__RefHeading___Toc3493591_2314609296">
            <w:r>
              <w:rPr>
                <w:webHidden/>
                <w:rStyle w:val="IndexLink"/>
                <w:rtl w:val="true"/>
              </w:rPr>
              <w:t>[</w:t>
            </w:r>
            <w:r>
              <w:rPr>
                <w:rStyle w:val="IndexLink"/>
                <w:rtl w:val="true"/>
              </w:rPr>
              <w:t>انقسام المعانی غیر الاخطاریة إلی إیجادیة و نسبیة</w:t>
            </w:r>
            <w:r>
              <w:rPr>
                <w:rStyle w:val="IndexLink"/>
                <w:rtl w:val="true"/>
              </w:rPr>
              <w:t>]</w:t>
              <w:tab/>
            </w:r>
            <w:r>
              <w:rPr>
                <w:rStyle w:val="IndexLink"/>
              </w:rPr>
              <w:t>168</w:t>
            </w:r>
          </w:hyperlink>
        </w:p>
        <w:p>
          <w:pPr>
            <w:pStyle w:val="Contents4"/>
            <w:tabs>
              <w:tab w:val="clear" w:pos="8176"/>
              <w:tab w:val="right" w:pos="9026" w:leader="dot"/>
            </w:tabs>
            <w:rPr/>
          </w:pPr>
          <w:hyperlink w:anchor="__RefHeading___Toc3493593_2314609296">
            <w:r>
              <w:rPr>
                <w:webHidden/>
                <w:rStyle w:val="IndexLink"/>
                <w:rtl w:val="true"/>
              </w:rPr>
              <w:t>[</w:t>
            </w:r>
            <w:r>
              <w:rPr>
                <w:rStyle w:val="IndexLink"/>
                <w:rtl w:val="true"/>
              </w:rPr>
              <w:t>کون الحروف النسبیة موضوعة لجهة النسبة</w:t>
            </w:r>
            <w:r>
              <w:rPr>
                <w:rStyle w:val="IndexLink"/>
                <w:rtl w:val="true"/>
              </w:rPr>
              <w:t>]</w:t>
              <w:tab/>
            </w:r>
            <w:r>
              <w:rPr>
                <w:rStyle w:val="IndexLink"/>
              </w:rPr>
              <w:t>168</w:t>
            </w:r>
          </w:hyperlink>
        </w:p>
        <w:p>
          <w:pPr>
            <w:pStyle w:val="Contents4"/>
            <w:tabs>
              <w:tab w:val="clear" w:pos="8176"/>
              <w:tab w:val="right" w:pos="9026" w:leader="dot"/>
            </w:tabs>
            <w:rPr/>
          </w:pPr>
          <w:hyperlink w:anchor="__RefHeading___Toc3493595_2314609296">
            <w:r>
              <w:rPr>
                <w:webHidden/>
                <w:rStyle w:val="IndexLink"/>
                <w:rtl w:val="true"/>
              </w:rPr>
              <w:t>[</w:t>
            </w:r>
            <w:r>
              <w:rPr>
                <w:rStyle w:val="IndexLink"/>
                <w:rtl w:val="true"/>
              </w:rPr>
              <w:t>کیفیة تصویر حمل الذات علی الموضوع</w:t>
            </w:r>
            <w:r>
              <w:rPr>
                <w:rStyle w:val="IndexLink"/>
                <w:rtl w:val="true"/>
              </w:rPr>
              <w:tab/>
            </w:r>
            <w:r>
              <w:rPr>
                <w:rStyle w:val="IndexLink"/>
              </w:rPr>
              <w:t>169</w:t>
            </w:r>
          </w:hyperlink>
        </w:p>
        <w:p>
          <w:pPr>
            <w:pStyle w:val="Contents4"/>
            <w:tabs>
              <w:tab w:val="clear" w:pos="8176"/>
              <w:tab w:val="right" w:pos="9026" w:leader="dot"/>
            </w:tabs>
            <w:rPr/>
          </w:pPr>
          <w:hyperlink w:anchor="__RefHeading___Toc3493597_2314609296">
            <w:r>
              <w:rPr>
                <w:webHidden/>
                <w:rStyle w:val="IndexLink"/>
                <w:rtl w:val="true"/>
              </w:rPr>
              <w:t>[</w:t>
            </w:r>
            <w:r>
              <w:rPr>
                <w:rStyle w:val="IndexLink"/>
                <w:rtl w:val="true"/>
              </w:rPr>
              <w:t>معنی أخذ الموضوع لا بشرط من ناحیة المحمول</w:t>
            </w:r>
            <w:r>
              <w:rPr>
                <w:rStyle w:val="IndexLink"/>
                <w:rtl w:val="true"/>
              </w:rPr>
              <w:tab/>
            </w:r>
            <w:r>
              <w:rPr>
                <w:rStyle w:val="IndexLink"/>
              </w:rPr>
              <w:t>170</w:t>
            </w:r>
          </w:hyperlink>
        </w:p>
        <w:p>
          <w:pPr>
            <w:pStyle w:val="Contents4"/>
            <w:tabs>
              <w:tab w:val="clear" w:pos="8176"/>
              <w:tab w:val="right" w:pos="9026" w:leader="dot"/>
            </w:tabs>
            <w:rPr/>
          </w:pPr>
          <w:hyperlink w:anchor="__RefHeading___Toc3493599_2314609296">
            <w:r>
              <w:rPr>
                <w:webHidden/>
                <w:rStyle w:val="IndexLink"/>
                <w:rtl w:val="true"/>
              </w:rPr>
              <w:t>[</w:t>
            </w:r>
            <w:r>
              <w:rPr>
                <w:rStyle w:val="IndexLink"/>
                <w:rtl w:val="true"/>
              </w:rPr>
              <w:t>تحقق الایجادیة بالهیئة</w:t>
            </w:r>
            <w:r>
              <w:rPr>
                <w:rStyle w:val="IndexLink"/>
                <w:rtl w:val="true"/>
              </w:rPr>
              <w:t>]</w:t>
              <w:tab/>
            </w:r>
            <w:r>
              <w:rPr>
                <w:rStyle w:val="IndexLink"/>
              </w:rPr>
              <w:t>170</w:t>
            </w:r>
          </w:hyperlink>
        </w:p>
        <w:p>
          <w:pPr>
            <w:pStyle w:val="Contents4"/>
            <w:tabs>
              <w:tab w:val="clear" w:pos="8176"/>
              <w:tab w:val="right" w:pos="9026" w:leader="dot"/>
            </w:tabs>
            <w:rPr/>
          </w:pPr>
          <w:hyperlink w:anchor="__RefHeading___Toc3493601_2314609296">
            <w:r>
              <w:rPr>
                <w:webHidden/>
                <w:rStyle w:val="IndexLink"/>
                <w:rtl w:val="true"/>
              </w:rPr>
              <w:t>[</w:t>
            </w:r>
            <w:r>
              <w:rPr>
                <w:rStyle w:val="IndexLink"/>
                <w:rtl w:val="true"/>
              </w:rPr>
              <w:t>وجود النسبة بین عرضین و جوهرین</w:t>
            </w:r>
            <w:r>
              <w:rPr>
                <w:rStyle w:val="IndexLink"/>
                <w:rtl w:val="true"/>
              </w:rPr>
              <w:tab/>
            </w:r>
            <w:r>
              <w:rPr>
                <w:rStyle w:val="IndexLink"/>
              </w:rPr>
              <w:t>171</w:t>
            </w:r>
          </w:hyperlink>
        </w:p>
        <w:p>
          <w:pPr>
            <w:pStyle w:val="Contents4"/>
            <w:tabs>
              <w:tab w:val="clear" w:pos="8176"/>
              <w:tab w:val="right" w:pos="9026" w:leader="dot"/>
            </w:tabs>
            <w:rPr/>
          </w:pPr>
          <w:hyperlink w:anchor="__RefHeading___Toc3493603_2314609296">
            <w:r>
              <w:rPr>
                <w:webHidden/>
                <w:rStyle w:val="IndexLink"/>
                <w:rtl w:val="true"/>
              </w:rPr>
              <w:t>[</w:t>
            </w:r>
            <w:r>
              <w:rPr>
                <w:rStyle w:val="IndexLink"/>
                <w:rtl w:val="true"/>
              </w:rPr>
              <w:t>عدم خروج النسبة عن کونها إیجادیة کسائر المعانی الحرفیة</w:t>
            </w:r>
            <w:r>
              <w:rPr>
                <w:rStyle w:val="IndexLink"/>
                <w:rtl w:val="true"/>
              </w:rPr>
              <w:t>]</w:t>
              <w:tab/>
            </w:r>
            <w:r>
              <w:rPr>
                <w:rStyle w:val="IndexLink"/>
              </w:rPr>
              <w:t>171</w:t>
            </w:r>
          </w:hyperlink>
        </w:p>
        <w:p>
          <w:pPr>
            <w:pStyle w:val="Contents4"/>
            <w:tabs>
              <w:tab w:val="clear" w:pos="8176"/>
              <w:tab w:val="right" w:pos="9026" w:leader="dot"/>
            </w:tabs>
            <w:rPr/>
          </w:pPr>
          <w:hyperlink w:anchor="__RefHeading___Toc3493605_2314609296">
            <w:r>
              <w:rPr>
                <w:webHidden/>
                <w:rStyle w:val="IndexLink"/>
                <w:rtl w:val="true"/>
              </w:rPr>
              <w:t>[</w:t>
            </w:r>
            <w:r>
              <w:rPr>
                <w:rStyle w:val="IndexLink"/>
                <w:rtl w:val="true"/>
              </w:rPr>
              <w:t>نقد کلام السید الخوئی قدّس سرّه فی المعنی الحرفی</w:t>
            </w:r>
            <w:r>
              <w:rPr>
                <w:rStyle w:val="IndexLink"/>
                <w:rtl w:val="true"/>
              </w:rPr>
              <w:tab/>
            </w:r>
            <w:r>
              <w:rPr>
                <w:rStyle w:val="IndexLink"/>
              </w:rPr>
              <w:t>171</w:t>
            </w:r>
          </w:hyperlink>
        </w:p>
        <w:p>
          <w:pPr>
            <w:pStyle w:val="Contents4"/>
            <w:tabs>
              <w:tab w:val="clear" w:pos="8176"/>
              <w:tab w:val="right" w:pos="9026" w:leader="dot"/>
            </w:tabs>
            <w:rPr/>
          </w:pPr>
          <w:hyperlink w:anchor="__RefHeading___Toc3493607_2314609296">
            <w:r>
              <w:rPr>
                <w:webHidden/>
                <w:rStyle w:val="IndexLink"/>
                <w:rtl w:val="true"/>
              </w:rPr>
              <w:t>[</w:t>
            </w:r>
            <w:r>
              <w:rPr>
                <w:rStyle w:val="IndexLink"/>
                <w:rtl w:val="true"/>
              </w:rPr>
              <w:t>کون العرض مع ملابساته کالفاعل و المفعول به فی مرتبة واحدة</w:t>
            </w:r>
            <w:r>
              <w:rPr>
                <w:rStyle w:val="IndexLink"/>
                <w:rtl w:val="true"/>
              </w:rPr>
              <w:t>]</w:t>
              <w:tab/>
            </w:r>
            <w:r>
              <w:rPr>
                <w:rStyle w:val="IndexLink"/>
              </w:rPr>
              <w:t>173</w:t>
            </w:r>
          </w:hyperlink>
        </w:p>
        <w:p>
          <w:pPr>
            <w:pStyle w:val="Contents4"/>
            <w:tabs>
              <w:tab w:val="clear" w:pos="8176"/>
              <w:tab w:val="right" w:pos="9026" w:leader="dot"/>
            </w:tabs>
            <w:rPr/>
          </w:pPr>
          <w:hyperlink w:anchor="__RefHeading___Toc3493609_2314609296">
            <w:r>
              <w:rPr>
                <w:webHidden/>
                <w:rStyle w:val="IndexLink"/>
                <w:rtl w:val="true"/>
              </w:rPr>
              <w:t>[</w:t>
            </w:r>
            <w:r>
              <w:rPr>
                <w:rStyle w:val="IndexLink"/>
                <w:rtl w:val="true"/>
              </w:rPr>
              <w:t>تقسیم الحروف المستقلة فی الوجود من حیث وضعها للنسبة الأولیة و الثانویة</w:t>
            </w:r>
            <w:r>
              <w:rPr>
                <w:rStyle w:val="IndexLink"/>
                <w:rtl w:val="true"/>
              </w:rPr>
              <w:t>]</w:t>
              <w:tab/>
            </w:r>
            <w:r>
              <w:rPr>
                <w:rStyle w:val="IndexLink"/>
              </w:rPr>
              <w:t>174</w:t>
            </w:r>
          </w:hyperlink>
        </w:p>
        <w:p>
          <w:pPr>
            <w:pStyle w:val="Contents4"/>
            <w:tabs>
              <w:tab w:val="clear" w:pos="8176"/>
              <w:tab w:val="right" w:pos="9026" w:leader="dot"/>
            </w:tabs>
            <w:rPr/>
          </w:pPr>
          <w:hyperlink w:anchor="__RefHeading___Toc3493611_2314609296">
            <w:r>
              <w:rPr>
                <w:webHidden/>
                <w:rStyle w:val="IndexLink"/>
                <w:rtl w:val="true"/>
              </w:rPr>
              <w:t>[</w:t>
            </w:r>
            <w:r>
              <w:rPr>
                <w:rStyle w:val="IndexLink"/>
                <w:rtl w:val="true"/>
              </w:rPr>
              <w:t>معنی الظرف المستقر و الظرف اللغو</w:t>
            </w:r>
            <w:r>
              <w:rPr>
                <w:rStyle w:val="IndexLink"/>
                <w:rtl w:val="true"/>
              </w:rPr>
              <w:t>]</w:t>
              <w:tab/>
            </w:r>
            <w:r>
              <w:rPr>
                <w:rStyle w:val="IndexLink"/>
              </w:rPr>
              <w:t>176</w:t>
            </w:r>
          </w:hyperlink>
        </w:p>
        <w:p>
          <w:pPr>
            <w:pStyle w:val="Contents4"/>
            <w:tabs>
              <w:tab w:val="clear" w:pos="8176"/>
              <w:tab w:val="right" w:pos="9026" w:leader="dot"/>
            </w:tabs>
            <w:rPr/>
          </w:pPr>
          <w:hyperlink w:anchor="__RefHeading___Toc3493613_2314609296">
            <w:r>
              <w:rPr>
                <w:webHidden/>
                <w:rStyle w:val="IndexLink"/>
                <w:rtl w:val="true"/>
              </w:rPr>
              <w:t>[</w:t>
            </w:r>
            <w:r>
              <w:rPr>
                <w:rStyle w:val="IndexLink"/>
                <w:rtl w:val="true"/>
              </w:rPr>
              <w:t>معانی الحروف کلها إیجادیة نسبیة کانت أو غیرها</w:t>
            </w:r>
            <w:r>
              <w:rPr>
                <w:rStyle w:val="IndexLink"/>
                <w:rtl w:val="true"/>
              </w:rPr>
              <w:t>]</w:t>
              <w:tab/>
            </w:r>
            <w:r>
              <w:rPr>
                <w:rStyle w:val="IndexLink"/>
              </w:rPr>
              <w:t>180</w:t>
            </w:r>
          </w:hyperlink>
        </w:p>
        <w:p>
          <w:pPr>
            <w:pStyle w:val="Contents4"/>
            <w:tabs>
              <w:tab w:val="clear" w:pos="8176"/>
              <w:tab w:val="right" w:pos="9026" w:leader="dot"/>
            </w:tabs>
            <w:rPr/>
          </w:pPr>
          <w:hyperlink w:anchor="__RefHeading___Toc3493615_2314609296">
            <w:r>
              <w:rPr>
                <w:webHidden/>
                <w:rStyle w:val="IndexLink"/>
                <w:rtl w:val="true"/>
              </w:rPr>
              <w:t>[</w:t>
            </w:r>
            <w:r>
              <w:rPr>
                <w:rStyle w:val="IndexLink"/>
                <w:rtl w:val="true"/>
              </w:rPr>
              <w:t>مناقشة ما اختاره صاحب الکفایة فی المعنی الحرفی</w:t>
            </w:r>
            <w:r>
              <w:rPr>
                <w:rStyle w:val="IndexLink"/>
                <w:rtl w:val="true"/>
              </w:rPr>
              <w:tab/>
            </w:r>
            <w:r>
              <w:rPr>
                <w:rStyle w:val="IndexLink"/>
              </w:rPr>
              <w:t>182</w:t>
            </w:r>
          </w:hyperlink>
        </w:p>
        <w:p>
          <w:pPr>
            <w:pStyle w:val="Contents4"/>
            <w:tabs>
              <w:tab w:val="clear" w:pos="8176"/>
              <w:tab w:val="right" w:pos="9026" w:leader="dot"/>
            </w:tabs>
            <w:rPr/>
          </w:pPr>
          <w:hyperlink w:anchor="__RefHeading___Toc3493617_2314609296">
            <w:r>
              <w:rPr>
                <w:webHidden/>
                <w:rStyle w:val="IndexLink"/>
                <w:rtl w:val="true"/>
              </w:rPr>
              <w:t>[</w:t>
            </w:r>
            <w:r>
              <w:rPr>
                <w:rStyle w:val="IndexLink"/>
                <w:rtl w:val="true"/>
              </w:rPr>
              <w:t>أدلة صاحب الکفایة علی استحالة أخذ اللحاظ فی المستعمل فیه</w:t>
            </w:r>
            <w:r>
              <w:rPr>
                <w:rStyle w:val="IndexLink"/>
                <w:rtl w:val="true"/>
              </w:rPr>
              <w:tab/>
            </w:r>
            <w:r>
              <w:rPr>
                <w:rStyle w:val="IndexLink"/>
              </w:rPr>
              <w:t>185</w:t>
            </w:r>
          </w:hyperlink>
        </w:p>
        <w:p>
          <w:pPr>
            <w:pStyle w:val="Contents4"/>
            <w:tabs>
              <w:tab w:val="clear" w:pos="8176"/>
              <w:tab w:val="right" w:pos="9026" w:leader="dot"/>
            </w:tabs>
            <w:rPr/>
          </w:pPr>
          <w:hyperlink w:anchor="__RefHeading___Toc3493619_2314609296">
            <w:r>
              <w:rPr>
                <w:webHidden/>
                <w:rStyle w:val="IndexLink"/>
                <w:rtl w:val="true"/>
              </w:rPr>
              <w:t>[</w:t>
            </w:r>
            <w:r>
              <w:rPr>
                <w:rStyle w:val="IndexLink"/>
                <w:rtl w:val="true"/>
              </w:rPr>
              <w:t>نقد القول بأن المعنی الحرفی ما لا یوجد فی الذهن إلا تبعا بخلاف الأسماء</w:t>
            </w:r>
            <w:r>
              <w:rPr>
                <w:rStyle w:val="IndexLink"/>
                <w:rtl w:val="true"/>
              </w:rPr>
              <w:t>]</w:t>
              <w:tab/>
            </w:r>
            <w:r>
              <w:rPr>
                <w:rStyle w:val="IndexLink"/>
              </w:rPr>
              <w:t>185</w:t>
            </w:r>
          </w:hyperlink>
        </w:p>
        <w:p>
          <w:pPr>
            <w:pStyle w:val="Contents4"/>
            <w:tabs>
              <w:tab w:val="clear" w:pos="8176"/>
              <w:tab w:val="right" w:pos="9026" w:leader="dot"/>
            </w:tabs>
            <w:rPr/>
          </w:pPr>
          <w:hyperlink w:anchor="__RefHeading___Toc3493621_2314609296">
            <w:r>
              <w:rPr>
                <w:webHidden/>
                <w:rStyle w:val="IndexLink"/>
                <w:rtl w:val="true"/>
              </w:rPr>
              <w:t>[</w:t>
            </w:r>
            <w:r>
              <w:rPr>
                <w:rStyle w:val="IndexLink"/>
                <w:rtl w:val="true"/>
              </w:rPr>
              <w:t>نقد القول بأن معانی الحروف النسب و الارتباطات الواقعیة</w:t>
            </w:r>
            <w:r>
              <w:rPr>
                <w:rStyle w:val="IndexLink"/>
                <w:rtl w:val="true"/>
              </w:rPr>
              <w:t>]</w:t>
              <w:tab/>
            </w:r>
            <w:r>
              <w:rPr>
                <w:rStyle w:val="IndexLink"/>
              </w:rPr>
              <w:t>186</w:t>
            </w:r>
          </w:hyperlink>
        </w:p>
        <w:p>
          <w:pPr>
            <w:pStyle w:val="Contents4"/>
            <w:tabs>
              <w:tab w:val="clear" w:pos="8176"/>
              <w:tab w:val="right" w:pos="9026" w:leader="dot"/>
            </w:tabs>
            <w:rPr/>
          </w:pPr>
          <w:hyperlink w:anchor="__RefHeading___Toc3493623_2314609296">
            <w:r>
              <w:rPr>
                <w:webHidden/>
                <w:rStyle w:val="IndexLink"/>
                <w:rtl w:val="true"/>
              </w:rPr>
              <w:t>[</w:t>
            </w:r>
            <w:r>
              <w:rPr>
                <w:rStyle w:val="IndexLink"/>
                <w:rtl w:val="true"/>
              </w:rPr>
              <w:t>ما أشکل به المحقق العراقی قدّس سرّه علی مسلک الکفایة قدّس سرّه</w:t>
            </w:r>
            <w:r>
              <w:rPr>
                <w:rStyle w:val="IndexLink"/>
                <w:rtl w:val="true"/>
              </w:rPr>
              <w:tab/>
            </w:r>
            <w:r>
              <w:rPr>
                <w:rStyle w:val="IndexLink"/>
              </w:rPr>
              <w:t>189</w:t>
            </w:r>
          </w:hyperlink>
        </w:p>
        <w:p>
          <w:pPr>
            <w:pStyle w:val="Contents4"/>
            <w:tabs>
              <w:tab w:val="clear" w:pos="8176"/>
              <w:tab w:val="right" w:pos="9026" w:leader="dot"/>
            </w:tabs>
            <w:rPr/>
          </w:pPr>
          <w:hyperlink w:anchor="__RefHeading___Toc3493625_2314609296">
            <w:r>
              <w:rPr>
                <w:webHidden/>
                <w:rStyle w:val="IndexLink"/>
                <w:rtl w:val="true"/>
              </w:rPr>
              <w:t>[</w:t>
            </w:r>
            <w:r>
              <w:rPr>
                <w:rStyle w:val="IndexLink"/>
                <w:rtl w:val="true"/>
              </w:rPr>
              <w:t>هل أسماء الاشارة موضوعة للذات فی مقام الاشارة أو للاشارة إلی الذات</w:t>
            </w:r>
            <w:r>
              <w:rPr>
                <w:rStyle w:val="IndexLink"/>
                <w:rtl w:val="true"/>
              </w:rPr>
              <w:tab/>
            </w:r>
            <w:r>
              <w:rPr>
                <w:rStyle w:val="IndexLink"/>
              </w:rPr>
              <w:t>191</w:t>
            </w:r>
          </w:hyperlink>
        </w:p>
        <w:p>
          <w:pPr>
            <w:pStyle w:val="Contents4"/>
            <w:tabs>
              <w:tab w:val="clear" w:pos="8176"/>
              <w:tab w:val="right" w:pos="9026" w:leader="dot"/>
            </w:tabs>
            <w:rPr/>
          </w:pPr>
          <w:hyperlink w:anchor="__RefHeading___Toc3493627_2314609296">
            <w:r>
              <w:rPr>
                <w:webHidden/>
                <w:rStyle w:val="IndexLink"/>
                <w:rtl w:val="true"/>
              </w:rPr>
              <w:t>[</w:t>
            </w:r>
            <w:r>
              <w:rPr>
                <w:rStyle w:val="IndexLink"/>
                <w:rtl w:val="true"/>
              </w:rPr>
              <w:t>دفع الاشکال علی کون أدوات الاشارة حروفا</w:t>
            </w:r>
            <w:r>
              <w:rPr>
                <w:rStyle w:val="IndexLink"/>
                <w:rtl w:val="true"/>
              </w:rPr>
              <w:t>]</w:t>
              <w:tab/>
            </w:r>
            <w:r>
              <w:rPr>
                <w:rStyle w:val="IndexLink"/>
              </w:rPr>
              <w:t>192</w:t>
            </w:r>
          </w:hyperlink>
        </w:p>
        <w:p>
          <w:pPr>
            <w:pStyle w:val="Contents4"/>
            <w:tabs>
              <w:tab w:val="clear" w:pos="8176"/>
              <w:tab w:val="right" w:pos="9026" w:leader="dot"/>
            </w:tabs>
            <w:rPr/>
          </w:pPr>
          <w:hyperlink w:anchor="__RefHeading___Toc3493629_2314609296">
            <w:r>
              <w:rPr>
                <w:webHidden/>
                <w:rStyle w:val="IndexLink"/>
                <w:rtl w:val="true"/>
              </w:rPr>
              <w:t>[</w:t>
            </w:r>
            <w:r>
              <w:rPr>
                <w:rStyle w:val="IndexLink"/>
                <w:rtl w:val="true"/>
              </w:rPr>
              <w:t>دفع المنافاة بین إیجادیة الحروف للنسبة و اتصافها بالصدق و الکذب</w:t>
            </w:r>
            <w:r>
              <w:rPr>
                <w:rStyle w:val="IndexLink"/>
                <w:rtl w:val="true"/>
              </w:rPr>
              <w:tab/>
            </w:r>
            <w:r>
              <w:rPr>
                <w:rStyle w:val="IndexLink"/>
              </w:rPr>
              <w:t>196</w:t>
            </w:r>
          </w:hyperlink>
        </w:p>
        <w:p>
          <w:pPr>
            <w:pStyle w:val="Contents4"/>
            <w:tabs>
              <w:tab w:val="clear" w:pos="8176"/>
              <w:tab w:val="right" w:pos="9026" w:leader="dot"/>
            </w:tabs>
            <w:rPr/>
          </w:pPr>
          <w:hyperlink w:anchor="__RefHeading___Toc3493631_2314609296">
            <w:r>
              <w:rPr>
                <w:webHidden/>
                <w:rStyle w:val="IndexLink"/>
                <w:rtl w:val="true"/>
              </w:rPr>
              <w:t>[</w:t>
            </w:r>
            <w:r>
              <w:rPr>
                <w:rStyle w:val="IndexLink"/>
                <w:rtl w:val="true"/>
              </w:rPr>
              <w:t>الکلام فی إمکان اجتماع النقیضین فی الذهن</w:t>
            </w:r>
            <w:r>
              <w:rPr>
                <w:rStyle w:val="IndexLink"/>
                <w:rtl w:val="true"/>
              </w:rPr>
              <w:tab/>
            </w:r>
            <w:r>
              <w:rPr>
                <w:rStyle w:val="IndexLink"/>
              </w:rPr>
              <w:t>198</w:t>
            </w:r>
          </w:hyperlink>
        </w:p>
        <w:p>
          <w:pPr>
            <w:pStyle w:val="Contents4"/>
            <w:tabs>
              <w:tab w:val="clear" w:pos="8176"/>
              <w:tab w:val="right" w:pos="9026" w:leader="dot"/>
            </w:tabs>
            <w:rPr/>
          </w:pPr>
          <w:hyperlink w:anchor="__RefHeading___Toc3493633_2314609296">
            <w:r>
              <w:rPr>
                <w:webHidden/>
                <w:rStyle w:val="IndexLink"/>
                <w:rtl w:val="true"/>
              </w:rPr>
              <w:t>[</w:t>
            </w:r>
            <w:r>
              <w:rPr>
                <w:rStyle w:val="IndexLink"/>
                <w:rtl w:val="true"/>
              </w:rPr>
              <w:t>کون المعنی الحرفی غیر ملتفت إلیه حال الاستعمال بخلاف المعنی الاسمی</w:t>
            </w:r>
            <w:r>
              <w:rPr>
                <w:rStyle w:val="IndexLink"/>
                <w:rtl w:val="true"/>
              </w:rPr>
              <w:tab/>
            </w:r>
            <w:r>
              <w:rPr>
                <w:rStyle w:val="IndexLink"/>
              </w:rPr>
              <w:t>200</w:t>
            </w:r>
          </w:hyperlink>
        </w:p>
        <w:p>
          <w:pPr>
            <w:pStyle w:val="Contents4"/>
            <w:tabs>
              <w:tab w:val="clear" w:pos="8176"/>
              <w:tab w:val="right" w:pos="9026" w:leader="dot"/>
            </w:tabs>
            <w:rPr/>
          </w:pPr>
          <w:hyperlink w:anchor="__RefHeading___Toc3493635_2314609296">
            <w:r>
              <w:rPr>
                <w:webHidden/>
                <w:rStyle w:val="IndexLink"/>
                <w:rtl w:val="true"/>
              </w:rPr>
              <w:t>[</w:t>
            </w:r>
            <w:r>
              <w:rPr>
                <w:rStyle w:val="IndexLink"/>
                <w:rtl w:val="true"/>
              </w:rPr>
              <w:t>کون النظر إلی اللفظ</w:t>
            </w:r>
            <w:r>
              <w:rPr>
                <w:rStyle w:val="IndexLink"/>
                <w:rtl w:val="true"/>
              </w:rPr>
              <w:t xml:space="preserve">- </w:t>
            </w:r>
            <w:r>
              <w:rPr>
                <w:rStyle w:val="IndexLink"/>
                <w:rtl w:val="true"/>
              </w:rPr>
              <w:t>حتی لفظ الحروف</w:t>
            </w:r>
            <w:r>
              <w:rPr>
                <w:rStyle w:val="IndexLink"/>
                <w:rtl w:val="true"/>
              </w:rPr>
              <w:t xml:space="preserve">- </w:t>
            </w:r>
            <w:r>
              <w:rPr>
                <w:rStyle w:val="IndexLink"/>
                <w:rtl w:val="true"/>
              </w:rPr>
              <w:t>آلیا</w:t>
            </w:r>
            <w:r>
              <w:rPr>
                <w:rStyle w:val="IndexLink"/>
                <w:rtl w:val="true"/>
              </w:rPr>
              <w:t>]</w:t>
              <w:tab/>
            </w:r>
            <w:r>
              <w:rPr>
                <w:rStyle w:val="IndexLink"/>
              </w:rPr>
              <w:t>200</w:t>
            </w:r>
          </w:hyperlink>
        </w:p>
        <w:p>
          <w:pPr>
            <w:pStyle w:val="Contents4"/>
            <w:tabs>
              <w:tab w:val="clear" w:pos="8176"/>
              <w:tab w:val="right" w:pos="9026" w:leader="dot"/>
            </w:tabs>
            <w:rPr/>
          </w:pPr>
          <w:hyperlink w:anchor="__RefHeading___Toc3493637_2314609296">
            <w:r>
              <w:rPr>
                <w:webHidden/>
                <w:rStyle w:val="IndexLink"/>
                <w:rtl w:val="true"/>
              </w:rPr>
              <w:t>[</w:t>
            </w:r>
            <w:r>
              <w:rPr>
                <w:rStyle w:val="IndexLink"/>
                <w:rtl w:val="true"/>
              </w:rPr>
              <w:t>المناقشة فی کون المعنی الحرفی آلة بالنسبة إلی معنی الاسمی</w:t>
            </w:r>
            <w:r>
              <w:rPr>
                <w:rStyle w:val="IndexLink"/>
                <w:rtl w:val="true"/>
              </w:rPr>
              <w:tab/>
            </w:r>
            <w:r>
              <w:rPr>
                <w:rStyle w:val="IndexLink"/>
              </w:rPr>
              <w:t>201</w:t>
            </w:r>
          </w:hyperlink>
        </w:p>
        <w:p>
          <w:pPr>
            <w:pStyle w:val="Contents4"/>
            <w:tabs>
              <w:tab w:val="clear" w:pos="8176"/>
              <w:tab w:val="right" w:pos="9026" w:leader="dot"/>
            </w:tabs>
            <w:rPr/>
          </w:pPr>
          <w:hyperlink w:anchor="__RefHeading___Toc3493639_2314609296">
            <w:r>
              <w:rPr>
                <w:webHidden/>
                <w:rStyle w:val="IndexLink"/>
                <w:rtl w:val="true"/>
              </w:rPr>
              <w:t>[</w:t>
            </w:r>
            <w:r>
              <w:rPr>
                <w:rStyle w:val="IndexLink"/>
                <w:rtl w:val="true"/>
              </w:rPr>
              <w:t>البرهان علی کون المعنی الحرفی منظورا إلیه استقلالا و المناقشة فیه</w:t>
            </w:r>
            <w:r>
              <w:rPr>
                <w:rStyle w:val="IndexLink"/>
                <w:rtl w:val="true"/>
              </w:rPr>
              <w:tab/>
            </w:r>
            <w:r>
              <w:rPr>
                <w:rStyle w:val="IndexLink"/>
              </w:rPr>
              <w:t>202</w:t>
            </w:r>
          </w:hyperlink>
        </w:p>
        <w:p>
          <w:pPr>
            <w:pStyle w:val="Contents4"/>
            <w:tabs>
              <w:tab w:val="clear" w:pos="8176"/>
              <w:tab w:val="right" w:pos="9026" w:leader="dot"/>
            </w:tabs>
            <w:rPr/>
          </w:pPr>
          <w:hyperlink w:anchor="__RefHeading___Toc3493641_2314609296">
            <w:r>
              <w:rPr>
                <w:webHidden/>
                <w:rStyle w:val="IndexLink"/>
                <w:rtl w:val="true"/>
              </w:rPr>
              <w:t>[</w:t>
            </w:r>
            <w:r>
              <w:rPr>
                <w:rStyle w:val="IndexLink"/>
                <w:rtl w:val="true"/>
              </w:rPr>
              <w:t>نقد کلام السید الخوئی قدّس سرّه فی المعنی الحرفی</w:t>
            </w:r>
            <w:r>
              <w:rPr>
                <w:rStyle w:val="IndexLink"/>
                <w:rtl w:val="true"/>
              </w:rPr>
              <w:tab/>
            </w:r>
            <w:r>
              <w:rPr>
                <w:rStyle w:val="IndexLink"/>
              </w:rPr>
              <w:t>202</w:t>
            </w:r>
          </w:hyperlink>
        </w:p>
        <w:p>
          <w:pPr>
            <w:pStyle w:val="Contents4"/>
            <w:tabs>
              <w:tab w:val="clear" w:pos="8176"/>
              <w:tab w:val="right" w:pos="9026" w:leader="dot"/>
            </w:tabs>
            <w:rPr/>
          </w:pPr>
          <w:hyperlink w:anchor="__RefHeading___Toc3493643_2314609296">
            <w:r>
              <w:rPr>
                <w:webHidden/>
                <w:rStyle w:val="IndexLink"/>
                <w:rtl w:val="true"/>
              </w:rPr>
              <w:t>[</w:t>
            </w:r>
            <w:r>
              <w:rPr>
                <w:rStyle w:val="IndexLink"/>
                <w:rtl w:val="true"/>
              </w:rPr>
              <w:t>مقالة المحقق العراقی فی حقیقة المعنی الحرفی و نقده</w:t>
            </w:r>
            <w:r>
              <w:rPr>
                <w:rStyle w:val="IndexLink"/>
                <w:rtl w:val="true"/>
              </w:rPr>
              <w:tab/>
            </w:r>
            <w:r>
              <w:rPr>
                <w:rStyle w:val="IndexLink"/>
              </w:rPr>
              <w:t>204</w:t>
            </w:r>
          </w:hyperlink>
        </w:p>
        <w:p>
          <w:pPr>
            <w:pStyle w:val="Contents4"/>
            <w:tabs>
              <w:tab w:val="clear" w:pos="8176"/>
              <w:tab w:val="right" w:pos="9026" w:leader="dot"/>
            </w:tabs>
            <w:rPr/>
          </w:pPr>
          <w:hyperlink w:anchor="__RefHeading___Toc3493645_2314609296">
            <w:r>
              <w:rPr>
                <w:webHidden/>
                <w:rStyle w:val="IndexLink"/>
                <w:rtl w:val="true"/>
              </w:rPr>
              <w:t>[</w:t>
            </w:r>
            <w:r>
              <w:rPr>
                <w:rStyle w:val="IndexLink"/>
                <w:rtl w:val="true"/>
              </w:rPr>
              <w:t>نقل کلام صاحب الحاشیة قدّس سرّه فی المعنی الحرفی</w:t>
            </w:r>
            <w:r>
              <w:rPr>
                <w:rStyle w:val="IndexLink"/>
                <w:rtl w:val="true"/>
              </w:rPr>
              <w:tab/>
            </w:r>
            <w:r>
              <w:rPr>
                <w:rStyle w:val="IndexLink"/>
              </w:rPr>
              <w:t>208</w:t>
            </w:r>
          </w:hyperlink>
        </w:p>
        <w:p>
          <w:pPr>
            <w:pStyle w:val="Contents4"/>
            <w:tabs>
              <w:tab w:val="clear" w:pos="8176"/>
              <w:tab w:val="right" w:pos="9026" w:leader="dot"/>
            </w:tabs>
            <w:rPr/>
          </w:pPr>
          <w:hyperlink w:anchor="__RefHeading___Toc3493647_2314609296">
            <w:r>
              <w:rPr>
                <w:webHidden/>
                <w:rStyle w:val="IndexLink"/>
                <w:rtl w:val="true"/>
              </w:rPr>
              <w:t>[</w:t>
            </w:r>
            <w:r>
              <w:rPr>
                <w:rStyle w:val="IndexLink"/>
                <w:rtl w:val="true"/>
              </w:rPr>
              <w:t>تفسیر و توضیح للروایة المنسوبة إلی علی علیه السّلام فی الحروف</w:t>
            </w:r>
            <w:r>
              <w:rPr>
                <w:rStyle w:val="IndexLink"/>
                <w:rtl w:val="true"/>
              </w:rPr>
              <w:tab/>
            </w:r>
            <w:r>
              <w:rPr>
                <w:rStyle w:val="IndexLink"/>
              </w:rPr>
              <w:t>211</w:t>
            </w:r>
          </w:hyperlink>
        </w:p>
        <w:p>
          <w:pPr>
            <w:pStyle w:val="Contents4"/>
            <w:tabs>
              <w:tab w:val="clear" w:pos="8176"/>
              <w:tab w:val="right" w:pos="9026" w:leader="dot"/>
            </w:tabs>
            <w:rPr/>
          </w:pPr>
          <w:hyperlink w:anchor="__RefHeading___Toc3493649_2314609296">
            <w:r>
              <w:rPr>
                <w:webHidden/>
                <w:rStyle w:val="IndexLink"/>
                <w:rtl w:val="true"/>
              </w:rPr>
              <w:t>[</w:t>
            </w:r>
            <w:r>
              <w:rPr>
                <w:rStyle w:val="IndexLink"/>
                <w:rtl w:val="true"/>
              </w:rPr>
              <w:t>مناقشة السید الخوئی قدّس سرّه فی المعنی الحرفی</w:t>
            </w:r>
            <w:r>
              <w:rPr>
                <w:rStyle w:val="IndexLink"/>
                <w:rtl w:val="true"/>
              </w:rPr>
              <w:tab/>
            </w:r>
            <w:r>
              <w:rPr>
                <w:rStyle w:val="IndexLink"/>
              </w:rPr>
              <w:t>215</w:t>
            </w:r>
          </w:hyperlink>
        </w:p>
        <w:p>
          <w:pPr>
            <w:pStyle w:val="Contents4"/>
            <w:tabs>
              <w:tab w:val="clear" w:pos="8176"/>
              <w:tab w:val="right" w:pos="9026" w:leader="dot"/>
            </w:tabs>
            <w:rPr/>
          </w:pPr>
          <w:hyperlink w:anchor="__RefHeading___Toc3493651_2314609296">
            <w:r>
              <w:rPr>
                <w:webHidden/>
                <w:rStyle w:val="IndexLink"/>
                <w:rtl w:val="true"/>
              </w:rPr>
              <w:t>[</w:t>
            </w:r>
            <w:r>
              <w:rPr>
                <w:rStyle w:val="IndexLink"/>
                <w:rtl w:val="true"/>
              </w:rPr>
              <w:t>مناقشة السید الخوئی قدّس سرّه فی وضع هیئة الجملة الاسمیة</w:t>
            </w:r>
            <w:r>
              <w:rPr>
                <w:rStyle w:val="IndexLink"/>
                <w:rtl w:val="true"/>
              </w:rPr>
              <w:t>]</w:t>
              <w:tab/>
            </w:r>
            <w:r>
              <w:rPr>
                <w:rStyle w:val="IndexLink"/>
              </w:rPr>
              <w:t>217</w:t>
            </w:r>
          </w:hyperlink>
        </w:p>
        <w:p>
          <w:pPr>
            <w:pStyle w:val="Contents4"/>
            <w:tabs>
              <w:tab w:val="clear" w:pos="8176"/>
              <w:tab w:val="right" w:pos="9026" w:leader="dot"/>
            </w:tabs>
            <w:rPr/>
          </w:pPr>
          <w:hyperlink w:anchor="__RefHeading___Toc3493653_2314609296">
            <w:r>
              <w:rPr>
                <w:webHidden/>
                <w:rStyle w:val="IndexLink"/>
                <w:rtl w:val="true"/>
              </w:rPr>
              <w:t>[</w:t>
            </w:r>
            <w:r>
              <w:rPr>
                <w:rStyle w:val="IndexLink"/>
                <w:rtl w:val="true"/>
              </w:rPr>
              <w:t>مناقشة السید الخوئی قدّس سرّه فی وضع هیئة الأفعال</w:t>
            </w:r>
            <w:r>
              <w:rPr>
                <w:rStyle w:val="IndexLink"/>
                <w:rtl w:val="true"/>
              </w:rPr>
              <w:tab/>
            </w:r>
            <w:r>
              <w:rPr>
                <w:rStyle w:val="IndexLink"/>
              </w:rPr>
              <w:t>220</w:t>
            </w:r>
          </w:hyperlink>
        </w:p>
        <w:p>
          <w:pPr>
            <w:pStyle w:val="Contents4"/>
            <w:tabs>
              <w:tab w:val="clear" w:pos="8176"/>
              <w:tab w:val="right" w:pos="9026" w:leader="dot"/>
            </w:tabs>
            <w:rPr/>
          </w:pPr>
          <w:hyperlink w:anchor="__RefHeading___Toc3493655_2314609296">
            <w:r>
              <w:rPr>
                <w:webHidden/>
                <w:rStyle w:val="IndexLink"/>
                <w:rtl w:val="true"/>
              </w:rPr>
              <w:t>[</w:t>
            </w:r>
            <w:r>
              <w:rPr>
                <w:rStyle w:val="IndexLink"/>
                <w:rtl w:val="true"/>
              </w:rPr>
              <w:t>مناقشة السید الخوئی قدّس سرّه فی الفرق بین الانشاء و الاخبار</w:t>
            </w:r>
            <w:r>
              <w:rPr>
                <w:rStyle w:val="IndexLink"/>
                <w:rtl w:val="true"/>
              </w:rPr>
              <w:t>]</w:t>
              <w:tab/>
            </w:r>
            <w:r>
              <w:rPr>
                <w:rStyle w:val="IndexLink"/>
              </w:rPr>
              <w:t>221</w:t>
            </w:r>
          </w:hyperlink>
        </w:p>
        <w:p>
          <w:pPr>
            <w:pStyle w:val="Contents4"/>
            <w:tabs>
              <w:tab w:val="clear" w:pos="8176"/>
              <w:tab w:val="right" w:pos="9026" w:leader="dot"/>
            </w:tabs>
            <w:rPr/>
          </w:pPr>
          <w:hyperlink w:anchor="__RefHeading___Toc3493657_2314609296">
            <w:r>
              <w:rPr>
                <w:webHidden/>
                <w:rStyle w:val="IndexLink"/>
                <w:rtl w:val="true"/>
              </w:rPr>
              <w:t>تنبیه</w:t>
            </w:r>
            <w:r>
              <w:rPr>
                <w:rStyle w:val="IndexLink"/>
                <w:rtl w:val="true"/>
              </w:rPr>
              <w:tab/>
            </w:r>
            <w:r>
              <w:rPr>
                <w:rStyle w:val="IndexLink"/>
              </w:rPr>
              <w:t>223</w:t>
            </w:r>
          </w:hyperlink>
        </w:p>
        <w:p>
          <w:pPr>
            <w:pStyle w:val="Contents4"/>
            <w:tabs>
              <w:tab w:val="clear" w:pos="8176"/>
              <w:tab w:val="right" w:pos="9026" w:leader="dot"/>
            </w:tabs>
            <w:rPr/>
          </w:pPr>
          <w:hyperlink w:anchor="__RefHeading___Toc3493659_2314609296">
            <w:r>
              <w:rPr>
                <w:webHidden/>
                <w:rStyle w:val="IndexLink"/>
                <w:rtl w:val="true"/>
              </w:rPr>
              <w:t>[</w:t>
            </w:r>
            <w:r>
              <w:rPr>
                <w:rStyle w:val="IndexLink"/>
              </w:rPr>
              <w:t>1</w:t>
            </w:r>
            <w:r>
              <w:rPr>
                <w:rStyle w:val="IndexLink"/>
                <w:rtl w:val="true"/>
              </w:rPr>
              <w:t xml:space="preserve">- </w:t>
            </w:r>
            <w:r>
              <w:rPr>
                <w:rStyle w:val="IndexLink"/>
                <w:rtl w:val="true"/>
              </w:rPr>
              <w:t>عدم تضمن أسماء الاشارة و أسماء الأفعال لمعنی الحرف</w:t>
            </w:r>
            <w:r>
              <w:rPr>
                <w:rStyle w:val="IndexLink"/>
                <w:rtl w:val="true"/>
              </w:rPr>
              <w:tab/>
            </w:r>
            <w:r>
              <w:rPr>
                <w:rStyle w:val="IndexLink"/>
              </w:rPr>
              <w:t>223</w:t>
            </w:r>
          </w:hyperlink>
        </w:p>
        <w:p>
          <w:pPr>
            <w:pStyle w:val="Contents4"/>
            <w:tabs>
              <w:tab w:val="clear" w:pos="8176"/>
              <w:tab w:val="right" w:pos="9026" w:leader="dot"/>
            </w:tabs>
            <w:rPr/>
          </w:pPr>
          <w:hyperlink w:anchor="__RefHeading___Toc3493661_2314609296">
            <w:r>
              <w:rPr>
                <w:webHidden/>
                <w:rStyle w:val="IndexLink"/>
                <w:rtl w:val="true"/>
              </w:rPr>
              <w:t>[</w:t>
            </w:r>
            <w:r>
              <w:rPr>
                <w:rStyle w:val="IndexLink"/>
              </w:rPr>
              <w:t>2</w:t>
            </w:r>
            <w:r>
              <w:rPr>
                <w:rStyle w:val="IndexLink"/>
                <w:rtl w:val="true"/>
              </w:rPr>
              <w:t xml:space="preserve">- </w:t>
            </w:r>
            <w:r>
              <w:rPr>
                <w:rStyle w:val="IndexLink"/>
                <w:rtl w:val="true"/>
              </w:rPr>
              <w:t>عدم اتصاف معانی الحروف بالکلیة و الجزئیة</w:t>
            </w:r>
            <w:r>
              <w:rPr>
                <w:rStyle w:val="IndexLink"/>
                <w:rtl w:val="true"/>
              </w:rPr>
              <w:t>]</w:t>
              <w:tab/>
            </w:r>
            <w:r>
              <w:rPr>
                <w:rStyle w:val="IndexLink"/>
              </w:rPr>
              <w:t>225</w:t>
            </w:r>
          </w:hyperlink>
        </w:p>
        <w:p>
          <w:pPr>
            <w:pStyle w:val="Contents4"/>
            <w:tabs>
              <w:tab w:val="clear" w:pos="8176"/>
              <w:tab w:val="right" w:pos="9026" w:leader="dot"/>
            </w:tabs>
            <w:rPr/>
          </w:pPr>
          <w:hyperlink w:anchor="__RefHeading___Toc3493663_2314609296">
            <w:r>
              <w:rPr>
                <w:webHidden/>
                <w:rStyle w:val="IndexLink"/>
                <w:rtl w:val="true"/>
              </w:rPr>
              <w:t>[</w:t>
            </w:r>
            <w:r>
              <w:rPr>
                <w:rStyle w:val="IndexLink"/>
              </w:rPr>
              <w:t>3</w:t>
            </w:r>
            <w:r>
              <w:rPr>
                <w:rStyle w:val="IndexLink"/>
                <w:rtl w:val="true"/>
              </w:rPr>
              <w:t xml:space="preserve">- </w:t>
            </w:r>
            <w:r>
              <w:rPr>
                <w:rStyle w:val="IndexLink"/>
                <w:rtl w:val="true"/>
              </w:rPr>
              <w:t>عدم قابلیة المعانی الحرفیة للتقیید</w:t>
            </w:r>
            <w:r>
              <w:rPr>
                <w:rStyle w:val="IndexLink"/>
                <w:rtl w:val="true"/>
              </w:rPr>
              <w:t>]</w:t>
              <w:tab/>
            </w:r>
            <w:r>
              <w:rPr>
                <w:rStyle w:val="IndexLink"/>
              </w:rPr>
              <w:t>226</w:t>
            </w:r>
          </w:hyperlink>
        </w:p>
        <w:p>
          <w:pPr>
            <w:pStyle w:val="Contents3"/>
            <w:tabs>
              <w:tab w:val="clear" w:pos="8459"/>
              <w:tab w:val="right" w:pos="9026" w:leader="dot"/>
            </w:tabs>
            <w:rPr/>
          </w:pPr>
          <w:hyperlink w:anchor="__RefHeading___Toc3493665_2314609296">
            <w:r>
              <w:rPr>
                <w:webHidden/>
                <w:rStyle w:val="IndexLink"/>
                <w:rtl w:val="true"/>
              </w:rPr>
              <w:t>[</w:t>
            </w:r>
            <w:r>
              <w:rPr>
                <w:rStyle w:val="IndexLink"/>
                <w:rtl w:val="true"/>
              </w:rPr>
              <w:t>استعمال اللفظ فی نوعه أو صنفه أو مثله</w:t>
            </w:r>
            <w:r>
              <w:rPr>
                <w:rStyle w:val="IndexLink"/>
                <w:rtl w:val="true"/>
              </w:rPr>
              <w:tab/>
            </w:r>
            <w:r>
              <w:rPr>
                <w:rStyle w:val="IndexLink"/>
              </w:rPr>
              <w:t>227</w:t>
            </w:r>
          </w:hyperlink>
        </w:p>
        <w:p>
          <w:pPr>
            <w:pStyle w:val="Contents3"/>
            <w:tabs>
              <w:tab w:val="clear" w:pos="8459"/>
              <w:tab w:val="right" w:pos="9026" w:leader="dot"/>
            </w:tabs>
            <w:rPr/>
          </w:pPr>
          <w:hyperlink w:anchor="__RefHeading___Toc3493667_2314609296">
            <w:r>
              <w:rPr>
                <w:webHidden/>
                <w:rStyle w:val="IndexLink"/>
                <w:rtl w:val="true"/>
              </w:rPr>
              <w:t>[</w:t>
            </w:r>
            <w:r>
              <w:rPr>
                <w:rStyle w:val="IndexLink"/>
                <w:rtl w:val="true"/>
              </w:rPr>
              <w:t>الحقیقة الشرعیة</w:t>
            </w:r>
            <w:r>
              <w:rPr>
                <w:rStyle w:val="IndexLink"/>
                <w:rtl w:val="true"/>
              </w:rPr>
              <w:t>]</w:t>
              <w:tab/>
            </w:r>
            <w:r>
              <w:rPr>
                <w:rStyle w:val="IndexLink"/>
              </w:rPr>
              <w:t>235</w:t>
            </w:r>
          </w:hyperlink>
        </w:p>
        <w:p>
          <w:pPr>
            <w:pStyle w:val="Contents4"/>
            <w:tabs>
              <w:tab w:val="clear" w:pos="8176"/>
              <w:tab w:val="right" w:pos="9026" w:leader="dot"/>
            </w:tabs>
            <w:rPr/>
          </w:pPr>
          <w:hyperlink w:anchor="__RefHeading___Toc3493669_2314609296">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3493671_2314609296">
            <w:r>
              <w:rPr>
                <w:webHidden/>
                <w:rStyle w:val="IndexLink"/>
                <w:rtl w:val="true"/>
              </w:rPr>
              <w:t>الکلام فی هذا المقام یستدعی تقدیم مقدّمات</w:t>
            </w:r>
            <w:r>
              <w:rPr>
                <w:rStyle w:val="IndexLink"/>
                <w:rtl w:val="true"/>
              </w:rPr>
              <w:t>:</w:t>
              <w:tab/>
            </w:r>
            <w:r>
              <w:rPr>
                <w:rStyle w:val="IndexLink"/>
              </w:rPr>
              <w:t>235</w:t>
            </w:r>
          </w:hyperlink>
        </w:p>
        <w:p>
          <w:pPr>
            <w:pStyle w:val="Contents4"/>
            <w:tabs>
              <w:tab w:val="clear" w:pos="8176"/>
              <w:tab w:val="right" w:pos="9026" w:leader="dot"/>
            </w:tabs>
            <w:rPr/>
          </w:pPr>
          <w:hyperlink w:anchor="__RefHeading___Toc3493673_2314609296">
            <w:r>
              <w:rPr>
                <w:webHidden/>
                <w:rStyle w:val="IndexLink"/>
                <w:rtl w:val="true"/>
              </w:rPr>
              <w:t>[</w:t>
            </w:r>
            <w:r>
              <w:rPr>
                <w:rStyle w:val="IndexLink"/>
              </w:rPr>
              <w:t>1</w:t>
            </w:r>
            <w:r>
              <w:rPr>
                <w:rStyle w:val="IndexLink"/>
                <w:rtl w:val="true"/>
              </w:rPr>
              <w:t xml:space="preserve">- </w:t>
            </w:r>
            <w:r>
              <w:rPr>
                <w:rStyle w:val="IndexLink"/>
                <w:rtl w:val="true"/>
              </w:rPr>
              <w:t>توقف الحقیقة الشرعیة علی الاختراع و التسمیة و ذکر صور فی المقام</w:t>
            </w:r>
            <w:r>
              <w:rPr>
                <w:rStyle w:val="IndexLink"/>
                <w:rtl w:val="true"/>
              </w:rPr>
              <w:tab/>
            </w:r>
            <w:r>
              <w:rPr>
                <w:rStyle w:val="IndexLink"/>
              </w:rPr>
              <w:t>235</w:t>
            </w:r>
          </w:hyperlink>
        </w:p>
        <w:p>
          <w:pPr>
            <w:pStyle w:val="Contents4"/>
            <w:tabs>
              <w:tab w:val="clear" w:pos="8176"/>
              <w:tab w:val="right" w:pos="9026" w:leader="dot"/>
            </w:tabs>
            <w:rPr/>
          </w:pPr>
          <w:hyperlink w:anchor="__RefHeading___Toc3493675_2314609296">
            <w:r>
              <w:rPr>
                <w:webHidden/>
                <w:rStyle w:val="IndexLink"/>
                <w:rtl w:val="true"/>
              </w:rPr>
              <w:t>[</w:t>
            </w:r>
            <w:r>
              <w:rPr>
                <w:rStyle w:val="IndexLink"/>
              </w:rPr>
              <w:t>2</w:t>
            </w:r>
            <w:r>
              <w:rPr>
                <w:rStyle w:val="IndexLink"/>
                <w:rtl w:val="true"/>
              </w:rPr>
              <w:t xml:space="preserve">- </w:t>
            </w:r>
            <w:r>
              <w:rPr>
                <w:rStyle w:val="IndexLink"/>
                <w:rtl w:val="true"/>
              </w:rPr>
              <w:t>صور الحقیقة الشرعیة من الوضع التعیینی و التعینی</w:t>
            </w:r>
            <w:r>
              <w:rPr>
                <w:rStyle w:val="IndexLink"/>
                <w:rtl w:val="true"/>
              </w:rPr>
              <w:tab/>
            </w:r>
            <w:r>
              <w:rPr>
                <w:rStyle w:val="IndexLink"/>
              </w:rPr>
              <w:t>236</w:t>
            </w:r>
          </w:hyperlink>
        </w:p>
        <w:p>
          <w:pPr>
            <w:pStyle w:val="Contents5"/>
            <w:tabs>
              <w:tab w:val="clear" w:pos="7892"/>
              <w:tab w:val="right" w:pos="9026" w:leader="dot"/>
            </w:tabs>
            <w:rPr/>
          </w:pPr>
          <w:hyperlink w:anchor="__RefHeading___Toc3493677_2314609296">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3493679_2314609296">
            <w:r>
              <w:rPr>
                <w:webHidden/>
                <w:rStyle w:val="IndexLink"/>
                <w:rtl w:val="true"/>
              </w:rPr>
              <w:t>[</w:t>
            </w:r>
            <w:r>
              <w:rPr>
                <w:rStyle w:val="IndexLink"/>
                <w:rtl w:val="true"/>
              </w:rPr>
              <w:t>استبعاد حصول الوضع الابتدائی</w:t>
            </w:r>
            <w:r>
              <w:rPr>
                <w:rStyle w:val="IndexLink"/>
                <w:rtl w:val="true"/>
              </w:rPr>
              <w:tab/>
            </w:r>
            <w:r>
              <w:rPr>
                <w:rStyle w:val="IndexLink"/>
              </w:rPr>
              <w:t>237</w:t>
            </w:r>
          </w:hyperlink>
        </w:p>
        <w:p>
          <w:pPr>
            <w:pStyle w:val="Contents5"/>
            <w:tabs>
              <w:tab w:val="clear" w:pos="7892"/>
              <w:tab w:val="right" w:pos="9026" w:leader="dot"/>
            </w:tabs>
            <w:rPr/>
          </w:pPr>
          <w:hyperlink w:anchor="__RefHeading___Toc3493681_2314609296">
            <w:r>
              <w:rPr>
                <w:webHidden/>
                <w:rStyle w:val="IndexLink"/>
                <w:rtl w:val="true"/>
              </w:rPr>
              <w:t>[</w:t>
            </w:r>
            <w:r>
              <w:rPr>
                <w:rStyle w:val="IndexLink"/>
                <w:rtl w:val="true"/>
              </w:rPr>
              <w:t>حصول الوضع بکثرة الاستعمال مجازا و المناقشة فیه</w:t>
            </w:r>
            <w:r>
              <w:rPr>
                <w:rStyle w:val="IndexLink"/>
                <w:rtl w:val="true"/>
              </w:rPr>
              <w:tab/>
            </w:r>
            <w:r>
              <w:rPr>
                <w:rStyle w:val="IndexLink"/>
              </w:rPr>
              <w:t>237</w:t>
            </w:r>
          </w:hyperlink>
        </w:p>
        <w:p>
          <w:pPr>
            <w:pStyle w:val="Contents5"/>
            <w:tabs>
              <w:tab w:val="clear" w:pos="7892"/>
              <w:tab w:val="right" w:pos="9026" w:leader="dot"/>
            </w:tabs>
            <w:rPr/>
          </w:pPr>
          <w:hyperlink w:anchor="__RefHeading___Toc3493683_2314609296">
            <w:r>
              <w:rPr>
                <w:webHidden/>
                <w:rStyle w:val="IndexLink"/>
                <w:rtl w:val="true"/>
              </w:rPr>
              <w:t>[</w:t>
            </w:r>
            <w:r>
              <w:rPr>
                <w:rStyle w:val="IndexLink"/>
                <w:rtl w:val="true"/>
              </w:rPr>
              <w:t>حصول الوضع بالاستعمال و بیان کلمات الأعلام قدّس سرّهم فیه</w:t>
            </w:r>
            <w:r>
              <w:rPr>
                <w:rStyle w:val="IndexLink"/>
                <w:rtl w:val="true"/>
              </w:rPr>
              <w:tab/>
            </w:r>
            <w:r>
              <w:rPr>
                <w:rStyle w:val="IndexLink"/>
              </w:rPr>
              <w:t>240</w:t>
            </w:r>
          </w:hyperlink>
        </w:p>
        <w:p>
          <w:pPr>
            <w:pStyle w:val="Contents4"/>
            <w:tabs>
              <w:tab w:val="clear" w:pos="8176"/>
              <w:tab w:val="right" w:pos="9026" w:leader="dot"/>
            </w:tabs>
            <w:rPr/>
          </w:pPr>
          <w:hyperlink w:anchor="__RefHeading___Toc3493685_2314609296">
            <w:r>
              <w:rPr>
                <w:webHidden/>
                <w:rStyle w:val="IndexLink"/>
                <w:rtl w:val="true"/>
              </w:rPr>
              <w:t>[</w:t>
            </w:r>
            <w:r>
              <w:rPr>
                <w:rStyle w:val="IndexLink"/>
              </w:rPr>
              <w:t>3</w:t>
            </w:r>
            <w:r>
              <w:rPr>
                <w:rStyle w:val="IndexLink"/>
                <w:rtl w:val="true"/>
              </w:rPr>
              <w:t xml:space="preserve">- </w:t>
            </w:r>
            <w:r>
              <w:rPr>
                <w:rStyle w:val="IndexLink"/>
                <w:rtl w:val="true"/>
              </w:rPr>
              <w:t>ثمرة النزاع</w:t>
            </w:r>
            <w:r>
              <w:rPr>
                <w:rStyle w:val="IndexLink"/>
                <w:rtl w:val="true"/>
              </w:rPr>
              <w:tab/>
            </w:r>
            <w:r>
              <w:rPr>
                <w:rStyle w:val="IndexLink"/>
              </w:rPr>
              <w:t>246</w:t>
            </w:r>
          </w:hyperlink>
        </w:p>
        <w:p>
          <w:pPr>
            <w:pStyle w:val="Contents4"/>
            <w:tabs>
              <w:tab w:val="clear" w:pos="8176"/>
              <w:tab w:val="right" w:pos="9026" w:leader="dot"/>
            </w:tabs>
            <w:rPr/>
          </w:pPr>
          <w:hyperlink w:anchor="__RefHeading___Toc3493687_2314609296">
            <w:r>
              <w:rPr>
                <w:webHidden/>
                <w:rStyle w:val="IndexLink"/>
                <w:rtl w:val="true"/>
              </w:rPr>
              <w:t>[</w:t>
            </w:r>
            <w:r>
              <w:rPr>
                <w:rStyle w:val="IndexLink"/>
                <w:rtl w:val="true"/>
              </w:rPr>
              <w:t>نقد کلام صاحب الکفایة قدّس سرّه فی المقام</w:t>
            </w:r>
            <w:r>
              <w:rPr>
                <w:rStyle w:val="IndexLink"/>
                <w:rtl w:val="true"/>
              </w:rPr>
              <w:tab/>
            </w:r>
            <w:r>
              <w:rPr>
                <w:rStyle w:val="IndexLink"/>
              </w:rPr>
              <w:t>249</w:t>
            </w:r>
          </w:hyperlink>
        </w:p>
        <w:p>
          <w:pPr>
            <w:pStyle w:val="Contents3"/>
            <w:tabs>
              <w:tab w:val="clear" w:pos="8459"/>
              <w:tab w:val="right" w:pos="9026" w:leader="dot"/>
            </w:tabs>
            <w:rPr/>
          </w:pPr>
          <w:hyperlink w:anchor="__RefHeading___Toc3493689_2314609296">
            <w:r>
              <w:rPr>
                <w:webHidden/>
                <w:rStyle w:val="IndexLink"/>
                <w:rtl w:val="true"/>
              </w:rPr>
              <w:t>[</w:t>
            </w:r>
            <w:r>
              <w:rPr>
                <w:rStyle w:val="IndexLink"/>
                <w:rtl w:val="true"/>
              </w:rPr>
              <w:t>الصحیح و الأعم</w:t>
            </w:r>
            <w:r>
              <w:rPr>
                <w:rStyle w:val="IndexLink"/>
                <w:rtl w:val="true"/>
              </w:rPr>
              <w:tab/>
            </w:r>
            <w:r>
              <w:rPr>
                <w:rStyle w:val="IndexLink"/>
              </w:rPr>
              <w:t>254</w:t>
            </w:r>
          </w:hyperlink>
        </w:p>
        <w:p>
          <w:pPr>
            <w:pStyle w:val="Contents4"/>
            <w:tabs>
              <w:tab w:val="clear" w:pos="8176"/>
              <w:tab w:val="right" w:pos="9026" w:leader="dot"/>
            </w:tabs>
            <w:rPr/>
          </w:pPr>
          <w:hyperlink w:anchor="__RefHeading___Toc3493691_2314609296">
            <w:r>
              <w:rPr>
                <w:webHidden/>
                <w:rStyle w:val="IndexLink"/>
                <w:rtl w:val="true"/>
              </w:rPr>
              <w:t>[</w:t>
            </w:r>
            <w:r>
              <w:rPr>
                <w:rStyle w:val="IndexLink"/>
                <w:rtl w:val="true"/>
              </w:rPr>
              <w:t>توجیه جریان النزاع مع إنکار الحقیقة الشرعیة</w:t>
            </w:r>
            <w:r>
              <w:rPr>
                <w:rStyle w:val="IndexLink"/>
                <w:rtl w:val="true"/>
              </w:rPr>
              <w:t>]</w:t>
              <w:tab/>
            </w:r>
            <w:r>
              <w:rPr>
                <w:rStyle w:val="IndexLink"/>
              </w:rPr>
              <w:t>254</w:t>
            </w:r>
          </w:hyperlink>
        </w:p>
        <w:p>
          <w:pPr>
            <w:pStyle w:val="Contents4"/>
            <w:tabs>
              <w:tab w:val="clear" w:pos="8176"/>
              <w:tab w:val="right" w:pos="9026" w:leader="dot"/>
            </w:tabs>
            <w:rPr/>
          </w:pPr>
          <w:hyperlink w:anchor="__RefHeading___Toc3493693_2314609296">
            <w:r>
              <w:rPr>
                <w:webHidden/>
                <w:rStyle w:val="IndexLink"/>
                <w:rtl w:val="true"/>
              </w:rPr>
              <w:t>[</w:t>
            </w:r>
            <w:r>
              <w:rPr>
                <w:rStyle w:val="IndexLink"/>
                <w:rtl w:val="true"/>
              </w:rPr>
              <w:t>توجیه آخر فی المقام و الاشکال علیه</w:t>
            </w:r>
            <w:r>
              <w:rPr>
                <w:rStyle w:val="IndexLink"/>
                <w:rtl w:val="true"/>
              </w:rPr>
              <w:tab/>
            </w:r>
            <w:r>
              <w:rPr>
                <w:rStyle w:val="IndexLink"/>
              </w:rPr>
              <w:t>257</w:t>
            </w:r>
          </w:hyperlink>
        </w:p>
        <w:p>
          <w:pPr>
            <w:pStyle w:val="Contents4"/>
            <w:tabs>
              <w:tab w:val="clear" w:pos="8176"/>
              <w:tab w:val="right" w:pos="9026" w:leader="dot"/>
            </w:tabs>
            <w:rPr/>
          </w:pPr>
          <w:hyperlink w:anchor="__RefHeading___Toc3493695_2314609296">
            <w:r>
              <w:rPr>
                <w:webHidden/>
                <w:rStyle w:val="IndexLink"/>
                <w:rtl w:val="true"/>
              </w:rPr>
              <w:t>[</w:t>
            </w:r>
            <w:r>
              <w:rPr>
                <w:rStyle w:val="IndexLink"/>
                <w:rtl w:val="true"/>
              </w:rPr>
              <w:t>إشکال بعض محشی الکفایة علی هذه التوجیهات</w:t>
            </w:r>
            <w:r>
              <w:rPr>
                <w:rStyle w:val="IndexLink"/>
                <w:rtl w:val="true"/>
              </w:rPr>
              <w:tab/>
            </w:r>
            <w:r>
              <w:rPr>
                <w:rStyle w:val="IndexLink"/>
              </w:rPr>
              <w:t>258</w:t>
            </w:r>
          </w:hyperlink>
        </w:p>
        <w:p>
          <w:pPr>
            <w:pStyle w:val="Contents4"/>
            <w:tabs>
              <w:tab w:val="clear" w:pos="8176"/>
              <w:tab w:val="right" w:pos="9026" w:leader="dot"/>
            </w:tabs>
            <w:rPr/>
          </w:pPr>
          <w:hyperlink w:anchor="__RefHeading___Toc3493697_2314609296">
            <w:r>
              <w:rPr>
                <w:webHidden/>
                <w:rStyle w:val="IndexLink"/>
                <w:rtl w:val="true"/>
              </w:rPr>
              <w:t>[</w:t>
            </w:r>
            <w:r>
              <w:rPr>
                <w:rStyle w:val="IndexLink"/>
                <w:rtl w:val="true"/>
              </w:rPr>
              <w:t>اختلاف ثمرة النزاع فی مسألة الحقیقة الشرعیة عن مسألة الصحیح و الأعم</w:t>
            </w:r>
            <w:r>
              <w:rPr>
                <w:rStyle w:val="IndexLink"/>
                <w:rtl w:val="true"/>
              </w:rPr>
              <w:tab/>
            </w:r>
            <w:r>
              <w:rPr>
                <w:rStyle w:val="IndexLink"/>
              </w:rPr>
              <w:t>259</w:t>
            </w:r>
          </w:hyperlink>
        </w:p>
        <w:p>
          <w:pPr>
            <w:pStyle w:val="Contents4"/>
            <w:tabs>
              <w:tab w:val="clear" w:pos="8176"/>
              <w:tab w:val="right" w:pos="9026" w:leader="dot"/>
            </w:tabs>
            <w:rPr/>
          </w:pPr>
          <w:hyperlink w:anchor="__RefHeading___Toc3493699_2314609296">
            <w:r>
              <w:rPr>
                <w:webHidden/>
                <w:rStyle w:val="IndexLink"/>
                <w:rtl w:val="true"/>
              </w:rPr>
              <w:t>[</w:t>
            </w:r>
            <w:r>
              <w:rPr>
                <w:rStyle w:val="IndexLink"/>
                <w:rtl w:val="true"/>
              </w:rPr>
              <w:t>نقل ما فی الکفایة من تأتّی النزاع علی القول بالحقیقة الشرعیة و إنکارها</w:t>
            </w:r>
            <w:r>
              <w:rPr>
                <w:rStyle w:val="IndexLink"/>
                <w:rtl w:val="true"/>
              </w:rPr>
              <w:t>]</w:t>
              <w:tab/>
            </w:r>
            <w:r>
              <w:rPr>
                <w:rStyle w:val="IndexLink"/>
              </w:rPr>
              <w:t>266</w:t>
            </w:r>
          </w:hyperlink>
        </w:p>
        <w:p>
          <w:pPr>
            <w:pStyle w:val="Contents4"/>
            <w:tabs>
              <w:tab w:val="clear" w:pos="8176"/>
              <w:tab w:val="right" w:pos="9026" w:leader="dot"/>
            </w:tabs>
            <w:rPr/>
          </w:pPr>
          <w:hyperlink w:anchor="__RefHeading___Toc3493701_2314609296">
            <w:r>
              <w:rPr>
                <w:webHidden/>
                <w:rStyle w:val="IndexLink"/>
                <w:rtl w:val="true"/>
              </w:rPr>
              <w:t>[</w:t>
            </w:r>
            <w:r>
              <w:rPr>
                <w:rStyle w:val="IndexLink"/>
                <w:rtl w:val="true"/>
              </w:rPr>
              <w:t>تفسیر الصحة بالتمامیة و المناقشة فیه</w:t>
            </w:r>
            <w:r>
              <w:rPr>
                <w:rStyle w:val="IndexLink"/>
                <w:rtl w:val="true"/>
              </w:rPr>
              <w:tab/>
            </w:r>
            <w:r>
              <w:rPr>
                <w:rStyle w:val="IndexLink"/>
              </w:rPr>
              <w:t>268</w:t>
            </w:r>
          </w:hyperlink>
        </w:p>
        <w:p>
          <w:pPr>
            <w:pStyle w:val="Contents4"/>
            <w:tabs>
              <w:tab w:val="clear" w:pos="8176"/>
              <w:tab w:val="right" w:pos="9026" w:leader="dot"/>
            </w:tabs>
            <w:rPr/>
          </w:pPr>
          <w:hyperlink w:anchor="__RefHeading___Toc3493703_2314609296">
            <w:r>
              <w:rPr>
                <w:webHidden/>
                <w:rStyle w:val="IndexLink"/>
                <w:rtl w:val="true"/>
              </w:rPr>
              <w:t>[</w:t>
            </w:r>
            <w:r>
              <w:rPr>
                <w:rStyle w:val="IndexLink"/>
                <w:rtl w:val="true"/>
              </w:rPr>
              <w:t>تصویر الجامع علی القول بالوضع للصحیح</w:t>
            </w:r>
            <w:r>
              <w:rPr>
                <w:rStyle w:val="IndexLink"/>
                <w:rtl w:val="true"/>
              </w:rPr>
              <w:tab/>
            </w:r>
            <w:r>
              <w:rPr>
                <w:rStyle w:val="IndexLink"/>
              </w:rPr>
              <w:t>271</w:t>
            </w:r>
          </w:hyperlink>
        </w:p>
        <w:p>
          <w:pPr>
            <w:pStyle w:val="Contents4"/>
            <w:tabs>
              <w:tab w:val="clear" w:pos="8176"/>
              <w:tab w:val="right" w:pos="9026" w:leader="dot"/>
            </w:tabs>
            <w:rPr/>
          </w:pPr>
          <w:hyperlink w:anchor="__RefHeading___Toc3493705_2314609296">
            <w:r>
              <w:rPr>
                <w:webHidden/>
                <w:rStyle w:val="IndexLink"/>
                <w:rtl w:val="true"/>
              </w:rPr>
              <w:t>[</w:t>
            </w:r>
            <w:r>
              <w:rPr>
                <w:rStyle w:val="IndexLink"/>
                <w:rtl w:val="true"/>
              </w:rPr>
              <w:t>انتفاء النزاع بناء علی ما ذکره السید البروجردی قدّس سرّه</w:t>
            </w:r>
            <w:r>
              <w:rPr>
                <w:rStyle w:val="IndexLink"/>
                <w:rtl w:val="true"/>
              </w:rPr>
              <w:tab/>
            </w:r>
            <w:r>
              <w:rPr>
                <w:rStyle w:val="IndexLink"/>
              </w:rPr>
              <w:t>281</w:t>
            </w:r>
          </w:hyperlink>
        </w:p>
        <w:p>
          <w:pPr>
            <w:pStyle w:val="Contents4"/>
            <w:tabs>
              <w:tab w:val="clear" w:pos="8176"/>
              <w:tab w:val="right" w:pos="9026" w:leader="dot"/>
            </w:tabs>
            <w:rPr/>
          </w:pPr>
          <w:hyperlink w:anchor="__RefHeading___Toc3493707_2314609296">
            <w:r>
              <w:rPr>
                <w:webHidden/>
                <w:rStyle w:val="IndexLink"/>
                <w:rtl w:val="true"/>
              </w:rPr>
              <w:t>[</w:t>
            </w:r>
            <w:r>
              <w:rPr>
                <w:rStyle w:val="IndexLink"/>
                <w:rtl w:val="true"/>
              </w:rPr>
              <w:t>مناقشة السید الخوئی قدّس سرّه فی تصویر الجامع علی الأعم</w:t>
            </w:r>
            <w:r>
              <w:rPr>
                <w:rStyle w:val="IndexLink"/>
                <w:rtl w:val="true"/>
              </w:rPr>
              <w:tab/>
            </w:r>
            <w:r>
              <w:rPr>
                <w:rStyle w:val="IndexLink"/>
              </w:rPr>
              <w:t>283</w:t>
            </w:r>
          </w:hyperlink>
        </w:p>
        <w:p>
          <w:pPr>
            <w:pStyle w:val="Contents4"/>
            <w:tabs>
              <w:tab w:val="clear" w:pos="8176"/>
              <w:tab w:val="right" w:pos="9026" w:leader="dot"/>
            </w:tabs>
            <w:rPr/>
          </w:pPr>
          <w:hyperlink w:anchor="__RefHeading___Toc3493709_2314609296">
            <w:r>
              <w:rPr>
                <w:webHidden/>
                <w:rStyle w:val="IndexLink"/>
                <w:rtl w:val="true"/>
              </w:rPr>
              <w:t>[</w:t>
            </w:r>
            <w:r>
              <w:rPr>
                <w:rStyle w:val="IndexLink"/>
                <w:rtl w:val="true"/>
              </w:rPr>
              <w:t>التعرض لکلام المحقق القمی قدّس سرّه فی تصویر الجامع</w:t>
            </w:r>
            <w:r>
              <w:rPr>
                <w:rStyle w:val="IndexLink"/>
                <w:rtl w:val="true"/>
              </w:rPr>
              <w:tab/>
            </w:r>
            <w:r>
              <w:rPr>
                <w:rStyle w:val="IndexLink"/>
              </w:rPr>
              <w:t>284</w:t>
            </w:r>
          </w:hyperlink>
        </w:p>
        <w:p>
          <w:pPr>
            <w:pStyle w:val="Contents4"/>
            <w:tabs>
              <w:tab w:val="clear" w:pos="8176"/>
              <w:tab w:val="right" w:pos="9026" w:leader="dot"/>
            </w:tabs>
            <w:rPr/>
          </w:pPr>
          <w:hyperlink w:anchor="__RefHeading___Toc3493711_2314609296">
            <w:r>
              <w:rPr>
                <w:webHidden/>
                <w:rStyle w:val="IndexLink"/>
                <w:rtl w:val="true"/>
              </w:rPr>
              <w:t>[</w:t>
            </w:r>
            <w:r>
              <w:rPr>
                <w:rStyle w:val="IndexLink"/>
                <w:rtl w:val="true"/>
              </w:rPr>
              <w:t>دخول الشرائط فی محل النزاع</w:t>
            </w:r>
            <w:r>
              <w:rPr>
                <w:rStyle w:val="IndexLink"/>
                <w:rtl w:val="true"/>
              </w:rPr>
              <w:tab/>
            </w:r>
            <w:r>
              <w:rPr>
                <w:rStyle w:val="IndexLink"/>
              </w:rPr>
              <w:t>288</w:t>
            </w:r>
          </w:hyperlink>
        </w:p>
        <w:p>
          <w:pPr>
            <w:pStyle w:val="Contents4"/>
            <w:tabs>
              <w:tab w:val="clear" w:pos="8176"/>
              <w:tab w:val="right" w:pos="9026" w:leader="dot"/>
            </w:tabs>
            <w:rPr/>
          </w:pPr>
          <w:hyperlink w:anchor="__RefHeading___Toc3493713_2314609296">
            <w:r>
              <w:rPr>
                <w:webHidden/>
                <w:rStyle w:val="IndexLink"/>
                <w:rtl w:val="true"/>
              </w:rPr>
              <w:t>[</w:t>
            </w:r>
            <w:r>
              <w:rPr>
                <w:rStyle w:val="IndexLink"/>
                <w:rtl w:val="true"/>
              </w:rPr>
              <w:t>اعتبار قصد التقرب و عدم النهی و عدم المزاحم</w:t>
            </w:r>
            <w:r>
              <w:rPr>
                <w:rStyle w:val="IndexLink"/>
                <w:rtl w:val="true"/>
              </w:rPr>
              <w:tab/>
            </w:r>
            <w:r>
              <w:rPr>
                <w:rStyle w:val="IndexLink"/>
              </w:rPr>
              <w:t>288</w:t>
            </w:r>
          </w:hyperlink>
        </w:p>
        <w:p>
          <w:pPr>
            <w:pStyle w:val="Contents4"/>
            <w:tabs>
              <w:tab w:val="clear" w:pos="8176"/>
              <w:tab w:val="right" w:pos="9026" w:leader="dot"/>
            </w:tabs>
            <w:rPr/>
          </w:pPr>
          <w:hyperlink w:anchor="__RefHeading___Toc3493715_2314609296">
            <w:r>
              <w:rPr>
                <w:webHidden/>
                <w:rStyle w:val="IndexLink"/>
                <w:rtl w:val="true"/>
              </w:rPr>
              <w:t>[</w:t>
            </w:r>
            <w:r>
              <w:rPr>
                <w:rStyle w:val="IndexLink"/>
                <w:rtl w:val="true"/>
              </w:rPr>
              <w:t>القول بوضع لفظ الصلاة لمفهوم الصحیح أو فریضة الوقت و نقده</w:t>
            </w:r>
            <w:r>
              <w:rPr>
                <w:rStyle w:val="IndexLink"/>
                <w:rtl w:val="true"/>
              </w:rPr>
              <w:tab/>
            </w:r>
            <w:r>
              <w:rPr>
                <w:rStyle w:val="IndexLink"/>
              </w:rPr>
              <w:t>294</w:t>
            </w:r>
          </w:hyperlink>
        </w:p>
        <w:p>
          <w:pPr>
            <w:pStyle w:val="Contents4"/>
            <w:tabs>
              <w:tab w:val="clear" w:pos="8176"/>
              <w:tab w:val="right" w:pos="9026" w:leader="dot"/>
            </w:tabs>
            <w:rPr/>
          </w:pPr>
          <w:hyperlink w:anchor="__RefHeading___Toc3493717_2314609296">
            <w:r>
              <w:rPr>
                <w:webHidden/>
                <w:rStyle w:val="IndexLink"/>
                <w:rtl w:val="true"/>
              </w:rPr>
              <w:t>[</w:t>
            </w:r>
            <w:r>
              <w:rPr>
                <w:rStyle w:val="IndexLink"/>
                <w:rtl w:val="true"/>
              </w:rPr>
              <w:t>الکلام فی تصویر الجامع بمعنی معظم الأجزاء</w:t>
            </w:r>
            <w:r>
              <w:rPr>
                <w:rStyle w:val="IndexLink"/>
                <w:rtl w:val="true"/>
              </w:rPr>
              <w:t>]</w:t>
              <w:tab/>
            </w:r>
            <w:r>
              <w:rPr>
                <w:rStyle w:val="IndexLink"/>
              </w:rPr>
              <w:t>307</w:t>
            </w:r>
          </w:hyperlink>
        </w:p>
        <w:p>
          <w:pPr>
            <w:pStyle w:val="Contents4"/>
            <w:tabs>
              <w:tab w:val="clear" w:pos="8176"/>
              <w:tab w:val="right" w:pos="9026" w:leader="dot"/>
            </w:tabs>
            <w:rPr/>
          </w:pPr>
          <w:hyperlink w:anchor="__RefHeading___Toc3493719_2314609296">
            <w:r>
              <w:rPr>
                <w:webHidden/>
                <w:rStyle w:val="IndexLink"/>
                <w:rtl w:val="true"/>
              </w:rPr>
              <w:t>[</w:t>
            </w:r>
            <w:r>
              <w:rPr>
                <w:rStyle w:val="IndexLink"/>
                <w:rtl w:val="true"/>
              </w:rPr>
              <w:t>هل الأعمی یمکنه التمسک بالاطلاقات</w:t>
            </w:r>
            <w:r>
              <w:rPr>
                <w:rStyle w:val="IndexLink"/>
                <w:rtl w:val="true"/>
              </w:rPr>
              <w:tab/>
            </w:r>
            <w:r>
              <w:rPr>
                <w:rStyle w:val="IndexLink"/>
              </w:rPr>
              <w:t>310</w:t>
            </w:r>
          </w:hyperlink>
        </w:p>
        <w:p>
          <w:pPr>
            <w:pStyle w:val="Contents4"/>
            <w:tabs>
              <w:tab w:val="clear" w:pos="8176"/>
              <w:tab w:val="right" w:pos="9026" w:leader="dot"/>
            </w:tabs>
            <w:rPr/>
          </w:pPr>
          <w:hyperlink w:anchor="__RefHeading___Toc3493721_2314609296">
            <w:r>
              <w:rPr>
                <w:webHidden/>
                <w:rStyle w:val="IndexLink"/>
                <w:rtl w:val="true"/>
              </w:rPr>
              <w:t>خلاصة البحث أو توضیحه ببیان امور</w:t>
            </w:r>
            <w:r>
              <w:rPr>
                <w:rStyle w:val="IndexLink"/>
                <w:rtl w:val="true"/>
              </w:rPr>
              <w:t>:</w:t>
              <w:tab/>
            </w:r>
            <w:r>
              <w:rPr>
                <w:rStyle w:val="IndexLink"/>
              </w:rPr>
              <w:t>321</w:t>
            </w:r>
          </w:hyperlink>
        </w:p>
        <w:p>
          <w:pPr>
            <w:pStyle w:val="Contents4"/>
            <w:tabs>
              <w:tab w:val="clear" w:pos="8176"/>
              <w:tab w:val="right" w:pos="9026" w:leader="dot"/>
            </w:tabs>
            <w:rPr/>
          </w:pPr>
          <w:hyperlink w:anchor="__RefHeading___Toc3493723_2314609296">
            <w:r>
              <w:rPr>
                <w:webHidden/>
                <w:rStyle w:val="IndexLink"/>
                <w:rtl w:val="true"/>
              </w:rPr>
              <w:t>[</w:t>
            </w:r>
            <w:r>
              <w:rPr>
                <w:rStyle w:val="IndexLink"/>
                <w:rtl w:val="true"/>
              </w:rPr>
              <w:t>جریان النزاع فی المعاملات</w:t>
            </w:r>
            <w:r>
              <w:rPr>
                <w:rStyle w:val="IndexLink"/>
                <w:rtl w:val="true"/>
              </w:rPr>
              <w:tab/>
            </w:r>
            <w:r>
              <w:rPr>
                <w:rStyle w:val="IndexLink"/>
              </w:rPr>
              <w:t>325</w:t>
            </w:r>
          </w:hyperlink>
        </w:p>
        <w:p>
          <w:pPr>
            <w:pStyle w:val="Contents3"/>
            <w:tabs>
              <w:tab w:val="clear" w:pos="8459"/>
              <w:tab w:val="right" w:pos="9026" w:leader="dot"/>
            </w:tabs>
            <w:rPr/>
          </w:pPr>
          <w:hyperlink w:anchor="__RefHeading___Toc3493725_2314609296">
            <w:r>
              <w:rPr>
                <w:webHidden/>
                <w:rStyle w:val="IndexLink"/>
                <w:rtl w:val="true"/>
              </w:rPr>
              <w:t>[</w:t>
            </w:r>
            <w:r>
              <w:rPr>
                <w:rStyle w:val="IndexLink"/>
                <w:rtl w:val="true"/>
              </w:rPr>
              <w:t>الاشتراک و الترادف</w:t>
            </w:r>
            <w:r>
              <w:rPr>
                <w:rStyle w:val="IndexLink"/>
                <w:rtl w:val="true"/>
              </w:rPr>
              <w:tab/>
            </w:r>
            <w:r>
              <w:rPr>
                <w:rStyle w:val="IndexLink"/>
              </w:rPr>
              <w:t>342</w:t>
            </w:r>
          </w:hyperlink>
        </w:p>
        <w:p>
          <w:pPr>
            <w:pStyle w:val="Contents3"/>
            <w:tabs>
              <w:tab w:val="clear" w:pos="8459"/>
              <w:tab w:val="right" w:pos="9026" w:leader="dot"/>
            </w:tabs>
            <w:rPr/>
          </w:pPr>
          <w:hyperlink w:anchor="__RefHeading___Toc3493727_2314609296">
            <w:r>
              <w:rPr>
                <w:webHidden/>
                <w:rStyle w:val="IndexLink"/>
                <w:rtl w:val="true"/>
              </w:rPr>
              <w:t>[</w:t>
            </w:r>
            <w:r>
              <w:rPr>
                <w:rStyle w:val="IndexLink"/>
                <w:rtl w:val="true"/>
              </w:rPr>
              <w:t>استعمال اللفظ فی أکثر من معنی</w:t>
            </w:r>
            <w:r>
              <w:rPr>
                <w:rStyle w:val="IndexLink"/>
                <w:rtl w:val="true"/>
              </w:rPr>
              <w:tab/>
            </w:r>
            <w:r>
              <w:rPr>
                <w:rStyle w:val="IndexLink"/>
              </w:rPr>
              <w:t>342</w:t>
            </w:r>
          </w:hyperlink>
        </w:p>
        <w:p>
          <w:pPr>
            <w:pStyle w:val="Contents3"/>
            <w:tabs>
              <w:tab w:val="clear" w:pos="8459"/>
              <w:tab w:val="right" w:pos="9026" w:leader="dot"/>
            </w:tabs>
            <w:rPr/>
          </w:pPr>
          <w:hyperlink w:anchor="__RefHeading___Toc3493729_2314609296">
            <w:r>
              <w:rPr>
                <w:webHidden/>
                <w:rStyle w:val="IndexLink"/>
                <w:rtl w:val="true"/>
              </w:rPr>
              <w:t>[</w:t>
            </w:r>
            <w:r>
              <w:rPr>
                <w:rStyle w:val="IndexLink"/>
                <w:rtl w:val="true"/>
              </w:rPr>
              <w:t>مبحث المشتق</w:t>
            </w:r>
            <w:r>
              <w:rPr>
                <w:rStyle w:val="IndexLink"/>
                <w:rtl w:val="true"/>
              </w:rPr>
              <w:tab/>
            </w:r>
            <w:r>
              <w:rPr>
                <w:rStyle w:val="IndexLink"/>
              </w:rPr>
              <w:t>345</w:t>
            </w:r>
          </w:hyperlink>
        </w:p>
        <w:p>
          <w:pPr>
            <w:pStyle w:val="Contents4"/>
            <w:tabs>
              <w:tab w:val="clear" w:pos="8176"/>
              <w:tab w:val="right" w:pos="9026" w:leader="dot"/>
            </w:tabs>
            <w:rPr/>
          </w:pPr>
          <w:hyperlink w:anchor="__RefHeading___Toc3493731_2314609296">
            <w:r>
              <w:rPr>
                <w:webHidden/>
                <w:rStyle w:val="IndexLink"/>
                <w:rtl w:val="true"/>
              </w:rPr>
              <w:t>[</w:t>
            </w:r>
            <w:r>
              <w:rPr>
                <w:rStyle w:val="IndexLink"/>
                <w:rtl w:val="true"/>
              </w:rPr>
              <w:t>المراد بالمشتق فی محل النزاع</w:t>
            </w:r>
            <w:r>
              <w:rPr>
                <w:rStyle w:val="IndexLink"/>
                <w:rtl w:val="true"/>
              </w:rPr>
              <w:tab/>
            </w:r>
            <w:r>
              <w:rPr>
                <w:rStyle w:val="IndexLink"/>
              </w:rPr>
              <w:t>345</w:t>
            </w:r>
          </w:hyperlink>
        </w:p>
        <w:p>
          <w:pPr>
            <w:pStyle w:val="Contents4"/>
            <w:tabs>
              <w:tab w:val="clear" w:pos="8176"/>
              <w:tab w:val="right" w:pos="9026" w:leader="dot"/>
            </w:tabs>
            <w:rPr/>
          </w:pPr>
          <w:hyperlink w:anchor="__RefHeading___Toc3493733_2314609296">
            <w:r>
              <w:rPr>
                <w:webHidden/>
                <w:rStyle w:val="IndexLink"/>
                <w:rtl w:val="true"/>
              </w:rPr>
              <w:t>[</w:t>
            </w:r>
            <w:r>
              <w:rPr>
                <w:rStyle w:val="IndexLink"/>
                <w:rtl w:val="true"/>
              </w:rPr>
              <w:t>ابتناء تحریم المرضعة علی بحث المشتق</w:t>
            </w:r>
            <w:r>
              <w:rPr>
                <w:rStyle w:val="IndexLink"/>
                <w:rtl w:val="true"/>
              </w:rPr>
              <w:tab/>
            </w:r>
            <w:r>
              <w:rPr>
                <w:rStyle w:val="IndexLink"/>
              </w:rPr>
              <w:t>346</w:t>
            </w:r>
          </w:hyperlink>
        </w:p>
        <w:p>
          <w:pPr>
            <w:pStyle w:val="Contents4"/>
            <w:tabs>
              <w:tab w:val="clear" w:pos="8176"/>
              <w:tab w:val="right" w:pos="9026" w:leader="dot"/>
            </w:tabs>
            <w:rPr/>
          </w:pPr>
          <w:hyperlink w:anchor="__RefHeading___Toc3493735_2314609296">
            <w:r>
              <w:rPr>
                <w:webHidden/>
                <w:rStyle w:val="IndexLink"/>
                <w:rtl w:val="true"/>
              </w:rPr>
              <w:t>[</w:t>
            </w:r>
            <w:r>
              <w:rPr>
                <w:rStyle w:val="IndexLink"/>
                <w:rtl w:val="true"/>
              </w:rPr>
              <w:t>توهم خروج أسماء الزمان عن محل النزاع</w:t>
            </w:r>
            <w:r>
              <w:rPr>
                <w:rStyle w:val="IndexLink"/>
                <w:rtl w:val="true"/>
              </w:rPr>
              <w:tab/>
            </w:r>
            <w:r>
              <w:rPr>
                <w:rStyle w:val="IndexLink"/>
              </w:rPr>
              <w:t>349</w:t>
            </w:r>
          </w:hyperlink>
        </w:p>
        <w:p>
          <w:pPr>
            <w:pStyle w:val="Contents4"/>
            <w:tabs>
              <w:tab w:val="clear" w:pos="8176"/>
              <w:tab w:val="right" w:pos="9026" w:leader="dot"/>
            </w:tabs>
            <w:rPr/>
          </w:pPr>
          <w:hyperlink w:anchor="__RefHeading___Toc3493737_2314609296">
            <w:r>
              <w:rPr>
                <w:webHidden/>
                <w:rStyle w:val="IndexLink"/>
                <w:rtl w:val="true"/>
              </w:rPr>
              <w:t>[</w:t>
            </w:r>
            <w:r>
              <w:rPr>
                <w:rStyle w:val="IndexLink"/>
                <w:rtl w:val="true"/>
              </w:rPr>
              <w:t>نقد کلام صاحب الکفایة قدّس سرّه فی المقام</w:t>
            </w:r>
            <w:r>
              <w:rPr>
                <w:rStyle w:val="IndexLink"/>
                <w:rtl w:val="true"/>
              </w:rPr>
              <w:tab/>
            </w:r>
            <w:r>
              <w:rPr>
                <w:rStyle w:val="IndexLink"/>
              </w:rPr>
              <w:t>351</w:t>
            </w:r>
          </w:hyperlink>
        </w:p>
        <w:p>
          <w:pPr>
            <w:pStyle w:val="Contents4"/>
            <w:tabs>
              <w:tab w:val="clear" w:pos="8176"/>
              <w:tab w:val="right" w:pos="9026" w:leader="dot"/>
            </w:tabs>
            <w:rPr/>
          </w:pPr>
          <w:hyperlink w:anchor="__RefHeading___Toc3493739_2314609296">
            <w:r>
              <w:rPr>
                <w:webHidden/>
                <w:rStyle w:val="IndexLink"/>
                <w:rtl w:val="true"/>
              </w:rPr>
              <w:t>[</w:t>
            </w:r>
            <w:r>
              <w:rPr>
                <w:rStyle w:val="IndexLink"/>
                <w:rtl w:val="true"/>
              </w:rPr>
              <w:t>نقل عبارة العلّامة و فخر الدین فی مسألة الرضاع</w:t>
            </w:r>
            <w:r>
              <w:rPr>
                <w:rStyle w:val="IndexLink"/>
                <w:rtl w:val="true"/>
              </w:rPr>
              <w:tab/>
            </w:r>
            <w:r>
              <w:rPr>
                <w:rStyle w:val="IndexLink"/>
              </w:rPr>
              <w:t>351</w:t>
            </w:r>
          </w:hyperlink>
        </w:p>
        <w:p>
          <w:pPr>
            <w:pStyle w:val="Contents4"/>
            <w:tabs>
              <w:tab w:val="clear" w:pos="8176"/>
              <w:tab w:val="right" w:pos="9026" w:leader="dot"/>
            </w:tabs>
            <w:rPr/>
          </w:pPr>
          <w:hyperlink w:anchor="__RefHeading___Toc3493741_2314609296">
            <w:r>
              <w:rPr>
                <w:webHidden/>
                <w:rStyle w:val="IndexLink"/>
                <w:rtl w:val="true"/>
              </w:rPr>
              <w:t>[</w:t>
            </w:r>
            <w:r>
              <w:rPr>
                <w:rStyle w:val="IndexLink"/>
                <w:rtl w:val="true"/>
              </w:rPr>
              <w:t>مسألتان فی الرضاع</w:t>
            </w:r>
            <w:r>
              <w:rPr>
                <w:rStyle w:val="IndexLink"/>
                <w:rtl w:val="true"/>
              </w:rPr>
              <w:tab/>
            </w:r>
            <w:r>
              <w:rPr>
                <w:rStyle w:val="IndexLink"/>
              </w:rPr>
              <w:t>356</w:t>
            </w:r>
          </w:hyperlink>
        </w:p>
        <w:p>
          <w:pPr>
            <w:pStyle w:val="Contents4"/>
            <w:tabs>
              <w:tab w:val="clear" w:pos="8176"/>
              <w:tab w:val="right" w:pos="9026" w:leader="dot"/>
            </w:tabs>
            <w:rPr/>
          </w:pPr>
          <w:hyperlink w:anchor="__RefHeading___Toc3493743_2314609296">
            <w:r>
              <w:rPr>
                <w:webHidden/>
                <w:rStyle w:val="IndexLink"/>
                <w:rtl w:val="true"/>
              </w:rPr>
              <w:t>[</w:t>
            </w:r>
            <w:r>
              <w:rPr>
                <w:rStyle w:val="IndexLink"/>
                <w:rtl w:val="true"/>
              </w:rPr>
              <w:t>نقد ما ذکره الآخوند قدّس سرّه فی رسالته الرضاعیة</w:t>
            </w:r>
            <w:r>
              <w:rPr>
                <w:rStyle w:val="IndexLink"/>
                <w:rtl w:val="true"/>
              </w:rPr>
              <w:t>]</w:t>
              <w:tab/>
            </w:r>
            <w:r>
              <w:rPr>
                <w:rStyle w:val="IndexLink"/>
              </w:rPr>
              <w:t>359</w:t>
            </w:r>
          </w:hyperlink>
        </w:p>
        <w:p>
          <w:pPr>
            <w:pStyle w:val="Contents4"/>
            <w:tabs>
              <w:tab w:val="clear" w:pos="8176"/>
              <w:tab w:val="right" w:pos="9026" w:leader="dot"/>
            </w:tabs>
            <w:rPr/>
          </w:pPr>
          <w:hyperlink w:anchor="__RefHeading___Toc3493745_2314609296">
            <w:r>
              <w:rPr>
                <w:webHidden/>
                <w:rStyle w:val="IndexLink"/>
                <w:rtl w:val="true"/>
              </w:rPr>
              <w:t>[</w:t>
            </w:r>
            <w:r>
              <w:rPr>
                <w:rStyle w:val="IndexLink"/>
                <w:rtl w:val="true"/>
              </w:rPr>
              <w:t>مناقشة المصنف للسید الخوئی قدّس سرّهما فی الرضاع</w:t>
            </w:r>
            <w:r>
              <w:rPr>
                <w:rStyle w:val="IndexLink"/>
                <w:rtl w:val="true"/>
              </w:rPr>
              <w:tab/>
            </w:r>
            <w:r>
              <w:rPr>
                <w:rStyle w:val="IndexLink"/>
              </w:rPr>
              <w:t>362</w:t>
            </w:r>
          </w:hyperlink>
        </w:p>
        <w:p>
          <w:pPr>
            <w:pStyle w:val="Contents4"/>
            <w:tabs>
              <w:tab w:val="clear" w:pos="8176"/>
              <w:tab w:val="right" w:pos="9026" w:leader="dot"/>
            </w:tabs>
            <w:rPr/>
          </w:pPr>
          <w:hyperlink w:anchor="__RefHeading___Toc3493747_2314609296">
            <w:r>
              <w:rPr>
                <w:webHidden/>
                <w:rStyle w:val="IndexLink"/>
                <w:rtl w:val="true"/>
              </w:rPr>
              <w:t>[</w:t>
            </w:r>
            <w:r>
              <w:rPr>
                <w:rStyle w:val="IndexLink"/>
                <w:rtl w:val="true"/>
              </w:rPr>
              <w:t>نقل کلام صاحب الدرر فی الرضاع</w:t>
            </w:r>
            <w:r>
              <w:rPr>
                <w:rStyle w:val="IndexLink"/>
                <w:rtl w:val="true"/>
              </w:rPr>
              <w:tab/>
            </w:r>
            <w:r>
              <w:rPr>
                <w:rStyle w:val="IndexLink"/>
              </w:rPr>
              <w:t>365</w:t>
            </w:r>
          </w:hyperlink>
        </w:p>
        <w:p>
          <w:pPr>
            <w:pStyle w:val="Contents4"/>
            <w:tabs>
              <w:tab w:val="clear" w:pos="8176"/>
              <w:tab w:val="right" w:pos="9026" w:leader="dot"/>
            </w:tabs>
            <w:rPr/>
          </w:pPr>
          <w:hyperlink w:anchor="__RefHeading___Toc3493749_2314609296">
            <w:r>
              <w:rPr>
                <w:webHidden/>
                <w:rStyle w:val="IndexLink"/>
                <w:rtl w:val="true"/>
              </w:rPr>
              <w:t>[</w:t>
            </w:r>
            <w:r>
              <w:rPr>
                <w:rStyle w:val="IndexLink"/>
                <w:rtl w:val="true"/>
              </w:rPr>
              <w:t>نقد کلام صاحب الکفایة قدّس سرّه فی المقام</w:t>
            </w:r>
            <w:r>
              <w:rPr>
                <w:rStyle w:val="IndexLink"/>
                <w:rtl w:val="true"/>
              </w:rPr>
              <w:tab/>
            </w:r>
            <w:r>
              <w:rPr>
                <w:rStyle w:val="IndexLink"/>
              </w:rPr>
              <w:t>367</w:t>
            </w:r>
          </w:hyperlink>
        </w:p>
        <w:p>
          <w:pPr>
            <w:pStyle w:val="Contents4"/>
            <w:tabs>
              <w:tab w:val="clear" w:pos="8176"/>
              <w:tab w:val="right" w:pos="9026" w:leader="dot"/>
            </w:tabs>
            <w:rPr/>
          </w:pPr>
          <w:hyperlink w:anchor="__RefHeading___Toc3493751_2314609296">
            <w:r>
              <w:rPr>
                <w:webHidden/>
                <w:rStyle w:val="IndexLink"/>
                <w:rtl w:val="true"/>
              </w:rPr>
              <w:t>[</w:t>
            </w:r>
            <w:r>
              <w:rPr>
                <w:rStyle w:val="IndexLink"/>
                <w:rtl w:val="true"/>
              </w:rPr>
              <w:t>إدخال اسم الزمان فی محل النزاع من جهة اخری</w:t>
            </w:r>
            <w:r>
              <w:rPr>
                <w:rStyle w:val="IndexLink"/>
                <w:rtl w:val="true"/>
              </w:rPr>
              <w:tab/>
            </w:r>
            <w:r>
              <w:rPr>
                <w:rStyle w:val="IndexLink"/>
              </w:rPr>
              <w:t>367</w:t>
            </w:r>
          </w:hyperlink>
        </w:p>
        <w:p>
          <w:pPr>
            <w:pStyle w:val="Contents4"/>
            <w:tabs>
              <w:tab w:val="clear" w:pos="8176"/>
              <w:tab w:val="right" w:pos="9026" w:leader="dot"/>
            </w:tabs>
            <w:rPr/>
          </w:pPr>
          <w:hyperlink w:anchor="__RefHeading___Toc3493753_2314609296">
            <w:r>
              <w:rPr>
                <w:webHidden/>
                <w:rStyle w:val="IndexLink"/>
                <w:rtl w:val="true"/>
              </w:rPr>
              <w:t>[</w:t>
            </w:r>
            <w:r>
              <w:rPr>
                <w:rStyle w:val="IndexLink"/>
                <w:rtl w:val="true"/>
              </w:rPr>
              <w:t>نقد کلام المحقق النائینی فی المقام</w:t>
            </w:r>
            <w:r>
              <w:rPr>
                <w:rStyle w:val="IndexLink"/>
                <w:rtl w:val="true"/>
              </w:rPr>
              <w:tab/>
            </w:r>
            <w:r>
              <w:rPr>
                <w:rStyle w:val="IndexLink"/>
              </w:rPr>
              <w:t>368</w:t>
            </w:r>
          </w:hyperlink>
        </w:p>
        <w:p>
          <w:pPr>
            <w:pStyle w:val="Contents4"/>
            <w:tabs>
              <w:tab w:val="clear" w:pos="8176"/>
              <w:tab w:val="right" w:pos="9026" w:leader="dot"/>
            </w:tabs>
            <w:rPr/>
          </w:pPr>
          <w:hyperlink w:anchor="__RefHeading___Toc3493755_2314609296">
            <w:r>
              <w:rPr>
                <w:webHidden/>
                <w:rStyle w:val="IndexLink"/>
                <w:rtl w:val="true"/>
              </w:rPr>
              <w:t>[</w:t>
            </w:r>
            <w:r>
              <w:rPr>
                <w:rStyle w:val="IndexLink"/>
                <w:rtl w:val="true"/>
              </w:rPr>
              <w:t xml:space="preserve">المراد ب </w:t>
            </w:r>
            <w:r>
              <w:rPr>
                <w:rStyle w:val="IndexLink"/>
                <w:rtl w:val="true"/>
              </w:rPr>
              <w:t>«</w:t>
            </w:r>
            <w:r>
              <w:rPr>
                <w:rStyle w:val="IndexLink"/>
                <w:rtl w:val="true"/>
              </w:rPr>
              <w:t>الحال</w:t>
            </w:r>
            <w:r>
              <w:rPr>
                <w:rStyle w:val="IndexLink"/>
                <w:rtl w:val="true"/>
              </w:rPr>
              <w:t xml:space="preserve">» </w:t>
            </w:r>
            <w:r>
              <w:rPr>
                <w:rStyle w:val="IndexLink"/>
                <w:rtl w:val="true"/>
              </w:rPr>
              <w:t>فی عنوان النزاع</w:t>
            </w:r>
            <w:r>
              <w:rPr>
                <w:rStyle w:val="IndexLink"/>
                <w:rtl w:val="true"/>
              </w:rPr>
              <w:tab/>
            </w:r>
            <w:r>
              <w:rPr>
                <w:rStyle w:val="IndexLink"/>
              </w:rPr>
              <w:t>369</w:t>
            </w:r>
          </w:hyperlink>
        </w:p>
        <w:p>
          <w:pPr>
            <w:pStyle w:val="Contents4"/>
            <w:tabs>
              <w:tab w:val="clear" w:pos="8176"/>
              <w:tab w:val="right" w:pos="9026" w:leader="dot"/>
            </w:tabs>
            <w:rPr/>
          </w:pPr>
          <w:hyperlink w:anchor="__RefHeading___Toc3493757_2314609296">
            <w:r>
              <w:rPr>
                <w:webHidden/>
                <w:rStyle w:val="IndexLink"/>
                <w:rtl w:val="true"/>
              </w:rPr>
              <w:t>[</w:t>
            </w:r>
            <w:r>
              <w:rPr>
                <w:rStyle w:val="IndexLink"/>
                <w:rtl w:val="true"/>
              </w:rPr>
              <w:t>تفصیل الکلام فیما ینقل من إنکار المجاز فی الکلمة</w:t>
            </w:r>
            <w:r>
              <w:rPr>
                <w:rStyle w:val="IndexLink"/>
                <w:rtl w:val="true"/>
              </w:rPr>
              <w:t>]</w:t>
              <w:tab/>
            </w:r>
            <w:r>
              <w:rPr>
                <w:rStyle w:val="IndexLink"/>
              </w:rPr>
              <w:t>377</w:t>
            </w:r>
          </w:hyperlink>
        </w:p>
        <w:p>
          <w:pPr>
            <w:pStyle w:val="Contents4"/>
            <w:tabs>
              <w:tab w:val="clear" w:pos="8176"/>
              <w:tab w:val="right" w:pos="9026" w:leader="dot"/>
            </w:tabs>
            <w:rPr/>
          </w:pPr>
          <w:hyperlink w:anchor="__RefHeading___Toc3493759_2314609296">
            <w:r>
              <w:rPr>
                <w:webHidden/>
                <w:rStyle w:val="IndexLink"/>
                <w:rtl w:val="true"/>
              </w:rPr>
              <w:t>[</w:t>
            </w:r>
            <w:r>
              <w:rPr>
                <w:rStyle w:val="IndexLink"/>
                <w:rtl w:val="true"/>
              </w:rPr>
              <w:t>الاشکال علی تفسیر الحال بفعلیة التلبس</w:t>
            </w:r>
            <w:r>
              <w:rPr>
                <w:rStyle w:val="IndexLink"/>
                <w:rtl w:val="true"/>
              </w:rPr>
              <w:tab/>
            </w:r>
            <w:r>
              <w:rPr>
                <w:rStyle w:val="IndexLink"/>
              </w:rPr>
              <w:t>380</w:t>
            </w:r>
          </w:hyperlink>
        </w:p>
        <w:p>
          <w:pPr>
            <w:pStyle w:val="Contents4"/>
            <w:tabs>
              <w:tab w:val="clear" w:pos="8176"/>
              <w:tab w:val="right" w:pos="9026" w:leader="dot"/>
            </w:tabs>
            <w:rPr/>
          </w:pPr>
          <w:hyperlink w:anchor="__RefHeading___Toc3493761_2314609296">
            <w:r>
              <w:rPr>
                <w:webHidden/>
                <w:rStyle w:val="IndexLink"/>
                <w:rtl w:val="true"/>
              </w:rPr>
              <w:t>[</w:t>
            </w:r>
            <w:r>
              <w:rPr>
                <w:rStyle w:val="IndexLink"/>
                <w:rtl w:val="true"/>
              </w:rPr>
              <w:t>الکلام فی مبدأ المشتقات و مفاد هیئاتها</w:t>
            </w:r>
            <w:r>
              <w:rPr>
                <w:rStyle w:val="IndexLink"/>
                <w:rtl w:val="true"/>
              </w:rPr>
              <w:t>]</w:t>
              <w:tab/>
            </w:r>
            <w:r>
              <w:rPr>
                <w:rStyle w:val="IndexLink"/>
              </w:rPr>
              <w:t>386</w:t>
            </w:r>
          </w:hyperlink>
        </w:p>
        <w:p>
          <w:pPr>
            <w:pStyle w:val="Contents4"/>
            <w:tabs>
              <w:tab w:val="clear" w:pos="8176"/>
              <w:tab w:val="right" w:pos="9026" w:leader="dot"/>
            </w:tabs>
            <w:rPr/>
          </w:pPr>
          <w:hyperlink w:anchor="__RefHeading___Toc3493763_2314609296">
            <w:r>
              <w:rPr>
                <w:webHidden/>
                <w:rStyle w:val="IndexLink"/>
                <w:rtl w:val="true"/>
              </w:rPr>
              <w:t>[</w:t>
            </w:r>
            <w:r>
              <w:rPr>
                <w:rStyle w:val="IndexLink"/>
                <w:rtl w:val="true"/>
              </w:rPr>
              <w:t>بساطة المشتق و ترکبه</w:t>
            </w:r>
            <w:r>
              <w:rPr>
                <w:rStyle w:val="IndexLink"/>
                <w:rtl w:val="true"/>
              </w:rPr>
              <w:tab/>
            </w:r>
            <w:r>
              <w:rPr>
                <w:rStyle w:val="IndexLink"/>
              </w:rPr>
              <w:t>389</w:t>
            </w:r>
          </w:hyperlink>
        </w:p>
        <w:p>
          <w:pPr>
            <w:pStyle w:val="Contents4"/>
            <w:tabs>
              <w:tab w:val="clear" w:pos="8176"/>
              <w:tab w:val="right" w:pos="9026" w:leader="dot"/>
            </w:tabs>
            <w:rPr/>
          </w:pPr>
          <w:hyperlink w:anchor="__RefHeading___Toc3493765_2314609296">
            <w:r>
              <w:rPr>
                <w:webHidden/>
                <w:rStyle w:val="IndexLink"/>
                <w:rtl w:val="true"/>
              </w:rPr>
              <w:t>[</w:t>
            </w:r>
            <w:r>
              <w:rPr>
                <w:rStyle w:val="IndexLink"/>
                <w:rtl w:val="true"/>
              </w:rPr>
              <w:t>الفرق بین المشتق و المصدر و اسم المصدر</w:t>
            </w:r>
            <w:r>
              <w:rPr>
                <w:rStyle w:val="IndexLink"/>
                <w:rtl w:val="true"/>
              </w:rPr>
              <w:t>]</w:t>
              <w:tab/>
            </w:r>
            <w:r>
              <w:rPr>
                <w:rStyle w:val="IndexLink"/>
              </w:rPr>
              <w:t>395</w:t>
            </w:r>
          </w:hyperlink>
        </w:p>
        <w:p>
          <w:pPr>
            <w:pStyle w:val="Contents4"/>
            <w:tabs>
              <w:tab w:val="clear" w:pos="8176"/>
              <w:tab w:val="right" w:pos="9026" w:leader="dot"/>
            </w:tabs>
            <w:rPr/>
          </w:pPr>
          <w:hyperlink w:anchor="__RefHeading___Toc3493767_2314609296">
            <w:r>
              <w:rPr>
                <w:webHidden/>
                <w:rStyle w:val="IndexLink"/>
                <w:rtl w:val="true"/>
              </w:rPr>
              <w:t>[</w:t>
            </w:r>
            <w:r>
              <w:rPr>
                <w:rStyle w:val="IndexLink"/>
                <w:rtl w:val="true"/>
              </w:rPr>
              <w:t>البرهان علی بساطة المشتق</w:t>
            </w:r>
            <w:r>
              <w:rPr>
                <w:rStyle w:val="IndexLink"/>
                <w:rtl w:val="true"/>
              </w:rPr>
              <w:tab/>
            </w:r>
            <w:r>
              <w:rPr>
                <w:rStyle w:val="IndexLink"/>
              </w:rPr>
              <w:t>401</w:t>
            </w:r>
          </w:hyperlink>
        </w:p>
        <w:p>
          <w:pPr>
            <w:pStyle w:val="Contents4"/>
            <w:tabs>
              <w:tab w:val="clear" w:pos="8176"/>
              <w:tab w:val="right" w:pos="9026" w:leader="dot"/>
            </w:tabs>
            <w:rPr/>
          </w:pPr>
          <w:hyperlink w:anchor="__RefHeading___Toc3493769_2314609296">
            <w:r>
              <w:rPr>
                <w:webHidden/>
                <w:rStyle w:val="IndexLink"/>
                <w:rtl w:val="true"/>
              </w:rPr>
              <w:t>[</w:t>
            </w:r>
            <w:r>
              <w:rPr>
                <w:rStyle w:val="IndexLink"/>
                <w:rtl w:val="true"/>
              </w:rPr>
              <w:t>برهان السید الشریف علی استحالة الترکب</w:t>
            </w:r>
            <w:r>
              <w:rPr>
                <w:rStyle w:val="IndexLink"/>
                <w:rtl w:val="true"/>
              </w:rPr>
              <w:tab/>
            </w:r>
            <w:r>
              <w:rPr>
                <w:rStyle w:val="IndexLink"/>
              </w:rPr>
              <w:t>404</w:t>
            </w:r>
          </w:hyperlink>
        </w:p>
        <w:p>
          <w:pPr>
            <w:pStyle w:val="Contents4"/>
            <w:tabs>
              <w:tab w:val="clear" w:pos="8176"/>
              <w:tab w:val="right" w:pos="9026" w:leader="dot"/>
            </w:tabs>
            <w:rPr/>
          </w:pPr>
          <w:hyperlink w:anchor="__RefHeading___Toc3493771_2314609296">
            <w:r>
              <w:rPr>
                <w:webHidden/>
                <w:rStyle w:val="IndexLink"/>
                <w:rtl w:val="true"/>
              </w:rPr>
              <w:t>[</w:t>
            </w:r>
            <w:r>
              <w:rPr>
                <w:rStyle w:val="IndexLink"/>
                <w:rtl w:val="true"/>
              </w:rPr>
              <w:t>الأقوال فی وضع المشتق و المختار فیه</w:t>
            </w:r>
            <w:r>
              <w:rPr>
                <w:rStyle w:val="IndexLink"/>
                <w:rtl w:val="true"/>
              </w:rPr>
              <w:tab/>
            </w:r>
            <w:r>
              <w:rPr>
                <w:rStyle w:val="IndexLink"/>
              </w:rPr>
              <w:t>409</w:t>
            </w:r>
          </w:hyperlink>
        </w:p>
        <w:p>
          <w:pPr>
            <w:pStyle w:val="Contents4"/>
            <w:tabs>
              <w:tab w:val="clear" w:pos="8176"/>
              <w:tab w:val="right" w:pos="9026" w:leader="dot"/>
            </w:tabs>
            <w:rPr/>
          </w:pPr>
          <w:hyperlink w:anchor="__RefHeading___Toc3493773_2314609296">
            <w:r>
              <w:rPr>
                <w:webHidden/>
                <w:rStyle w:val="IndexLink"/>
                <w:rtl w:val="true"/>
              </w:rPr>
              <w:t>[</w:t>
            </w:r>
            <w:r>
              <w:rPr>
                <w:rStyle w:val="IndexLink"/>
                <w:rtl w:val="true"/>
              </w:rPr>
              <w:t>الاستدلال علی الوضع لخصوص المتلبس</w:t>
            </w:r>
            <w:r>
              <w:rPr>
                <w:rStyle w:val="IndexLink"/>
                <w:rtl w:val="true"/>
              </w:rPr>
              <w:tab/>
            </w:r>
            <w:r>
              <w:rPr>
                <w:rStyle w:val="IndexLink"/>
              </w:rPr>
              <w:t>412</w:t>
            </w:r>
          </w:hyperlink>
        </w:p>
        <w:p>
          <w:pPr>
            <w:pStyle w:val="Contents4"/>
            <w:tabs>
              <w:tab w:val="clear" w:pos="8176"/>
              <w:tab w:val="right" w:pos="9026" w:leader="dot"/>
            </w:tabs>
            <w:rPr/>
          </w:pPr>
          <w:hyperlink w:anchor="__RefHeading___Toc3493775_2314609296">
            <w:r>
              <w:rPr>
                <w:webHidden/>
                <w:rStyle w:val="IndexLink"/>
                <w:rtl w:val="true"/>
              </w:rPr>
              <w:t>[</w:t>
            </w:r>
            <w:r>
              <w:rPr>
                <w:rStyle w:val="IndexLink"/>
                <w:rtl w:val="true"/>
              </w:rPr>
              <w:t>الاستدلال علی المختار بتضاد المعانی الاشتقاقیة</w:t>
            </w:r>
            <w:r>
              <w:rPr>
                <w:rStyle w:val="IndexLink"/>
                <w:rtl w:val="true"/>
              </w:rPr>
              <w:t>]</w:t>
              <w:tab/>
            </w:r>
            <w:r>
              <w:rPr>
                <w:rStyle w:val="IndexLink"/>
              </w:rPr>
              <w:t>419</w:t>
            </w:r>
          </w:hyperlink>
        </w:p>
        <w:p>
          <w:pPr>
            <w:pStyle w:val="Contents4"/>
            <w:tabs>
              <w:tab w:val="clear" w:pos="8176"/>
              <w:tab w:val="right" w:pos="9026" w:leader="dot"/>
            </w:tabs>
            <w:rPr/>
          </w:pPr>
          <w:hyperlink w:anchor="__RefHeading___Toc3493777_2314609296">
            <w:r>
              <w:rPr>
                <w:webHidden/>
                <w:rStyle w:val="IndexLink"/>
                <w:rtl w:val="true"/>
              </w:rPr>
              <w:t>تنبیه</w:t>
            </w:r>
            <w:r>
              <w:rPr>
                <w:rStyle w:val="IndexLink"/>
                <w:rtl w:val="true"/>
              </w:rPr>
              <w:t>:</w:t>
              <w:tab/>
            </w:r>
            <w:r>
              <w:rPr>
                <w:rStyle w:val="IndexLink"/>
              </w:rPr>
              <w:t>424</w:t>
            </w:r>
          </w:hyperlink>
        </w:p>
        <w:p>
          <w:pPr>
            <w:pStyle w:val="Contents4"/>
            <w:tabs>
              <w:tab w:val="clear" w:pos="8176"/>
              <w:tab w:val="right" w:pos="9026" w:leader="dot"/>
            </w:tabs>
            <w:rPr/>
          </w:pPr>
          <w:hyperlink w:anchor="__RefHeading___Toc3493779_2314609296">
            <w:r>
              <w:rPr>
                <w:webHidden/>
                <w:rStyle w:val="IndexLink"/>
                <w:rtl w:val="true"/>
              </w:rPr>
              <w:t>[</w:t>
            </w:r>
            <w:r>
              <w:rPr>
                <w:rStyle w:val="IndexLink"/>
                <w:rtl w:val="true"/>
              </w:rPr>
              <w:t>الاستدلال علی القول بالأعم</w:t>
            </w:r>
            <w:r>
              <w:rPr>
                <w:rStyle w:val="IndexLink"/>
                <w:rtl w:val="true"/>
              </w:rPr>
              <w:tab/>
            </w:r>
            <w:r>
              <w:rPr>
                <w:rStyle w:val="IndexLink"/>
              </w:rPr>
              <w:t>426</w:t>
            </w:r>
          </w:hyperlink>
        </w:p>
        <w:p>
          <w:pPr>
            <w:pStyle w:val="Contents4"/>
            <w:tabs>
              <w:tab w:val="clear" w:pos="8176"/>
              <w:tab w:val="right" w:pos="9026" w:leader="dot"/>
            </w:tabs>
            <w:rPr/>
          </w:pPr>
          <w:hyperlink w:anchor="__RefHeading___Toc3493781_2314609296">
            <w:r>
              <w:rPr>
                <w:webHidden/>
                <w:rStyle w:val="IndexLink"/>
                <w:rtl w:val="true"/>
              </w:rPr>
              <w:t>[</w:t>
            </w:r>
            <w:r>
              <w:rPr>
                <w:rStyle w:val="IndexLink"/>
                <w:rtl w:val="true"/>
              </w:rPr>
              <w:t>المناقشة فی خروج اسم المفعول و اسم الآلة عن محل النزاع</w:t>
            </w:r>
            <w:r>
              <w:rPr>
                <w:rStyle w:val="IndexLink"/>
                <w:rtl w:val="true"/>
              </w:rPr>
              <w:tab/>
            </w:r>
            <w:r>
              <w:rPr>
                <w:rStyle w:val="IndexLink"/>
              </w:rPr>
              <w:t>436</w:t>
            </w:r>
          </w:hyperlink>
        </w:p>
        <w:p>
          <w:pPr>
            <w:pStyle w:val="Contents4"/>
            <w:tabs>
              <w:tab w:val="clear" w:pos="8176"/>
              <w:tab w:val="right" w:pos="9026" w:leader="dot"/>
            </w:tabs>
            <w:rPr/>
          </w:pPr>
          <w:hyperlink w:anchor="__RefHeading___Toc3493783_2314609296">
            <w:r>
              <w:rPr>
                <w:webHidden/>
                <w:rStyle w:val="IndexLink"/>
                <w:rtl w:val="true"/>
              </w:rPr>
              <w:t>[</w:t>
            </w:r>
            <w:r>
              <w:rPr>
                <w:rStyle w:val="IndexLink"/>
                <w:rtl w:val="true"/>
              </w:rPr>
              <w:t>الرد علی استدلال القائلین بالأعم بلزوم کثرة المجاز لو کان الموضوع له هو المتلبس</w:t>
            </w:r>
            <w:r>
              <w:rPr>
                <w:rStyle w:val="IndexLink"/>
                <w:rtl w:val="true"/>
              </w:rPr>
              <w:tab/>
            </w:r>
            <w:r>
              <w:rPr>
                <w:rStyle w:val="IndexLink"/>
              </w:rPr>
              <w:t>438</w:t>
            </w:r>
          </w:hyperlink>
        </w:p>
        <w:p>
          <w:pPr>
            <w:pStyle w:val="Contents4"/>
            <w:tabs>
              <w:tab w:val="clear" w:pos="8176"/>
              <w:tab w:val="right" w:pos="9026" w:leader="dot"/>
            </w:tabs>
            <w:rPr/>
          </w:pPr>
          <w:hyperlink w:anchor="__RefHeading___Toc3493785_2314609296">
            <w:r>
              <w:rPr>
                <w:webHidden/>
                <w:rStyle w:val="IndexLink"/>
                <w:rtl w:val="true"/>
              </w:rPr>
              <w:t>[</w:t>
            </w:r>
            <w:r>
              <w:rPr>
                <w:rStyle w:val="IndexLink"/>
                <w:rtl w:val="true"/>
              </w:rPr>
              <w:t>أخذ المشتقات لا بشرط، و الکلام فی صفاته تعالی</w:t>
            </w:r>
            <w:r>
              <w:rPr>
                <w:rStyle w:val="IndexLink"/>
                <w:rtl w:val="true"/>
              </w:rPr>
              <w:tab/>
            </w:r>
            <w:r>
              <w:rPr>
                <w:rStyle w:val="IndexLink"/>
              </w:rPr>
              <w:t>440</w:t>
            </w:r>
          </w:hyperlink>
        </w:p>
        <w:p>
          <w:pPr>
            <w:pStyle w:val="Contents2"/>
            <w:tabs>
              <w:tab w:val="clear" w:pos="8743"/>
              <w:tab w:val="right" w:pos="9026" w:leader="dot"/>
            </w:tabs>
            <w:rPr/>
          </w:pPr>
          <w:hyperlink w:anchor="__RefHeading___Toc3493787_2314609296">
            <w:r>
              <w:rPr>
                <w:webHidden/>
                <w:rStyle w:val="IndexLink"/>
                <w:rtl w:val="true"/>
              </w:rPr>
              <w:t>[</w:t>
            </w:r>
            <w:r>
              <w:rPr>
                <w:rStyle w:val="IndexLink"/>
                <w:rtl w:val="true"/>
              </w:rPr>
              <w:t>المقصد الأول</w:t>
            </w:r>
            <w:r>
              <w:rPr>
                <w:rStyle w:val="IndexLink"/>
                <w:rtl w:val="true"/>
              </w:rPr>
              <w:t>:] [</w:t>
            </w:r>
            <w:r>
              <w:rPr>
                <w:rStyle w:val="IndexLink"/>
                <w:rtl w:val="true"/>
              </w:rPr>
              <w:t>مبحث الأوامر</w:t>
            </w:r>
            <w:r>
              <w:rPr>
                <w:rStyle w:val="IndexLink"/>
                <w:rtl w:val="true"/>
              </w:rPr>
              <w:t>]</w:t>
              <w:tab/>
            </w:r>
            <w:r>
              <w:rPr>
                <w:rStyle w:val="IndexLink"/>
              </w:rPr>
              <w:t>443</w:t>
            </w:r>
          </w:hyperlink>
        </w:p>
        <w:p>
          <w:pPr>
            <w:pStyle w:val="Contents3"/>
            <w:tabs>
              <w:tab w:val="clear" w:pos="8459"/>
              <w:tab w:val="right" w:pos="9026" w:leader="dot"/>
            </w:tabs>
            <w:rPr/>
          </w:pPr>
          <w:hyperlink w:anchor="__RefHeading___Toc3493789_2314609296">
            <w:r>
              <w:rPr>
                <w:webHidden/>
                <w:rStyle w:val="IndexLink"/>
                <w:rtl w:val="true"/>
              </w:rPr>
              <w:t>[</w:t>
            </w:r>
            <w:r>
              <w:rPr>
                <w:rStyle w:val="IndexLink"/>
                <w:rtl w:val="true"/>
              </w:rPr>
              <w:t>فیما یتعلق بمادة الأمر</w:t>
            </w:r>
            <w:r>
              <w:rPr>
                <w:rStyle w:val="IndexLink"/>
                <w:rtl w:val="true"/>
              </w:rPr>
              <w:t>]</w:t>
              <w:tab/>
            </w:r>
            <w:r>
              <w:rPr>
                <w:rStyle w:val="IndexLink"/>
              </w:rPr>
              <w:t>443</w:t>
            </w:r>
          </w:hyperlink>
        </w:p>
        <w:p>
          <w:pPr>
            <w:pStyle w:val="Contents4"/>
            <w:tabs>
              <w:tab w:val="clear" w:pos="8176"/>
              <w:tab w:val="right" w:pos="9026" w:leader="dot"/>
            </w:tabs>
            <w:rPr/>
          </w:pPr>
          <w:hyperlink w:anchor="__RefHeading___Toc3493791_2314609296">
            <w:r>
              <w:rPr>
                <w:webHidden/>
                <w:rStyle w:val="IndexLink"/>
                <w:rtl w:val="true"/>
              </w:rPr>
              <w:t>[</w:t>
            </w:r>
            <w:r>
              <w:rPr>
                <w:rStyle w:val="IndexLink"/>
                <w:rtl w:val="true"/>
              </w:rPr>
              <w:t>معانی الأمر</w:t>
            </w:r>
            <w:r>
              <w:rPr>
                <w:rStyle w:val="IndexLink"/>
                <w:rtl w:val="true"/>
              </w:rPr>
              <w:t>]</w:t>
              <w:tab/>
            </w:r>
            <w:r>
              <w:rPr>
                <w:rStyle w:val="IndexLink"/>
              </w:rPr>
              <w:t>443</w:t>
            </w:r>
          </w:hyperlink>
        </w:p>
        <w:p>
          <w:pPr>
            <w:pStyle w:val="Contents4"/>
            <w:tabs>
              <w:tab w:val="clear" w:pos="8176"/>
              <w:tab w:val="right" w:pos="9026" w:leader="dot"/>
            </w:tabs>
            <w:rPr/>
          </w:pPr>
          <w:hyperlink w:anchor="__RefHeading___Toc3493793_2314609296">
            <w:r>
              <w:rPr>
                <w:webHidden/>
                <w:rStyle w:val="IndexLink"/>
                <w:rtl w:val="true"/>
              </w:rPr>
              <w:t>[</w:t>
            </w:r>
            <w:r>
              <w:rPr>
                <w:rStyle w:val="IndexLink"/>
                <w:rtl w:val="true"/>
              </w:rPr>
              <w:t>دلالة الأمر علی الوجوب</w:t>
            </w:r>
            <w:r>
              <w:rPr>
                <w:rStyle w:val="IndexLink"/>
                <w:rtl w:val="true"/>
              </w:rPr>
              <w:tab/>
            </w:r>
            <w:r>
              <w:rPr>
                <w:rStyle w:val="IndexLink"/>
              </w:rPr>
              <w:t>447</w:t>
            </w:r>
          </w:hyperlink>
        </w:p>
        <w:p>
          <w:pPr>
            <w:pStyle w:val="Contents3"/>
            <w:tabs>
              <w:tab w:val="clear" w:pos="8459"/>
              <w:tab w:val="right" w:pos="9026" w:leader="dot"/>
            </w:tabs>
            <w:rPr/>
          </w:pPr>
          <w:hyperlink w:anchor="__RefHeading___Toc3493795_2314609296">
            <w:r>
              <w:rPr>
                <w:webHidden/>
                <w:rStyle w:val="IndexLink"/>
                <w:rtl w:val="true"/>
              </w:rPr>
              <w:t>[</w:t>
            </w:r>
            <w:r>
              <w:rPr>
                <w:rStyle w:val="IndexLink"/>
                <w:rtl w:val="true"/>
              </w:rPr>
              <w:t>فیما یتعلق بصیغة الأمر</w:t>
            </w:r>
            <w:r>
              <w:rPr>
                <w:rStyle w:val="IndexLink"/>
                <w:rtl w:val="true"/>
              </w:rPr>
              <w:t>]</w:t>
              <w:tab/>
            </w:r>
            <w:r>
              <w:rPr>
                <w:rStyle w:val="IndexLink"/>
              </w:rPr>
              <w:t>451</w:t>
            </w:r>
          </w:hyperlink>
        </w:p>
        <w:p>
          <w:pPr>
            <w:pStyle w:val="Contents4"/>
            <w:tabs>
              <w:tab w:val="clear" w:pos="8176"/>
              <w:tab w:val="right" w:pos="9026" w:leader="dot"/>
            </w:tabs>
            <w:rPr/>
          </w:pPr>
          <w:hyperlink w:anchor="__RefHeading___Toc3493797_2314609296">
            <w:r>
              <w:rPr>
                <w:webHidden/>
                <w:rStyle w:val="IndexLink"/>
                <w:rtl w:val="true"/>
              </w:rPr>
              <w:t>[</w:t>
            </w:r>
            <w:r>
              <w:rPr>
                <w:rStyle w:val="IndexLink"/>
                <w:rtl w:val="true"/>
              </w:rPr>
              <w:t>التأمل فی عدم صدق الأمر علی الطلب من المساوی أو السافل</w:t>
            </w:r>
            <w:r>
              <w:rPr>
                <w:rStyle w:val="IndexLink"/>
                <w:rtl w:val="true"/>
              </w:rPr>
              <w:tab/>
            </w:r>
            <w:r>
              <w:rPr>
                <w:rStyle w:val="IndexLink"/>
              </w:rPr>
              <w:t>451</w:t>
            </w:r>
          </w:hyperlink>
        </w:p>
        <w:p>
          <w:pPr>
            <w:pStyle w:val="Contents4"/>
            <w:tabs>
              <w:tab w:val="clear" w:pos="8176"/>
              <w:tab w:val="right" w:pos="9026" w:leader="dot"/>
            </w:tabs>
            <w:rPr/>
          </w:pPr>
          <w:hyperlink w:anchor="__RefHeading___Toc3493799_2314609296">
            <w:r>
              <w:rPr>
                <w:webHidden/>
                <w:rStyle w:val="IndexLink"/>
                <w:rtl w:val="true"/>
              </w:rPr>
              <w:t>[</w:t>
            </w:r>
            <w:r>
              <w:rPr>
                <w:rStyle w:val="IndexLink"/>
                <w:rtl w:val="true"/>
              </w:rPr>
              <w:t>فی الکلام عن هیئة الماضی و أنها قد تأتی لانشاء تحقق المادة فی عالم التشریع</w:t>
            </w:r>
            <w:r>
              <w:rPr>
                <w:rStyle w:val="IndexLink"/>
                <w:rtl w:val="true"/>
              </w:rPr>
              <w:tab/>
            </w:r>
            <w:r>
              <w:rPr>
                <w:rStyle w:val="IndexLink"/>
              </w:rPr>
              <w:t>451</w:t>
            </w:r>
          </w:hyperlink>
        </w:p>
        <w:p>
          <w:pPr>
            <w:pStyle w:val="Contents4"/>
            <w:tabs>
              <w:tab w:val="clear" w:pos="8176"/>
              <w:tab w:val="right" w:pos="9026" w:leader="dot"/>
            </w:tabs>
            <w:rPr/>
          </w:pPr>
          <w:hyperlink w:anchor="__RefHeading___Toc3493801_2314609296">
            <w:r>
              <w:rPr>
                <w:webHidden/>
                <w:rStyle w:val="IndexLink"/>
                <w:rtl w:val="true"/>
              </w:rPr>
              <w:t>[</w:t>
            </w:r>
            <w:r>
              <w:rPr>
                <w:rStyle w:val="IndexLink"/>
                <w:rtl w:val="true"/>
              </w:rPr>
              <w:t>الکلام فی مفاد صیغة الأمر</w:t>
            </w:r>
            <w:r>
              <w:rPr>
                <w:rStyle w:val="IndexLink"/>
                <w:rtl w:val="true"/>
              </w:rPr>
              <w:t>]</w:t>
              <w:tab/>
            </w:r>
            <w:r>
              <w:rPr>
                <w:rStyle w:val="IndexLink"/>
              </w:rPr>
              <w:t>452</w:t>
            </w:r>
          </w:hyperlink>
        </w:p>
        <w:p>
          <w:pPr>
            <w:pStyle w:val="Contents4"/>
            <w:tabs>
              <w:tab w:val="clear" w:pos="8176"/>
              <w:tab w:val="right" w:pos="9026" w:leader="dot"/>
            </w:tabs>
            <w:rPr/>
          </w:pPr>
          <w:hyperlink w:anchor="__RefHeading___Toc3493803_2314609296">
            <w:r>
              <w:rPr>
                <w:webHidden/>
                <w:rStyle w:val="IndexLink"/>
                <w:rtl w:val="true"/>
              </w:rPr>
              <w:t>[</w:t>
            </w:r>
            <w:r>
              <w:rPr>
                <w:rStyle w:val="IndexLink"/>
                <w:rtl w:val="true"/>
              </w:rPr>
              <w:t>الکلام فی اتحاد الطلب مع الارادة</w:t>
            </w:r>
            <w:r>
              <w:rPr>
                <w:rStyle w:val="IndexLink"/>
                <w:rtl w:val="true"/>
              </w:rPr>
              <w:t>]</w:t>
              <w:tab/>
            </w:r>
            <w:r>
              <w:rPr>
                <w:rStyle w:val="IndexLink"/>
              </w:rPr>
              <w:t>458</w:t>
            </w:r>
          </w:hyperlink>
        </w:p>
        <w:p>
          <w:pPr>
            <w:pStyle w:val="Contents4"/>
            <w:tabs>
              <w:tab w:val="clear" w:pos="8176"/>
              <w:tab w:val="right" w:pos="9026" w:leader="dot"/>
            </w:tabs>
            <w:rPr/>
          </w:pPr>
          <w:hyperlink w:anchor="__RefHeading___Toc3493805_2314609296">
            <w:r>
              <w:rPr>
                <w:webHidden/>
                <w:rStyle w:val="IndexLink"/>
                <w:rtl w:val="true"/>
              </w:rPr>
              <w:t>[</w:t>
            </w:r>
            <w:r>
              <w:rPr>
                <w:rStyle w:val="IndexLink"/>
                <w:rtl w:val="true"/>
              </w:rPr>
              <w:t>دلالة الصیغة علی الوجوب</w:t>
            </w:r>
            <w:r>
              <w:rPr>
                <w:rStyle w:val="IndexLink"/>
                <w:rtl w:val="true"/>
              </w:rPr>
              <w:tab/>
            </w:r>
            <w:r>
              <w:rPr>
                <w:rStyle w:val="IndexLink"/>
              </w:rPr>
              <w:t>472</w:t>
            </w:r>
          </w:hyperlink>
        </w:p>
        <w:p>
          <w:pPr>
            <w:pStyle w:val="Contents4"/>
            <w:tabs>
              <w:tab w:val="clear" w:pos="8176"/>
              <w:tab w:val="right" w:pos="9026" w:leader="dot"/>
            </w:tabs>
            <w:rPr/>
          </w:pPr>
          <w:hyperlink w:anchor="__RefHeading___Toc3493807_2314609296">
            <w:r>
              <w:rPr>
                <w:webHidden/>
                <w:rStyle w:val="IndexLink"/>
                <w:rtl w:val="true"/>
              </w:rPr>
              <w:t>[</w:t>
            </w:r>
            <w:r>
              <w:rPr>
                <w:rStyle w:val="IndexLink"/>
                <w:rtl w:val="true"/>
              </w:rPr>
              <w:t>الفرق بین الوجوب و الاستحباب</w:t>
            </w:r>
            <w:r>
              <w:rPr>
                <w:rStyle w:val="IndexLink"/>
                <w:rtl w:val="true"/>
              </w:rPr>
              <w:tab/>
            </w:r>
            <w:r>
              <w:rPr>
                <w:rStyle w:val="IndexLink"/>
              </w:rPr>
              <w:t>473</w:t>
            </w:r>
          </w:hyperlink>
        </w:p>
        <w:p>
          <w:pPr>
            <w:pStyle w:val="Contents3"/>
            <w:tabs>
              <w:tab w:val="clear" w:pos="8459"/>
              <w:tab w:val="right" w:pos="9026" w:leader="dot"/>
            </w:tabs>
            <w:rPr/>
          </w:pPr>
          <w:hyperlink w:anchor="__RefHeading___Toc3493809_2314609296">
            <w:r>
              <w:rPr>
                <w:webHidden/>
                <w:rStyle w:val="IndexLink"/>
                <w:rtl w:val="true"/>
              </w:rPr>
              <w:t>[</w:t>
            </w:r>
            <w:r>
              <w:rPr>
                <w:rStyle w:val="IndexLink"/>
                <w:rtl w:val="true"/>
              </w:rPr>
              <w:t>أقسام الواجب</w:t>
            </w:r>
            <w:r>
              <w:rPr>
                <w:rStyle w:val="IndexLink"/>
                <w:rtl w:val="true"/>
              </w:rPr>
              <w:tab/>
            </w:r>
            <w:r>
              <w:rPr>
                <w:rStyle w:val="IndexLink"/>
              </w:rPr>
              <w:t>486</w:t>
            </w:r>
          </w:hyperlink>
        </w:p>
        <w:p>
          <w:pPr>
            <w:pStyle w:val="Contents4"/>
            <w:tabs>
              <w:tab w:val="clear" w:pos="8176"/>
              <w:tab w:val="right" w:pos="9026" w:leader="dot"/>
            </w:tabs>
            <w:rPr/>
          </w:pPr>
          <w:hyperlink w:anchor="__RefHeading___Toc3493811_2314609296">
            <w:r>
              <w:rPr>
                <w:webHidden/>
                <w:rStyle w:val="IndexLink"/>
                <w:rtl w:val="true"/>
              </w:rPr>
              <w:t>[</w:t>
            </w:r>
            <w:r>
              <w:rPr>
                <w:rStyle w:val="IndexLink"/>
                <w:rtl w:val="true"/>
              </w:rPr>
              <w:t>التعبدی و التوصلی</w:t>
            </w:r>
            <w:r>
              <w:rPr>
                <w:rStyle w:val="IndexLink"/>
                <w:rtl w:val="true"/>
              </w:rPr>
              <w:tab/>
            </w:r>
            <w:r>
              <w:rPr>
                <w:rStyle w:val="IndexLink"/>
              </w:rPr>
              <w:t>486</w:t>
            </w:r>
          </w:hyperlink>
        </w:p>
        <w:p>
          <w:pPr>
            <w:pStyle w:val="Contents5"/>
            <w:tabs>
              <w:tab w:val="clear" w:pos="7892"/>
              <w:tab w:val="right" w:pos="9026" w:leader="dot"/>
            </w:tabs>
            <w:rPr/>
          </w:pPr>
          <w:hyperlink w:anchor="__RefHeading___Toc3493813_2314609296">
            <w:r>
              <w:rPr>
                <w:webHidden/>
                <w:rStyle w:val="IndexLink"/>
                <w:rtl w:val="true"/>
              </w:rPr>
              <w:t>[</w:t>
            </w:r>
            <w:r>
              <w:rPr>
                <w:rStyle w:val="IndexLink"/>
                <w:rtl w:val="true"/>
              </w:rPr>
              <w:t>الکلام فی التوصلی بمعنی ما یسقط و لو بفعل الغیر</w:t>
            </w:r>
            <w:r>
              <w:rPr>
                <w:rStyle w:val="IndexLink"/>
                <w:rtl w:val="true"/>
              </w:rPr>
              <w:t>]</w:t>
              <w:tab/>
            </w:r>
            <w:r>
              <w:rPr>
                <w:rStyle w:val="IndexLink"/>
              </w:rPr>
              <w:t>486</w:t>
            </w:r>
          </w:hyperlink>
        </w:p>
        <w:p>
          <w:pPr>
            <w:pStyle w:val="Contents5"/>
            <w:tabs>
              <w:tab w:val="clear" w:pos="7892"/>
              <w:tab w:val="right" w:pos="9026" w:leader="dot"/>
            </w:tabs>
            <w:rPr/>
          </w:pPr>
          <w:hyperlink w:anchor="__RefHeading___Toc3493815_2314609296">
            <w:r>
              <w:rPr>
                <w:webHidden/>
                <w:rStyle w:val="IndexLink"/>
                <w:rtl w:val="true"/>
              </w:rPr>
              <w:t>[</w:t>
            </w:r>
            <w:r>
              <w:rPr>
                <w:rStyle w:val="IndexLink"/>
                <w:rtl w:val="true"/>
              </w:rPr>
              <w:t>مناقشة المصنف قدّس سرّه للسید الخوئی قدّس سرّه فی المقام</w:t>
            </w:r>
            <w:r>
              <w:rPr>
                <w:rStyle w:val="IndexLink"/>
                <w:rtl w:val="true"/>
              </w:rPr>
              <w:tab/>
            </w:r>
            <w:r>
              <w:rPr>
                <w:rStyle w:val="IndexLink"/>
              </w:rPr>
              <w:t>497</w:t>
            </w:r>
          </w:hyperlink>
        </w:p>
        <w:p>
          <w:pPr>
            <w:pStyle w:val="Contents5"/>
            <w:tabs>
              <w:tab w:val="clear" w:pos="7892"/>
              <w:tab w:val="right" w:pos="9026" w:leader="dot"/>
            </w:tabs>
            <w:rPr/>
          </w:pPr>
          <w:hyperlink w:anchor="__RefHeading___Toc3493817_2314609296">
            <w:r>
              <w:rPr>
                <w:webHidden/>
                <w:rStyle w:val="IndexLink"/>
                <w:rtl w:val="true"/>
              </w:rPr>
              <w:t>[</w:t>
            </w:r>
            <w:r>
              <w:rPr>
                <w:rStyle w:val="IndexLink"/>
                <w:rtl w:val="true"/>
              </w:rPr>
              <w:t>المناقشة فی فرع فقهی تعرض له المحقق النائینی قدّس سرّه</w:t>
            </w:r>
            <w:r>
              <w:rPr>
                <w:rStyle w:val="IndexLink"/>
                <w:rtl w:val="true"/>
              </w:rPr>
              <w:tab/>
            </w:r>
            <w:r>
              <w:rPr>
                <w:rStyle w:val="IndexLink"/>
              </w:rPr>
              <w:t>498</w:t>
            </w:r>
          </w:hyperlink>
        </w:p>
        <w:p>
          <w:pPr>
            <w:pStyle w:val="Contents5"/>
            <w:tabs>
              <w:tab w:val="clear" w:pos="7892"/>
              <w:tab w:val="right" w:pos="9026" w:leader="dot"/>
            </w:tabs>
            <w:rPr/>
          </w:pPr>
          <w:hyperlink w:anchor="__RefHeading___Toc3493819_2314609296">
            <w:r>
              <w:rPr>
                <w:webHidden/>
                <w:rStyle w:val="IndexLink"/>
                <w:rtl w:val="true"/>
              </w:rPr>
              <w:t>[</w:t>
            </w:r>
            <w:r>
              <w:rPr>
                <w:rStyle w:val="IndexLink"/>
                <w:rtl w:val="true"/>
              </w:rPr>
              <w:t>دلالة صیغة افعل علی الاختیاریة من وجهین</w:t>
            </w:r>
            <w:r>
              <w:rPr>
                <w:rStyle w:val="IndexLink"/>
                <w:rtl w:val="true"/>
              </w:rPr>
              <w:tab/>
            </w:r>
            <w:r>
              <w:rPr>
                <w:rStyle w:val="IndexLink"/>
              </w:rPr>
              <w:t>501</w:t>
            </w:r>
          </w:hyperlink>
        </w:p>
        <w:p>
          <w:pPr>
            <w:pStyle w:val="Contents5"/>
            <w:tabs>
              <w:tab w:val="clear" w:pos="7892"/>
              <w:tab w:val="right" w:pos="9026" w:leader="dot"/>
            </w:tabs>
            <w:rPr/>
          </w:pPr>
          <w:hyperlink w:anchor="__RefHeading___Toc3493821_2314609296">
            <w:r>
              <w:rPr>
                <w:webHidden/>
                <w:rStyle w:val="IndexLink"/>
                <w:rtl w:val="true"/>
              </w:rPr>
              <w:t>[</w:t>
            </w:r>
            <w:r>
              <w:rPr>
                <w:rStyle w:val="IndexLink"/>
                <w:rtl w:val="true"/>
              </w:rPr>
              <w:t>مناقشات المصنف قدّس سرّه مع السید الخوئی قدّس سرّه فی المقام</w:t>
            </w:r>
            <w:r>
              <w:rPr>
                <w:rStyle w:val="IndexLink"/>
                <w:rtl w:val="true"/>
              </w:rPr>
              <w:tab/>
            </w:r>
            <w:r>
              <w:rPr>
                <w:rStyle w:val="IndexLink"/>
              </w:rPr>
              <w:t>505</w:t>
            </w:r>
          </w:hyperlink>
        </w:p>
        <w:p>
          <w:pPr>
            <w:pStyle w:val="Contents5"/>
            <w:tabs>
              <w:tab w:val="clear" w:pos="7892"/>
              <w:tab w:val="right" w:pos="9026" w:leader="dot"/>
            </w:tabs>
            <w:rPr/>
          </w:pPr>
          <w:hyperlink w:anchor="__RefHeading___Toc3493823_2314609296">
            <w:r>
              <w:rPr>
                <w:webHidden/>
                <w:rStyle w:val="IndexLink"/>
                <w:rtl w:val="true"/>
              </w:rPr>
              <w:t>[</w:t>
            </w:r>
            <w:r>
              <w:rPr>
                <w:rStyle w:val="IndexLink"/>
                <w:rtl w:val="true"/>
              </w:rPr>
              <w:t>سقوط الواجب بفعل المحرّم</w:t>
            </w:r>
            <w:r>
              <w:rPr>
                <w:rStyle w:val="IndexLink"/>
                <w:rtl w:val="true"/>
              </w:rPr>
              <w:tab/>
            </w:r>
            <w:r>
              <w:rPr>
                <w:rStyle w:val="IndexLink"/>
              </w:rPr>
              <w:t>510</w:t>
            </w:r>
          </w:hyperlink>
        </w:p>
        <w:p>
          <w:pPr>
            <w:pStyle w:val="Contents5"/>
            <w:tabs>
              <w:tab w:val="clear" w:pos="7892"/>
              <w:tab w:val="right" w:pos="9026" w:leader="dot"/>
            </w:tabs>
            <w:rPr/>
          </w:pPr>
          <w:hyperlink w:anchor="__RefHeading___Toc3493825_2314609296">
            <w:r>
              <w:rPr>
                <w:webHidden/>
                <w:rStyle w:val="IndexLink"/>
                <w:rtl w:val="true"/>
              </w:rPr>
              <w:t>[</w:t>
            </w:r>
            <w:r>
              <w:rPr>
                <w:rStyle w:val="IndexLink"/>
                <w:rtl w:val="true"/>
              </w:rPr>
              <w:t>عدم معقولیة کون الأمر بنفسه داعیا للمکلف</w:t>
            </w:r>
            <w:r>
              <w:rPr>
                <w:rStyle w:val="IndexLink"/>
                <w:rtl w:val="true"/>
              </w:rPr>
              <w:tab/>
            </w:r>
            <w:r>
              <w:rPr>
                <w:rStyle w:val="IndexLink"/>
              </w:rPr>
              <w:t>513</w:t>
            </w:r>
          </w:hyperlink>
        </w:p>
        <w:p>
          <w:pPr>
            <w:pStyle w:val="Contents5"/>
            <w:tabs>
              <w:tab w:val="clear" w:pos="7892"/>
              <w:tab w:val="right" w:pos="9026" w:leader="dot"/>
            </w:tabs>
            <w:rPr/>
          </w:pPr>
          <w:hyperlink w:anchor="__RefHeading___Toc3493827_2314609296">
            <w:r>
              <w:rPr>
                <w:webHidden/>
                <w:rStyle w:val="IndexLink"/>
                <w:rtl w:val="true"/>
              </w:rPr>
              <w:t>[</w:t>
            </w:r>
            <w:r>
              <w:rPr>
                <w:rStyle w:val="IndexLink"/>
                <w:rtl w:val="true"/>
              </w:rPr>
              <w:t>توهم کون المراد من داعویة الأمر هی المحرکیة و السوق الخارجی</w:t>
            </w:r>
            <w:r>
              <w:rPr>
                <w:rStyle w:val="IndexLink"/>
                <w:rtl w:val="true"/>
              </w:rPr>
              <w:tab/>
            </w:r>
            <w:r>
              <w:rPr>
                <w:rStyle w:val="IndexLink"/>
              </w:rPr>
              <w:t>514</w:t>
            </w:r>
          </w:hyperlink>
        </w:p>
        <w:p>
          <w:pPr>
            <w:pStyle w:val="Contents5"/>
            <w:tabs>
              <w:tab w:val="clear" w:pos="7892"/>
              <w:tab w:val="right" w:pos="9026" w:leader="dot"/>
            </w:tabs>
            <w:rPr/>
          </w:pPr>
          <w:hyperlink w:anchor="__RefHeading___Toc3493829_2314609296">
            <w:r>
              <w:rPr>
                <w:webHidden/>
                <w:rStyle w:val="IndexLink"/>
                <w:rtl w:val="true"/>
              </w:rPr>
              <w:t>[</w:t>
            </w:r>
            <w:r>
              <w:rPr>
                <w:rStyle w:val="IndexLink"/>
                <w:rtl w:val="true"/>
              </w:rPr>
              <w:t>توهم کون الأمر یعطی الفعل عنوانا حسنا یکون داعیا للمأمور</w:t>
            </w:r>
            <w:r>
              <w:rPr>
                <w:rStyle w:val="IndexLink"/>
                <w:rtl w:val="true"/>
              </w:rPr>
              <w:t>]</w:t>
              <w:tab/>
            </w:r>
            <w:r>
              <w:rPr>
                <w:rStyle w:val="IndexLink"/>
              </w:rPr>
              <w:t>514</w:t>
            </w:r>
          </w:hyperlink>
        </w:p>
        <w:p>
          <w:pPr>
            <w:pStyle w:val="Contents5"/>
            <w:tabs>
              <w:tab w:val="clear" w:pos="7892"/>
              <w:tab w:val="right" w:pos="9026" w:leader="dot"/>
            </w:tabs>
            <w:rPr/>
          </w:pPr>
          <w:hyperlink w:anchor="__RefHeading___Toc3493831_2314609296">
            <w:r>
              <w:rPr>
                <w:webHidden/>
                <w:rStyle w:val="IndexLink"/>
                <w:rtl w:val="true"/>
              </w:rPr>
              <w:t>[</w:t>
            </w:r>
            <w:r>
              <w:rPr>
                <w:rStyle w:val="IndexLink"/>
                <w:rtl w:val="true"/>
              </w:rPr>
              <w:t>ما یظهر من کلام السید البروجردی قدّس سرّه فی المقام و نقده</w:t>
            </w:r>
            <w:r>
              <w:rPr>
                <w:rStyle w:val="IndexLink"/>
                <w:rtl w:val="true"/>
              </w:rPr>
              <w:tab/>
            </w:r>
            <w:r>
              <w:rPr>
                <w:rStyle w:val="IndexLink"/>
              </w:rPr>
              <w:t>514</w:t>
            </w:r>
          </w:hyperlink>
        </w:p>
        <w:p>
          <w:pPr>
            <w:pStyle w:val="Contents5"/>
            <w:tabs>
              <w:tab w:val="clear" w:pos="7892"/>
              <w:tab w:val="right" w:pos="9026" w:leader="dot"/>
            </w:tabs>
            <w:rPr/>
          </w:pPr>
          <w:hyperlink w:anchor="__RefHeading___Toc3493833_2314609296">
            <w:r>
              <w:rPr>
                <w:webHidden/>
                <w:rStyle w:val="IndexLink"/>
                <w:rtl w:val="true"/>
              </w:rPr>
              <w:t>[</w:t>
            </w:r>
            <w:r>
              <w:rPr>
                <w:rStyle w:val="IndexLink"/>
                <w:rtl w:val="true"/>
              </w:rPr>
              <w:t>دعوی انحلال الأمر إلی حصة متعلقة بالذات و اخری متعلقة بداعویة الحصة الاولی و نقدها</w:t>
            </w:r>
            <w:r>
              <w:rPr>
                <w:rStyle w:val="IndexLink"/>
                <w:rtl w:val="true"/>
              </w:rPr>
              <w:t>]</w:t>
              <w:tab/>
            </w:r>
            <w:r>
              <w:rPr>
                <w:rStyle w:val="IndexLink"/>
              </w:rPr>
              <w:t>519</w:t>
            </w:r>
          </w:hyperlink>
        </w:p>
        <w:p>
          <w:pPr>
            <w:pStyle w:val="Contents5"/>
            <w:tabs>
              <w:tab w:val="clear" w:pos="7892"/>
              <w:tab w:val="right" w:pos="9026" w:leader="dot"/>
            </w:tabs>
            <w:rPr/>
          </w:pPr>
          <w:hyperlink w:anchor="__RefHeading___Toc3493835_2314609296">
            <w:r>
              <w:rPr>
                <w:webHidden/>
                <w:rStyle w:val="IndexLink"/>
                <w:rtl w:val="true"/>
              </w:rPr>
              <w:t>[</w:t>
            </w:r>
            <w:r>
              <w:rPr>
                <w:rStyle w:val="IndexLink"/>
                <w:rtl w:val="true"/>
              </w:rPr>
              <w:t>دعوی کون القید داعویة الأمر الکلی و نقدها</w:t>
            </w:r>
            <w:r>
              <w:rPr>
                <w:rStyle w:val="IndexLink"/>
                <w:rtl w:val="true"/>
              </w:rPr>
              <w:t>]</w:t>
              <w:tab/>
            </w:r>
            <w:r>
              <w:rPr>
                <w:rStyle w:val="IndexLink"/>
              </w:rPr>
              <w:t>525</w:t>
            </w:r>
          </w:hyperlink>
        </w:p>
        <w:p>
          <w:pPr>
            <w:pStyle w:val="Contents5"/>
            <w:tabs>
              <w:tab w:val="clear" w:pos="7892"/>
              <w:tab w:val="right" w:pos="9026" w:leader="dot"/>
            </w:tabs>
            <w:rPr/>
          </w:pPr>
          <w:hyperlink w:anchor="__RefHeading___Toc3493837_2314609296">
            <w:r>
              <w:rPr>
                <w:webHidden/>
                <w:rStyle w:val="IndexLink"/>
                <w:rtl w:val="true"/>
              </w:rPr>
              <w:t>[</w:t>
            </w:r>
            <w:r>
              <w:rPr>
                <w:rStyle w:val="IndexLink"/>
                <w:rtl w:val="true"/>
              </w:rPr>
              <w:t>هل یمکن الاهمال فی مقام الثبوت بالنسبة للآمر الجاهل بالانقسام</w:t>
            </w:r>
            <w:r>
              <w:rPr>
                <w:rStyle w:val="IndexLink"/>
                <w:rtl w:val="true"/>
              </w:rPr>
              <w:tab/>
            </w:r>
            <w:r>
              <w:rPr>
                <w:rStyle w:val="IndexLink"/>
              </w:rPr>
              <w:t>529</w:t>
            </w:r>
          </w:hyperlink>
        </w:p>
        <w:p>
          <w:pPr>
            <w:pStyle w:val="Contents5"/>
            <w:tabs>
              <w:tab w:val="clear" w:pos="7892"/>
              <w:tab w:val="right" w:pos="9026" w:leader="dot"/>
            </w:tabs>
            <w:rPr/>
          </w:pPr>
          <w:hyperlink w:anchor="__RefHeading___Toc3493839_2314609296">
            <w:r>
              <w:rPr>
                <w:webHidden/>
                <w:rStyle w:val="IndexLink"/>
                <w:rtl w:val="true"/>
              </w:rPr>
              <w:t>[</w:t>
            </w:r>
            <w:r>
              <w:rPr>
                <w:rStyle w:val="IndexLink"/>
                <w:rtl w:val="true"/>
              </w:rPr>
              <w:t>استحالة تقیید موضوع الحکم بحال العلم بالحکم للزوم الدور</w:t>
            </w:r>
            <w:r>
              <w:rPr>
                <w:rStyle w:val="IndexLink"/>
                <w:rtl w:val="true"/>
              </w:rPr>
              <w:t>]</w:t>
              <w:tab/>
            </w:r>
            <w:r>
              <w:rPr>
                <w:rStyle w:val="IndexLink"/>
              </w:rPr>
              <w:t>530</w:t>
            </w:r>
          </w:hyperlink>
        </w:p>
        <w:p>
          <w:pPr>
            <w:pStyle w:val="Contents5"/>
            <w:tabs>
              <w:tab w:val="clear" w:pos="7892"/>
              <w:tab w:val="right" w:pos="9026" w:leader="dot"/>
            </w:tabs>
            <w:rPr/>
          </w:pPr>
          <w:hyperlink w:anchor="__RefHeading___Toc3493841_2314609296">
            <w:r>
              <w:rPr>
                <w:webHidden/>
                <w:rStyle w:val="IndexLink"/>
                <w:rtl w:val="true"/>
              </w:rPr>
              <w:t>[</w:t>
            </w:r>
            <w:r>
              <w:rPr>
                <w:rStyle w:val="IndexLink"/>
                <w:rtl w:val="true"/>
              </w:rPr>
              <w:t>نقد ما ذکره السید الخوئی قدّس سرّه تعلیقا علی کلام الماتن من استحالة الاهمال فی الواقع</w:t>
            </w:r>
            <w:r>
              <w:rPr>
                <w:rStyle w:val="IndexLink"/>
                <w:rtl w:val="true"/>
              </w:rPr>
              <w:tab/>
            </w:r>
            <w:r>
              <w:rPr>
                <w:rStyle w:val="IndexLink"/>
              </w:rPr>
              <w:t>535</w:t>
            </w:r>
          </w:hyperlink>
        </w:p>
        <w:p>
          <w:pPr>
            <w:pStyle w:val="Contents5"/>
            <w:tabs>
              <w:tab w:val="clear" w:pos="7892"/>
              <w:tab w:val="right" w:pos="9026" w:leader="dot"/>
            </w:tabs>
            <w:rPr/>
          </w:pPr>
          <w:hyperlink w:anchor="__RefHeading___Toc3493843_2314609296">
            <w:r>
              <w:rPr>
                <w:webHidden/>
                <w:rStyle w:val="IndexLink"/>
                <w:rtl w:val="true"/>
              </w:rPr>
              <w:t>[</w:t>
            </w:r>
            <w:r>
              <w:rPr>
                <w:rStyle w:val="IndexLink"/>
                <w:rtl w:val="true"/>
              </w:rPr>
              <w:t>نقد ما ذکره السید الخوئی قدّس سرّه فی الجواب عن التقابل بین الاطلاق و التقیید</w:t>
            </w:r>
            <w:r>
              <w:rPr>
                <w:rStyle w:val="IndexLink"/>
                <w:rtl w:val="true"/>
              </w:rPr>
              <w:t>]</w:t>
              <w:tab/>
            </w:r>
            <w:r>
              <w:rPr>
                <w:rStyle w:val="IndexLink"/>
              </w:rPr>
              <w:t>537</w:t>
            </w:r>
          </w:hyperlink>
        </w:p>
        <w:p>
          <w:pPr>
            <w:pStyle w:val="Contents5"/>
            <w:tabs>
              <w:tab w:val="clear" w:pos="7892"/>
              <w:tab w:val="right" w:pos="9026" w:leader="dot"/>
            </w:tabs>
            <w:rPr/>
          </w:pPr>
          <w:hyperlink w:anchor="__RefHeading___Toc3493845_2314609296">
            <w:r>
              <w:rPr>
                <w:webHidden/>
                <w:rStyle w:val="IndexLink"/>
                <w:rtl w:val="true"/>
              </w:rPr>
              <w:t>[</w:t>
            </w:r>
            <w:r>
              <w:rPr>
                <w:rStyle w:val="IndexLink"/>
                <w:rtl w:val="true"/>
              </w:rPr>
              <w:t>استحالة تقیید موضوع الحکم بحال العلم به للزوم التقدم و التأخر</w:t>
            </w:r>
            <w:r>
              <w:rPr>
                <w:rStyle w:val="IndexLink"/>
                <w:rtl w:val="true"/>
              </w:rPr>
              <w:t>]</w:t>
              <w:tab/>
            </w:r>
            <w:r>
              <w:rPr>
                <w:rStyle w:val="IndexLink"/>
              </w:rPr>
              <w:t>541</w:t>
            </w:r>
          </w:hyperlink>
        </w:p>
        <w:p>
          <w:pPr>
            <w:pStyle w:val="Contents5"/>
            <w:tabs>
              <w:tab w:val="clear" w:pos="7892"/>
              <w:tab w:val="right" w:pos="9026" w:leader="dot"/>
            </w:tabs>
            <w:rPr/>
          </w:pPr>
          <w:hyperlink w:anchor="__RefHeading___Toc3493847_2314609296">
            <w:r>
              <w:rPr>
                <w:webHidden/>
                <w:rStyle w:val="IndexLink"/>
                <w:rtl w:val="true"/>
              </w:rPr>
              <w:t>[</w:t>
            </w:r>
            <w:r>
              <w:rPr>
                <w:rStyle w:val="IndexLink"/>
                <w:rtl w:val="true"/>
              </w:rPr>
              <w:t>وجه آخر للاستحالة ذکره المحقق النائینی</w:t>
            </w:r>
            <w:r>
              <w:rPr>
                <w:rStyle w:val="IndexLink"/>
                <w:rtl w:val="true"/>
              </w:rPr>
              <w:tab/>
            </w:r>
            <w:r>
              <w:rPr>
                <w:rStyle w:val="IndexLink"/>
              </w:rPr>
              <w:t>544</w:t>
            </w:r>
          </w:hyperlink>
        </w:p>
        <w:p>
          <w:pPr>
            <w:pStyle w:val="Contents5"/>
            <w:tabs>
              <w:tab w:val="clear" w:pos="7892"/>
              <w:tab w:val="right" w:pos="9026" w:leader="dot"/>
            </w:tabs>
            <w:rPr/>
          </w:pPr>
          <w:hyperlink w:anchor="__RefHeading___Toc3493849_2314609296">
            <w:r>
              <w:rPr>
                <w:webHidden/>
                <w:rStyle w:val="IndexLink"/>
                <w:rtl w:val="true"/>
              </w:rPr>
              <w:t>[</w:t>
            </w:r>
            <w:r>
              <w:rPr>
                <w:rStyle w:val="IndexLink"/>
                <w:rtl w:val="true"/>
              </w:rPr>
              <w:t>استحالة تقیید متعلق التکلیف بقصد امتثال الأمر</w:t>
            </w:r>
            <w:r>
              <w:rPr>
                <w:rStyle w:val="IndexLink"/>
                <w:rtl w:val="true"/>
              </w:rPr>
              <w:t>]</w:t>
              <w:tab/>
            </w:r>
            <w:r>
              <w:rPr>
                <w:rStyle w:val="IndexLink"/>
              </w:rPr>
              <w:t>545</w:t>
            </w:r>
          </w:hyperlink>
        </w:p>
        <w:p>
          <w:pPr>
            <w:pStyle w:val="Contents5"/>
            <w:tabs>
              <w:tab w:val="clear" w:pos="7892"/>
              <w:tab w:val="right" w:pos="9026" w:leader="dot"/>
            </w:tabs>
            <w:rPr/>
          </w:pPr>
          <w:hyperlink w:anchor="__RefHeading___Toc3493851_2314609296">
            <w:r>
              <w:rPr>
                <w:webHidden/>
                <w:rStyle w:val="IndexLink"/>
                <w:rtl w:val="true"/>
              </w:rPr>
              <w:t>[</w:t>
            </w:r>
            <w:r>
              <w:rPr>
                <w:rStyle w:val="IndexLink"/>
                <w:rtl w:val="true"/>
              </w:rPr>
              <w:t>نقد مناقشة السید الخوئی قدّس سرّه فی أخذ الأمر مفروض الوجود</w:t>
            </w:r>
            <w:r>
              <w:rPr>
                <w:rStyle w:val="IndexLink"/>
                <w:rtl w:val="true"/>
              </w:rPr>
              <w:t>]</w:t>
              <w:tab/>
            </w:r>
            <w:r>
              <w:rPr>
                <w:rStyle w:val="IndexLink"/>
              </w:rPr>
              <w:t>549</w:t>
            </w:r>
          </w:hyperlink>
        </w:p>
        <w:p>
          <w:pPr>
            <w:pStyle w:val="Contents5"/>
            <w:tabs>
              <w:tab w:val="clear" w:pos="7892"/>
              <w:tab w:val="right" w:pos="9026" w:leader="dot"/>
            </w:tabs>
            <w:rPr/>
          </w:pPr>
          <w:hyperlink w:anchor="__RefHeading___Toc3493853_2314609296">
            <w:r>
              <w:rPr>
                <w:webHidden/>
                <w:rStyle w:val="IndexLink"/>
                <w:rtl w:val="true"/>
              </w:rPr>
              <w:t>[</w:t>
            </w:r>
            <w:r>
              <w:rPr>
                <w:rStyle w:val="IndexLink"/>
                <w:rtl w:val="true"/>
              </w:rPr>
              <w:t>هل تأتی المحاذیر فی أخذ قصد القربة بمعنی قصد المصلحة؟</w:t>
            </w:r>
            <w:r>
              <w:rPr>
                <w:rStyle w:val="IndexLink"/>
                <w:rtl w:val="true"/>
              </w:rPr>
              <w:t>]</w:t>
              <w:tab/>
            </w:r>
            <w:r>
              <w:rPr>
                <w:rStyle w:val="IndexLink"/>
              </w:rPr>
              <w:t>552</w:t>
            </w:r>
          </w:hyperlink>
        </w:p>
        <w:p>
          <w:pPr>
            <w:pStyle w:val="Contents5"/>
            <w:tabs>
              <w:tab w:val="clear" w:pos="7892"/>
              <w:tab w:val="right" w:pos="9026" w:leader="dot"/>
            </w:tabs>
            <w:rPr/>
          </w:pPr>
          <w:hyperlink w:anchor="__RefHeading___Toc3493855_2314609296">
            <w:r>
              <w:rPr>
                <w:webHidden/>
                <w:rStyle w:val="IndexLink"/>
                <w:rtl w:val="true"/>
              </w:rPr>
              <w:t>[</w:t>
            </w:r>
            <w:r>
              <w:rPr>
                <w:rStyle w:val="IndexLink"/>
                <w:rtl w:val="true"/>
              </w:rPr>
              <w:t>وجه امتناع أخذ الجامع المنطبق علی جمیع الدواعی فی المأمور به</w:t>
            </w:r>
            <w:r>
              <w:rPr>
                <w:rStyle w:val="IndexLink"/>
                <w:rtl w:val="true"/>
              </w:rPr>
              <w:tab/>
            </w:r>
            <w:r>
              <w:rPr>
                <w:rStyle w:val="IndexLink"/>
              </w:rPr>
              <w:t>558</w:t>
            </w:r>
          </w:hyperlink>
        </w:p>
        <w:p>
          <w:pPr>
            <w:pStyle w:val="Contents5"/>
            <w:tabs>
              <w:tab w:val="clear" w:pos="7892"/>
              <w:tab w:val="right" w:pos="9026" w:leader="dot"/>
            </w:tabs>
            <w:rPr/>
          </w:pPr>
          <w:hyperlink w:anchor="__RefHeading___Toc3493857_2314609296">
            <w:r>
              <w:rPr>
                <w:webHidden/>
                <w:rStyle w:val="IndexLink"/>
                <w:rtl w:val="true"/>
              </w:rPr>
              <w:t>[</w:t>
            </w:r>
            <w:r>
              <w:rPr>
                <w:rStyle w:val="IndexLink"/>
                <w:rtl w:val="true"/>
              </w:rPr>
              <w:t>وجوه تصویر عبادیة العمل</w:t>
            </w:r>
            <w:r>
              <w:rPr>
                <w:rStyle w:val="IndexLink"/>
                <w:rtl w:val="true"/>
              </w:rPr>
              <w:t>:]</w:t>
              <w:tab/>
            </w:r>
            <w:r>
              <w:rPr>
                <w:rStyle w:val="IndexLink"/>
              </w:rPr>
              <w:t>570</w:t>
            </w:r>
          </w:hyperlink>
        </w:p>
        <w:p>
          <w:pPr>
            <w:pStyle w:val="Contents6"/>
            <w:tabs>
              <w:tab w:val="clear" w:pos="7609"/>
              <w:tab w:val="right" w:pos="9026" w:leader="dot"/>
            </w:tabs>
            <w:rPr/>
          </w:pPr>
          <w:hyperlink w:anchor="__RefHeading___Toc3493859_2314609296">
            <w:r>
              <w:rPr>
                <w:webHidden/>
                <w:rStyle w:val="IndexLink"/>
                <w:rtl w:val="true"/>
              </w:rPr>
              <w:t>اشارة</w:t>
            </w:r>
            <w:r>
              <w:rPr>
                <w:rStyle w:val="IndexLink"/>
                <w:rtl w:val="true"/>
              </w:rPr>
              <w:tab/>
            </w:r>
            <w:r>
              <w:rPr>
                <w:rStyle w:val="IndexLink"/>
              </w:rPr>
              <w:t>570</w:t>
            </w:r>
          </w:hyperlink>
        </w:p>
        <w:p>
          <w:pPr>
            <w:pStyle w:val="Contents6"/>
            <w:tabs>
              <w:tab w:val="clear" w:pos="7609"/>
              <w:tab w:val="right" w:pos="9026" w:leader="dot"/>
            </w:tabs>
            <w:rPr/>
          </w:pPr>
          <w:hyperlink w:anchor="__RefHeading___Toc3493861_2314609296">
            <w:r>
              <w:rPr>
                <w:webHidden/>
                <w:rStyle w:val="IndexLink"/>
                <w:rtl w:val="true"/>
              </w:rPr>
              <w:t>[</w:t>
            </w:r>
            <w:r>
              <w:rPr>
                <w:rStyle w:val="IndexLink"/>
              </w:rPr>
              <w:t>1</w:t>
            </w:r>
            <w:r>
              <w:rPr>
                <w:rStyle w:val="IndexLink"/>
                <w:rtl w:val="true"/>
              </w:rPr>
              <w:t xml:space="preserve">- </w:t>
            </w:r>
            <w:r>
              <w:rPr>
                <w:rStyle w:val="IndexLink"/>
                <w:rtl w:val="true"/>
              </w:rPr>
              <w:t>ما ذکره العلّامة الشیرازی</w:t>
            </w:r>
            <w:r>
              <w:rPr>
                <w:rStyle w:val="IndexLink"/>
                <w:rtl w:val="true"/>
              </w:rPr>
              <w:tab/>
            </w:r>
            <w:r>
              <w:rPr>
                <w:rStyle w:val="IndexLink"/>
              </w:rPr>
              <w:t>570</w:t>
            </w:r>
          </w:hyperlink>
        </w:p>
        <w:p>
          <w:pPr>
            <w:pStyle w:val="Contents6"/>
            <w:tabs>
              <w:tab w:val="clear" w:pos="7609"/>
              <w:tab w:val="right" w:pos="9026" w:leader="dot"/>
            </w:tabs>
            <w:rPr/>
          </w:pPr>
          <w:hyperlink w:anchor="__RefHeading___Toc3493863_2314609296">
            <w:r>
              <w:rPr>
                <w:webHidden/>
                <w:rStyle w:val="IndexLink"/>
                <w:rtl w:val="true"/>
              </w:rPr>
              <w:t>[</w:t>
            </w:r>
            <w:r>
              <w:rPr>
                <w:rStyle w:val="IndexLink"/>
              </w:rPr>
              <w:t>2</w:t>
            </w:r>
            <w:r>
              <w:rPr>
                <w:rStyle w:val="IndexLink"/>
                <w:rtl w:val="true"/>
              </w:rPr>
              <w:t xml:space="preserve">- </w:t>
            </w:r>
            <w:r>
              <w:rPr>
                <w:rStyle w:val="IndexLink"/>
                <w:rtl w:val="true"/>
              </w:rPr>
              <w:t>اقتضاء الأمر بذاته للعبادیة</w:t>
            </w:r>
            <w:r>
              <w:rPr>
                <w:rStyle w:val="IndexLink"/>
                <w:rtl w:val="true"/>
              </w:rPr>
              <w:t>]</w:t>
              <w:tab/>
            </w:r>
            <w:r>
              <w:rPr>
                <w:rStyle w:val="IndexLink"/>
              </w:rPr>
              <w:t>577</w:t>
            </w:r>
          </w:hyperlink>
        </w:p>
        <w:p>
          <w:pPr>
            <w:pStyle w:val="Contents6"/>
            <w:tabs>
              <w:tab w:val="clear" w:pos="7609"/>
              <w:tab w:val="right" w:pos="9026" w:leader="dot"/>
            </w:tabs>
            <w:rPr/>
          </w:pPr>
          <w:hyperlink w:anchor="__RefHeading___Toc3493865_2314609296">
            <w:r>
              <w:rPr>
                <w:webHidden/>
                <w:rStyle w:val="IndexLink"/>
                <w:rtl w:val="true"/>
              </w:rPr>
              <w:t>[</w:t>
            </w:r>
            <w:r>
              <w:rPr>
                <w:rStyle w:val="IndexLink"/>
              </w:rPr>
              <w:t>3</w:t>
            </w:r>
            <w:r>
              <w:rPr>
                <w:rStyle w:val="IndexLink"/>
                <w:rtl w:val="true"/>
              </w:rPr>
              <w:t xml:space="preserve">- </w:t>
            </w:r>
            <w:r>
              <w:rPr>
                <w:rStyle w:val="IndexLink"/>
                <w:rtl w:val="true"/>
              </w:rPr>
              <w:t>کون الفرق بین التعبدی و التوصلی من ناحیة الغرض</w:t>
            </w:r>
            <w:r>
              <w:rPr>
                <w:rStyle w:val="IndexLink"/>
                <w:rtl w:val="true"/>
              </w:rPr>
              <w:tab/>
            </w:r>
            <w:r>
              <w:rPr>
                <w:rStyle w:val="IndexLink"/>
              </w:rPr>
              <w:t>579</w:t>
            </w:r>
          </w:hyperlink>
        </w:p>
        <w:p>
          <w:pPr>
            <w:pStyle w:val="Contents5"/>
            <w:tabs>
              <w:tab w:val="clear" w:pos="7892"/>
              <w:tab w:val="right" w:pos="9026" w:leader="dot"/>
            </w:tabs>
            <w:rPr/>
          </w:pPr>
          <w:hyperlink w:anchor="__RefHeading___Toc3493867_2314609296">
            <w:r>
              <w:rPr>
                <w:webHidden/>
                <w:rStyle w:val="IndexLink"/>
                <w:rtl w:val="true"/>
              </w:rPr>
              <w:t>[</w:t>
            </w:r>
            <w:r>
              <w:rPr>
                <w:rStyle w:val="IndexLink"/>
                <w:rtl w:val="true"/>
              </w:rPr>
              <w:t>استدلال الشیخ الأنصاری قدّس سرّه علی أصالة التوصلیة</w:t>
            </w:r>
            <w:r>
              <w:rPr>
                <w:rStyle w:val="IndexLink"/>
                <w:rtl w:val="true"/>
              </w:rPr>
              <w:t>]</w:t>
              <w:tab/>
            </w:r>
            <w:r>
              <w:rPr>
                <w:rStyle w:val="IndexLink"/>
              </w:rPr>
              <w:t>582</w:t>
            </w:r>
          </w:hyperlink>
        </w:p>
        <w:p>
          <w:pPr>
            <w:pStyle w:val="Contents5"/>
            <w:tabs>
              <w:tab w:val="clear" w:pos="7892"/>
              <w:tab w:val="right" w:pos="9026" w:leader="dot"/>
            </w:tabs>
            <w:rPr/>
          </w:pPr>
          <w:hyperlink w:anchor="__RefHeading___Toc3493869_2314609296">
            <w:r>
              <w:rPr>
                <w:webHidden/>
                <w:rStyle w:val="IndexLink"/>
                <w:rtl w:val="true"/>
              </w:rPr>
              <w:t>[</w:t>
            </w:r>
            <w:r>
              <w:rPr>
                <w:rStyle w:val="IndexLink"/>
                <w:rtl w:val="true"/>
              </w:rPr>
              <w:t>ما ذکره السید الخوئی قدّس سرّه من إمکان أخذ قصد القربة فی المتعلق</w:t>
            </w:r>
            <w:r>
              <w:rPr>
                <w:rStyle w:val="IndexLink"/>
                <w:rtl w:val="true"/>
              </w:rPr>
              <w:tab/>
            </w:r>
            <w:r>
              <w:rPr>
                <w:rStyle w:val="IndexLink"/>
              </w:rPr>
              <w:t>588</w:t>
            </w:r>
          </w:hyperlink>
        </w:p>
        <w:p>
          <w:pPr>
            <w:pStyle w:val="Contents5"/>
            <w:tabs>
              <w:tab w:val="clear" w:pos="7892"/>
              <w:tab w:val="right" w:pos="9026" w:leader="dot"/>
            </w:tabs>
            <w:rPr/>
          </w:pPr>
          <w:hyperlink w:anchor="__RefHeading___Toc3493871_2314609296">
            <w:r>
              <w:rPr>
                <w:webHidden/>
                <w:rStyle w:val="IndexLink"/>
                <w:rtl w:val="true"/>
              </w:rPr>
              <w:t>[</w:t>
            </w:r>
            <w:r>
              <w:rPr>
                <w:rStyle w:val="IndexLink"/>
                <w:rtl w:val="true"/>
              </w:rPr>
              <w:t>استدلال الکلباسی قدّس سرّه علی أصالة التعبدیة</w:t>
            </w:r>
            <w:r>
              <w:rPr>
                <w:rStyle w:val="IndexLink"/>
                <w:rtl w:val="true"/>
              </w:rPr>
              <w:t>]</w:t>
              <w:tab/>
            </w:r>
            <w:r>
              <w:rPr>
                <w:rStyle w:val="IndexLink"/>
              </w:rPr>
              <w:t>592</w:t>
            </w:r>
          </w:hyperlink>
        </w:p>
        <w:p>
          <w:pPr>
            <w:pStyle w:val="Contents5"/>
            <w:tabs>
              <w:tab w:val="clear" w:pos="7892"/>
              <w:tab w:val="right" w:pos="9026" w:leader="dot"/>
            </w:tabs>
            <w:rPr/>
          </w:pPr>
          <w:hyperlink w:anchor="__RefHeading___Toc3493873_2314609296">
            <w:r>
              <w:rPr>
                <w:webHidden/>
                <w:rStyle w:val="IndexLink"/>
                <w:rtl w:val="true"/>
              </w:rPr>
              <w:t>[</w:t>
            </w:r>
            <w:r>
              <w:rPr>
                <w:rStyle w:val="IndexLink"/>
                <w:rtl w:val="true"/>
              </w:rPr>
              <w:t>تقریب آخر لما ذکره الکلباسی قدّس سرّه</w:t>
            </w:r>
            <w:r>
              <w:rPr>
                <w:rStyle w:val="IndexLink"/>
                <w:rtl w:val="true"/>
              </w:rPr>
              <w:tab/>
            </w:r>
            <w:r>
              <w:rPr>
                <w:rStyle w:val="IndexLink"/>
              </w:rPr>
              <w:t>599</w:t>
            </w:r>
          </w:hyperlink>
        </w:p>
        <w:p>
          <w:pPr>
            <w:pStyle w:val="Contents5"/>
            <w:tabs>
              <w:tab w:val="clear" w:pos="7892"/>
              <w:tab w:val="right" w:pos="9026" w:leader="dot"/>
            </w:tabs>
            <w:rPr/>
          </w:pPr>
          <w:hyperlink w:anchor="__RefHeading___Toc3493875_2314609296">
            <w:r>
              <w:rPr>
                <w:webHidden/>
                <w:rStyle w:val="IndexLink"/>
                <w:rtl w:val="true"/>
              </w:rPr>
              <w:t>[</w:t>
            </w:r>
            <w:r>
              <w:rPr>
                <w:rStyle w:val="IndexLink"/>
                <w:rtl w:val="true"/>
              </w:rPr>
              <w:t>عدم تحقق العبادیة بمجرد قصد الامتثال</w:t>
            </w:r>
            <w:r>
              <w:rPr>
                <w:rStyle w:val="IndexLink"/>
                <w:rtl w:val="true"/>
              </w:rPr>
              <w:tab/>
            </w:r>
            <w:r>
              <w:rPr>
                <w:rStyle w:val="IndexLink"/>
              </w:rPr>
              <w:t>601</w:t>
            </w:r>
          </w:hyperlink>
        </w:p>
        <w:p>
          <w:pPr>
            <w:pStyle w:val="Contents5"/>
            <w:tabs>
              <w:tab w:val="clear" w:pos="7892"/>
              <w:tab w:val="right" w:pos="9026" w:leader="dot"/>
            </w:tabs>
            <w:rPr/>
          </w:pPr>
          <w:hyperlink w:anchor="__RefHeading___Toc3493877_2314609296">
            <w:r>
              <w:rPr>
                <w:webHidden/>
                <w:rStyle w:val="IndexLink"/>
                <w:rtl w:val="true"/>
              </w:rPr>
              <w:t>[</w:t>
            </w:r>
            <w:r>
              <w:rPr>
                <w:rStyle w:val="IndexLink"/>
                <w:rtl w:val="true"/>
              </w:rPr>
              <w:t>ما ذکره فی البدائع من استدلال القائلین بأصالة التعبد بوجهین</w:t>
            </w:r>
            <w:r>
              <w:rPr>
                <w:rStyle w:val="IndexLink"/>
                <w:rtl w:val="true"/>
              </w:rPr>
              <w:tab/>
            </w:r>
            <w:r>
              <w:rPr>
                <w:rStyle w:val="IndexLink"/>
              </w:rPr>
              <w:t>603</w:t>
            </w:r>
          </w:hyperlink>
        </w:p>
        <w:p>
          <w:pPr>
            <w:pStyle w:val="Contents5"/>
            <w:tabs>
              <w:tab w:val="clear" w:pos="7892"/>
              <w:tab w:val="right" w:pos="9026" w:leader="dot"/>
            </w:tabs>
            <w:rPr/>
          </w:pPr>
          <w:hyperlink w:anchor="__RefHeading___Toc3493879_2314609296">
            <w:r>
              <w:rPr>
                <w:webHidden/>
                <w:rStyle w:val="IndexLink"/>
                <w:rtl w:val="true"/>
              </w:rPr>
              <w:t>[</w:t>
            </w:r>
            <w:r>
              <w:rPr>
                <w:rStyle w:val="IndexLink"/>
                <w:rtl w:val="true"/>
              </w:rPr>
              <w:t>نقل کلام صاحب الحاشیة فی المقام</w:t>
            </w:r>
            <w:r>
              <w:rPr>
                <w:rStyle w:val="IndexLink"/>
                <w:rtl w:val="true"/>
              </w:rPr>
              <w:tab/>
            </w:r>
            <w:r>
              <w:rPr>
                <w:rStyle w:val="IndexLink"/>
              </w:rPr>
              <w:t>605</w:t>
            </w:r>
          </w:hyperlink>
        </w:p>
        <w:p>
          <w:pPr>
            <w:pStyle w:val="Contents5"/>
            <w:tabs>
              <w:tab w:val="clear" w:pos="7892"/>
              <w:tab w:val="right" w:pos="9026" w:leader="dot"/>
            </w:tabs>
            <w:rPr/>
          </w:pPr>
          <w:hyperlink w:anchor="__RefHeading___Toc3493881_2314609296">
            <w:r>
              <w:rPr>
                <w:webHidden/>
                <w:rStyle w:val="IndexLink"/>
                <w:rtl w:val="true"/>
              </w:rPr>
              <w:t>[</w:t>
            </w:r>
            <w:r>
              <w:rPr>
                <w:rStyle w:val="IndexLink"/>
                <w:rtl w:val="true"/>
              </w:rPr>
              <w:t>ملخص ما فی الاشارات فی الاستدلال علی أصالة التعبدیة</w:t>
            </w:r>
            <w:r>
              <w:rPr>
                <w:rStyle w:val="IndexLink"/>
                <w:rtl w:val="true"/>
              </w:rPr>
              <w:t>]</w:t>
              <w:tab/>
            </w:r>
            <w:r>
              <w:rPr>
                <w:rStyle w:val="IndexLink"/>
              </w:rPr>
              <w:t>607</w:t>
            </w:r>
          </w:hyperlink>
        </w:p>
        <w:p>
          <w:pPr>
            <w:pStyle w:val="Contents5"/>
            <w:tabs>
              <w:tab w:val="clear" w:pos="7892"/>
              <w:tab w:val="right" w:pos="9026" w:leader="dot"/>
            </w:tabs>
            <w:rPr/>
          </w:pPr>
          <w:hyperlink w:anchor="__RefHeading___Toc3493883_2314609296">
            <w:r>
              <w:rPr>
                <w:webHidden/>
                <w:rStyle w:val="IndexLink"/>
                <w:rtl w:val="true"/>
              </w:rPr>
              <w:t>[</w:t>
            </w:r>
            <w:r>
              <w:rPr>
                <w:rStyle w:val="IndexLink"/>
                <w:rtl w:val="true"/>
              </w:rPr>
              <w:t>ما ذکره صاحب العناوین فی المقام</w:t>
            </w:r>
            <w:r>
              <w:rPr>
                <w:rStyle w:val="IndexLink"/>
                <w:rtl w:val="true"/>
              </w:rPr>
              <w:tab/>
            </w:r>
            <w:r>
              <w:rPr>
                <w:rStyle w:val="IndexLink"/>
              </w:rPr>
              <w:t>608</w:t>
            </w:r>
          </w:hyperlink>
        </w:p>
        <w:p>
          <w:pPr>
            <w:pStyle w:val="Contents5"/>
            <w:tabs>
              <w:tab w:val="clear" w:pos="7892"/>
              <w:tab w:val="right" w:pos="9026" w:leader="dot"/>
            </w:tabs>
            <w:rPr/>
          </w:pPr>
          <w:hyperlink w:anchor="__RefHeading___Toc3493885_2314609296">
            <w:r>
              <w:rPr>
                <w:webHidden/>
                <w:rStyle w:val="IndexLink"/>
                <w:rtl w:val="true"/>
              </w:rPr>
              <w:t>[</w:t>
            </w:r>
            <w:r>
              <w:rPr>
                <w:rStyle w:val="IndexLink"/>
                <w:rtl w:val="true"/>
              </w:rPr>
              <w:t>توجیه متمم الجعل و دفع الاشکالات عنه</w:t>
            </w:r>
            <w:r>
              <w:rPr>
                <w:rStyle w:val="IndexLink"/>
                <w:rtl w:val="true"/>
              </w:rPr>
              <w:tab/>
            </w:r>
            <w:r>
              <w:rPr>
                <w:rStyle w:val="IndexLink"/>
              </w:rPr>
              <w:t>611</w:t>
            </w:r>
          </w:hyperlink>
        </w:p>
        <w:p>
          <w:pPr>
            <w:pStyle w:val="Contents5"/>
            <w:tabs>
              <w:tab w:val="clear" w:pos="7892"/>
              <w:tab w:val="right" w:pos="9026" w:leader="dot"/>
            </w:tabs>
            <w:rPr/>
          </w:pPr>
          <w:hyperlink w:anchor="__RefHeading___Toc3493887_2314609296">
            <w:r>
              <w:rPr>
                <w:webHidden/>
                <w:rStyle w:val="IndexLink"/>
                <w:rtl w:val="true"/>
              </w:rPr>
              <w:t>[</w:t>
            </w:r>
            <w:r>
              <w:rPr>
                <w:rStyle w:val="IndexLink"/>
                <w:rtl w:val="true"/>
              </w:rPr>
              <w:t>مقتضی الأصل العملی و اللفظی فی المقام</w:t>
            </w:r>
            <w:r>
              <w:rPr>
                <w:rStyle w:val="IndexLink"/>
                <w:rtl w:val="true"/>
              </w:rPr>
              <w:tab/>
            </w:r>
            <w:r>
              <w:rPr>
                <w:rStyle w:val="IndexLink"/>
              </w:rPr>
              <w:t>626</w:t>
            </w:r>
          </w:hyperlink>
        </w:p>
        <w:p>
          <w:pPr>
            <w:pStyle w:val="Contents5"/>
            <w:tabs>
              <w:tab w:val="clear" w:pos="7892"/>
              <w:tab w:val="right" w:pos="9026" w:leader="dot"/>
            </w:tabs>
            <w:rPr/>
          </w:pPr>
          <w:hyperlink w:anchor="__RefHeading___Toc3493889_2314609296">
            <w:r>
              <w:rPr>
                <w:webHidden/>
                <w:rStyle w:val="IndexLink"/>
                <w:rtl w:val="true"/>
              </w:rPr>
              <w:t>[</w:t>
            </w:r>
            <w:r>
              <w:rPr>
                <w:rStyle w:val="IndexLink"/>
                <w:rtl w:val="true"/>
              </w:rPr>
              <w:t>التأمل فی نظریة الذات التوأمة</w:t>
            </w:r>
            <w:r>
              <w:rPr>
                <w:rStyle w:val="IndexLink"/>
                <w:rtl w:val="true"/>
              </w:rPr>
              <w:t>]</w:t>
              <w:tab/>
            </w:r>
            <w:r>
              <w:rPr>
                <w:rStyle w:val="IndexLink"/>
              </w:rPr>
              <w:t>630</w:t>
            </w:r>
          </w:hyperlink>
        </w:p>
        <w:p>
          <w:pPr>
            <w:pStyle w:val="Contents5"/>
            <w:tabs>
              <w:tab w:val="clear" w:pos="7892"/>
              <w:tab w:val="right" w:pos="9026" w:leader="dot"/>
            </w:tabs>
            <w:rPr/>
          </w:pPr>
          <w:hyperlink w:anchor="__RefHeading___Toc3493891_2314609296">
            <w:r>
              <w:rPr>
                <w:webHidden/>
                <w:rStyle w:val="IndexLink"/>
                <w:rtl w:val="true"/>
              </w:rPr>
              <w:t>[</w:t>
            </w:r>
            <w:r>
              <w:rPr>
                <w:rStyle w:val="IndexLink"/>
                <w:rtl w:val="true"/>
              </w:rPr>
              <w:t>إبطال دعوی التقید القهری الذی أفاده صاحب الاشارات و صاحب العناوین قدّس سرّهما</w:t>
            </w:r>
            <w:r>
              <w:rPr>
                <w:rStyle w:val="IndexLink"/>
                <w:rtl w:val="true"/>
              </w:rPr>
              <w:t>]</w:t>
              <w:tab/>
            </w:r>
            <w:r>
              <w:rPr>
                <w:rStyle w:val="IndexLink"/>
              </w:rPr>
              <w:t>631</w:t>
            </w:r>
          </w:hyperlink>
        </w:p>
        <w:p>
          <w:pPr>
            <w:pStyle w:val="Contents5"/>
            <w:tabs>
              <w:tab w:val="clear" w:pos="7892"/>
              <w:tab w:val="right" w:pos="9026" w:leader="dot"/>
            </w:tabs>
            <w:rPr/>
          </w:pPr>
          <w:hyperlink w:anchor="__RefHeading___Toc3493893_2314609296">
            <w:r>
              <w:rPr>
                <w:webHidden/>
                <w:rStyle w:val="IndexLink"/>
                <w:rtl w:val="true"/>
              </w:rPr>
              <w:t>[</w:t>
            </w:r>
            <w:r>
              <w:rPr>
                <w:rStyle w:val="IndexLink"/>
                <w:rtl w:val="true"/>
              </w:rPr>
              <w:t>حاصل مطلب الکفایة فی مقتضی الأصل العملی</w:t>
            </w:r>
            <w:r>
              <w:rPr>
                <w:rStyle w:val="IndexLink"/>
                <w:rtl w:val="true"/>
              </w:rPr>
              <w:tab/>
            </w:r>
            <w:r>
              <w:rPr>
                <w:rStyle w:val="IndexLink"/>
              </w:rPr>
              <w:t>636</w:t>
            </w:r>
          </w:hyperlink>
        </w:p>
        <w:p>
          <w:pPr>
            <w:pStyle w:val="Contents5"/>
            <w:tabs>
              <w:tab w:val="clear" w:pos="7892"/>
              <w:tab w:val="right" w:pos="9026" w:leader="dot"/>
            </w:tabs>
            <w:rPr/>
          </w:pPr>
          <w:hyperlink w:anchor="__RefHeading___Toc3493895_2314609296">
            <w:r>
              <w:rPr>
                <w:webHidden/>
                <w:rStyle w:val="IndexLink"/>
                <w:rtl w:val="true"/>
              </w:rPr>
              <w:t>[</w:t>
            </w:r>
            <w:r>
              <w:rPr>
                <w:rStyle w:val="IndexLink"/>
                <w:rtl w:val="true"/>
              </w:rPr>
              <w:t>المختار فی مسألة اعتبار داعویة الأمر</w:t>
            </w:r>
            <w:r>
              <w:rPr>
                <w:rStyle w:val="IndexLink"/>
                <w:rtl w:val="true"/>
              </w:rPr>
              <w:t>]</w:t>
              <w:tab/>
            </w:r>
            <w:r>
              <w:rPr>
                <w:rStyle w:val="IndexLink"/>
              </w:rPr>
              <w:t>638</w:t>
            </w:r>
          </w:hyperlink>
        </w:p>
        <w:p>
          <w:pPr>
            <w:pStyle w:val="Contents5"/>
            <w:tabs>
              <w:tab w:val="clear" w:pos="7892"/>
              <w:tab w:val="right" w:pos="9026" w:leader="dot"/>
            </w:tabs>
            <w:rPr/>
          </w:pPr>
          <w:hyperlink w:anchor="__RefHeading___Toc3493897_2314609296">
            <w:r>
              <w:rPr>
                <w:webHidden/>
                <w:rStyle w:val="IndexLink"/>
                <w:rtl w:val="true"/>
              </w:rPr>
              <w:t>[</w:t>
            </w:r>
            <w:r>
              <w:rPr>
                <w:rStyle w:val="IndexLink"/>
                <w:rtl w:val="true"/>
              </w:rPr>
              <w:t>مناقشة السید الخوئی قدّس سرّه فی المقام</w:t>
            </w:r>
            <w:r>
              <w:rPr>
                <w:rStyle w:val="IndexLink"/>
                <w:rtl w:val="true"/>
              </w:rPr>
              <w:tab/>
            </w:r>
            <w:r>
              <w:rPr>
                <w:rStyle w:val="IndexLink"/>
              </w:rPr>
              <w:t>639</w:t>
            </w:r>
          </w:hyperlink>
        </w:p>
        <w:p>
          <w:pPr>
            <w:pStyle w:val="Contents5"/>
            <w:tabs>
              <w:tab w:val="clear" w:pos="7892"/>
              <w:tab w:val="right" w:pos="9026" w:leader="dot"/>
            </w:tabs>
            <w:rPr/>
          </w:pPr>
          <w:hyperlink w:anchor="__RefHeading___Toc3493899_2314609296">
            <w:r>
              <w:rPr>
                <w:webHidden/>
                <w:rStyle w:val="IndexLink"/>
                <w:rtl w:val="true"/>
              </w:rPr>
              <w:t>[</w:t>
            </w:r>
            <w:r>
              <w:rPr>
                <w:rStyle w:val="IndexLink"/>
                <w:rtl w:val="true"/>
              </w:rPr>
              <w:t>مناقشة ما أفاده السید الحکیم قدّس سرّه فی الحقائق</w:t>
            </w:r>
            <w:r>
              <w:rPr>
                <w:rStyle w:val="IndexLink"/>
                <w:rtl w:val="true"/>
              </w:rPr>
              <w:tab/>
            </w:r>
            <w:r>
              <w:rPr>
                <w:rStyle w:val="IndexLink"/>
              </w:rPr>
              <w:t>640</w:t>
            </w:r>
          </w:hyperlink>
        </w:p>
        <w:p>
          <w:pPr>
            <w:pStyle w:val="Contents5"/>
            <w:tabs>
              <w:tab w:val="clear" w:pos="7892"/>
              <w:tab w:val="right" w:pos="9026" w:leader="dot"/>
            </w:tabs>
            <w:rPr/>
          </w:pPr>
          <w:hyperlink w:anchor="__RefHeading___Toc3493901_2314609296">
            <w:r>
              <w:rPr>
                <w:webHidden/>
                <w:rStyle w:val="IndexLink"/>
                <w:rtl w:val="true"/>
              </w:rPr>
              <w:t>[</w:t>
            </w:r>
            <w:r>
              <w:rPr>
                <w:rStyle w:val="IndexLink"/>
                <w:rtl w:val="true"/>
              </w:rPr>
              <w:t>مطلب صاحب الکفایة قدّس سرّه لیس مبنیا علی التفرقة بین الأسباب و المسببات</w:t>
            </w:r>
            <w:r>
              <w:rPr>
                <w:rStyle w:val="IndexLink"/>
                <w:rtl w:val="true"/>
              </w:rPr>
              <w:tab/>
            </w:r>
            <w:r>
              <w:rPr>
                <w:rStyle w:val="IndexLink"/>
              </w:rPr>
              <w:t>642</w:t>
            </w:r>
          </w:hyperlink>
        </w:p>
        <w:p>
          <w:pPr>
            <w:pStyle w:val="Contents5"/>
            <w:tabs>
              <w:tab w:val="clear" w:pos="7892"/>
              <w:tab w:val="right" w:pos="9026" w:leader="dot"/>
            </w:tabs>
            <w:rPr/>
          </w:pPr>
          <w:hyperlink w:anchor="__RefHeading___Toc3493903_2314609296">
            <w:r>
              <w:rPr>
                <w:webHidden/>
                <w:rStyle w:val="IndexLink"/>
                <w:rtl w:val="true"/>
              </w:rPr>
              <w:t>[</w:t>
            </w:r>
            <w:r>
              <w:rPr>
                <w:rStyle w:val="IndexLink"/>
                <w:rtl w:val="true"/>
              </w:rPr>
              <w:t>مقتضی الأصل العملی بناء علی الاختلاف بین الأمر التعبدی و التوصلی بالهویة</w:t>
            </w:r>
            <w:r>
              <w:rPr>
                <w:rStyle w:val="IndexLink"/>
                <w:rtl w:val="true"/>
              </w:rPr>
              <w:t>]</w:t>
              <w:tab/>
            </w:r>
            <w:r>
              <w:rPr>
                <w:rStyle w:val="IndexLink"/>
              </w:rPr>
              <w:t>652</w:t>
            </w:r>
          </w:hyperlink>
        </w:p>
        <w:p>
          <w:pPr>
            <w:pStyle w:val="Contents5"/>
            <w:tabs>
              <w:tab w:val="clear" w:pos="7892"/>
              <w:tab w:val="right" w:pos="9026" w:leader="dot"/>
            </w:tabs>
            <w:rPr/>
          </w:pPr>
          <w:hyperlink w:anchor="__RefHeading___Toc3493905_2314609296">
            <w:r>
              <w:rPr>
                <w:webHidden/>
                <w:rStyle w:val="IndexLink"/>
                <w:rtl w:val="true"/>
              </w:rPr>
              <w:t>خلاصة البحث فی أصالة التعبد أو التوصل</w:t>
            </w:r>
            <w:r>
              <w:rPr>
                <w:rStyle w:val="IndexLink"/>
                <w:rtl w:val="true"/>
              </w:rPr>
              <w:t>:</w:t>
              <w:tab/>
            </w:r>
            <w:r>
              <w:rPr>
                <w:rStyle w:val="IndexLink"/>
              </w:rPr>
              <w:t>654</w:t>
            </w:r>
          </w:hyperlink>
        </w:p>
        <w:p>
          <w:pPr>
            <w:pStyle w:val="Contents2"/>
            <w:tabs>
              <w:tab w:val="clear" w:pos="8743"/>
              <w:tab w:val="right" w:pos="9026" w:leader="dot"/>
            </w:tabs>
            <w:rPr/>
          </w:pPr>
          <w:hyperlink w:anchor="__RefHeading___Toc3493907_2314609296">
            <w:r>
              <w:rPr>
                <w:webHidden/>
                <w:rStyle w:val="IndexLink"/>
                <w:rtl w:val="true"/>
              </w:rPr>
              <w:t>فهرس الموضوعات</w:t>
            </w:r>
            <w:r>
              <w:rPr>
                <w:rStyle w:val="IndexLink"/>
                <w:rtl w:val="true"/>
              </w:rPr>
              <w:tab/>
            </w:r>
            <w:r>
              <w:rPr>
                <w:rStyle w:val="IndexLink"/>
              </w:rPr>
              <w:t>657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32_211948"/>
      <w:bookmarkStart w:id="1" w:name="pg19832_211948"/>
      <w:bookmarkEnd w:id="1"/>
    </w:p>
    <w:p>
      <w:pPr>
        <w:pStyle w:val="Heading2"/>
        <w:numPr>
          <w:ilvl w:val="1"/>
          <w:numId w:val="1"/>
        </w:numPr>
        <w:rPr/>
      </w:pPr>
      <w:bookmarkStart w:id="2" w:name="pg19832_211948"/>
      <w:bookmarkStart w:id="3" w:name="__RefHeading___Toc3493417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حسین</w:t>
      </w:r>
    </w:p>
    <w:p>
      <w:pPr>
        <w:pStyle w:val="BookText"/>
        <w:rPr/>
      </w:pPr>
      <w:r>
        <w:rPr>
          <w:rFonts w:eastAsia="Times New Roman" w:cs="Times New Roman" w:ascii="Times New Roman" w:hAnsi="Times New Roman"/>
          <w:color w:val="111111"/>
          <w:sz w:val="28"/>
          <w:szCs w:val="28"/>
          <w:lang w:val="en-US" w:bidi="en-US"/>
        </w:rPr>
        <w:t>Hilli, Husayn</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مکتبه‌الفقه والاصول‌المختصه،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6005213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 بر اساس جلد یازدهم،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۲۵۹۳۷۹۹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3419_2314609296"/>
      <w:bookmarkStart w:id="6" w:name="_Toc2"/>
      <w:bookmarkEnd w:id="5"/>
      <w:r>
        <w:rPr>
          <w:rtl w:val="true"/>
        </w:rPr>
        <w:t>اشارة</w:t>
      </w:r>
      <w:bookmarkStart w:id="7" w:name="pg19832_211953"/>
      <w:bookmarkEnd w:id="6"/>
    </w:p>
    <w:p>
      <w:pPr>
        <w:pStyle w:val="Heading2"/>
        <w:numPr>
          <w:ilvl w:val="1"/>
          <w:numId w:val="1"/>
        </w:numPr>
        <w:rPr/>
      </w:pPr>
      <w:bookmarkStart w:id="8" w:name="__RefHeading___Toc3493421_2314609296"/>
      <w:bookmarkStart w:id="9" w:name="_Toc3"/>
      <w:bookmarkEnd w:id="7"/>
      <w:bookmarkEnd w:id="8"/>
      <w:r>
        <w:rPr>
          <w:rtl w:val="true"/>
        </w:rPr>
        <w:t>[</w:t>
      </w:r>
      <w:r>
        <w:rPr>
          <w:rtl w:val="true"/>
        </w:rPr>
        <w:t>المقدمة</w:t>
      </w:r>
      <w:r>
        <w:rPr>
          <w:rtl w:val="true"/>
        </w:rPr>
        <w:t>]</w:t>
      </w:r>
      <w:bookmarkEnd w:id="9"/>
    </w:p>
    <w:p>
      <w:pPr>
        <w:pStyle w:val="Heading3"/>
        <w:numPr>
          <w:ilvl w:val="2"/>
          <w:numId w:val="1"/>
        </w:numPr>
        <w:rPr/>
      </w:pPr>
      <w:bookmarkStart w:id="10" w:name="__RefHeading___Toc3493423_2314609296"/>
      <w:bookmarkStart w:id="11" w:name="_Toc4"/>
      <w:bookmarkEnd w:id="10"/>
      <w:r>
        <w:rPr>
          <w:rtl w:val="true"/>
        </w:rPr>
        <w:t>اشارة</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عن حیاة شیخنا الکبیر آیة اللّه العظمی الشیخ حسین الحلی قدّس سرّه أعدّها العلّامة الدکتور السید محمد بحر العلوم</w:t>
      </w:r>
      <w:bookmarkStart w:id="12" w:name="pg19832_211954"/>
    </w:p>
    <w:p>
      <w:pPr>
        <w:pStyle w:val="Heading3"/>
        <w:numPr>
          <w:ilvl w:val="2"/>
          <w:numId w:val="1"/>
        </w:numPr>
        <w:rPr/>
      </w:pPr>
      <w:bookmarkStart w:id="13" w:name="__RefHeading___Toc3493425_2314609296"/>
      <w:bookmarkStart w:id="14" w:name="_Toc5"/>
      <w:bookmarkEnd w:id="12"/>
      <w:bookmarkEnd w:id="13"/>
      <w:r>
        <w:rPr>
          <w:rtl w:val="true"/>
        </w:rPr>
        <w:t>مدخل البحث</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العلماء</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أمناء اللّه علی خلقه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وقّر عالما فقد وقّر ربّه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و الصلاة و السلام علی خیر خلقه محمد و آله الطاهرین الطیبین، و علی أصحابه المنتجبین، و ألف شکر للّه علی ما تفضل و أنعم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المرحوم آیة اللّه العظمی شیخنا الجلیل و أستاذنا الکبیر الشیخ حسین الحلّی من مشاهیر علماء النجف الأشرف فی القرن الماضی الهجری، أستاذ فی الفقه و الاصول، تعترف به الحوزة العلمیة فی جامعة النجف الأشرف الدینیة، و تراه من الطراز الأول من أساتذة هذه الجامعة العریقة فی القرن الماضی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هی إحدی أربع جامعات علمیة دینیة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یضاف إلی تعمقه الفقهی و الاصولی، اطلاعه الواسع فی التاریخ الإسلامی، و الأدب العربی</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المؤسف أن مصادر البحث عن هذه الشخصیة الفذة شحیحة إلی درجة کبیرة بسبب ابتعاده عن المظاهر الاجتماعیة التی تتوجه الأضواء</w:t>
      </w:r>
    </w:p>
    <w:p>
      <w:pPr>
        <w:pStyle w:val="BookText"/>
        <w:rPr/>
      </w:pPr>
      <w:r>
        <w:rPr>
          <w:rFonts w:ascii="IRNazanin" w:hAnsi="IRNazanin" w:eastAsia="IRNazanin"/>
          <w:color w:val="111111"/>
          <w:sz w:val="28"/>
          <w:sz w:val="28"/>
          <w:szCs w:val="28"/>
          <w:rtl w:val="true"/>
          <w:lang w:bidi="fa-IR"/>
        </w:rPr>
        <w:t>إلیها، و تصطدم محاولات التعرف علی شخصیته الفذة بقلة المصادر، لتکون أمام الباحث عقبة کأداء، و رغم کل هذا فسوف أسیر فی محاولتی الشاقة رغم کونی قریبا إلی سیدی الأستاذ، و لم أفارقه إلّا حین اضطرتنی الظروف الخاصة إلی الابتعاد عن الوطن قرابة أربعة عقود بائسة استولی علیها نظام دکتاتوری شمولی فخلط الأوراق قسرا، و عاث بالبلاد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انتقل إلی رحمة ربه و أنا رهین الغربة، و حرمت من إلقاء نظرة الوداع علی جثمانه الطاهر عرفانا بأبوّته الروحیة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أری من الواجب أن أقدّم جمیل الشکر و متکاثر التقدیر لسماحة المرجع الدینی آیة اللّه العظمی السید علی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أمر بتشکیل لجنة من فضلاء الحوزة العلمیة 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لأستاذه المرحوم آیة اللّه العظمی الشیخ الحلی قدّس سرّه، و هذا تمام الوفاء بالنسبة لأستاذه الراحل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حملنی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مسئولیة کتابة دراسة عن حیاة شیخنا الحلی، و رأیت خیر مناسبة أن أسدی إلی سیدی الإمام الراحل الأب العطوف، و المربی العظیم بعض ما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أخویّ الشهیدین السیدین علاء الدین و 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واجب الوفاء و التقدیر مقابل ما أولانا به من عطف أبوی، و رعایة لا تقدّر بثمن، راجیا أن أوفق لذلک، مستمدا منه سبحانه العون و التسدید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بحر العلوم النجف الأشرف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5" w:name="pg19832_211956"/>
    </w:p>
    <w:p>
      <w:pPr>
        <w:pStyle w:val="Heading3"/>
        <w:numPr>
          <w:ilvl w:val="2"/>
          <w:numId w:val="1"/>
        </w:numPr>
        <w:rPr/>
      </w:pPr>
      <w:bookmarkStart w:id="16" w:name="__RefHeading___Toc3493427_2314609296"/>
      <w:bookmarkStart w:id="17" w:name="_Toc6"/>
      <w:bookmarkEnd w:id="15"/>
      <w:bookmarkEnd w:id="16"/>
      <w:r>
        <w:rPr>
          <w:rtl w:val="true"/>
        </w:rPr>
        <w:t>مواضیع البحث</w:t>
      </w:r>
      <w:bookmarkEnd w:id="17"/>
    </w:p>
    <w:p>
      <w:pPr>
        <w:pStyle w:val="BookText"/>
        <w:rPr/>
      </w:pPr>
      <w:r>
        <w:rPr>
          <w:rFonts w:ascii="IRNazanin" w:hAnsi="IRNazanin" w:eastAsia="IRNazanin"/>
          <w:color w:val="111111"/>
          <w:sz w:val="28"/>
          <w:sz w:val="28"/>
          <w:szCs w:val="28"/>
          <w:rtl w:val="true"/>
          <w:lang w:bidi="fa-IR"/>
        </w:rPr>
        <w:t>مدخل البحث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جامعة علمیة دینیة من القرن الخامس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النجف إحدی أبرز الجامعات الإسلامیة منذ تاریخها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العلمیة النجفیة بعد عهد السید بحر العلوم حتی السید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الحلی وجود شاخص فی الجامعة العلمیة الدینیة النجفیة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الشیخ الحلی و موقعه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جذور الشیخ الحلی و نشأته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الحلی علم بین مراجع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الشیخ بالمیرزا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بالإمام الراحل السید محسن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الشیخ الحلی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 عطاء 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عطاؤه الفکری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میدان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استفتاءات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اقتبسه تلامذته من عطاء استاذهم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تلامذته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الشیخ حسن السعید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بحوث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السید عزّ الدین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ممیزات بحثیه الفقهی و الاصولی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الفقهی توجه فی مسارین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طابع اصول المیرزا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لمحات عن انطباعات المرحوم السید محمد تقی الحکیم عن اصول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المرجعیة المعاصرة تعتمد فی نتاجها أفکار الشیخ الفقهیة و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من تلمّذ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الآخر لشیخنا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 إنسانیة لها أثرها فی بناء شخصیة مترجمنا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ورعه و تقواه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کرمه و عطاؤه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وفاؤه لإخوانه و أصدقائه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أخلاقه و تواضعه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الحلی و السیاسة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مشارکة الحلی فی جهاد العلماء ضد الإنکلیز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فی خضمّ المشروطة و المستبدة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المشروطة أو المستبدة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العراق المعاصرة و موقفه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الموسوعی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الوطنی الرزین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المربّی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الملحق</w:t>
      </w:r>
      <w:bookmarkStart w:id="18" w:name="pg19832_211959"/>
    </w:p>
    <w:p>
      <w:pPr>
        <w:pStyle w:val="Heading3"/>
        <w:numPr>
          <w:ilvl w:val="2"/>
          <w:numId w:val="1"/>
        </w:numPr>
        <w:rPr/>
      </w:pPr>
      <w:bookmarkStart w:id="19" w:name="__RefHeading___Toc3493429_2314609296"/>
      <w:bookmarkStart w:id="20" w:name="_Toc7"/>
      <w:bookmarkEnd w:id="18"/>
      <w:bookmarkEnd w:id="19"/>
      <w:r>
        <w:rPr>
          <w:rtl w:val="true"/>
        </w:rPr>
        <w:t>الباب الأول النجف الأشرف جامعة علمیة دینیة من القرن الخامس الهجری</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3493431_2314609296"/>
      <w:bookmarkStart w:id="22" w:name="_Toc8"/>
      <w:bookmarkEnd w:id="21"/>
      <w:r>
        <w:rPr>
          <w:rtl w:val="true"/>
        </w:rPr>
        <w:t>الفصل الأوّل جامعة النجف إحدی أبرز الجامعات الإسلامیة منذ تاریخها القدیم</w:t>
      </w:r>
      <w:bookmarkEnd w:id="22"/>
    </w:p>
    <w:p>
      <w:pPr>
        <w:pStyle w:val="BookText"/>
        <w:rPr/>
      </w:pPr>
      <w:r>
        <w:rPr>
          <w:rFonts w:ascii="IRNazanin" w:hAnsi="IRNazanin" w:eastAsia="IRNazanin"/>
          <w:color w:val="111111"/>
          <w:sz w:val="28"/>
          <w:sz w:val="28"/>
          <w:szCs w:val="28"/>
          <w:rtl w:val="true"/>
          <w:lang w:bidi="fa-IR"/>
        </w:rPr>
        <w:t>المجتمع المتحضّر هو الذی یملک قیادات متنوعة توجّه الامة للطریق السوی، و ترشده لما فیه المصلحة العامّة، و تنوّره لکل ما به الخیر و الصواب لبناء المجتمع الإنسانی الذی خلقه اللّه سبحانه لیکون ظله فیه ینوّر الحیاة، و یرشد العاملین فی سبیل التکامل الإنسانی، و یوجّههم لما فیه بقاء الإسلام حیا کما یریده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هذه الصفوة المبلّغة لرسالة الإسلام، و العاملة فی أداء الرسالة الإرشادیة مراجع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فالعلماء باقون ما دامت الدنیا باقیة</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لهم من ضرورة وجودهم المرتبط ببقاء حرکة الإنسان المسلم فی هذه الحیاة الطویلة، و المسددة بوجود المعصوم الحجة ابن الحسن علیه السّلام،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اللطف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المعقول أن یترک اللّه عباده فی أحکامهم الحیاتیة یتخبطون فیما یتعلق بدینهم و دنیاهم، و خاصة المترتب علیها الحساب و الجزاء و الثواب و العقاب، فالعقوبة من غیر بیان تتنافی و صفات اللّه الرحیمة، فالرحمة و المغفرة و أمثالهما من الصفات الکمالیة للّه جل ثناؤه و عزّ اسمه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الجهات التی تولّت هذه المسئولیة التبلیغیة بعد الأئمّة الاثنی عشر</w:t>
      </w:r>
    </w:p>
    <w:p>
      <w:pPr>
        <w:pStyle w:val="BookText"/>
        <w:rPr/>
      </w:pPr>
      <w:r>
        <w:rPr>
          <w:rFonts w:ascii="IRNazanin" w:hAnsi="IRNazanin" w:eastAsia="IRNazanin"/>
          <w:color w:val="111111"/>
          <w:sz w:val="28"/>
          <w:sz w:val="28"/>
          <w:szCs w:val="28"/>
          <w:rtl w:val="true"/>
          <w:lang w:bidi="fa-IR"/>
        </w:rPr>
        <w:t xml:space="preserve">علیهم السلام، هم هذه الطبقة من أهل العلم، و الذین أطلق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النائبة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حملة مسئولیة الدین، و الرسالة التبلیغیة، و الذین بدأت مسیرتهم بعد الأئمّة المعصومین علیهم السّلام، و نواب الإمام الثانی عشر علیه السّلام الأربعة، و التی انتهت مهمتهم بغیبة الإمام المهدی علیه السّلام الکبری بعد وفاة السفیر الرابع علی بن محمد السمری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مرکز هذه الصفوة التی حملت الرسالة الدینیة من بعد أئمتهم علیهم السّلام و نوابهم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توسعت آفاقها من الشیخ المفید محمد بن محمد ابن النعمان </w:t>
      </w:r>
      <w:r>
        <w:rPr>
          <w:rStyle w:val="FootnoteAnchor"/>
          <w:rtl w:val="true"/>
        </w:rPr>
        <w:footnoteReference w:id="6"/>
      </w:r>
      <w:r>
        <w:rPr>
          <w:rFonts w:ascii="IRNazanin" w:hAnsi="IRNazanin" w:eastAsia="IRNazanin"/>
          <w:color w:val="111111"/>
          <w:sz w:val="28"/>
          <w:sz w:val="28"/>
          <w:szCs w:val="28"/>
          <w:rtl w:val="true"/>
          <w:lang w:bidi="fa-IR"/>
        </w:rPr>
        <w:t xml:space="preserve">و بعده السید المرتضی علی بن الحسین بن موسی الموسوی </w:t>
      </w:r>
      <w:r>
        <w:rPr>
          <w:rStyle w:val="FootnoteAnchor"/>
          <w:rtl w:val="true"/>
        </w:rPr>
        <w:footnoteReference w:id="7"/>
      </w:r>
      <w:r>
        <w:rPr>
          <w:rFonts w:ascii="IRNazanin" w:hAnsi="IRNazanin" w:eastAsia="IRNazanin"/>
          <w:color w:val="111111"/>
          <w:sz w:val="28"/>
          <w:sz w:val="28"/>
          <w:szCs w:val="28"/>
          <w:rtl w:val="true"/>
          <w:lang w:bidi="fa-IR"/>
        </w:rPr>
        <w:t xml:space="preserve">و بعد وفاته عام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انتقلت زعامة المرجعیة الشیعیة إلی تلمیذهما الشیخ محمد بن الحسن الطوسی </w:t>
      </w:r>
      <w:r>
        <w:rPr>
          <w:rStyle w:val="FootnoteAnchor"/>
          <w:rtl w:val="true"/>
        </w:rPr>
        <w:footnoteReference w:id="8"/>
      </w:r>
      <w:r>
        <w:rPr>
          <w:rFonts w:ascii="IRNazanin" w:hAnsi="IRNazanin" w:eastAsia="IRNazanin"/>
          <w:color w:val="111111"/>
          <w:sz w:val="28"/>
          <w:sz w:val="28"/>
          <w:szCs w:val="28"/>
          <w:rtl w:val="true"/>
          <w:lang w:bidi="fa-IR"/>
        </w:rPr>
        <w:t>، و فی عهده تجددت</w:t>
      </w:r>
    </w:p>
    <w:p>
      <w:pPr>
        <w:pStyle w:val="BookText"/>
        <w:rPr/>
      </w:pPr>
      <w:r>
        <w:rPr>
          <w:rFonts w:ascii="IRNazanin" w:hAnsi="IRNazanin" w:eastAsia="IRNazanin"/>
          <w:color w:val="111111"/>
          <w:sz w:val="28"/>
          <w:sz w:val="28"/>
          <w:szCs w:val="28"/>
          <w:rtl w:val="true"/>
          <w:lang w:bidi="fa-IR"/>
        </w:rPr>
        <w:t xml:space="preserve">الحوادث الطائفیة التی بدأت منذ دخول طغرل بک السلجوقی </w:t>
      </w:r>
      <w:r>
        <w:rPr>
          <w:rStyle w:val="FootnoteAnchor"/>
          <w:rtl w:val="true"/>
        </w:rPr>
        <w:footnoteReference w:id="9"/>
      </w:r>
      <w:r>
        <w:rPr>
          <w:rFonts w:ascii="IRNazanin" w:hAnsi="IRNazanin" w:eastAsia="IRNazanin"/>
          <w:color w:val="111111"/>
          <w:sz w:val="28"/>
          <w:sz w:val="28"/>
          <w:szCs w:val="28"/>
          <w:rtl w:val="true"/>
          <w:lang w:bidi="fa-IR"/>
        </w:rPr>
        <w:t xml:space="preserve">إلی بغداد عام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بین المسلمین الشیعة و السنة، و قتل المئات من الطرفین، مما اضطر الشیخ الطوسی علی أثرها الانتقال من بغداد إلی النجف الأشرف عام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نقل معه حوزته العلمیة إلی النجف الأشرف، و أسس جامعة علمیة دینیة فیها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الیوم أصبحت مدینة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عنه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 لحوزة العلم الامامیة، و مقرا</w:t>
      </w:r>
    </w:p>
    <w:p>
      <w:pPr>
        <w:pStyle w:val="BookText"/>
        <w:rPr/>
      </w:pPr>
      <w:r>
        <w:rPr>
          <w:rFonts w:ascii="IRNazanin" w:hAnsi="IRNazanin" w:eastAsia="IRNazanin"/>
          <w:color w:val="111111"/>
          <w:sz w:val="28"/>
          <w:sz w:val="28"/>
          <w:szCs w:val="28"/>
          <w:rtl w:val="true"/>
          <w:lang w:bidi="fa-IR"/>
        </w:rPr>
        <w:t>لمرجعیتهم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توجّهت أنظار المسلمین الشیعة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بمرور الزمن أصبحت الجامعة النجفیة من أبرز مراکز العلم و حوزاتها فی العالم الإسلامی، و تخرّج منها علماء کبار و مراجع عظام رجعت لهم الامة فی تقلیدها بصفتهم الدینیة و العلمیة، و إذا کانت ظروف خاصة حکمت علی الحوزة العلمیة أن تنتقل إلی خارج النجف لسبب من الأسباب الاجتماعیة أو الدینیة أو الأمنیة، فان ذلک الانتقال لم یدم طویلا، بل عادت الحوزة إلی مقرها الأساس لتجدد عهدا بصاحب العتبة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تستقر إلی جواره ما أتاحت لها الظروف الممکنة فی عهدها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المرکز الذی یمر علیه عدة قرون و هو حافل و ناشط بحلقات العلوم الدینیة المختلفة کالتفسیر و الحدیث و الفقه و اصول الفقه، و المنطق، و علوم العربیة، و البیان و البدیع، و غیرها من العلوم التی تقتضیها دراسة طالب العلم الحوزوی، جدیر أن یکون عالمیا، له شخوصه فی عالم الاختصاص، و هو بهذه الصفة یتوافد إلیه طالب العلم، و الذین یرغبون بالانخراط بالصفة الحوزویة، و یعودون إلی دیارهم یحملون من سمات حوزة الإمام علی علیه السّلام ما یبشّر بالتوسع الفکری فی العالم الإسلامی، و یؤسسون معاهدا تحمل طابع جامعة النجف العلمیة، و التی عرفت فی العالم بواقعها المعرفی، و التاریخی، و الاجتماعی، و الأدبی قرابة ألف عام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تمر ظروف غیر طبیعیة علی هذه الجامعة العلمیة تعرقل مسیرتها التاریخیة، و لکن لا تؤثر علی استمراریتها کمرکز علمی، و إن أثّرت علی مسیرتها من حیث التواصل و الالتحام فی فترة محددة، کما حدثت فی عهد ما بعد الشیخ المؤسس الطوسی و أعلام أسرته الذین و اکبوا المسیرة من</w:t>
      </w:r>
    </w:p>
    <w:p>
      <w:pPr>
        <w:pStyle w:val="BookText"/>
        <w:rPr/>
      </w:pPr>
      <w:r>
        <w:rPr>
          <w:rFonts w:ascii="IRNazanin" w:hAnsi="IRNazanin" w:eastAsia="IRNazanin"/>
          <w:color w:val="111111"/>
          <w:sz w:val="28"/>
          <w:sz w:val="28"/>
          <w:szCs w:val="28"/>
          <w:rtl w:val="true"/>
          <w:lang w:bidi="fa-IR"/>
        </w:rPr>
        <w:t>بعده، و أبقوا للجامعة العلمیة النجفیة شخوصها حتی و إن انتقلت إلی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نضوجها العلمی أوائل القرن السابع الهجری، و انتقال عدد کبیر من أعلام الحلّیین لیکوّنوا حوزة علمیة 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توضح بعض المصادر ما أشرنا إلیه إذ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بوادر النشاط العلمی، أو التفتح الذهنی للتفاعل مع آراء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 بأجلی مظاهرها فی أوائل القرن السابع الهجری، و خاصة علی مسرح التفکیر الحلّی، و الذی عبّر عن اتساع کبیر فی الذهنیة العلمیة التی یتمتع بها الحلّیون فی تلک الفترة، و یمکن أن تکون طلیعتها متجلیة فی عهد الشیخ ابن إدریس الحلّی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کان الشیخ فقیها اصولیا بحتا، و مجتهدا صرفا، و هو أول من فتح باب الطعن علی آراء الشیخ الطوسی، و قد أکثر الطعن علیه بعض العلماء لکونه خرج علی آراء الشیخ، حتی وصفه العلّامة الحلی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 المترف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أهم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ناقش بعض الأعلام أنه صهر الشیخ الطوسی أو أحد أحفاده، للزمن الفاصل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للاطلاع یراجع الشیخ یوسف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تعلیقة السید محمد صادق بحر العلوم فی هامش لؤلؤة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توالت الأسر الحلّیة العلمیة ترفد مرکزها العلمی، کآل البطریق، و آل نما، و آل سعید، و آل طاوس، و آل المطهر، و آل بنو الأعرج، و آل القزوینی، و غیرهم من الأسر العلمیة العریقة التی کوّنت الحرکة العلمیة فیها، و بقیت إلی هذا الیوم تحتفظ بمکانة ممیزة عن کثیر من محافظات العراق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ممن وطد مرکزها العلمی بعد الشیخ ابن إدریس، و اشتهروا بالمرجعیة الدینیة للشیعة الإمامیة، نجم الدین أبو إبراهیم</w:t>
      </w:r>
    </w:p>
    <w:p>
      <w:pPr>
        <w:pStyle w:val="BookText"/>
        <w:rPr/>
      </w:pPr>
      <w:r>
        <w:rPr>
          <w:rFonts w:ascii="IRNazanin" w:hAnsi="IRNazanin" w:eastAsia="IRNazanin"/>
          <w:color w:val="111111"/>
          <w:sz w:val="28"/>
          <w:sz w:val="28"/>
          <w:szCs w:val="28"/>
          <w:rtl w:val="true"/>
          <w:lang w:bidi="fa-IR"/>
        </w:rPr>
        <w:t xml:space="preserve">محمد بن أبی الباقر هبة اللّه بن نعمة الحلی المتوفّی عام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رضی الدین أبو القاسم علی بن موسی بن جعفر المعروف بابن طاوس الحسینی المتوفّی عام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المحقّق الحلی جعفر بن الحسن بن یحیی، المتوفّی عام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یوسف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المتقدم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هوامش الصفحات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العلّامة الحلی جمال الدین أبو منصور، الحسن ابن یوسف بن مطهر الحلی 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أمثالهم کثیرون ممن حملوا رایة العلم فی الحلة، و أسسوا لها مجدا شامخا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لعلنا نستفید مدی أهمیة جامعة الحلة الدینیة حینها مما ذکرته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مجلس بحث المحقق الحلی فی الحلة کان یضم أربعمائة مجتهد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استمرت هذه الحرکة العلمیة الحلّیة یشار إلیها قرابة ثلاثة قرون، ثم عادت إلی النجف فی أواخر القرن العاشر الهجری، بعد أن زالت أغلب المعوّقات التی کانت تقف أمام طلاب العلم من الابتعاد عن حوزة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کانت ثمة حرکة علمیة بقیت تواصل عملها الحوزوی و لم تجمد جذوتها العلمیة فیها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انتقلت الحوزة من النجف إلی کربلاء بین عام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بسبب تمرکز مدرسة الاستاذ الوحید البهبهانی المتوفّی عام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4"/>
      </w:r>
      <w:r>
        <w:rPr>
          <w:rFonts w:ascii="IRNazanin" w:hAnsi="IRNazanin" w:eastAsia="IRNazanin"/>
          <w:color w:val="111111"/>
          <w:sz w:val="28"/>
          <w:sz w:val="28"/>
          <w:szCs w:val="28"/>
          <w:rtl w:val="true"/>
          <w:lang w:bidi="fa-IR"/>
        </w:rPr>
        <w:t xml:space="preserve">، و باتت مدرسته الاصولیة معروفة بالعمق و النضج الاصولی، بالإضافة إلی تمرکز الحرکة الفقهیة بشخصیة علمیة موسوعیة هامة احتضنتها تلک الفترة، تمثلت بالعلّامة المحدث الشیخ یوسف البحرانی </w:t>
      </w:r>
      <w:r>
        <w:rPr>
          <w:rStyle w:val="FootnoteAnchor"/>
          <w:rtl w:val="true"/>
        </w:rPr>
        <w:footnoteReference w:id="15"/>
      </w:r>
      <w:r>
        <w:rPr>
          <w:rFonts w:ascii="IRNazanin" w:hAnsi="IRNazanin" w:eastAsia="IRNazanin"/>
          <w:color w:val="111111"/>
          <w:sz w:val="28"/>
          <w:sz w:val="28"/>
          <w:szCs w:val="28"/>
          <w:rtl w:val="true"/>
          <w:lang w:bidi="fa-IR"/>
        </w:rPr>
        <w:t xml:space="preserve">صاحب الموسوعة الفقهیة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استمرت الحوزة العلمیة فی کربلاء تنتهل من هذین المنبعین المهمین قرابة سبعین عاما، و استطاعت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تفتح آفاقا جدیدة فی الکیان</w:t>
      </w:r>
    </w:p>
    <w:p>
      <w:pPr>
        <w:pStyle w:val="BookText"/>
        <w:rPr/>
      </w:pPr>
      <w:r>
        <w:rPr>
          <w:rFonts w:ascii="IRNazanin" w:hAnsi="IRNazanin" w:eastAsia="IRNazanin"/>
          <w:color w:val="111111"/>
          <w:sz w:val="28"/>
          <w:sz w:val="28"/>
          <w:szCs w:val="28"/>
          <w:rtl w:val="true"/>
          <w:lang w:bidi="fa-IR"/>
        </w:rPr>
        <w:t>العلمی الکربلائی، کان له صدی حافل بالإکبار و التقدیر</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عادت جامعة النجف إلی میدانها العلمی کمرکز شاخص للحرکة العلمیة علی ید السید محمد مهدی بحر العلوم المتوفّی عام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7"/>
      </w:r>
      <w:r>
        <w:rPr>
          <w:rFonts w:ascii="IRNazanin" w:hAnsi="IRNazanin" w:eastAsia="IRNazanin"/>
          <w:color w:val="111111"/>
          <w:sz w:val="28"/>
          <w:sz w:val="28"/>
          <w:szCs w:val="28"/>
          <w:rtl w:val="true"/>
          <w:lang w:bidi="fa-IR"/>
        </w:rPr>
        <w:t>تلمیذ الوحید البهبهانی لیفتح فیها آفاقا جدیدة لإدارة الجامعة العلمیة النجفیة، لعلها هی الاولی من نوعها فی حیاة المرجعیة بعد عصر الأئمّة علیهم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تتجسد مسئولیة المرجع الدینی بصفته المرکز الذی یرجع إلیه الناس فی امور دینهم و دنیاهم، و یتولی شئون المسلمین بأن ینظم أعمال المرجعیة بما تنسجم و طبیعة الظروف، و قد وفق السید بحر العلوم لهذه المهمة الکبیرة حیث کانت من أولویات أعماله المرجعیة تنظیم المناصب التی تخص الإنسان فی حیاته الیومیة، کالتقلید، و الفتوی، و القضاء، و حل الخصومات، و إمامة الجماعة، و غیرها من المسئولیات التی تخص مراجع</w:t>
      </w:r>
    </w:p>
    <w:p>
      <w:pPr>
        <w:pStyle w:val="BookText"/>
        <w:rPr/>
      </w:pPr>
      <w:r>
        <w:rPr>
          <w:rFonts w:ascii="IRNazanin" w:hAnsi="IRNazanin" w:eastAsia="IRNazanin"/>
          <w:color w:val="111111"/>
          <w:sz w:val="28"/>
          <w:sz w:val="28"/>
          <w:szCs w:val="28"/>
          <w:rtl w:val="true"/>
          <w:lang w:bidi="fa-IR"/>
        </w:rPr>
        <w:t>التقلید، و تقتضیها طبیعة العصر، حیث رأی إسناد هذه المراکز الهامة إلی شخصیات مؤهلة لهذه المناصب بجدارة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رکز الشیخ جعفر کاشف الغطاء المتوفّی عام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8"/>
      </w:r>
      <w:r>
        <w:rPr>
          <w:rFonts w:ascii="IRNazanin" w:hAnsi="IRNazanin" w:eastAsia="IRNazanin"/>
          <w:color w:val="111111"/>
          <w:sz w:val="28"/>
          <w:sz w:val="28"/>
          <w:szCs w:val="28"/>
          <w:rtl w:val="true"/>
          <w:lang w:bidi="fa-IR"/>
        </w:rPr>
        <w:t>للتقلید و الفتوی حتی أجاز لأهله و ذویه الرجوع إلی الشیخ کاشف الغطاء</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قدّم الشیخ حسین نجف المتوفّی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أیا علة الإیجاد حاربک الفکرو فی فهم معنی ذاتک التبس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قصیدة اخری فی مدح الإمام علی علیه السّلام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لعلی مناقب لا تضاهالا نبی و لا وصی حواها و قصیدة اخری فی نفس الموضوع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بأکرم خلق اللّه رب الشریعةبدأت بمدحی إذ به بدء فطرتی توفّی فی النجف عام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دفن فی إحدی غرف الصحن الحیدری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البررة فی القرن الثالث بعد العشرة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و حرز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و کاظم عبد الأمیر الفتلاوی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المدفونین فی الصحن العلوی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قم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للإمامة و المحراب،</w:t>
      </w:r>
    </w:p>
    <w:p>
      <w:pPr>
        <w:pStyle w:val="BookText"/>
        <w:rPr/>
      </w:pPr>
      <w:r>
        <w:rPr>
          <w:rFonts w:ascii="IRNazanin" w:hAnsi="IRNazanin" w:eastAsia="IRNazanin"/>
          <w:color w:val="111111"/>
          <w:sz w:val="28"/>
          <w:sz w:val="28"/>
          <w:szCs w:val="28"/>
          <w:rtl w:val="true"/>
          <w:lang w:bidi="fa-IR"/>
        </w:rPr>
        <w:t xml:space="preserve">فکان یقیم الجماعة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یؤمه المصلون علی اختلاف طبقاتهم بإرشاد و توجیه من السید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خصص للقضاء و حلّ الخصومات الشیخ شریف محی الدین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یرشد إلیه فی ذلک علما منه بمهارته فی القضاء، بتثبته فی الدین، و سعة صدره لتلقی الدعاوی و المخاصمات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تفرّغ هو لأعباء التدریس، و الزعامة الکبری، و إدارة شئون الخاصة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التقسیم من السید بحر العلوم لإدارة شئون الجامعة النجفیة دلل علی وعی کبیر للقیادة الدینیة، و أبرز عصره السید بحر العلوم بطابع جماعی فی تحمل المسئولیة القیادیة، و عبّر عن نضج و وعی یختلف کل الاختلاف عن العمل الفردی الذی یسود المرجعیة الدینیة بما یرهقها بزخم المسئولیات الکبیرة و العدیدة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أن نسمی هذا العصر عصر النهضة العلمیة، لکثرة من نبغ فیه من</w:t>
      </w:r>
    </w:p>
    <w:p>
      <w:pPr>
        <w:pStyle w:val="BookText"/>
        <w:rPr/>
      </w:pPr>
      <w:r>
        <w:rPr>
          <w:rFonts w:ascii="IRNazanin" w:hAnsi="IRNazanin" w:eastAsia="IRNazanin"/>
          <w:color w:val="111111"/>
          <w:sz w:val="28"/>
          <w:sz w:val="28"/>
          <w:szCs w:val="28"/>
          <w:rtl w:val="true"/>
          <w:lang w:bidi="fa-IR"/>
        </w:rPr>
        <w:t>الفحول الکبار و العلماء، و کثرة تهافت طلاب العلم علی الجامعة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المؤسف أن هذا التوجه الإداری لم یقدّر له البقاء فی الجامعة النجفیة إلّا فی حدود حیاة السید بحر العلوم، و من بعد وفاته و انتقال المرجعیة إلی الشیخ جعفر کاشف الغطاء المتوفّی عام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عادت الامور إلی الانفراد بمسئولیة المرجعیة، و تحملها کل الالتزامات التابعة لشأن القیادة الدینیة، لأن الظروف لم تسمح باستمرار ذلک المنهج، و انتقلت بعد الشیخ کاشف الغطاء إلی الشیخ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بقیت هذه الموسوعة الفقهیة مصدرا هاما فی الفقه 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دفن فی مقبرته الخاصة الملاصقة إلی مسجده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و محبوبة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النجف و حاضرها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9832_211971"/>
    </w:p>
    <w:p>
      <w:pPr>
        <w:pStyle w:val="Heading4"/>
        <w:numPr>
          <w:ilvl w:val="3"/>
          <w:numId w:val="1"/>
        </w:numPr>
        <w:rPr/>
      </w:pPr>
      <w:bookmarkStart w:id="24" w:name="__RefHeading___Toc3493433_2314609296"/>
      <w:bookmarkStart w:id="25" w:name="_Toc9"/>
      <w:bookmarkEnd w:id="23"/>
      <w:bookmarkEnd w:id="24"/>
      <w:r>
        <w:rPr>
          <w:rtl w:val="true"/>
        </w:rPr>
        <w:t>الفصل الثانی الجامعة العلمیة النجفیة بعد عهد السید بحر العلوم حتی السید الاصفهانی</w:t>
      </w:r>
      <w:bookmarkEnd w:id="25"/>
    </w:p>
    <w:p>
      <w:pPr>
        <w:pStyle w:val="BookText"/>
        <w:rPr/>
      </w:pPr>
      <w:r>
        <w:rPr>
          <w:rFonts w:ascii="IRNazanin" w:hAnsi="IRNazanin" w:eastAsia="IRNazanin"/>
          <w:color w:val="111111"/>
          <w:sz w:val="28"/>
          <w:sz w:val="28"/>
          <w:szCs w:val="28"/>
          <w:rtl w:val="true"/>
          <w:lang w:bidi="fa-IR"/>
        </w:rPr>
        <w:t xml:space="preserve">حفلت جامعة النجف الأشرف العلمیة خلال القرن الثالث عشر الهجری بمرکزیة واسعة فی الحرکة الفکریة بحیث کوّنت وجودها العلمی فی المیدان الفقهی و الاصولی بعد فترة السید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مظاهر هذا الدور بارزة جلیة فی هذین المجالین، إلی جانب بقیة العلوم المتعلقة بالمجال الحوزوی، و التی دللت علی أن النجف برعت فی اختصاصها بالفقه و الاصول، إضافة إلی نهضتها الفکریة و المعرفیة فی المیادین الاخری، کالتفسیر و الفلسفة و علم الحدیث و الأدب، و خاصة فی میدان الشعر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أن شخصیة رائد النهضة الفکریة الشیخ مرتضی الأنصاری المتوفّی عام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23"/>
      </w:r>
      <w:r>
        <w:rPr>
          <w:rFonts w:ascii="IRNazanin" w:hAnsi="IRNazanin" w:eastAsia="IRNazanin"/>
          <w:color w:val="111111"/>
          <w:sz w:val="28"/>
          <w:sz w:val="28"/>
          <w:szCs w:val="28"/>
          <w:rtl w:val="true"/>
          <w:lang w:bidi="fa-IR"/>
        </w:rPr>
        <w:t>و الذی احتضنته الحوزة العلمیة زعیما لقیادة جامعتها، بعد انتهاء دور مؤسس المرحلة الثالثة السید محمد مهدی بحر</w:t>
      </w:r>
    </w:p>
    <w:p>
      <w:pPr>
        <w:pStyle w:val="BookText"/>
        <w:rPr/>
      </w:pPr>
      <w:r>
        <w:rPr>
          <w:rFonts w:ascii="IRNazanin" w:hAnsi="IRNazanin" w:eastAsia="IRNazanin"/>
          <w:color w:val="111111"/>
          <w:sz w:val="28"/>
          <w:sz w:val="28"/>
          <w:szCs w:val="28"/>
          <w:rtl w:val="true"/>
          <w:lang w:bidi="fa-IR"/>
        </w:rPr>
        <w:t xml:space="preserve">العلوم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الشخصیات العلمیة التی رفدت تلک الفترة، کالشیخ جعفر کاشف الغطاء، و الشیخ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أمثالهما کان له کل الأثر فی تنشیط حرکة جامعة النجف العلمیة، و اعتبار الشیخ الأنصاری رائدا لمرحلة مهمة من مراحل الدور الثالث الذی تمثل فیه الفکر العلمی منذ أکثر من مائة عام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المواجهة الفکریة بین الاصولیین و الأخباریین التی احتدمت فی أوائل القرن الحادی عشر الهجری، و تفجّرت فی عهد المرحوم المیرزا محمد أمین الأسترآبادی </w:t>
      </w:r>
      <w:r>
        <w:rPr>
          <w:rStyle w:val="FootnoteAnchor"/>
          <w:rtl w:val="true"/>
        </w:rPr>
        <w:footnoteReference w:id="25"/>
      </w:r>
      <w:r>
        <w:rPr>
          <w:rFonts w:ascii="IRNazanin" w:hAnsi="IRNazanin" w:eastAsia="IRNazanin"/>
          <w:color w:val="111111"/>
          <w:sz w:val="28"/>
          <w:sz w:val="28"/>
          <w:szCs w:val="28"/>
          <w:rtl w:val="true"/>
          <w:lang w:bidi="fa-IR"/>
        </w:rPr>
        <w:t>و المرحوم الشیخ جعفر کاشف الغطاء فترة طویلة</w:t>
      </w:r>
      <w:r>
        <w:rPr>
          <w:rStyle w:val="FootnoteAnchor"/>
          <w:rtl w:val="true"/>
        </w:rPr>
        <w:footnoteReference w:id="26"/>
      </w:r>
      <w:r>
        <w:rPr>
          <w:rFonts w:ascii="IRNazanin" w:hAnsi="IRNazanin" w:eastAsia="IRNazanin"/>
          <w:color w:val="111111"/>
          <w:sz w:val="28"/>
          <w:sz w:val="28"/>
          <w:szCs w:val="28"/>
          <w:rtl w:val="true"/>
          <w:lang w:bidi="fa-IR"/>
        </w:rPr>
        <w:t xml:space="preserve">، أدت إلی تطور علم الاصول تطورا هائلا فی مدرسة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أکسبت هذه المعرکة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و متانة و استحکاما یؤهله لمثل هذا التطور الهائل الذی حدث فی مدرسة الشیخ الأنصاری رحمه اللّه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وفاة رائد الجامعة العلمیة النجفیة الشیخ الأنصاری عام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أسند منصب زعامة المرجعیة الدینیة لجامعة النجف الأشرف للسید میرزا محمد حسن الشیرازی، و 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المجدد الشیرازی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لزیادة الاطلاع علی هذا الموضوع یراجع محمد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المجدد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لکتاب تقریرات آیة اللّه المجدد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قم مطبعة مهر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أنه تم ذلک بانتخاب من تلامذة الشیخ الأنصاری، الذین تدارسوا أمر المرجعیة العامة بعد الشیخ الأنصاری قدّس سرّه، و ترشیح من هو مؤهل لها، فاتفقت کلمتهم علی ترشیح السید میرزا محمد حسن الشیرازی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السید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بقابلیة جیدة من الذکاء و الفطنة، فقد تقبّل العلوم المقررة للحوزة فی مقتبل عمره بصورة أهّلته</w:t>
      </w:r>
    </w:p>
    <w:p>
      <w:pPr>
        <w:pStyle w:val="BookText"/>
        <w:rPr/>
      </w:pPr>
      <w:r>
        <w:rPr>
          <w:rFonts w:ascii="IRNazanin" w:hAnsi="IRNazanin" w:eastAsia="IRNazanin"/>
          <w:color w:val="111111"/>
          <w:sz w:val="28"/>
          <w:sz w:val="28"/>
          <w:szCs w:val="28"/>
          <w:rtl w:val="true"/>
          <w:lang w:bidi="fa-IR"/>
        </w:rPr>
        <w:t xml:space="preserve">لدراسة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الشهید الثانی </w:t>
      </w:r>
      <w:r>
        <w:rPr>
          <w:rStyle w:val="FootnoteAnchor"/>
          <w:rtl w:val="true"/>
        </w:rPr>
        <w:footnoteReference w:id="29"/>
      </w:r>
      <w:r>
        <w:rPr>
          <w:rFonts w:ascii="IRNazanin" w:hAnsi="IRNazanin" w:eastAsia="IRNazanin"/>
          <w:color w:val="111111"/>
          <w:sz w:val="28"/>
          <w:sz w:val="28"/>
          <w:szCs w:val="28"/>
          <w:rtl w:val="true"/>
          <w:lang w:bidi="fa-IR"/>
        </w:rPr>
        <w:t>و هو فی حداثة عمره، و هذا الکتاب فقهی استدلالی علمی یعتبر من أهم مصادرنا الفقهیة، و قد درسه السید الشیرازی و هو فی الخامسة عشر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أنه حصلت له إجازة الاجتهاد من الشیخ صاحب الجواهر و هو فی سن مبکرة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أضاف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 الطائفة المرتضی الأنصاری یعظّمه بمحضر طلابه، و ینوّه بفضله، و یعلی سموّ مرتبته فی العلم، و قد أشار إلی اجتهاده غیر مرة، فقد سمعت جمعا من أشیاخنا الأعاظم أن الشیخ قال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اباحث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حسن الشیرازی، و المیرزا حبیب اللّه الرشتی، و الآغا حسن الطهرانی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تمتعت مرجعیة السید الشیرازی بممیزات عدیدة و مهمة و جدیرة بالاقتداء فی بعض خصائصها من قبل المرجعیة العامة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مرکز المرجعیة الشیعیة إلی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الشیرازی نظرة شمولیة للعراقیین لوحدتهم و تماسکهم، فی سبیلها خطی خطوته الرائعة من أجل الوحدة العراقیة، و خاصة بین الشیعة و السنة، حیث قرر نقل المرجعیة الدینیة من مرکزها فی النجف الأشرف إلی سامراء التی تحتضن مرقد الإمامین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علی الهادی، و الحادی عشر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الهدی من آل بیت المصطفی علیهم السّلام، و تقع هذه المدینة شمالی بغداد علی بعد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علی الضفة الیسری من نهر دجلة سابقا، أسسها المعتصم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العباسی سنة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اتخذها بعض الخلفاء العباسیین عاصمة لملکهم، و هجروا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تسکن سامراء عشائر عراقیة من المسلمین السنّة، و بحکم تردد الکثیر من المسلمین الشیعة و زوار العتبات المقدسة من داخل العراق و خارجه لهذه المدینة لغرض تجدید عهدهم بإمامین من أئمتهم المیامین علیهم السّلام، فقد فکّر الإمام السید میرزا حسن الشیرازی بتقویة أواصر وحدة المسلمین العراقیین أولا، و ترسیخ الاخوة بین الوافدین من الأقطار الإسلامیة و سکان المدینة ثانیا، لذا قرر نقل مرکزه المرجعی من النجف إلی سامراء، و إذا انتقل المرجع إلی سامراء فسوف یتبعه المسلمون الشیعة و خاصة الذین یقصدون زعیمهم الدینی تعضیدا للوحدة الإسلامیة بین المسلمین، و لما فی ذلک من مصلحة للامة، و فعلا حقق ما أراد عام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انتقل معه جمع غفیر من أعلام و طلاب الحوزة العلمیة النجفیة، و تبعهم وجوه شیعة الفرات و الجنوب، و جمع من الشیعة، و أصبحت سامراء مرکز المرجعیة الدینیة الإمامیة فیها حتی وفاة السید الشیرازی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اعتداده برأی الآخرین من أهل الحل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الکثیر من مراجع الدین یستعینون برأی الآخرین ممن یصطفونهم لهم کمستشارین، و السید الشیرازی بالرغم مما عرف عنه من حصافة الرأی و بعد النظر و التفکیر برویّة فی الامور العامة التی تتعلق بالبلاد سیاسیة کانت أو اجتماعیة، فانه کان یدعو أهل الرأی و المشورة من وجوه تلامیذه و غیرهم، و یعرض علیهم القضیة التی من أجلها دعاهم، و بعد أن یجمع آراءهم و یناقشها یبتّ فیما یقتضی 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یصف الراوی ذلک حین یتحدث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زمام اموره الداخلیة و الخارجیة بیده عدا الوقائع العرفیة العامة و السیاسیة، فانه یعقد لها مجلسا یحضره وجوه تلامذته الأعلام و أهل 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تحریم التنباک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توسعت مرجعیة السید الشیرازی فی ذلک العهد إلی درجة أنها استقطبت المناطق الشیعیة فی العالم الإسلامی و العربی، و رجعت إلیه بالتقلید، و قد توضحت بصورة جلیة فی فتوی السید بتحریم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إیجازها بالآتی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تحدثنا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الإیرانیة القاجاریة عقدت اتفاقیة مع شرکة إنکلیزیة باحتکار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التبغ الإیرانی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خمسین عاما، بدءا من سنة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هذا الامتیاز للشرکة الأجنبیة رأی الشعب الإیرانی فیه أنه مؤثر سلبیا علی الحرکة التجاریة الداخلیة و السوق المحلیة، فطالب الإیرانیون الشاه بعدم عقد هذه الاتفاقیة للضرر الکبیر الذی یصیب البلاد، فلم یستجب الشاه لذلک، و أصر علی إبرامها، و علی أثر عدم أخذ الشاه بمصلحة الشعب اندلعت انتفاضة شعبیة بقیادة علماء الدین الایرانیین، و طلبوا من المرجع الدینی فی سامراء السید الشیرازی أن یتدخل فی الأمر، و لم ینفع تدخله مع الشاه فقرر السید أن یصدر فتواه الشهیرة بتحریم التنباک، و 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التنباک و التتن حرام بأی نحو، و من استعمله کمن حارب الإمام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الحسینی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هذه الفتوی بمثابة القنبلة التی فجّرت الواقع الدینی لدی المسلمین الایرانیین، و امتنع الأهالی من استعمال تدخین التنباک، و سری الإضراب عن التدخین إلی قصر الشاه و عائلته حیث امتنعوا عنه بتاتا، کما نقل أن زوجة الشاه امتنعت عن التدخین، و أمرت بتکسیر آلات التدخین الموجودة فی القصر، و علم الشاه بذاک، و تیقن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الدین أقوی من کل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فألغی الشاه الاتفاقیة و خضع لأمر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 الفقهی مبنیا علی حاجة الجماهیر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إبداعات السید الشیرازی فی درسه الفقهی أنه کان یطلع علی الرسائل الواردة له و لطلابه و التی تتضمن الاستفتاء عن المسائل الشرعیة، فکان یختار المهم منها و یعنونها لدرسه الیومی، و یعتقد أنها أکثر أهمیة لحاجة الناس إلی جانب درسه التقلیدی، و هذه نظرة إبداعیة هامة تعالج الکثیر من القضایا التی تتناول حل المشاکل التی یصطدم بها المقلدون، هذا بالإضافة إلی المواضیع الرئیسیة من أبواب الفقه، و التی کانت مدار بحثه الیومی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تحدثنا بعض المصادر فی هذا الصدد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مجلس بحثه مزدحما بالعلماء و المدرسین، و تأتیه الاستفتاءات من سائر الأقطار الإسلامیة، و یحرر المسائل المهمة منها، و یجعلها عنوانا یدرس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 و کان ینصت لکل تلمیذ له قابلیة النقاش فی الدرس، لیستفید بآرائهم حتی یصفو له الوجه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لزیادة الاطلاع یراجع حرز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قم مطبعة الولایة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لمحات اجتماعیة من تاریخ العراق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أوفسیت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و محمد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کتاب تقریرات آیة اللّه المجدد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مؤسسة آل البیت علیهم السّلام لإحیاء التراث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مثلت تطورا</w:t>
      </w:r>
    </w:p>
    <w:p>
      <w:pPr>
        <w:pStyle w:val="BookText"/>
        <w:rPr/>
      </w:pPr>
      <w:r>
        <w:rPr>
          <w:rFonts w:ascii="IRNazanin" w:hAnsi="IRNazanin" w:eastAsia="IRNazanin"/>
          <w:color w:val="111111"/>
          <w:sz w:val="28"/>
          <w:sz w:val="28"/>
          <w:szCs w:val="28"/>
          <w:rtl w:val="true"/>
          <w:lang w:bidi="fa-IR"/>
        </w:rPr>
        <w:t>هاما بالنسبة للمرجعیة الامامیة حینذاک، و کانت نقلة تاریخیة فی مسیرة المرجعیة الامامیة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بعده عاد مرکز المرجعیة إلی النجف بعد هذه الهجرة التی دامت قرابة ربع قرن بعد وفاة المرحوم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الملفت أن حوزة الشیخ الأنصاری و من بعده السید الشیرازی حفلت بجهابذة العلم و فطاحله، و کانوا أرکان المرجعیة بعد الشیرازی، و ممن برزوا فی المیدان الفقهی و الاصولی فی الجامعة النجفیة لفترة ما بین عام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السید محمد کاظم الیزدی الطباطبائی المتوفّی عام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متبحرا فی الفقه، و الشیخ ملا کاظم الخراسانی المتوفّی عام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ترجمه حرز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الذی فتح آفاقا جدیدة لعلم الاصول، و قدّر لهما و لمن خلفهما أن یقدّموا فکرا اصولیا معمقا فیه من البحوث القیمة التی قدمتها المدرسة الاصولیة الحدیثة فی تاریخ الجامعة العلمیة النجفیة ما یعتبر فتحا جدیدا فی المیدان الاصولی، و کان لفرسان هذا العصر الریادة فیه، کالمیرزا محمد حسین النائینی المتوفّی عام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الشیخ محمد حسین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الشیخ آغا ضیاء العراقی المتوفّی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36"/>
      </w:r>
      <w:r>
        <w:rPr>
          <w:rFonts w:ascii="IRNazanin" w:hAnsi="IRNazanin" w:eastAsia="IRNazanin"/>
          <w:color w:val="111111"/>
          <w:sz w:val="28"/>
          <w:sz w:val="28"/>
          <w:szCs w:val="28"/>
          <w:rtl w:val="true"/>
          <w:lang w:bidi="fa-IR"/>
        </w:rPr>
        <w:t xml:space="preserve">و السید أبو الحسن الاصفهانی المتوفّی عام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37"/>
      </w:r>
      <w:r>
        <w:rPr>
          <w:rFonts w:ascii="IRNazanin" w:hAnsi="IRNazanin" w:eastAsia="IRNazanin"/>
          <w:color w:val="111111"/>
          <w:sz w:val="28"/>
          <w:sz w:val="28"/>
          <w:szCs w:val="28"/>
          <w:rtl w:val="true"/>
          <w:lang w:bidi="fa-IR"/>
        </w:rPr>
        <w:t xml:space="preserve">و الشیخ محمد کاظم الشیرازی المتوفّی عام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38"/>
      </w:r>
      <w:r>
        <w:rPr>
          <w:rFonts w:ascii="IRNazanin" w:hAnsi="IRNazanin" w:eastAsia="IRNazanin"/>
          <w:color w:val="111111"/>
          <w:sz w:val="28"/>
          <w:sz w:val="28"/>
          <w:szCs w:val="28"/>
          <w:rtl w:val="true"/>
          <w:lang w:bidi="fa-IR"/>
        </w:rPr>
        <w:t>و غیرهم من</w:t>
      </w:r>
    </w:p>
    <w:p>
      <w:pPr>
        <w:pStyle w:val="BookText"/>
        <w:rPr/>
      </w:pPr>
      <w:r>
        <w:rPr>
          <w:rFonts w:ascii="IRNazanin" w:hAnsi="IRNazanin" w:eastAsia="IRNazanin"/>
          <w:color w:val="111111"/>
          <w:sz w:val="28"/>
          <w:sz w:val="28"/>
          <w:szCs w:val="28"/>
          <w:rtl w:val="true"/>
          <w:lang w:bidi="fa-IR"/>
        </w:rPr>
        <w:t>العلماء الأعلام الذین أثروا الجامعة العلمیة النجفیة ببحوثهم و حلقات دروسهم سواء فی المیدان الفقهی أو الاصولی، و حققوا بحق قفزة علمیة فی عهدهم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النخبة من الأعلام المجتهدین، و مراجع التقلید العظام لأقطاب الحوزة العلمیة ممن أشرنا إلی ذکرهم أو لم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خشیة التطویل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 الواقع أرکان الحوزة العلمیة فی جامعة النجف الأشرف للفترة التی حفلت بجیل القرن الثالث عشر الهجری، و الذی لشیخنا آیة اللّه العظمی الشیخ حسین الحلی المتوفّی عام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رحمه اللّه دور فیه، و سیکون محور حدیث الفصل التالی عنه بأذن اللّه</w:t>
      </w:r>
      <w:r>
        <w:rPr>
          <w:rFonts w:eastAsia="IRNazanin" w:cs="IRNazanin"/>
          <w:color w:val="111111"/>
          <w:sz w:val="28"/>
          <w:szCs w:val="28"/>
          <w:rtl w:val="true"/>
          <w:lang w:bidi="fa-IR"/>
        </w:rPr>
        <w:t>.</w:t>
      </w:r>
      <w:bookmarkStart w:id="26" w:name="pg19832_211981"/>
    </w:p>
    <w:p>
      <w:pPr>
        <w:pStyle w:val="Heading3"/>
        <w:numPr>
          <w:ilvl w:val="2"/>
          <w:numId w:val="1"/>
        </w:numPr>
        <w:rPr/>
      </w:pPr>
      <w:bookmarkStart w:id="27" w:name="__RefHeading___Toc3493435_2314609296"/>
      <w:bookmarkStart w:id="28" w:name="_Toc10"/>
      <w:bookmarkEnd w:id="26"/>
      <w:bookmarkEnd w:id="27"/>
      <w:r>
        <w:rPr>
          <w:rtl w:val="true"/>
        </w:rPr>
        <w:t>الباب الثانی شیخنا الحلی وجود شاخص فی الجامعة العلمیة الدینیة النجفیة</w:t>
      </w:r>
      <w:bookmarkEnd w:id="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3493437_2314609296"/>
      <w:bookmarkStart w:id="30" w:name="_Toc11"/>
      <w:bookmarkEnd w:id="29"/>
      <w:r>
        <w:rPr>
          <w:rtl w:val="true"/>
        </w:rPr>
        <w:t>اشارة</w:t>
      </w:r>
      <w:bookmarkStart w:id="31" w:name="pg19832_211982"/>
      <w:bookmarkEnd w:id="30"/>
    </w:p>
    <w:p>
      <w:pPr>
        <w:pStyle w:val="Heading4"/>
        <w:numPr>
          <w:ilvl w:val="3"/>
          <w:numId w:val="1"/>
        </w:numPr>
        <w:rPr/>
      </w:pPr>
      <w:bookmarkStart w:id="32" w:name="__RefHeading___Toc3493439_2314609296"/>
      <w:bookmarkStart w:id="33" w:name="_Toc12"/>
      <w:bookmarkEnd w:id="31"/>
      <w:bookmarkEnd w:id="32"/>
      <w:r>
        <w:rPr>
          <w:rtl w:val="true"/>
        </w:rPr>
        <w:t>الفصل الأول عصر شیخنا الحلی و موقعه فیه</w:t>
      </w:r>
      <w:bookmarkEnd w:id="33"/>
    </w:p>
    <w:p>
      <w:pPr>
        <w:pStyle w:val="Heading5"/>
        <w:numPr>
          <w:ilvl w:val="4"/>
          <w:numId w:val="1"/>
        </w:numPr>
        <w:rPr/>
      </w:pPr>
      <w:bookmarkStart w:id="34" w:name="__RefHeading___Toc3493441_2314609296"/>
      <w:bookmarkStart w:id="35" w:name="_Toc13"/>
      <w:bookmarkEnd w:id="34"/>
      <w:r>
        <w:rPr>
          <w:rtl w:val="true"/>
        </w:rPr>
        <w:t>أ</w:t>
      </w:r>
      <w:r>
        <w:rPr>
          <w:rtl w:val="true"/>
        </w:rPr>
        <w:t xml:space="preserve">- </w:t>
      </w:r>
      <w:r>
        <w:rPr>
          <w:rtl w:val="true"/>
        </w:rPr>
        <w:t>مراجع عصره</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وفاة المرجع الدینی السید أبو الحسن الاصفهانی فی أوائل النصف الثانی من القرن الماضی الهجری کانت المرجعیة العلمیة الامامیة قد توزعت بین نخبة من أعلام الجامعة العلمیة النجفیة و بعض المراجع الذین کانت دراستهم الأساسیة فی النجف و عادوا إلی ایران، و أبرزهم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السید آقا حسین بن السید علی الطباطبائی البروجردی المتوفّی عام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الوقت نفسه کانت جامعة النجف تزخر بأعلام عظام لهم مکانتهم العلمیة فیها، کما کانوا مراجع تقلید یشار إلیهم عند ذکر مراجع التقلید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آیة اللّه العظمی السید الحاج آقا حسین بن السید محمود القمی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کربلاء</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سنشیر إلی أسماء المبرّزین منهم حسب سنی وفیاتهم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محمد رضا آل یاسین المتوفّی عام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41"/>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کورکیس 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العراقیین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بغداد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محمد حسین کاشف الغطاء المتوفّی عام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42"/>
      </w:r>
      <w:r>
        <w:rPr>
          <w:rFonts w:ascii="IRNazanin" w:hAnsi="IRNazanin" w:eastAsia="IRNazanin"/>
          <w:color w:val="111111"/>
          <w:sz w:val="28"/>
          <w:sz w:val="28"/>
          <w:szCs w:val="28"/>
          <w:rtl w:val="true"/>
          <w:lang w:bidi="fa-IR"/>
        </w:rPr>
        <w:t xml:space="preserve">، و السید عبد الهادی الشیرازی المتوفّی عام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43"/>
      </w:r>
      <w:r>
        <w:rPr>
          <w:rFonts w:ascii="IRNazanin" w:hAnsi="IRNazanin" w:eastAsia="IRNazanin"/>
          <w:color w:val="111111"/>
          <w:sz w:val="28"/>
          <w:sz w:val="28"/>
          <w:szCs w:val="28"/>
          <w:rtl w:val="true"/>
          <w:lang w:bidi="fa-IR"/>
        </w:rPr>
        <w:t xml:space="preserve">، و السید محسن الحکیم المتوفّی عام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انظر ترجمته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ولده الشهید السید محمد باقر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الحکمة طهران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محمود الشاهرودی المتوفّی عام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ه</w:t>
      </w:r>
      <w:r>
        <w:rPr>
          <w:rStyle w:val="FootnoteAnchor"/>
          <w:rtl w:val="true"/>
        </w:rPr>
        <w:footnoteReference w:id="45"/>
      </w:r>
      <w:r>
        <w:rPr>
          <w:rFonts w:ascii="IRNazanin" w:hAnsi="IRNazanin" w:eastAsia="IRNazanin"/>
          <w:color w:val="111111"/>
          <w:sz w:val="28"/>
          <w:sz w:val="28"/>
          <w:szCs w:val="28"/>
          <w:rtl w:val="true"/>
          <w:lang w:bidi="fa-IR"/>
        </w:rPr>
        <w:t xml:space="preserve">و السید أبو القاسم بن السید علی أکبر الخوئی المتوفّی عام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عاش فی الفترة القاسیة من عهد صدام، و لم یخضع للنظام رغم الضغوط علیه، توفّی عام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ضیّق النظام الحاکم المباد علی الجماهیر بالاحتفال بتشییع جثمانه فی النجف، منع إقامة الفاتحة علیه فی النجف و بعض مدن العراق، أما فی الخارج فقد أقیمت علی روحه الطاهرة مجالس التأبین فی مختلف أرجاء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هؤلاء کلهم تسلّموا مقالید المرجعیة العامة بمدد متفاوتة بعد السید أبو الحسن الاصفهانی، و لکن السید محسن الحکیم ثنیت له المرجعیة</w:t>
      </w:r>
      <w:bookmarkStart w:id="36" w:name="pg19832_211986"/>
    </w:p>
    <w:p>
      <w:pPr>
        <w:pStyle w:val="BookText"/>
        <w:rPr/>
      </w:pPr>
      <w:bookmarkEnd w:id="36"/>
      <w:r>
        <w:rPr>
          <w:rFonts w:ascii="IRNazanin" w:hAnsi="IRNazanin" w:eastAsia="IRNazanin"/>
          <w:color w:val="111111"/>
          <w:sz w:val="28"/>
          <w:sz w:val="28"/>
          <w:szCs w:val="28"/>
          <w:rtl w:val="true"/>
          <w:lang w:bidi="fa-IR"/>
        </w:rPr>
        <w:t>العامة فی البلاد الإسلامیة و العربیة مع وجود بعض هؤلاء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إلیهم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غیّب الآخرین الموت</w:t>
      </w:r>
      <w:r>
        <w:rPr>
          <w:rFonts w:eastAsia="IRNazanin" w:cs="IRNazanin"/>
          <w:color w:val="111111"/>
          <w:sz w:val="28"/>
          <w:szCs w:val="28"/>
          <w:rtl w:val="true"/>
          <w:lang w:bidi="fa-IR"/>
        </w:rPr>
        <w:t>.</w:t>
      </w:r>
    </w:p>
    <w:p>
      <w:pPr>
        <w:pStyle w:val="Heading5"/>
        <w:numPr>
          <w:ilvl w:val="4"/>
          <w:numId w:val="1"/>
        </w:numPr>
        <w:rPr/>
      </w:pPr>
      <w:bookmarkStart w:id="37" w:name="__RefHeading___Toc3493443_2314609296"/>
      <w:bookmarkStart w:id="38" w:name="_Toc14"/>
      <w:bookmarkEnd w:id="37"/>
      <w:r>
        <w:rPr>
          <w:rtl w:val="true"/>
        </w:rPr>
        <w:t>ب</w:t>
      </w:r>
      <w:r>
        <w:rPr>
          <w:rtl w:val="true"/>
        </w:rPr>
        <w:t xml:space="preserve">- </w:t>
      </w:r>
      <w:r>
        <w:rPr>
          <w:rtl w:val="true"/>
        </w:rPr>
        <w:t>نسب الشیخ الحلی و نشأته</w:t>
      </w:r>
      <w:r>
        <w:rPr>
          <w:rtl w:val="true"/>
        </w:rPr>
        <w:t>:</w:t>
      </w:r>
      <w:bookmarkEnd w:id="38"/>
    </w:p>
    <w:p>
      <w:pPr>
        <w:pStyle w:val="BookText"/>
        <w:rPr/>
      </w:pPr>
      <w:r>
        <w:rPr>
          <w:rFonts w:ascii="IRNazanin" w:hAnsi="IRNazanin" w:eastAsia="IRNazanin"/>
          <w:color w:val="111111"/>
          <w:sz w:val="28"/>
          <w:sz w:val="28"/>
          <w:szCs w:val="28"/>
          <w:rtl w:val="true"/>
          <w:lang w:bidi="fa-IR"/>
        </w:rPr>
        <w:t xml:space="preserve">و من بین هذه الصفوة المرحوم آیة اللّه العظمی الشیخ حسین الحلی الذی لا یقل وزنا علمیا و مکانة فی الحوزة العلمیة فی النجف التی ازدهرت بهم المرجعیة العلیا فی أوائل القرن الماضی الهجری فی الجامعة العلمیة النجفیة، و کان من المنتظر أن یکون له دور شاخص مع زملائه أقطاب ذلک الدور فی الجامعة العلمیة، و الذی یمکن أن نطلق علیه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الازدهار المرجعی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رغم اعتراف الجمیع بمنزلته المحترمة، و لکنه ابتعد عن تحمل مسئولیة الزعامة الدینیة، و لم یکن ناشئا من تقدم الآخرین علیه بسبب علمی، أو شخوص اجتماعی، إنما هو عزوف عن تحمل مسئولیة المرجعیة الدینیة، و عدم التصدی لها لأسباب خاصة لم یفصح بها لأحد حتی لأخلص لأصحابه کالسید الوالد و بقیة الصفوة التی عاشت معه کأعز أصدقائه </w:t>
      </w:r>
      <w:r>
        <w:rPr>
          <w:rStyle w:val="FootnoteAnchor"/>
          <w:rtl w:val="true"/>
        </w:rPr>
        <w:footnoteReference w:id="47"/>
      </w:r>
      <w:r>
        <w:rPr>
          <w:rFonts w:ascii="IRNazanin" w:hAnsi="IRNazanin" w:eastAsia="IRNazanin"/>
          <w:color w:val="111111"/>
          <w:sz w:val="28"/>
          <w:sz w:val="28"/>
          <w:szCs w:val="28"/>
          <w:rtl w:val="true"/>
          <w:lang w:bidi="fa-IR"/>
        </w:rPr>
        <w:t>، و ذهب هذا السر معه إلی القبر، و ما ینقل فی ثنایا کتابات بعض من کتب عنه فلا تتعدی التکهنات و الاجتهادات، أو التخرصات الاحتمالیة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الشیخ حسین الحلی بعیدا عن الجو العلمی فی بدایة حیاته، فهو ابن الشیخ علی بن الحسین بن حمود المنتهی نسبه إلی عشیرة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العیفار</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من قبیلة طفیل، و التی تقطن فی أریاف الجنوب الغربی من</w:t>
      </w:r>
    </w:p>
    <w:p>
      <w:pPr>
        <w:pStyle w:val="BookText"/>
        <w:rPr/>
      </w:pPr>
      <w:r>
        <w:rPr>
          <w:rFonts w:ascii="Amiri" w:hAnsi="Amiri" w:eastAsia="Amiri" w:cs="Amiri"/>
          <w:color w:val="111111"/>
          <w:sz w:val="28"/>
          <w:sz w:val="28"/>
          <w:szCs w:val="28"/>
          <w:rtl w:val="true"/>
          <w:lang w:bidi="ar-SA"/>
        </w:rPr>
        <w:t>الحلة</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القسم الثانی فی الحیاة الفکریة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والده المرحوم الشیخ علی الحلی هو رب اسرته، و قد لمس فی نفسه إحساسا عمیقا و رغبة ملحّة إلی طلب العلم، و أن 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تلبّی طموحه، فیمّم وجهه إلی النجف الاشرف لینتمی إلی جامعتها العلمیة، تلبیة منه إلی العامل الذی یمور فی نفسه، لیکون کأصحاب الفضل الذین یفدون علی مدینة الحلة من مدینة العلم، فیحترمهم الناس، و یلتفّون حولهم للاستفادة و الإفادة، خاصة و أن النجف علی مقربة من الحلة، فلما ذا لا یجمع أمره و ینتقل إلی تحقیق هدفه رغم کونه رب اسرة، و له ضیاع فی القریة التی أنشأها جده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لاسرته، فقد کان من وجوه عیفار، و رئیس فخذ من أفخاذ قبیلة طفیل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ودّع الشیخ علی بن حسین بن حمود بیته و قریته، و هاجر إلی النجف، و سکن أوّلا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المهدیة</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هی واحدة من</w:t>
      </w:r>
    </w:p>
    <w:p>
      <w:pPr>
        <w:pStyle w:val="BookText"/>
        <w:rPr/>
      </w:pPr>
      <w:r>
        <w:rPr>
          <w:rFonts w:ascii="IRNazanin" w:hAnsi="IRNazanin" w:eastAsia="IRNazanin"/>
          <w:color w:val="111111"/>
          <w:sz w:val="28"/>
          <w:sz w:val="28"/>
          <w:szCs w:val="28"/>
          <w:rtl w:val="true"/>
          <w:lang w:bidi="fa-IR"/>
        </w:rPr>
        <w:t xml:space="preserve">عشرات المدارس المخصصة لإیواء طلاب العلوم الدینیة الذین یهاجرون إلی النجف الأشرف طلبا للعلم، و لم یکن له بیت یسکنه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ضمّت الجامعة العلمیة فی النجف الأب المهاجر کطالب من طلاب حوزتها، ثم تدرّج فی الدراسة، و انتهی من الأولیات، ثم حضر بحث آیة اللّه الشیخ محمد طه نجف المتوفّی عام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52"/>
      </w:r>
      <w:r>
        <w:rPr>
          <w:rFonts w:ascii="IRNazanin" w:hAnsi="IRNazanin" w:eastAsia="IRNazanin"/>
          <w:color w:val="111111"/>
          <w:sz w:val="28"/>
          <w:sz w:val="28"/>
          <w:szCs w:val="28"/>
          <w:rtl w:val="true"/>
          <w:lang w:bidi="fa-IR"/>
        </w:rPr>
        <w:t>، و ادعی أحد الباحثین عن حیاة الشیخ الحلی أن والده الشیخ علی حضر بعد ذلک بحث المرحوم آیة اللّه العظمی السید محمد کاظم الیزدی الطباطبائی، و لم أر أحدا ممن ترجمه یذکر أن الشیخ علی حضر بحث السید الطباطبائی الیزدی إلا بعض من تصدی لترجمته، و لم یسند قوله بمصدر ما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برز المرحوم الشیخ علی فی المجتمع العلمی النجفی شخصیة لها مکانتها بین أقرانه من أعلام الحوزة العلمیة، و عرف أخیرا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العلماء الأبدال، و الصلحاء الأبرار الذین أجمعت علی صلاحه و جدارته کلمة الخواص و العوام، فقد اتصف بالورع و الزهد و التقی و النسک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یتحدث عنه المرحوم الشیخ آغا بزرک الطهرانی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طویلة، و اقتدیت به فی الصلاة مرارا، و کان یأتم به من صلحاء الناس و ثقاتهم عدد کبیر، و یمیل إلیه کل عارف بحقیقته و خبیر بشئونه، کان حسن الملتقی و الخلق، دائم الذکر، شدید القناعة، یقتات بالعبادة، و یزهد بما یزید علی سد الرمق، و کنت أزوره فی بیته، و أطلع علی أحواله و خصوصیاته فأری التقی و الصبر و القناعة و العفاف متمثلة فی شخصه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کان الشیخ علی من أصحاب الفضل و الفقاهة، و کان الصدیق الحمیم، و الأخ الودود للتقی الورع الشیخ علی رفیش </w:t>
      </w:r>
      <w:r>
        <w:rPr>
          <w:rStyle w:val="FootnoteAnchor"/>
          <w:rtl w:val="true"/>
        </w:rPr>
        <w:footnoteReference w:id="56"/>
      </w:r>
      <w:r>
        <w:rPr>
          <w:rFonts w:ascii="IRNazanin" w:hAnsi="IRNazanin" w:eastAsia="IRNazanin"/>
          <w:color w:val="111111"/>
          <w:sz w:val="28"/>
          <w:sz w:val="28"/>
          <w:szCs w:val="28"/>
          <w:rtl w:val="true"/>
          <w:lang w:bidi="fa-IR"/>
        </w:rPr>
        <w:t xml:space="preserve">و الذی کان یقیم صلاة الجماعة فی الصحن الحیدری فی النجف الأشرف و ملازما له و کان بینهما إخاء تام و مودة ثابتة، و لمّا توفی عام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خلفه الشیخ علی الحلّی فی إقامة الجماعة فی الصحن الشریف مکان الشیخ رفیش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لبّی الشیخ علی نداء ربه فی السابع من شعبان عام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دفن فی النجف، و کان لفقده صدی واسع فی الأوساط العلمیة و الاجتماعیة لما له من مکانة طیبة فی نفوس عارفیه، و شیّع بتبجیل و تقدیر و بما یتناسب و منزلته لدی أهل العلم و الفضل و محبیه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ما هو المألوف و المتعارف أن یخلف ولده شیخنا الحسین أباه فی صلاة الجماعة فی مکانه بالصحن الحیدری، و لکن الشیخ آثر علی نفسه استاذه المیرزا النائینی فی إقامة صلاة الجماعة، و بعد وفاته توجهت الأنظار إلیه مرة اخری إلّا أنه طلب من أخصائه أن یخلف والده، الإمام الراحل السید محسن الحکیم، و أصر علی ذلک، و کان له ما أراد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المرحوم الشیخ علی کان وجها نقیا من بین الوجوه التی عایشتهم النجف الأشرف و حوزتها العلمیة،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الأبرار و الأبدال و من الأتقیاء و النسّاک، و کان یأتم به خلق کثیر من أهل التقوی و الصلاح، و لم یر إلّا ذاکرا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أحد المقربین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أزوره فی داره فی بعض الأحیان فأراه رجلا ناسکا متعبدا، و کلما ازددت قربا منه زدت وثوقا به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هذا الرجل المؤمن الورع انحدر شیخنا الجلیل الشیخ حسین الحلی، و هو أصغر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الأکبر منه الشیخ حسن بن الشیخ علی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و شاعرا، عرفته الندوات الأدبیة من الشعراء اللامعین،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أجاد و أبدع و ساجل و طارح حتی صقلت مواهبه و ذاع صیته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الأصغر شیخنا الجلیل آیة اللّه العظمی الشیخ حسین الحلی من موالید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و عاش فی ظل والده الشیخ علی یتنقل</w:t>
      </w:r>
    </w:p>
    <w:p>
      <w:pPr>
        <w:pStyle w:val="BookText"/>
        <w:rPr/>
      </w:pPr>
      <w:r>
        <w:rPr>
          <w:rFonts w:ascii="IRNazanin" w:hAnsi="IRNazanin" w:eastAsia="IRNazanin"/>
          <w:color w:val="111111"/>
          <w:sz w:val="28"/>
          <w:sz w:val="28"/>
          <w:szCs w:val="28"/>
          <w:rtl w:val="true"/>
          <w:lang w:bidi="fa-IR"/>
        </w:rPr>
        <w:t>معه فی مجالس العلماء و الوجهاء، و یرتاد مع أخیه الشیخ حسن الذی یکبره بأربع أو خمس سنوات مجالس الأدب و الشعر، فقد عرّفته بعض المصادر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نوابغ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الملازمة لحضور نادی العلّامة السید محمد سعید الحبوبی </w:t>
      </w:r>
      <w:r>
        <w:rPr>
          <w:rStyle w:val="FootnoteAnchor"/>
          <w:rtl w:val="true"/>
        </w:rPr>
        <w:footnoteReference w:id="62"/>
      </w:r>
      <w:r>
        <w:rPr>
          <w:rFonts w:ascii="IRNazanin" w:hAnsi="IRNazanin" w:eastAsia="IRNazanin"/>
          <w:color w:val="111111"/>
          <w:sz w:val="28"/>
          <w:sz w:val="28"/>
          <w:szCs w:val="28"/>
          <w:rtl w:val="true"/>
          <w:lang w:bidi="fa-IR"/>
        </w:rPr>
        <w:t>الذی کان من أزهی الأندیة العلمیة الأدبیة التی لها تأثیرها الخاص فی التوجیه و التربیة، و بث روح الفضیلة، و صقل الأفکار و القرائح</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 الشیخ مترجمنا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ملازمة والده لمجالس أهل العلم و الفضل، و ملازمته لأخیه الشیخ حسن لمجالس المعرفة و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حب العلم و الأدب و الفضیلة، فمن یوم معرفته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 کان متجها فی بدایة حیاته لخیاطة الملابس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یتطلع لمستقبل یشدّه إلی الحوزة العلمیة لیکون فیها وجودا شاخصا، و فعلا حقق ما یصبو إلیه بجده و اجتهاده</w:t>
      </w:r>
      <w:r>
        <w:rPr>
          <w:rFonts w:eastAsia="IRNazanin" w:cs="IRNazanin"/>
          <w:color w:val="111111"/>
          <w:sz w:val="28"/>
          <w:szCs w:val="28"/>
          <w:rtl w:val="true"/>
          <w:lang w:bidi="fa-IR"/>
        </w:rPr>
        <w:t>.</w:t>
      </w:r>
      <w:bookmarkStart w:id="39" w:name="pg19832_211992"/>
    </w:p>
    <w:p>
      <w:pPr>
        <w:pStyle w:val="BookText"/>
        <w:rPr/>
      </w:pPr>
      <w:bookmarkEnd w:id="39"/>
      <w:r>
        <w:rPr>
          <w:rFonts w:ascii="IRNazanin" w:hAnsi="IRNazanin" w:eastAsia="IRNazanin"/>
          <w:color w:val="111111"/>
          <w:sz w:val="28"/>
          <w:sz w:val="28"/>
          <w:szCs w:val="28"/>
          <w:rtl w:val="true"/>
          <w:lang w:bidi="fa-IR"/>
        </w:rPr>
        <w:t>کانت دراسته الأوّلیة علی ید والده، ثم تنقل إلی أساتذة فی علوم الفقه و الاصول المعروفین فی الحوزة بالاختصاص فی السطوح، و قد ساعده ذکاؤه إلی تقبّل ما یملیه علیه أساتذته حتی إذا أنهی دراسة السطوح انتقل إلی بحوث الخارج التی یتلقاها طالب العلم فی المرحلة الثانیة من الحیاة العلمیة، و هی مرحلة مهمة بالنسبة لمن یصبو إلی تسلق المجد الحوزوی لیکون من فرسان حلباتها</w:t>
      </w:r>
      <w:r>
        <w:rPr>
          <w:rFonts w:eastAsia="IRNazanin" w:cs="IRNazanin"/>
          <w:color w:val="111111"/>
          <w:sz w:val="28"/>
          <w:szCs w:val="28"/>
          <w:rtl w:val="true"/>
          <w:lang w:bidi="fa-IR"/>
        </w:rPr>
        <w:t>.</w:t>
      </w:r>
    </w:p>
    <w:p>
      <w:pPr>
        <w:pStyle w:val="Heading5"/>
        <w:numPr>
          <w:ilvl w:val="4"/>
          <w:numId w:val="1"/>
        </w:numPr>
        <w:rPr/>
      </w:pPr>
      <w:bookmarkStart w:id="40" w:name="__RefHeading___Toc3493445_2314609296"/>
      <w:bookmarkStart w:id="41" w:name="_Toc15"/>
      <w:bookmarkEnd w:id="40"/>
      <w:r>
        <w:rPr>
          <w:rtl w:val="true"/>
        </w:rPr>
        <w:t>ج</w:t>
      </w:r>
      <w:r>
        <w:rPr>
          <w:rtl w:val="true"/>
        </w:rPr>
        <w:t xml:space="preserve">- </w:t>
      </w:r>
      <w:r>
        <w:rPr>
          <w:rtl w:val="true"/>
        </w:rPr>
        <w:t>الشیخ الحلی علم بین مراجع عصره</w:t>
      </w:r>
      <w:r>
        <w:rPr>
          <w:rtl w:val="true"/>
        </w:rPr>
        <w:t>:</w:t>
      </w:r>
      <w:bookmarkEnd w:id="41"/>
    </w:p>
    <w:p>
      <w:pPr>
        <w:pStyle w:val="BookText"/>
        <w:rPr/>
      </w:pPr>
      <w:r>
        <w:rPr>
          <w:rFonts w:ascii="IRNazanin" w:hAnsi="IRNazanin" w:eastAsia="IRNazanin"/>
          <w:color w:val="111111"/>
          <w:sz w:val="28"/>
          <w:sz w:val="28"/>
          <w:szCs w:val="28"/>
          <w:rtl w:val="true"/>
          <w:lang w:bidi="fa-IR"/>
        </w:rPr>
        <w:t xml:space="preserve">و کان فی فترة النصف الأول من القرن الماضی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المرجعیة الدینیة فی النجف ثلاثة فرسان اشتهروا بالفقه و الاصول و البحث العلمی الخارجی،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 النائینی، و السید أبو الحسن الاصفهانی، و الشیخ آغا ضیاء العراقی، و قد رکّز شیخنا الحلی علی حضور دروس هذه النخبة من الأعلام للاستفادة منهم فقها و اصولا، و إن أشتهر باختصاصه بالمیرزا النائینی کما تحدّثنا بعض المصادر، فتقول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عمدة تتلمذه و تخرّجه علی الحجة المیرزا محمد حسین النائینی، فقد حضر دروسه سنین طوالا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 کل منهما من الآخر، فکانت المنفعة بینهما متبادلة، کما وضحها أحد تلامیذ الشیخ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بصحبة الحجة الکبری المیرزا حسین النائینی فتبادلت المنفعة بینهما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خبرة بأقوال العلماء، و إحاطة بآرائهم فی مسائل الفقه و الاصول، لأنه أخذها من معدنها و مصدرها، هو ذلک الاستاذ الکبیرة الذی خلّدته آراؤه و استنباطاته للأحکام</w:t>
      </w:r>
      <w:r>
        <w:rPr>
          <w:rFonts w:eastAsia="IRNazanin" w:cs="IRNazanin"/>
          <w:color w:val="111111"/>
          <w:sz w:val="28"/>
          <w:szCs w:val="28"/>
          <w:rtl w:val="true"/>
          <w:lang w:bidi="fa-IR"/>
        </w:rPr>
        <w:t>.</w:t>
      </w:r>
      <w:bookmarkStart w:id="42" w:name="pg19832_211993"/>
    </w:p>
    <w:p>
      <w:pPr>
        <w:pStyle w:val="BookText"/>
        <w:rPr/>
      </w:pPr>
      <w:bookmarkEnd w:id="42"/>
      <w:r>
        <w:rPr>
          <w:rFonts w:ascii="IRNazanin" w:hAnsi="IRNazanin" w:eastAsia="IRNazanin"/>
          <w:color w:val="111111"/>
          <w:sz w:val="28"/>
          <w:sz w:val="28"/>
          <w:szCs w:val="28"/>
          <w:rtl w:val="true"/>
          <w:lang w:bidi="fa-IR"/>
        </w:rPr>
        <w:t xml:space="preserve">استفاد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به، إذ وجد فیه مساعدا و محررا و مهذبا لفتاواه الکثیرة التی کانت ترد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أصبح الشیخ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لذلک الأب الروحی العظیم، و منه یؤتی</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نقل أحد الأعلام المتصلین بالمیرزا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الشیخ الحلی تأثر کثیرا بالمیرزا إذ اعتبره من تلامیذه المقرّبین إلیه لما له من مکانة فی نفسه، حتی نقل عن حفید المیرزا عن والده المرحوم حجة الإسلام المسلمین الشیخ میرزا علی النائینی أن والده الشیخ النائینی کان یری الشیخ الحلی أفضل تلامیذه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إن الشیخ حسین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ذلک لی فی فاتحة المرحوم الشیخ حسین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أحد تلامیذ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المرحوم المیرزا علی ینقل أیضا عن والده المرحوم 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یعتمد کثیرا علی الشیخ الحلی و یمدحه و یقول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مسألة تطرح حتی یکتب عنها رسالة مشتملة علی التحقیق و التدقیق، و نقل کافة الأقوال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ینقل أن الشیخ الحلی هو الذی حمل المیرزا النائینی علی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5"/>
        <w:numPr>
          <w:ilvl w:val="4"/>
          <w:numId w:val="1"/>
        </w:numPr>
        <w:rPr/>
      </w:pPr>
      <w:bookmarkStart w:id="43" w:name="__RefHeading___Toc3493447_2314609296"/>
      <w:bookmarkStart w:id="44" w:name="_Toc16"/>
      <w:bookmarkEnd w:id="43"/>
      <w:r>
        <w:rPr>
          <w:rtl w:val="true"/>
        </w:rPr>
        <w:t>د</w:t>
      </w:r>
      <w:r>
        <w:rPr>
          <w:rtl w:val="true"/>
        </w:rPr>
        <w:t xml:space="preserve">- </w:t>
      </w:r>
      <w:r>
        <w:rPr>
          <w:rtl w:val="true"/>
        </w:rPr>
        <w:t>تأثره العلمی بالمیرزا النائینی</w:t>
      </w:r>
      <w:r>
        <w:rPr>
          <w:rtl w:val="true"/>
        </w:rPr>
        <w:t>:</w:t>
      </w:r>
      <w:bookmarkEnd w:id="4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الغریب أن أحد الباحثین فی تطور الدرس الاصولی فی الحوزة العلمیة النجفیة تحدث عن مدرسة المیرزا النائینی و أبرز طلابه، و لم یذکر شیخنا</w:t>
      </w:r>
    </w:p>
    <w:p>
      <w:pPr>
        <w:pStyle w:val="BookText"/>
        <w:rPr/>
      </w:pPr>
      <w:r>
        <w:rPr>
          <w:rFonts w:ascii="IRNazanin" w:hAnsi="IRNazanin" w:eastAsia="IRNazanin"/>
          <w:color w:val="111111"/>
          <w:sz w:val="28"/>
          <w:sz w:val="28"/>
          <w:szCs w:val="28"/>
          <w:rtl w:val="true"/>
          <w:lang w:bidi="fa-IR"/>
        </w:rPr>
        <w:t xml:space="preserve">الحلی من روادها، و إنما یصنفه من طلاب مدرسة آغا ضیاء العراقی </w:t>
      </w:r>
      <w:r>
        <w:rPr>
          <w:rStyle w:val="FootnoteAnchor"/>
          <w:rtl w:val="true"/>
        </w:rPr>
        <w:footnoteReference w:id="66"/>
      </w:r>
      <w:r>
        <w:rPr>
          <w:rFonts w:ascii="IRNazanin" w:hAnsi="IRNazanin" w:eastAsia="IRNazanin"/>
          <w:color w:val="111111"/>
          <w:sz w:val="28"/>
          <w:sz w:val="28"/>
          <w:szCs w:val="28"/>
          <w:rtl w:val="true"/>
          <w:lang w:bidi="fa-IR"/>
        </w:rPr>
        <w:t>، و أعتقد أن الأستاذ الکاتب تجنب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یکون عن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أن الشیخ الحلی من روّاد مدرسة المیرزا النائینی، بل و مبرّزیها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بالإضافة إلی معلوماتی الخاصة، فقد أکد لی بعض الأعلام ممن تلمّذ علی الشیخ الحلی هذا الرأی،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الحلی یعترف بأن المیرزا النائینی أحد منابعه الفکریة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بعض الباحثین عن حیاة الشیخ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الشیخ حسین الحلی من أعاظم تلامذة المیرزا النائینی، و کان هو الذی حمل المیرزا النائینی علی تأسیس مجلس الاستفتاء، کما کان المیرزا النائینی یرجع إلیه فی مهام اموره، و عنه یصدر الرأی، فکانت أغلب أجوبة المسائل الشرعیة التی ترد إلی المیرزا النائینی تصدر عن الشیخ الحلی و بقلمه، فکانت له عند استاذه مکانة سامیة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أمر آخر یؤکد علی التزامه بالمیرزا النائینی و هو ما نقله بعض الثقات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الإمام الراحل السید محسن الحکیم جاء بعض المؤمنین إلی الشیخ الحلی و طلبوا منه طبع رسالته العلمیة لأجل تقلیده، فأرجعهم الشیخ إلی رسالة المیرزا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یعلّق سماحة السید محمد سعید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یستفاد من هذا أن بصمات الشیخ الحلی مرکّزة علی رسالة المیرزا النائینی، و هی تعبّر عن رأیه، و إلّا فما معنی قول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إلی رسالة</w:t>
      </w:r>
    </w:p>
    <w:p>
      <w:pPr>
        <w:pStyle w:val="BookText"/>
        <w:rPr/>
      </w:pPr>
      <w:r>
        <w:rPr>
          <w:rFonts w:ascii="IRNazanin" w:hAnsi="IRNazanin" w:eastAsia="IRNazanin"/>
          <w:color w:val="111111"/>
          <w:sz w:val="28"/>
          <w:sz w:val="28"/>
          <w:szCs w:val="28"/>
          <w:rtl w:val="true"/>
          <w:lang w:bidi="fa-IR"/>
        </w:rPr>
        <w:t>المیرزا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نستغرب من هذا إذا رجعنا إلی الأقوال المتقدمة عن المیرزا النائینی فی حق الشیخ، و أهمها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یقصد أفضل طلابه، و هی شهادة مهمة من الشیخ الکبیر المیرزا النائینی إلی تلمیذه المقرب له الشیخ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هناک من یری أنه التزم بآراء استاذیه فقیهی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النائینی، و المحقق العراقی رحمهما اللّه، و یغلب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حضرته من أبحاثه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استاذه الفقیه العراقی الشیخ ضیاء الدین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عددا کبیرا من جهابذة العلم و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ازدهت بهم الحوزة العلمیة النجفیة، و أشار إلیهم التاریخ العلمی بکل تقدیر و احترام، و استفادوا منه، فی مجالی الفقه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أنه من رواد مدرسة الإمام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النصوص المصدریة لأساتذة شیخنا الحلی نلحظ جلیا أنه تتلمذ علی ثلاثة أساتذة من أعلام الجامعة العلمیة النجفیة، و جمیعهم اختصوا بعلم الاصول، و عرفوا به إلی جانب تبحّرهم الفقهی، و قد عرفت عنه أنه حضر لدی السید الاصفهانی دورتین اصولیتین، و حضر عند الشیخ العراقی دورة و نصف الاصول، ثم حضر دورة کاملة فی الاصول عند 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أن الفرسان الثلاثة اختصوا بالبحث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فتأثر بهم، و قد نقل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اشتهرت بالفقه عند الناس، و اصولی أقوی من فقهی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رجعنا بعد هذا کله إلی إجازة المرحوم المیرزا النائینی إلی تلمیذه</w:t>
      </w:r>
    </w:p>
    <w:p>
      <w:pPr>
        <w:pStyle w:val="BookText"/>
        <w:rPr/>
      </w:pPr>
      <w:r>
        <w:rPr>
          <w:rFonts w:ascii="IRNazanin" w:hAnsi="IRNazanin" w:eastAsia="IRNazanin"/>
          <w:color w:val="111111"/>
          <w:sz w:val="28"/>
          <w:sz w:val="28"/>
          <w:szCs w:val="28"/>
          <w:rtl w:val="true"/>
          <w:lang w:bidi="fa-IR"/>
        </w:rPr>
        <w:t xml:space="preserve">الشیخ الحلی بالاجتهاد و الروایة، و ما فیها من تعبیر یدل علی اهتمام المیرزا به وجدنا ما یدل علی اعتزازه بهذا التلمیذ الذی یصفه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شرف العلم لا یخفی، و فضله لا یحصی، قد ورثه أهله من الأنبیاء، و أدرکوا به درجات الصدیقین و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جدّ فی الطلب و العمل به هو قرة عینی العالم العامل العلّام، و الفاضل الکامل الهمام، صفوة المجتهدین العظام، و عماد الأعلام، و رکن الإسلام، المؤید المسدد، و التقی الزکی، جناب الآغا الشیخ حسین النجفی الحلی کثر اللّه تعالی فی أهل العلم أمثاله، و بلغه فی الدارین آماله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بذل فی هذا السبیل برهة من عمره، و اشتغل به شطرا من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حضر أبحاثی الفقهیة و الاصولیة باحثا فاحصا مجتهدا، باذلا جهده فی کتابة ما استفاده و ضبطه و تنقیحه، فأصبح و بحمد اللّه تعالی من المجتهدین العظام، و الأفاضل الأعلام، و حق له العمل بما یستنبطه من الأحکام علی النهج الجاری بین المجتهدین الأعلام، فلیحمد اللّه تعالی علی ما أولاه، و لیشکره علی ما أنعمه به و حباه، فلقد کثر الطالبون و قل الواصلون، و عند الصباح یحمد القوم السری، و ینجلی عنهم غلالات الکری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فی آخر الاجازة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حرره بیمناه الداثرة فی یوم مولد النبی صلّی اللّه علیه و آله و سلّم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أفقر البریة إلی رحمه ربه الغنی محمد حسین الغروی النائینی</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شیخنا الحلی نتیجة اتصاله بالمشایخ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جهابذة فی الفکر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بهم إلی درجة الاعتراف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اصوله</w:t>
      </w:r>
      <w:bookmarkStart w:id="45" w:name="pg19832_211997"/>
    </w:p>
    <w:p>
      <w:pPr>
        <w:pStyle w:val="BookText"/>
        <w:rPr/>
      </w:pPr>
      <w:bookmarkEnd w:id="45"/>
      <w:r>
        <w:rPr>
          <w:rFonts w:ascii="IRNazanin" w:hAnsi="IRNazanin" w:eastAsia="IRNazanin"/>
          <w:color w:val="111111"/>
          <w:sz w:val="28"/>
          <w:sz w:val="28"/>
          <w:szCs w:val="28"/>
          <w:rtl w:val="true"/>
          <w:lang w:bidi="fa-IR"/>
        </w:rPr>
        <w:t>أقوی من 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لا یمنع أن اختصاصه کان بالمیرزا النائینی و تأثره بأفکاره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الکتاب الاصولی الذی نقدم له سیکشف مدی الحقیقة العلمیة الاصولیة التی یتمتع بها شیخنا المعظم، و تأثره بآراء المیرزا النائینی العظیم</w:t>
      </w:r>
      <w:r>
        <w:rPr>
          <w:rFonts w:eastAsia="IRNazanin" w:cs="IRNazanin"/>
          <w:color w:val="111111"/>
          <w:sz w:val="28"/>
          <w:szCs w:val="28"/>
          <w:rtl w:val="true"/>
          <w:lang w:bidi="fa-IR"/>
        </w:rPr>
        <w:t>.</w:t>
      </w:r>
    </w:p>
    <w:p>
      <w:pPr>
        <w:pStyle w:val="Heading5"/>
        <w:numPr>
          <w:ilvl w:val="4"/>
          <w:numId w:val="1"/>
        </w:numPr>
        <w:rPr/>
      </w:pPr>
      <w:bookmarkStart w:id="46" w:name="__RefHeading___Toc3493449_2314609296"/>
      <w:bookmarkStart w:id="47" w:name="_Toc17"/>
      <w:bookmarkEnd w:id="46"/>
      <w:r>
        <w:rPr>
          <w:rtl w:val="true"/>
        </w:rPr>
        <w:t>ه</w:t>
      </w:r>
      <w:r>
        <w:rPr>
          <w:rtl w:val="true"/>
        </w:rPr>
        <w:t xml:space="preserve">- </w:t>
      </w:r>
      <w:r>
        <w:rPr>
          <w:rtl w:val="true"/>
        </w:rPr>
        <w:t>علاقته بالإمام الراحل السید محسن الحکیم</w:t>
      </w:r>
      <w:r>
        <w:rPr>
          <w:rtl w:val="true"/>
        </w:rPr>
        <w:t xml:space="preserve">- </w:t>
      </w:r>
      <w:r>
        <w:rPr>
          <w:rtl w:val="true"/>
        </w:rPr>
        <w:t>و المرجعیة العامة فی النجف</w:t>
      </w:r>
      <w:r>
        <w:rPr>
          <w:rtl w:val="true"/>
        </w:rPr>
        <w:t>:</w:t>
      </w:r>
      <w:bookmarkEnd w:id="47"/>
    </w:p>
    <w:p>
      <w:pPr>
        <w:pStyle w:val="BookText"/>
        <w:rPr/>
      </w:pPr>
      <w:r>
        <w:rPr>
          <w:rFonts w:ascii="IRNazanin" w:hAnsi="IRNazanin" w:eastAsia="IRNazanin"/>
          <w:color w:val="111111"/>
          <w:sz w:val="28"/>
          <w:sz w:val="28"/>
          <w:szCs w:val="28"/>
          <w:rtl w:val="true"/>
          <w:lang w:bidi="fa-IR"/>
        </w:rPr>
        <w:t>تقدم أن الشیخ الحلی بحکم منزلته العلمیة و الاجتهادیة، کان من الممکن أن یتصدی للمرجعیة بعد وفاة السید أبو الحسن الاصفهانی کما تصدی أقرانه من العلماء، خاصة أن احترام أهل العلم له فی المجالس العلمیة قبل الاجتماعیة و الاخوانیة خیر علامة تقدیر له، و هذه تزکیة مناسبة لأهلیته لتسنم مرکز المرجعیة، لکنه رفض ذلک رفضا قاطعا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الوقت نفسه دعم مرجعیة الإمام السید محسن الحکیم رحمه اللّه تأییدا مطلقا، و تبعه کل أصحابه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 و لم یکن هذا الموقف التأییدی من الشیخ الحلی للإمام الحکیم مبعثه عاطفیا لأنه کان صدیقه و زمیله فی دروس بعض الفرسان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النائینی، و العراقی، و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السید الحکیم عربی و أغلب المتصدین کانوا من الإیرانیین، فالقضیة فی التقلید عند الشیعة الإمامیة ترتبط بشروط عدیدة، و لیس فیها شرط القومیة، أو العصبیة المحلیة، إنما هی القناعة الخاصة التی انطلق منها الشیخ الحلی فی هذا الدعم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 الصلة بینهما قائمة علی</w:t>
      </w:r>
    </w:p>
    <w:p>
      <w:pPr>
        <w:pStyle w:val="BookText"/>
        <w:rPr/>
      </w:pPr>
      <w:r>
        <w:rPr>
          <w:rFonts w:ascii="IRNazanin" w:hAnsi="IRNazanin" w:eastAsia="IRNazanin"/>
          <w:color w:val="111111"/>
          <w:sz w:val="28"/>
          <w:sz w:val="28"/>
          <w:szCs w:val="28"/>
          <w:rtl w:val="true"/>
          <w:lang w:bidi="fa-IR"/>
        </w:rPr>
        <w:t>أساس من الأیمان بهذه الحقیقة رغم اختلاف الذوق بین العلمین، کما صرّح بذلک سماحة آیة اللّه العظمی السید محمد سعید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لاحظت فی کثیر من المناسبات التی تجمعهما کان السید الحکیم یجلّ الشیخ و یحترمه بما یشعر الطرف المشاهد هذا التأیید، مضافا إلی ما یکنّ له من المودة و التقدیر، فضلا عن الناحیة العلمیة، فقد کان یعتمد رأیه فی المسائل التی یتناقش معه فیها، و یأخذ رأیه بکل اهتمام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عنایة و اهتمام الإمام الراحل السید الحکیم رحمه اللّه من الناحیة الشخصیة، یکشف عن مکانته العلمیة لدیه، و قد ذکر سماحة السید محمد سعید الحکیم أن سماحة جدّه الإمام الراحل الحکیم فی أواخر أیامه کان کثیر الاستفسار عن الشیخ، و کان یتتبع خبره عن حاله و وحشته بعد ذهاب أصدقائه و أقرانه، و کان یتألم کثیرا، و یوصینا به و یشید بمنزلته العلمیة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أنی علی علم و اطلاع أن الشیخ کان یلتقی بالسید لیلا فی مجلسه بالنجف إلّا ما ندر، و یطلعه علی الکثیر مما یرده من الاستفسارات و الاستفتاءات، و حتی الفترة التی اعتکف بها السید فی منزله بالکوفة احتجاجا علی موقف النظام المباد من عملیة التسفیرات التی طالت طلاب الحوزات العلمیة فی العراق، و خاصة فی النجف الأشرف، و کانت الاتصالات تتم بین السید و الشیخ إما مباشرة أو بواسطة أولاد السید أو أحد مقربیه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مرت علی العراق أزمات عاصفة سیاسیة بعد النصف الأول من القرن الماضی، و کان السید الحکیم فی طلیعة المعنیین بها و المهتمین بأحداثها نظرا لمکانة المرجعیة العامة فی العالم الإسلامی، و زعامة المسلمین الشیعة فی العالم خاصة، کان رأی الشیخ الحلی مؤیدا للسید الحکیم فی کل</w:t>
      </w:r>
    </w:p>
    <w:p>
      <w:pPr>
        <w:pStyle w:val="BookText"/>
        <w:rPr/>
      </w:pPr>
      <w:r>
        <w:rPr>
          <w:rFonts w:ascii="IRNazanin" w:hAnsi="IRNazanin" w:eastAsia="IRNazanin"/>
          <w:color w:val="111111"/>
          <w:sz w:val="28"/>
          <w:sz w:val="28"/>
          <w:szCs w:val="28"/>
          <w:rtl w:val="true"/>
          <w:lang w:bidi="fa-IR"/>
        </w:rPr>
        <w:t xml:space="preserve">المواقف، و إن اختلف معه فی مبدأ جمع السلطتین الدینیة و السیاسیة فی أیام غیبة الإمام المهدی علیه السّلام، لأنه کان یری أن تعضید المرجعیة الرشیدة تقتضیها مصلحة الإسلام و المسلمین، و لعله 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الذوقی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أشار إلیه سماحة السید محمد سعید الحکیم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الحلی و إن کان لا یری التصدی لإقامة حکومة إسلامیة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یتخلف من الوقوف إلی جانب الإمام الحکیم فی ساعة محنته و ما ترتب علیها من أضرار تخص المرجعیة الدینیة الممثلة للإسلام عامة، و السید الإمام الحکیم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یصف أحد تلامیذ الشیخ الحلی و هو آیة اللّه المرحوم السید محمد حسین الطهرانی اللاله‌زاری علاقة الشیخ الحلی بالإمام السید الحکیم بأنها کانت متینة للغایة، و الاحترام المتبادل بینهما یدل علی معرفة تامة کل منهما لمکانة الآخر، و أن الشیخ الحلی کان یحرص کل الحرص أن یسدد خطی السید الحکیم بما یتناسب و مکانته، حتی أنه فی بعض المناسبات یتجاوز الشکلیات المجلسیة فیحضر فی بعض مجالس السید الحکیم مع الزوار المسئولین کباقی الحاضرین مسددا له </w:t>
      </w:r>
      <w:r>
        <w:rPr>
          <w:rStyle w:val="FootnoteAnchor"/>
          <w:rtl w:val="true"/>
        </w:rPr>
        <w:footnoteReference w:id="72"/>
      </w:r>
      <w:r>
        <w:rPr>
          <w:rFonts w:ascii="IRNazanin" w:hAnsi="IRNazanin" w:eastAsia="IRNazanin"/>
          <w:color w:val="111111"/>
          <w:sz w:val="28"/>
          <w:sz w:val="28"/>
          <w:szCs w:val="28"/>
          <w:rtl w:val="true"/>
          <w:lang w:bidi="fa-IR"/>
        </w:rPr>
        <w:t>، قناعة منه بأن تسدید المرجعیة الدینیة یقتضیها الواجب الشرعی و العرفی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لم یکن شیخنا الحلی بعیدا عن الجو السیاسی العراقی أو الإیرانی حین عصف بالعراق الجمهوری الشأن السیاسی الحزبی المتطرف فمثّل البعد الادیولوجی بینهما صراعا عنیفا انتهی بحرب طاحنة أکلت</w:t>
      </w:r>
    </w:p>
    <w:p>
      <w:pPr>
        <w:pStyle w:val="BookText"/>
        <w:rPr/>
      </w:pPr>
      <w:r>
        <w:rPr>
          <w:rFonts w:ascii="IRNazanin" w:hAnsi="IRNazanin" w:eastAsia="IRNazanin"/>
          <w:color w:val="111111"/>
          <w:sz w:val="28"/>
          <w:sz w:val="28"/>
          <w:szCs w:val="28"/>
          <w:rtl w:val="true"/>
          <w:lang w:bidi="fa-IR"/>
        </w:rPr>
        <w:t>الأخضر و الیابس فی الدولتین، و کان علی مراجع الدین فی الدرجة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یتحملون من المسئولیة الاجتماعیة، و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یحددوا الموقف الدینی من القضیة، و هذا ما اصطدم به الشیخ الحلی و أمثاله، و فی مقدمتهم المرجع الدینی آیة اللّه العظمی السید أبو القاسم الخوئی، و أن الموقف لا یختلف بینهما من حیث الرأی الأولی، فالسید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 بصفته مرکز القیادة الدینیة فی العراق خاصة و العالم الإسلامی عامة، و شیخنا الحلی یعیش نفس الأمر و لکن درجة المسئولیة الشرعیة تختلف عما عاشها السید الحکیم من قبل و السید الخوئی لاحقا، و لهذا کان الشیخ الحلی یقف إلی جانب المرجعیة فی مثل هذه الظروف، و یساعدهم فی الرأی، و تحدید الموقف المقتضی، علی أساس تأیید المرجعیة الدینیة فی أحلک ظروفها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المنطلق المبدئی لم یترک الشیخ الحلی المرجعیة الدینیة وحیدة تغوص فی اعماق السیاسة ما لم یشارکها الرأی الذی یقتضیه الشرع الشریف فی المیدان 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فالظروف القاسیة التی مرّ بها العراق بصورة عامة، و النجف الأشرف علی الخصوص، و ما عانته المرجعیة الدینیة من نظام لم یحترم القیم الدینیة، و لا یبالی فی اجتثاثها لیخلو له الجو بکل فعالیاته و لیقیم علی أطلاله سلطته الدکتاتوریة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هذا فان المرجعیة الدینیة الشریفة فی النجف الأشرف التی کانت تعانی مداهمة الأخطار لکنها کانت تقف إلی صف الشعب لم یرهبها سیف الحاکم، و شراسة الجلادین، و سجلت موقفا رائعا فی المحنة السوداء التی مرت علی عراقنا، مثّلت الصمود و التضحیة و الفداء من أجل عقیدتها و قیمها العلیا، و شرف الحوزة العلمیة النجفیة</w:t>
      </w:r>
      <w:r>
        <w:rPr>
          <w:rFonts w:eastAsia="IRNazanin" w:cs="IRNazanin"/>
          <w:color w:val="111111"/>
          <w:sz w:val="28"/>
          <w:szCs w:val="28"/>
          <w:rtl w:val="true"/>
          <w:lang w:bidi="fa-IR"/>
        </w:rPr>
        <w:t>.</w:t>
      </w:r>
      <w:bookmarkStart w:id="48" w:name="pg19832_212001"/>
    </w:p>
    <w:p>
      <w:pPr>
        <w:pStyle w:val="Heading4"/>
        <w:numPr>
          <w:ilvl w:val="3"/>
          <w:numId w:val="1"/>
        </w:numPr>
        <w:rPr/>
      </w:pPr>
      <w:bookmarkStart w:id="49" w:name="__RefHeading___Toc3493451_2314609296"/>
      <w:bookmarkStart w:id="50" w:name="_Toc18"/>
      <w:bookmarkEnd w:id="48"/>
      <w:bookmarkEnd w:id="49"/>
      <w:r>
        <w:rPr>
          <w:rtl w:val="true"/>
        </w:rPr>
        <w:t>الفصل الثانی عطاء الشیخ الحلی العلمی</w:t>
      </w:r>
      <w:bookmarkEnd w:id="50"/>
    </w:p>
    <w:p>
      <w:pPr>
        <w:pStyle w:val="Heading5"/>
        <w:numPr>
          <w:ilvl w:val="4"/>
          <w:numId w:val="1"/>
        </w:numPr>
        <w:rPr/>
      </w:pPr>
      <w:bookmarkStart w:id="51" w:name="__RefHeading___Toc3493453_2314609296"/>
      <w:bookmarkStart w:id="52" w:name="_Toc19"/>
      <w:bookmarkEnd w:id="51"/>
      <w:r>
        <w:rPr>
          <w:rtl w:val="true"/>
        </w:rPr>
        <w:t>أ</w:t>
      </w:r>
      <w:r>
        <w:rPr>
          <w:rtl w:val="true"/>
        </w:rPr>
        <w:t xml:space="preserve">- </w:t>
      </w:r>
      <w:r>
        <w:rPr>
          <w:rtl w:val="true"/>
        </w:rPr>
        <w:t>عطاء ثر</w:t>
      </w:r>
      <w:r>
        <w:rPr>
          <w:rtl w:val="true"/>
        </w:rPr>
        <w:t>:</w:t>
      </w:r>
      <w:bookmarkEnd w:id="52"/>
    </w:p>
    <w:p>
      <w:pPr>
        <w:pStyle w:val="BookText"/>
        <w:rPr/>
      </w:pPr>
      <w:r>
        <w:rPr>
          <w:rFonts w:ascii="IRNazanin" w:hAnsi="IRNazanin" w:eastAsia="IRNazanin"/>
          <w:color w:val="111111"/>
          <w:sz w:val="28"/>
          <w:sz w:val="28"/>
          <w:szCs w:val="28"/>
          <w:rtl w:val="true"/>
          <w:lang w:bidi="fa-IR"/>
        </w:rPr>
        <w:t>فی تاریخ المرجعیة الدینیة للمسلمین الشیعة مکان حافل لأعلام الحلّة عبر منعطف علمی مهم فی میدان الجامعة العلمیة الإمامیة، و مرجعیتها الدینیة و قیادتها المرکزیة العامة، بدایة من فخر الدین محمد بن إدریس الحلی و المحقق الحلی و العلّامة الحلی، و غیرهم من جهابذة الحوزة العلمیة الحلّیة، ضمن أعلام القرن السادس الهجری، و أخیرا و لیس آخرا الحسین بن علی بن حمود الحلّی من أعلام القرن الرابع عشر الهجری، باعتراف جهابذة المعاصرین له من فحول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المهمین فی المدرسة الإمامیة لمرحلة التکامل العلمی المعاصر، و التی فتحت آفاقا واسعة یمکن وصفها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الأبعاد الأوسع للفقه و اصوله، حتی وصف الأخیر بأنه لیس أقل منزلة علمیة من العلّامة الحلی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سمعنا لشیخنا الحلی الحسین بن علی مکانة علمیة کبیرة فی مدرسة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محاولاته الجادة فی عدم التظاهر و البروز فی میدان المرجعیة التقلیدیة لسبب و آخر حمل سرّه معه إلی القبر حین ودّع دنیاه فی</w:t>
      </w:r>
    </w:p>
    <w:p>
      <w:pPr>
        <w:pStyle w:val="BookText"/>
        <w:rPr/>
      </w:pPr>
      <w:r>
        <w:rPr>
          <w:rFonts w:ascii="IRNazanin" w:hAnsi="IRNazanin" w:eastAsia="IRNazanin"/>
          <w:color w:val="111111"/>
          <w:sz w:val="28"/>
          <w:sz w:val="28"/>
          <w:szCs w:val="28"/>
          <w:rtl w:val="true"/>
          <w:lang w:bidi="fa-IR"/>
        </w:rPr>
        <w:t xml:space="preserve">أوائل العشرة الأخیرة من القرن الماضی الهجری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تاریخه العلمی و مکانته کشخصیة یشار لها فی عداد مراجع العلم برزت فی الحوزة العلمیة التی تحتضنها مدرسة النجف ذات التاریخ العریق لا یختلف علیه اثنان من أهل المعرفة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جانب هذا الشموخ العلمی فانه سجّل له دورا مرکزیا لربط الحاضر بالماضی لتلک النخبة العالیة الشأن فی الاعلام المعرفی الامامی للذین کان لهم الفضل فی إظهار فضل الحوزة العلمیة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کشاخص مستقل عن المدرسة النجفیة العلمیة فی مسیرتها التاریخیة الضخمة، و تراثها الحضاری، و إن کانت جذورها الفکریة تغذت و نمت علی أفکار علماء مدرسة الشیخ الطوسی محمد بن الحسن مؤسس مدرسة النجف الاشرف العلمیة عام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امتدادها إلی هذا الیوم، حیث مثلت تاریخا طویلا لعمر المرجعیة الدینیة و مدرستها الفکریة، و أثبتت وجودها الفکری، و عطاءها الأوفر فی حقل العلوم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منها و النقلیة، و خیر ما نستدل به علی ذلک موسوعتا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آغا بزرک الطهرانی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عدد کبیر من مصنفات التراجم، و کتب فهارس المؤلفات القدیمة و الحدیثة، و من هذه المصادر نستطیع استبیان ما قدمه أعلام بیوتاتها العلمیة الحلیة من ثروة علمیة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لابن إدریس، و شرائع الإسلام للمحقق الحلی، و التذکرة للعلّامة الحلی، و غیرها من المؤلفات لأعلام الحلة، و التی أصبحت مصدرا لفقه آل الرسول صلّی اللّه علیه و آله و سلّم و علم اصوله فی مدرسة اهل البیت علیهم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المرحوم الشیخ الحلی قدّس سرّه هو تلک النبعة الطاهرة التی مثّل بعطائه</w:t>
      </w:r>
      <w:bookmarkStart w:id="53" w:name="pg19832_212003"/>
    </w:p>
    <w:p>
      <w:pPr>
        <w:pStyle w:val="BookText"/>
        <w:rPr/>
      </w:pPr>
      <w:bookmarkEnd w:id="53"/>
      <w:r>
        <w:rPr>
          <w:rFonts w:ascii="IRNazanin" w:hAnsi="IRNazanin" w:eastAsia="IRNazanin"/>
          <w:color w:val="111111"/>
          <w:sz w:val="28"/>
          <w:sz w:val="28"/>
          <w:szCs w:val="28"/>
          <w:rtl w:val="true"/>
          <w:lang w:bidi="fa-IR"/>
        </w:rPr>
        <w:t>العلمی سواء فی حقل الفقه أو الاصول ما أکد علی تطور مهم فی إطار هذین الحقلین، فقد جذر فکره العلمی علی فرسان الفقه و الاصول فی المدرسة العلمیة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من أبرز تلامیذ الشیخ میرزا حسین النائینی، و الشیخ آغا ضیاء العراقی، و السید أبو الحسن الاصفهانی، و الذین هم فرسان الحوزة العلمیة الثلاثة فی الجامعة العلمیة الدینیة فی النجف الأشرف فی المیدان الاصولی و الفقهی فی أوائل القرن الرابع عشر الهجری</w:t>
      </w:r>
      <w:r>
        <w:rPr>
          <w:rFonts w:eastAsia="IRNazanin" w:cs="IRNazanin"/>
          <w:color w:val="111111"/>
          <w:sz w:val="28"/>
          <w:szCs w:val="28"/>
          <w:rtl w:val="true"/>
          <w:lang w:bidi="fa-IR"/>
        </w:rPr>
        <w:t>.</w:t>
      </w:r>
    </w:p>
    <w:p>
      <w:pPr>
        <w:pStyle w:val="Heading5"/>
        <w:numPr>
          <w:ilvl w:val="4"/>
          <w:numId w:val="1"/>
        </w:numPr>
        <w:rPr/>
      </w:pPr>
      <w:bookmarkStart w:id="54" w:name="__RefHeading___Toc3493455_2314609296"/>
      <w:bookmarkStart w:id="55" w:name="_Toc20"/>
      <w:bookmarkEnd w:id="54"/>
      <w:r>
        <w:rPr>
          <w:rtl w:val="true"/>
        </w:rPr>
        <w:t>ب</w:t>
      </w:r>
      <w:r>
        <w:rPr>
          <w:rtl w:val="true"/>
        </w:rPr>
        <w:t xml:space="preserve">- </w:t>
      </w:r>
      <w:r>
        <w:rPr>
          <w:rtl w:val="true"/>
        </w:rPr>
        <w:t>ترکة الشیخ العلمیة</w:t>
      </w:r>
      <w:r>
        <w:rPr>
          <w:rtl w:val="true"/>
        </w:rPr>
        <w:t>:</w:t>
      </w:r>
      <w:bookmarkEnd w:id="55"/>
    </w:p>
    <w:p>
      <w:pPr>
        <w:pStyle w:val="Heading6"/>
        <w:numPr>
          <w:ilvl w:val="5"/>
          <w:numId w:val="1"/>
        </w:numPr>
        <w:rPr/>
      </w:pPr>
      <w:bookmarkStart w:id="56" w:name="__RefHeading___Toc3493457_2314609296"/>
      <w:bookmarkStart w:id="57" w:name="_Toc21"/>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لقد ترک شیخنا الحلی فی المجال الفقهی و الاصولی بحوثا مهمة قیّمة فی میدان الفکر العلمی، سواء أ کانت من تقریرات بحوث أساتذته العظام، أو ما خلّده تلامذته الکرام من تقریراته و بحوثه</w:t>
      </w:r>
      <w:r>
        <w:rPr>
          <w:rFonts w:eastAsia="IRNazanin" w:cs="IRNazanin"/>
          <w:color w:val="111111"/>
          <w:sz w:val="28"/>
          <w:szCs w:val="28"/>
          <w:rtl w:val="true"/>
          <w:lang w:bidi="fa-IR"/>
        </w:rPr>
        <w:t>.</w:t>
      </w:r>
    </w:p>
    <w:p>
      <w:pPr>
        <w:pStyle w:val="Heading6"/>
        <w:numPr>
          <w:ilvl w:val="5"/>
          <w:numId w:val="1"/>
        </w:numPr>
        <w:rPr/>
      </w:pPr>
      <w:bookmarkStart w:id="58" w:name="__RefHeading___Toc3493459_2314609296"/>
      <w:bookmarkStart w:id="59" w:name="_Toc22"/>
      <w:bookmarkEnd w:id="58"/>
      <w:r>
        <w:rPr>
          <w:rtl w:val="true"/>
        </w:rPr>
        <w:t>الأول</w:t>
      </w:r>
      <w:r>
        <w:rPr>
          <w:rtl w:val="true"/>
        </w:rPr>
        <w:t xml:space="preserve">: </w:t>
      </w:r>
      <w:r>
        <w:rPr>
          <w:rtl w:val="true"/>
        </w:rPr>
        <w:t>عطاؤه الفکری</w:t>
      </w:r>
      <w:r>
        <w:rPr>
          <w:rtl w:val="true"/>
        </w:rPr>
        <w:t>.</w:t>
      </w:r>
      <w:bookmarkEnd w:id="59"/>
    </w:p>
    <w:p>
      <w:pPr>
        <w:pStyle w:val="Heading6"/>
        <w:numPr>
          <w:ilvl w:val="5"/>
          <w:numId w:val="1"/>
        </w:numPr>
        <w:rPr/>
      </w:pPr>
      <w:bookmarkStart w:id="60" w:name="__RefHeading___Toc3493461_2314609296"/>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و قد حصلت علی قائمة لمؤلفاته من مکتبة الإمام السید الحکیم العامة فی النجف تصل إلی عدة مجلدات مخطوطة، تفضل بها الأخ الاستاذ السید جواد الحکیم أمین المکتبة، و بعد الاطلاع علیها یمکننا تصنیفها علی الوجه التالی</w:t>
      </w:r>
      <w:r>
        <w:rPr>
          <w:rFonts w:eastAsia="IRNazanin" w:cs="IRNazanin"/>
          <w:color w:val="111111"/>
          <w:sz w:val="28"/>
          <w:szCs w:val="28"/>
          <w:rtl w:val="true"/>
          <w:lang w:bidi="fa-IR"/>
        </w:rPr>
        <w:t>:</w:t>
      </w:r>
    </w:p>
    <w:p>
      <w:pPr>
        <w:pStyle w:val="Heading6"/>
        <w:numPr>
          <w:ilvl w:val="5"/>
          <w:numId w:val="1"/>
        </w:numPr>
        <w:rPr/>
      </w:pPr>
      <w:bookmarkStart w:id="62" w:name="__RefHeading___Toc3493463_2314609296"/>
      <w:bookmarkStart w:id="63" w:name="_Toc24"/>
      <w:bookmarkEnd w:id="62"/>
      <w:r>
        <w:rPr>
          <w:rtl w:val="true"/>
        </w:rPr>
        <w:t>أولا</w:t>
      </w:r>
      <w:r>
        <w:rPr>
          <w:rtl w:val="true"/>
        </w:rPr>
        <w:t xml:space="preserve">: </w:t>
      </w:r>
      <w:r>
        <w:rPr>
          <w:rtl w:val="true"/>
        </w:rPr>
        <w:t>فی مجال الفقه</w:t>
      </w:r>
      <w:r>
        <w:rPr>
          <w:rtl w:val="true"/>
        </w:rPr>
        <w:t>.</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 التقلید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العروة الوثقی الطهارة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bookmarkStart w:id="64" w:name="pg19832_212004"/>
    </w:p>
    <w:p>
      <w:pPr>
        <w:pStyle w:val="BookText"/>
        <w:rPr/>
      </w:pPr>
      <w:bookmarkEnd w:id="6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العروة الوثقی الإجارة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المعاطاة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المسافر من بحث المیرزا النائینی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لا تعاد من بحث النائینی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من بحث النائینی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p>
    <w:p>
      <w:pPr>
        <w:pStyle w:val="Heading6"/>
        <w:numPr>
          <w:ilvl w:val="5"/>
          <w:numId w:val="1"/>
        </w:numPr>
        <w:rPr/>
      </w:pPr>
      <w:bookmarkStart w:id="65" w:name="__RefHeading___Toc3493465_2314609296"/>
      <w:bookmarkStart w:id="66" w:name="_Toc25"/>
      <w:bookmarkEnd w:id="65"/>
      <w:r>
        <w:rPr>
          <w:rtl w:val="true"/>
        </w:rPr>
        <w:t>ثانیا</w:t>
      </w:r>
      <w:r>
        <w:rPr>
          <w:rtl w:val="true"/>
        </w:rPr>
        <w:t xml:space="preserve">: </w:t>
      </w:r>
      <w:r>
        <w:rPr>
          <w:rtl w:val="true"/>
        </w:rPr>
        <w:t>فی مجال اصول الفقه</w:t>
      </w:r>
      <w:r>
        <w:rPr>
          <w:rtl w:val="true"/>
        </w:rPr>
        <w:t>.</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خارج الاصول من بحث السید الاصفهانی علی کفایة الاصول 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التی استمرت من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هی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خارج الاصول من بحث الشیخ النائینی فی خمسة مجلدات ما یقارب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التی استغرقت ما بین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دورة اصولیة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خارج الاصول من بحث المحقق العراقی فی مجلد واحد تقع فی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ابتداء من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أجود التقریرات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تقریرات المیرزا النائینی کتبها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مباحث الألفاظ فی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فوائد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تقریرات المیرزا النائینی کتبها الشیخ محمد علی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مباحث الأدلة و الاصول العلمیة فی </w:t>
      </w:r>
      <w:r>
        <w:rPr>
          <w:rFonts w:eastAsia="IRNazanin" w:cs="IRNazanin"/>
          <w:color w:val="111111"/>
          <w:sz w:val="28"/>
          <w:szCs w:val="28"/>
          <w:lang w:bidi="fa-IR"/>
        </w:rPr>
        <w:t>1081</w:t>
      </w:r>
      <w:bookmarkStart w:id="67" w:name="pg19832_212005"/>
    </w:p>
    <w:p>
      <w:pPr>
        <w:pStyle w:val="BookText"/>
        <w:rPr/>
      </w:pPr>
      <w:bookmarkEnd w:id="67"/>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 فی الواقع الدروس التی کان یلقیها علی تلامذته فی خارج الاصول طیلة الدورات الثلاثة التی درّسها قدّس سرّه ابتداء من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متخذا الکتابین متنا لدرسه، کما دوّنه هو رحمه اللّه فی هامش المخطوطة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تعریف علم الاصول و بیان موضوعه تقع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اصولیة متفرقة فی مواضیع شتی</w:t>
      </w:r>
      <w:r>
        <w:rPr>
          <w:rFonts w:eastAsia="IRNazanin" w:cs="IRNazanin"/>
          <w:color w:val="111111"/>
          <w:sz w:val="28"/>
          <w:szCs w:val="28"/>
          <w:rtl w:val="true"/>
          <w:lang w:bidi="fa-IR"/>
        </w:rPr>
        <w:t>.</w:t>
      </w:r>
    </w:p>
    <w:p>
      <w:pPr>
        <w:pStyle w:val="Heading6"/>
        <w:numPr>
          <w:ilvl w:val="5"/>
          <w:numId w:val="1"/>
        </w:numPr>
        <w:rPr/>
      </w:pPr>
      <w:bookmarkStart w:id="68" w:name="__RefHeading___Toc3493467_2314609296"/>
      <w:bookmarkStart w:id="69" w:name="_Toc26"/>
      <w:bookmarkEnd w:id="68"/>
      <w:r>
        <w:rPr>
          <w:rtl w:val="true"/>
        </w:rPr>
        <w:t>ثالثا</w:t>
      </w:r>
      <w:r>
        <w:rPr>
          <w:rtl w:val="true"/>
        </w:rPr>
        <w:t xml:space="preserve">: </w:t>
      </w:r>
      <w:r>
        <w:rPr>
          <w:rtl w:val="true"/>
        </w:rPr>
        <w:t>کتب مشترکة</w:t>
      </w:r>
      <w:r>
        <w:rPr>
          <w:rtl w:val="true"/>
        </w:rPr>
        <w:t>.</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مسائل فقهیة و اصولیة متعددة تزید علی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استفتاءات السید الاصفهانی فی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استفتاءات المیرزا النائینی فی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یتضمن مختارات من الطرائف و الحکم و الروایات التاریخیة و النوادر الأدبیة و العلمیة المختلفة التی انتقاها أثناء مطالعاته، و یقع فیما یزید علی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مجموعة مؤلفات شیخنا الحلی المخطوطة و المصوّرة فی مکتبة الإمام الراحل السید محسن الحکیم العامة فی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بعض القوائم التی وردت لنا عن مؤلفات المرحوم الشیخ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 تقریرات 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التحقیق ظهر أن الکتاب المشار إلیه هو من تقریرات بعض تلامیذ المیرزا النائینی، و لیس للمرحوم الشیخ الحلی مما دوّنه هو فی أول المخطوطة، و إنما استنسخها</w:t>
      </w:r>
    </w:p>
    <w:p>
      <w:pPr>
        <w:pStyle w:val="BookText"/>
        <w:rPr/>
      </w:pPr>
      <w:r>
        <w:rPr>
          <w:rFonts w:ascii="Amiri" w:hAnsi="Amiri" w:eastAsia="Amiri" w:cs="Amiri"/>
          <w:color w:val="111111"/>
          <w:sz w:val="28"/>
          <w:sz w:val="28"/>
          <w:szCs w:val="28"/>
          <w:rtl w:val="true"/>
          <w:lang w:bidi="ar-SA"/>
        </w:rPr>
        <w:t>للاستفادة منها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لدی مؤسسة کاشف الغطاء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الذخائر للمخطوطات فی النجف الأشرف، و التی یدیرها الأخ الفاضل الدکتور الشیخ عباس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مؤلفات شیخنا الحلی، و لکنها لم تکن بخطه، و إنما منقولة عنه بخط تلمیذه الشیخ محمد حسین الکرباسی </w:t>
      </w:r>
      <w:r>
        <w:rPr>
          <w:rStyle w:val="FootnoteAnchor"/>
          <w:rtl w:val="true"/>
        </w:rPr>
        <w:footnoteReference w:id="75"/>
      </w:r>
      <w:r>
        <w:rPr>
          <w:rFonts w:ascii="IRNazanin" w:hAnsi="IRNazanin" w:eastAsia="IRNazanin"/>
          <w:color w:val="111111"/>
          <w:sz w:val="28"/>
          <w:sz w:val="28"/>
          <w:szCs w:val="28"/>
          <w:rtl w:val="true"/>
          <w:lang w:bidi="fa-IR"/>
        </w:rPr>
        <w:t xml:space="preserve">، و قد أشرنا إلیها فی الهامش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تعلیقة علی أبحاث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عدد صفحاتها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 المخطوطة فی الدلیل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أبحاث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عدد صفحاتها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 المخطوطة فی الدلیل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رسالة لا ضرر للنائینی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عدد صفحاتها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عام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تسلسل المخطوطة فی الدلیل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أبحاث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عدد صفحاتها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عام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تسلسل المخطوطة فی الدلیل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أبحاث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عدد صفحاتها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 المخطوطة فی الدلیل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رسالة لا ضرر للشیخ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عدد صفحاتها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عام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تسلسل المخطوطة فی الدلیل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 من کتب عن حیاة الشیخ ذکر من مؤلفات المرحوم شیخنا الحلی فی دراسته قائمة تضم أسماء سبعة عشر مؤلفا فی الفقه و الاصول، و من المؤسف أنه لم یذکر المصادر التی اعتمدها فی ذکر هذه الکتب، یراجع السید هاشم فیاض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المتقدم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9832_212007"/>
    </w:p>
    <w:p>
      <w:pPr>
        <w:pStyle w:val="BookText"/>
        <w:rPr/>
      </w:pPr>
      <w:bookmarkEnd w:id="70"/>
      <w:r>
        <w:rPr>
          <w:rFonts w:ascii="IRNazanin" w:hAnsi="IRNazanin" w:eastAsia="IRNazanin"/>
          <w:color w:val="111111"/>
          <w:sz w:val="28"/>
          <w:sz w:val="28"/>
          <w:szCs w:val="28"/>
          <w:rtl w:val="true"/>
          <w:lang w:bidi="fa-IR"/>
        </w:rPr>
        <w:t>إن اصول هذه الکتب و الرسائل لا زالت خطیة و محفوظة لدی ولده الأخ محمد جواد الحلی، و لیت الظروف تساعده علی طبعها من أجل فائدة طلاب العلم و المعرفة، و هذا ما نأمله إن شاء اللّه، و إذا لم تتهیأ له ظروفه الخاصة بذلک فعسی أن یسمح بها لجهات علمیة لتقوم بطبعها للاستفادة منها</w:t>
      </w:r>
      <w:r>
        <w:rPr>
          <w:rFonts w:eastAsia="IRNazanin" w:cs="IRNazanin"/>
          <w:color w:val="111111"/>
          <w:sz w:val="28"/>
          <w:szCs w:val="28"/>
          <w:rtl w:val="true"/>
          <w:lang w:bidi="fa-IR"/>
        </w:rPr>
        <w:t>.</w:t>
      </w:r>
    </w:p>
    <w:p>
      <w:pPr>
        <w:pStyle w:val="Heading6"/>
        <w:numPr>
          <w:ilvl w:val="5"/>
          <w:numId w:val="1"/>
        </w:numPr>
        <w:rPr/>
      </w:pPr>
      <w:bookmarkStart w:id="71" w:name="__RefHeading___Toc3493469_2314609296"/>
      <w:bookmarkStart w:id="72" w:name="_Toc27"/>
      <w:bookmarkEnd w:id="71"/>
      <w:r>
        <w:rPr>
          <w:rtl w:val="true"/>
        </w:rPr>
        <w:t>الثانی</w:t>
      </w:r>
      <w:r>
        <w:rPr>
          <w:rtl w:val="true"/>
        </w:rPr>
        <w:t xml:space="preserve">: </w:t>
      </w:r>
      <w:r>
        <w:rPr>
          <w:rtl w:val="true"/>
        </w:rPr>
        <w:t>ما ترکه تلامیذه من عطاء الشیخ العلمی</w:t>
      </w:r>
      <w:r>
        <w:rPr>
          <w:rtl w:val="true"/>
        </w:rPr>
        <w:t>.</w:t>
      </w:r>
      <w:bookmarkEnd w:id="72"/>
    </w:p>
    <w:p>
      <w:pPr>
        <w:pStyle w:val="Heading6"/>
        <w:numPr>
          <w:ilvl w:val="5"/>
          <w:numId w:val="1"/>
        </w:numPr>
        <w:rPr/>
      </w:pPr>
      <w:bookmarkStart w:id="73" w:name="__RefHeading___Toc3493471_2314609296"/>
      <w:bookmarkStart w:id="74" w:name="_Toc28"/>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إن شیخنا الحلی ترک عطاء علمیا ثرا فقهیا و اصولیا، نستعرضهما بإیجاز و هی</w:t>
      </w:r>
      <w:r>
        <w:rPr>
          <w:rFonts w:eastAsia="IRNazanin" w:cs="IRNazanin"/>
          <w:color w:val="111111"/>
          <w:sz w:val="28"/>
          <w:szCs w:val="28"/>
          <w:rtl w:val="true"/>
          <w:lang w:bidi="fa-IR"/>
        </w:rPr>
        <w:t>:</w:t>
      </w:r>
    </w:p>
    <w:p>
      <w:pPr>
        <w:pStyle w:val="Heading6"/>
        <w:numPr>
          <w:ilvl w:val="5"/>
          <w:numId w:val="1"/>
        </w:numPr>
        <w:rPr/>
      </w:pPr>
      <w:bookmarkStart w:id="75" w:name="__RefHeading___Toc3493473_2314609296"/>
      <w:bookmarkStart w:id="76" w:name="_Toc29"/>
      <w:bookmarkEnd w:id="75"/>
      <w:r>
        <w:rPr>
          <w:rtl w:val="true"/>
        </w:rPr>
        <w:t>أولا</w:t>
      </w:r>
      <w:r>
        <w:rPr>
          <w:rtl w:val="true"/>
        </w:rPr>
        <w:t xml:space="preserve">: </w:t>
      </w:r>
      <w:r>
        <w:rPr>
          <w:rtl w:val="true"/>
        </w:rPr>
        <w:t>تقریرات تلامیذه</w:t>
      </w:r>
      <w:r>
        <w:rPr>
          <w:rtl w:val="true"/>
        </w:rPr>
        <w:t>.</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سماحة السید علی السیستانی فی الفقه و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سماحة السید محمد سعید الحکیم، و تتضمن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استاذه المحقق الحلی فی علم الاصول، و یقع فی مجلدین، و قد اشتملا علی مبحث الاستصحاب و لواحقه، و مبحث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استاذه الحلی فی الفقه، و یقع فی مجلدین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سماحة السید محمد تقی الحکیم، فی الفقه و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سماحة الشیخ حسن السعید، و قد تضمنت بعض المسائل الفقهیة کالتقیة و العدالة و صلاة الجمعة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الشهید السید علاء الدین بحر العلوم فی علم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الشهید السید عزّ الدین بحر العلوم فی الفقه و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سماحة الشیخ عباس النائینی فی الفقه و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سماحة الشیخ جعفر النائینی 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الشیخ الشهید میرزا علی الغروی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المرحوم السید محمد حسین الطهرانی اللاله‌زاری فی الفقه و الاصول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بودّی أن أوثق کل ما مر، سواء مما کتبه هو رحمه اللّه عن أساتذته، أو ما کتبه تلامیذه من دروسه، و تمکنت أن أطلع علی بعض تقریرات تلامیذه حیث أشرت لها بالخاتمة، و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الشهید السید علاء الدین بحر العلوم فی الفقه، و قد اطلعت علی مخطوطة هذا التقریر، و جاء فی بدایة الصفحة الاولی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الاستاذ العم الحلی 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 بانه عبارة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نهایة الصفحة الثانیة من هذه المخطوطة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عدل سیدنا العم دام ظله عن متن الشرائع، و أخذ فی دراسة العروة الوثقی للسید</w:t>
      </w:r>
      <w:bookmarkStart w:id="77" w:name="pg19832_212009"/>
    </w:p>
    <w:p>
      <w:pPr>
        <w:pStyle w:val="BookText"/>
        <w:rPr/>
      </w:pPr>
      <w:bookmarkEnd w:id="77"/>
      <w:r>
        <w:rPr>
          <w:rFonts w:ascii="IRNazanin" w:hAnsi="IRNazanin" w:eastAsia="IRNazanin"/>
          <w:color w:val="111111"/>
          <w:sz w:val="28"/>
          <w:sz w:val="28"/>
          <w:szCs w:val="28"/>
          <w:rtl w:val="true"/>
          <w:lang w:bidi="fa-IR"/>
        </w:rPr>
        <w:t>الطباطبائی الیزدی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 بدایة بحث الشیخ هذا فی یوم السبت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السید الشهید علاء الدین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أشار السید الشهید إلی تاریخ الشروع فی هذا البحث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عام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الشهید السید عزّ الدین بحر العلوم عن بحث الشیخ فی کتاب الطهارة بدأ به فی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کان حدیثه فی حرمة تنجیس المشاهد المشرفة کالمساجد،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شیخنا الاستاذ متعنا اللّه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یبحث فی هذه المسألة من جهتین </w:t>
      </w:r>
      <w:r>
        <w:rPr>
          <w:rFonts w:eastAsia="IRNazanin" w:cs="IRNazanin"/>
          <w:color w:val="111111"/>
          <w:sz w:val="28"/>
          <w:szCs w:val="28"/>
          <w:rtl w:val="true"/>
          <w:lang w:bidi="fa-IR"/>
        </w:rPr>
        <w:t>...».</w:t>
      </w:r>
    </w:p>
    <w:p>
      <w:pPr>
        <w:pStyle w:val="Heading6"/>
        <w:numPr>
          <w:ilvl w:val="5"/>
          <w:numId w:val="1"/>
        </w:numPr>
        <w:rPr/>
      </w:pPr>
      <w:bookmarkStart w:id="78" w:name="__RefHeading___Toc3493475_2314609296"/>
      <w:bookmarkStart w:id="79" w:name="_Toc30"/>
      <w:bookmarkEnd w:id="78"/>
      <w:r>
        <w:rPr>
          <w:rtl w:val="true"/>
        </w:rPr>
        <w:t>ثانیا</w:t>
      </w:r>
      <w:r>
        <w:rPr>
          <w:rtl w:val="true"/>
        </w:rPr>
        <w:t xml:space="preserve">: </w:t>
      </w:r>
      <w:r>
        <w:rPr>
          <w:rtl w:val="true"/>
        </w:rPr>
        <w:t>المطبوع منها</w:t>
      </w:r>
      <w:r>
        <w:rPr>
          <w:rtl w:val="true"/>
        </w:rPr>
        <w:t>.</w:t>
      </w:r>
      <w:bookmarkEnd w:id="79"/>
    </w:p>
    <w:p>
      <w:pPr>
        <w:pStyle w:val="Heading6"/>
        <w:numPr>
          <w:ilvl w:val="5"/>
          <w:numId w:val="1"/>
        </w:numPr>
        <w:rPr/>
      </w:pPr>
      <w:bookmarkStart w:id="80" w:name="__RefHeading___Toc3493477_2314609296"/>
      <w:bookmarkStart w:id="81" w:name="_Toc31"/>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و قد طبع فی المجال الفقهی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اطلاعی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کتابان، هما</w:t>
      </w:r>
      <w:r>
        <w:rPr>
          <w:rFonts w:eastAsia="IRNazanin" w:cs="IRNazanin"/>
          <w:color w:val="111111"/>
          <w:sz w:val="28"/>
          <w:szCs w:val="28"/>
          <w:rtl w:val="true"/>
          <w:lang w:bidi="fa-IR"/>
        </w:rPr>
        <w:t>:</w:t>
      </w:r>
    </w:p>
    <w:p>
      <w:pPr>
        <w:pStyle w:val="Heading6"/>
        <w:numPr>
          <w:ilvl w:val="5"/>
          <w:numId w:val="1"/>
        </w:numPr>
        <w:rPr/>
      </w:pPr>
      <w:bookmarkStart w:id="82" w:name="__RefHeading___Toc3493479_2314609296"/>
      <w:bookmarkStart w:id="83" w:name="_Toc32"/>
      <w:bookmarkEnd w:id="82"/>
      <w:r>
        <w:rPr>
          <w:rtl w:val="true"/>
        </w:rPr>
        <w:t>الأول</w:t>
      </w:r>
      <w:r>
        <w:rPr>
          <w:rtl w:val="true"/>
        </w:rPr>
        <w:t xml:space="preserve">: </w:t>
      </w:r>
      <w:r>
        <w:rPr>
          <w:rtl w:val="true"/>
        </w:rPr>
        <w:t xml:space="preserve">کتاب </w:t>
      </w:r>
      <w:r>
        <w:rPr>
          <w:rtl w:val="true"/>
        </w:rPr>
        <w:t>«</w:t>
      </w:r>
      <w:r>
        <w:rPr>
          <w:rtl w:val="true"/>
        </w:rPr>
        <w:t>دلیل العروة الوثقی</w:t>
      </w:r>
      <w:r>
        <w:rPr>
          <w:rtl w:val="true"/>
        </w:rPr>
        <w:t xml:space="preserve">» </w:t>
      </w:r>
      <w:r>
        <w:rPr>
          <w:rtl w:val="true"/>
        </w:rPr>
        <w:t>للمرحوم الشیخ حسن سعید الطهرانی،</w:t>
      </w:r>
      <w:bookmarkEnd w:id="83"/>
    </w:p>
    <w:p>
      <w:pPr>
        <w:pStyle w:val="BookText"/>
        <w:rPr/>
      </w:pPr>
      <w:r>
        <w:rPr>
          <w:rFonts w:ascii="IRNazanin" w:hAnsi="IRNazanin" w:eastAsia="IRNazanin"/>
          <w:color w:val="111111"/>
          <w:sz w:val="28"/>
          <w:sz w:val="28"/>
          <w:szCs w:val="28"/>
          <w:rtl w:val="true"/>
          <w:lang w:bidi="fa-IR"/>
        </w:rPr>
        <w:t xml:space="preserve">و تضمن تقریرات الشیخ الحلی لشرح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آیة اللّه السید محمد کاظم الیزدی الطباطبائی المتوفی عام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متابعة کثیر من مبانیه الفقهیة، و مناقشة أدلتها، و قد عرّفه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نعم اللّه تعالی التی لا تحصی أن وفقنی لإلقاء بحوث فی الفقه علی نخبة من طلائع أهل الفضل تعلیقا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لآیة اللّه العظمی السید الطباطبائی قدّس سرّه و کان ممن حضرها و ضبط دقائقها و حررها فضیلة العلّامة المحقق الثقة قرة عین الفضل، جناب الشیخ حسن</w:t>
      </w:r>
    </w:p>
    <w:p>
      <w:pPr>
        <w:pStyle w:val="BookText"/>
        <w:rPr/>
      </w:pPr>
      <w:r>
        <w:rPr>
          <w:rFonts w:ascii="IRNazanin" w:hAnsi="IRNazanin" w:eastAsia="IRNazanin"/>
          <w:color w:val="111111"/>
          <w:sz w:val="28"/>
          <w:sz w:val="28"/>
          <w:szCs w:val="28"/>
          <w:rtl w:val="true"/>
          <w:lang w:bidi="fa-IR"/>
        </w:rPr>
        <w:t xml:space="preserve">آغا سعید نجل آیة اللّه الشیخ الأجل الحاج المیرزا عبد اللّه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أطلت النظر فی الکثیر مما حرر فی هذا الکتاب عنی فوجدته وافیا بما هو المراد، مستوعبا لجملة ما ذکرته فی مجلس الدرس بتعبیر جزل و بیان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فشکرت اللّه عزّ و جل أن کان فی طلاب الحوزة العلمیة فی النجف الأشرف أمثاله من العلماء الأجلاء ممن تفخر بهم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من بواعث غبطتی و سروری أن ألمس بنتاجه هذا ثمرات ما بذلته من جهد متواضع فی إعداد أمثاله من أعلام الحوزة، فشکرا له تعالی علی ما منحنی من توفیق و أساله تعالی أن یأخذ بیده و یوفقه لمواصلة اجتهاده فی طلب العلم، و کسب الفضائل الإلهیة و یسدده و ینفع به الامة بعلمه و ینفعنی بدعائه و السلام علیه و علی إخواننا المؤمنین کافة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فی نهایة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الجزء الأول من دلیل العروة الوثقی و یتلوه الجزء الثانی إن شاء اللّه تعالی،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أطلع علی الجزء الثانی و لعله لم یطبع بعد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تضمن الکتاب مبحثی المیاه و النجاسات، و یقع فی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قد أخبرنی ممن له علاقة بعائلة المؤلف أن الأجزاء البقیة من الکتاب لا زالت خطیة موجودة لدیهم، و اخبرت أن الجزء الثانی من هذا الکتاب قد طبع، و لکنی لم اطلع علیه، أرجو أن یهیئ اللّه لتراث الشیخ رحمه اللّه من یطبعها للفائدة العامة</w:t>
      </w:r>
      <w:r>
        <w:rPr>
          <w:rFonts w:eastAsia="IRNazanin" w:cs="IRNazanin"/>
          <w:color w:val="111111"/>
          <w:sz w:val="28"/>
          <w:szCs w:val="28"/>
          <w:rtl w:val="true"/>
          <w:lang w:bidi="fa-IR"/>
        </w:rPr>
        <w:t>.</w:t>
      </w:r>
      <w:bookmarkStart w:id="84" w:name="pg19832_212011"/>
    </w:p>
    <w:p>
      <w:pPr>
        <w:pStyle w:val="BookText"/>
        <w:rPr/>
      </w:pPr>
      <w:bookmarkEnd w:id="84"/>
      <w:r>
        <w:rPr>
          <w:rFonts w:ascii="IRNazanin" w:hAnsi="IRNazanin" w:eastAsia="IRNazanin"/>
          <w:color w:val="111111"/>
          <w:sz w:val="28"/>
          <w:sz w:val="28"/>
          <w:szCs w:val="28"/>
          <w:rtl w:val="true"/>
          <w:lang w:bidi="fa-IR"/>
        </w:rPr>
        <w:t>کما ضم الجزء الأول من الکتاب مقدمة ضافیة تحدث فیها عن تطور الفقه من بدو نشأته إلی یومنا هذا، و قد مرّ بأدوار سبعة، و تحدث عن الأدوار السبعة بایجاز</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 w:name="__RefHeading___Toc3493481_2314609296"/>
      <w:bookmarkStart w:id="86" w:name="_Toc33"/>
      <w:bookmarkEnd w:id="85"/>
      <w:r>
        <w:rPr>
          <w:rtl w:val="true"/>
        </w:rPr>
        <w:t>الثانی</w:t>
      </w:r>
      <w:r>
        <w:rPr>
          <w:rtl w:val="true"/>
        </w:rPr>
        <w:t xml:space="preserve">: </w:t>
      </w:r>
      <w:r>
        <w:rPr>
          <w:rtl w:val="true"/>
        </w:rPr>
        <w:t xml:space="preserve">کتاب </w:t>
      </w:r>
      <w:r>
        <w:rPr>
          <w:rtl w:val="true"/>
        </w:rPr>
        <w:t>«</w:t>
      </w:r>
      <w:r>
        <w:rPr>
          <w:rtl w:val="true"/>
        </w:rPr>
        <w:t>بحوث فقهیة</w:t>
      </w:r>
      <w:r>
        <w:rPr>
          <w:rtl w:val="true"/>
        </w:rPr>
        <w:t xml:space="preserve">» </w:t>
      </w:r>
      <w:r>
        <w:rPr>
          <w:rtl w:val="true"/>
        </w:rPr>
        <w:t>للشهید السید عزّ الدین بحر العلوم من تقریرات آیة اللّه العظمی الشیخ الحلی،</w:t>
      </w:r>
      <w:bookmarkEnd w:id="8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 مواضیع هامة تمس حاجة المقلد فی یومه هذا، خاصة فیما یتعلق بالمسائل المستجدة فی هذا العصر کمسائل تخص البنوک و شرعیتها، و المعاملات المصرفیة، و ما یتخللها من عملیات مثار إشکال شرعی، و مسألة التأمین و أنواعه، و الذی أصبح فی هذه السنوات جزءا من المعاملات التی یتداولها سوق الإنسان فی مسیرة حیاته الیومیة، و کذلک الیانصیب، و التعامل بالأوراق النقدیة، و تصفیة الوقف الذری، و حقوق الزوجیة، و السرقفلیة، و قاعدة الإلزام و تطبیقاتها، و البیع القهری، و إزالة الشیوع، و غیرها من المواضیع الهامة التی یعیشها المواطن هذا الیوم، و یحتاج لها حکما شرعیا فی التعامل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مقدمة هذا الکتاب ما قاله المرحوم الشیخ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کثر الحدیث و التساؤل عن موقف الشریعة الإسلامیة المقدسة من بعض المسائل المهمة التی اقتضتها طبیعة عصورنا هذه، و لم تکن موجودة فی عصر الرسالة، و عصور حماتها من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من بواعث الرغبة فی نفوس جملة من أفاضل أهل العلم ممن اعتادوا حضور دروسنا فی الفقه و الاصول فی أن أجعل هذه المواضیع محورا للدرس و البحث، و إن ممن حضر تلک الدروس و وعاها و دوّن الکثیر منها ولدنا الأعز العلّامة السید عزّ الدین بحر العلوم وفقه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 له أن یوسع فی بحوثها، و یعززها بجملة من المصادر الحدیثة التی عنیت بتحدید موضوعاتها، و یضیف إلیها مواضیع لم یسبق لی تدریسها، و لکنه استخلص رأیی فیها بالمذاکرة، فکان له من کل ذلک هذا الکتاب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سرحت النظر فی کل ما کتبه فوجدته قد أوفی علی الغایة فکرة و أسلوبا، و استوعب کل ما یتصل بها من بحوث، و رأیت آرائی التی استقاها فی مجلس الدرس أو المذاکرة ممثلة فیه بأمانة و 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یبعث فی نفسی التفاؤل و الأمل الکبیر فی أن ما بذلته من جهد فی إعداد أمثاله من أهل الفضل فی النجف الأشرف لم یذهب سدی و الحمد للّه تعالی، بل جاء بأطیب الثمرات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اللّه تعالی بید مؤلفه الفاضل، و بارک فی جهوده، و نفع به إخوانه من المؤمنین، إنه ولیّ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87" w:name="pg19832_212013"/>
    </w:p>
    <w:p>
      <w:pPr>
        <w:pStyle w:val="BookText"/>
        <w:rPr/>
      </w:pPr>
      <w:bookmarkEnd w:id="87"/>
      <w:r>
        <w:rPr>
          <w:rFonts w:ascii="IRNazanin" w:hAnsi="IRNazanin" w:eastAsia="IRNazanin"/>
          <w:color w:val="111111"/>
          <w:sz w:val="28"/>
          <w:sz w:val="28"/>
          <w:szCs w:val="28"/>
          <w:rtl w:val="true"/>
          <w:lang w:bidi="fa-IR"/>
        </w:rPr>
        <w:t>و قد طبع هذا الکتاب أکثر من مرة نظرا إلی أن المواضیع المبحوثة تلامس حاجة الناس، و التی فرضتها مقتضیات المجتمع المتطور، و الذی یری ضرورة قبول الشریعة الإسلامیة لها، تیسیرا للحالة الإنسانیة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یقع الکتاب فی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کان له وقع کبیر فی الأوساط العلمیة و الاجتماعیة و الاقتصادیة، خاصة و أن القضایا المستجدة فی مسیرة الحیاة الیومیة بحاجة إلی تقنین شرعی یبرر قبول العمل بها، فالدین یسر، و لیس عسر</w:t>
      </w:r>
      <w:r>
        <w:rPr>
          <w:rFonts w:eastAsia="IRNazanin" w:cs="IRNazanin"/>
          <w:color w:val="111111"/>
          <w:sz w:val="28"/>
          <w:szCs w:val="28"/>
          <w:rtl w:val="true"/>
          <w:lang w:bidi="fa-IR"/>
        </w:rPr>
        <w:t>.</w:t>
      </w:r>
    </w:p>
    <w:p>
      <w:pPr>
        <w:pStyle w:val="Heading5"/>
        <w:numPr>
          <w:ilvl w:val="4"/>
          <w:numId w:val="1"/>
        </w:numPr>
        <w:rPr/>
      </w:pPr>
      <w:bookmarkStart w:id="88" w:name="__RefHeading___Toc3493483_2314609296"/>
      <w:bookmarkStart w:id="89" w:name="_Toc34"/>
      <w:bookmarkEnd w:id="88"/>
      <w:r>
        <w:rPr>
          <w:rtl w:val="true"/>
        </w:rPr>
        <w:t>ممیزات بحثیه الفقهی و الاصولی</w:t>
      </w:r>
      <w:r>
        <w:rPr>
          <w:rtl w:val="true"/>
        </w:rPr>
        <w:t>:</w:t>
      </w:r>
      <w:bookmarkEnd w:id="89"/>
    </w:p>
    <w:p>
      <w:pPr>
        <w:pStyle w:val="Heading6"/>
        <w:numPr>
          <w:ilvl w:val="5"/>
          <w:numId w:val="1"/>
        </w:numPr>
        <w:rPr/>
      </w:pPr>
      <w:bookmarkStart w:id="90" w:name="__RefHeading___Toc3493485_2314609296"/>
      <w:bookmarkStart w:id="91" w:name="_Toc35"/>
      <w:bookmarkEnd w:id="90"/>
      <w:r>
        <w:rPr>
          <w:rtl w:val="true"/>
        </w:rPr>
        <w:t>و یلاحظ أن شیخنا الحلی وجّه بحثه الفقهی إلی مسارین متوازیین</w:t>
      </w:r>
      <w:r>
        <w:rPr>
          <w:rtl w:val="true"/>
        </w:rPr>
        <w:t>:</w:t>
      </w:r>
      <w:bookmarkEnd w:id="9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یتعدی الخط التقلیدی، و هو ما نهجه فی بحثه حول کتاب العروة الوثقی للسید محمد کاظم الیزدی رحمه اللّه، کبحوث الطهارة، و النجاسات، و الصلاة و الصوم، و إلی آخر العبادات، ثم الانتقال إلی المعاملات، و هکذا إلی آخر أبواب الفقه، کما هو جار فی المصادر الفقهیة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الشیخ حسن السعید یتضمن هذا الخط التقلیدی، و کذلک فی کتبه الخطیة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کشفه الشهید الأخ عزّ الدین بحر العلوم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خلاصة أفکار شیخنا الحلی فی کثیر من قضایا و مسائل الساعة المستحدثة التی یتطلبها الإنسان فی حیاته العامة و الخاصة، کالتلقیح الصناعی، و معاملات البنوک، و الشوارع المفتوحة من قبل الحکومة، و الیانصیب، و أمثالها من المواضیع التی یصطدم بها الإنسان فی مجتمعه المدنی کل یوم، و خاصة فی السنوات التی توسعت فیها الحضارة،</w:t>
      </w:r>
      <w:bookmarkStart w:id="92" w:name="pg19832_212014"/>
    </w:p>
    <w:p>
      <w:pPr>
        <w:pStyle w:val="BookText"/>
        <w:rPr/>
      </w:pPr>
      <w:bookmarkEnd w:id="92"/>
      <w:r>
        <w:rPr>
          <w:rFonts w:ascii="IRNazanin" w:hAnsi="IRNazanin" w:eastAsia="IRNazanin"/>
          <w:color w:val="111111"/>
          <w:sz w:val="28"/>
          <w:sz w:val="28"/>
          <w:szCs w:val="28"/>
          <w:rtl w:val="true"/>
          <w:lang w:bidi="fa-IR"/>
        </w:rPr>
        <w:t>و تقدمت بها المدنیة الحدیثة کما أشرنا إلیها</w:t>
      </w:r>
      <w:r>
        <w:rPr>
          <w:rFonts w:eastAsia="IRNazanin" w:cs="IRNazanin"/>
          <w:color w:val="111111"/>
          <w:sz w:val="28"/>
          <w:szCs w:val="28"/>
          <w:rtl w:val="true"/>
          <w:lang w:bidi="fa-IR"/>
        </w:rPr>
        <w:t>.</w:t>
      </w:r>
    </w:p>
    <w:p>
      <w:pPr>
        <w:pStyle w:val="Heading6"/>
        <w:numPr>
          <w:ilvl w:val="5"/>
          <w:numId w:val="1"/>
        </w:numPr>
        <w:rPr/>
      </w:pPr>
      <w:bookmarkStart w:id="93" w:name="__RefHeading___Toc3493487_2314609296"/>
      <w:bookmarkStart w:id="94" w:name="_Toc36"/>
      <w:bookmarkEnd w:id="93"/>
      <w:r>
        <w:rPr>
          <w:rtl w:val="true"/>
        </w:rPr>
        <w:t>الشیخ الحلی الاصولی</w:t>
      </w:r>
      <w:r>
        <w:rPr>
          <w:rtl w:val="true"/>
        </w:rPr>
        <w:t>:</w:t>
      </w:r>
      <w:bookmarkEnd w:id="94"/>
    </w:p>
    <w:p>
      <w:pPr>
        <w:pStyle w:val="Heading6"/>
        <w:numPr>
          <w:ilvl w:val="5"/>
          <w:numId w:val="1"/>
        </w:numPr>
        <w:rPr/>
      </w:pPr>
      <w:bookmarkStart w:id="95" w:name="__RefHeading___Toc3493489_2314609296"/>
      <w:bookmarkStart w:id="96" w:name="_Toc37"/>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ذکر الشیخ الحلی رحمه اللّه لبعض تلامیذه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مشهور عند الناس بالفقه، و اصولی أقوی من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بالبعید منه هذا القول، فلقد تأثر شیخنا بفرسان علم الاصول فی عصره،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النائینی، و آغا ضیاء العراقی، و السید أبو الحسن الاصفهانی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منهجه فی بحوثه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یمتد إلی المدرسة الاصولیة التی تصل إلی الشیخ الأنصاری و طلابه الذین تبنوا منهجه فی محاولاته التجدیدیة، و ممیزاته التی أعطت المدرسة الاصولیة الحدیثة حیویة و نشاطا لم تعهد قبلا بالرغم من انحسار التیار الأخباری، فلم یکن مثل هذا النشاط مجرد رد فعل للتیار المذکور، بل هو انفتاح لآفاق جدیدة لعلم الاصول، و تسرب الفکر الفلسفی و الدقة العلمیة بالتدریج إلی الفکر الاصولی، و اجتماع خیرة القدرات العلمیة من أرجاء هذه المدرسة، انتهت إلی حدوث تطورات واسعة و سریعة جدا، بحیث نجد الطلاب الذین ینتهون من الرسائل فی هذا الیوم یشعرون بالقفزة الکبیرة بین ما درسوه فی مرحلة السطوح و ما یدرسونه فی البحث الخارج، حتی کأنهم یحتاجون إلی استیعاب ما دوّنته الأجیال الثلاثة من أفکار عمیقة بعد الشیخ، کی یمکنهم استیعاب ما یطرحه أساتذة الخارج فی عصرنا هذا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97" w:name="pg19832_212015"/>
    </w:p>
    <w:p>
      <w:pPr>
        <w:pStyle w:val="BookText"/>
        <w:rPr/>
      </w:pPr>
      <w:bookmarkEnd w:id="97"/>
      <w:r>
        <w:rPr>
          <w:rFonts w:ascii="IRNazanin" w:hAnsi="IRNazanin" w:eastAsia="IRNazanin"/>
          <w:color w:val="111111"/>
          <w:sz w:val="28"/>
          <w:sz w:val="28"/>
          <w:szCs w:val="28"/>
          <w:rtl w:val="true"/>
          <w:lang w:bidi="fa-IR"/>
        </w:rPr>
        <w:t>إن الشیخ الحلی کان یهتم کثیرا ببلورة آراء أساتذته، ثم یعطی الرأی المختار فیها، اعتقادا منه أن طلابه یجب أن یطلعوا علی أفکار الأساتذة الذین سبقوه فی الموضوع، التی تعبّر عن تطور الفکر الاصولی تبعا لأساتذتهم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معنی هذا أن لا یکون له رأی فی الموضوع، و کمثل علی ذلک انطباعات السید محمد تقی الحکیم عن محاضرات استاذه الاصولیة، فقد نقل استاذنا المرحوم السید محمد تقی الحکیم عن انطباعاته لمحاضرات استاذه الشیخ الحلی فی الاصول، و آرائه الممیزة، نذکر منها الآتی</w:t>
      </w:r>
      <w:r>
        <w:rPr>
          <w:rFonts w:eastAsia="IRNazanin" w:cs="IRNazanin"/>
          <w:color w:val="111111"/>
          <w:sz w:val="28"/>
          <w:szCs w:val="28"/>
          <w:rtl w:val="true"/>
          <w:lang w:bidi="fa-IR"/>
        </w:rPr>
        <w:t>:</w:t>
      </w:r>
    </w:p>
    <w:p>
      <w:pPr>
        <w:pStyle w:val="Heading6"/>
        <w:numPr>
          <w:ilvl w:val="5"/>
          <w:numId w:val="1"/>
        </w:numPr>
        <w:rPr/>
      </w:pPr>
      <w:bookmarkStart w:id="98" w:name="__RefHeading___Toc3493491_2314609296"/>
      <w:bookmarkStart w:id="99" w:name="_Toc38"/>
      <w:bookmarkEnd w:id="98"/>
      <w:r>
        <w:rPr/>
        <w:t>1</w:t>
      </w:r>
      <w:r>
        <w:rPr>
          <w:rtl w:val="true"/>
        </w:rPr>
        <w:t xml:space="preserve">- </w:t>
      </w:r>
      <w:r>
        <w:rPr>
          <w:rtl w:val="true"/>
        </w:rPr>
        <w:t>فی التعریف</w:t>
      </w:r>
      <w:r>
        <w:rPr>
          <w:rtl w:val="true"/>
        </w:rPr>
        <w:t>:</w:t>
      </w:r>
      <w:bookmarkEnd w:id="99"/>
    </w:p>
    <w:p>
      <w:pPr>
        <w:pStyle w:val="BookText"/>
        <w:rPr/>
      </w:pPr>
      <w:r>
        <w:rPr>
          <w:rFonts w:ascii="IRNazanin" w:hAnsi="IRNazanin" w:eastAsia="IRNazanin"/>
          <w:color w:val="111111"/>
          <w:sz w:val="28"/>
          <w:sz w:val="28"/>
          <w:szCs w:val="28"/>
          <w:rtl w:val="true"/>
          <w:lang w:bidi="fa-IR"/>
        </w:rPr>
        <w:t>یری أن إضافة کلمة اصول إلی الفقه تعطی أن لکل مسألة استقلالها الذاتی فی القیام بوظیفتها، و لا ارتباط لها بالباقی، و لذا لا تکون مسائل اصول الفقه علما واحدا، و إنما هی مجموعة مسائل لها مدخلیة ما فی استنباط الحکم الشرعی أو الوظیفة العقلیة، شرعیة أو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مدخلیتها فی الاستنباط قد تکون مباشرة کالکبریات المنتجة لها، و قد تکون غیر مباشرة کمباحث الألفاظ التی تقع صغریات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للقیاس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علیه إذا لم تکن علما قائما بذاته استغنینا عن التماس بحث موضوع العلم و ما یتعلق به من بحث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لا خصوصیة لما ذکر من مباحث الألفاظ دون بقیة البحوث اللغویة أو النحویة، و کل ما هنالک أن هذه البحوث لم تقع بحثا فی مضانها فحررت هذه فی الاصول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0" w:name="__RefHeading___Toc3493493_2314609296"/>
      <w:bookmarkStart w:id="101" w:name="_Toc39"/>
      <w:bookmarkEnd w:id="100"/>
      <w:r>
        <w:rPr/>
        <w:t>2</w:t>
      </w:r>
      <w:r>
        <w:rPr>
          <w:rtl w:val="true"/>
        </w:rPr>
        <w:t xml:space="preserve">- </w:t>
      </w:r>
      <w:r>
        <w:rPr>
          <w:rtl w:val="true"/>
        </w:rPr>
        <w:t xml:space="preserve">تحقیق مصطلح </w:t>
      </w:r>
      <w:r>
        <w:rPr>
          <w:rtl w:val="true"/>
        </w:rPr>
        <w:t>«</w:t>
      </w:r>
      <w:r>
        <w:rPr>
          <w:rtl w:val="true"/>
        </w:rPr>
        <w:t>الحکومة</w:t>
      </w:r>
      <w:r>
        <w:rPr>
          <w:rtl w:val="true"/>
        </w:rPr>
        <w:t xml:space="preserve">» </w:t>
      </w:r>
      <w:r>
        <w:rPr>
          <w:rtl w:val="true"/>
        </w:rPr>
        <w:t xml:space="preserve">و </w:t>
      </w:r>
      <w:r>
        <w:rPr>
          <w:rtl w:val="true"/>
        </w:rPr>
        <w:t>«</w:t>
      </w:r>
      <w:r>
        <w:rPr>
          <w:rtl w:val="true"/>
        </w:rPr>
        <w:t>الورود</w:t>
      </w:r>
      <w:r>
        <w:rPr>
          <w:rtl w:val="true"/>
        </w:rPr>
        <w:t>»:</w:t>
      </w:r>
      <w:bookmarkStart w:id="102" w:name="pg19832_212016"/>
      <w:bookmarkEnd w:id="101"/>
    </w:p>
    <w:p>
      <w:pPr>
        <w:pStyle w:val="BookText"/>
        <w:rPr/>
      </w:pPr>
      <w:bookmarkEnd w:id="102"/>
      <w:r>
        <w:rPr>
          <w:rFonts w:ascii="IRNazanin" w:hAnsi="IRNazanin" w:eastAsia="IRNazanin"/>
          <w:color w:val="111111"/>
          <w:sz w:val="28"/>
          <w:sz w:val="28"/>
          <w:szCs w:val="28"/>
          <w:rtl w:val="true"/>
          <w:lang w:bidi="fa-IR"/>
        </w:rPr>
        <w:t>حیث إن هاتین الکلمتین مصطلح متأخر جری علی ألسنة بعض أعلام النجف منذ ما یزید علی القرن، و تداول علی ألسنة جمیع الأعلام بعد ذلک، و بحثوا کل ما یمیزهما عن التخصیص و التخصص، و هما المصطلحان اللذان شاع استعمالهما علی ألسنة الاصولیین قدیما و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أن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رائد المدرسة الاصولیة فی عصره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وضع هذا الاصطلاح و تبنی مفاهیمه، إلا أن استاذنا الشیخ حسین الحلی تتبع هذا المصطلح فوجده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من موضع، و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طبقة منه، و إن کانت بینهما معاصرة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 w:name="__RefHeading___Toc3493495_2314609296"/>
      <w:bookmarkStart w:id="104" w:name="_Toc40"/>
      <w:bookmarkEnd w:id="103"/>
      <w:r>
        <w:rPr/>
        <w:t>3</w:t>
      </w:r>
      <w:r>
        <w:rPr>
          <w:rtl w:val="true"/>
        </w:rPr>
        <w:t xml:space="preserve">- </w:t>
      </w:r>
      <w:r>
        <w:rPr>
          <w:rtl w:val="true"/>
        </w:rPr>
        <w:t>الوضع</w:t>
      </w:r>
      <w:r>
        <w:rPr>
          <w:rtl w:val="true"/>
        </w:rPr>
        <w:t>:</w:t>
      </w:r>
      <w:bookmarkEnd w:id="104"/>
    </w:p>
    <w:p>
      <w:pPr>
        <w:pStyle w:val="BookText"/>
        <w:rPr/>
      </w:pPr>
      <w:r>
        <w:rPr>
          <w:rFonts w:ascii="IRNazanin" w:hAnsi="IRNazanin" w:eastAsia="IRNazanin"/>
          <w:color w:val="111111"/>
          <w:sz w:val="28"/>
          <w:sz w:val="28"/>
          <w:szCs w:val="28"/>
          <w:rtl w:val="true"/>
          <w:lang w:bidi="fa-IR"/>
        </w:rPr>
        <w:t>یقول أستاذنا السید محمد تقی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برحمته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أستاذنا السید أبو القاسم الخوئی قدّس سرّه بعد أن ناقش مبدأ التوقیفیة فی اللغات و دعوی أن الواضع هو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الوضع ولید الحاجة بین طبقات البشر لغرض التفاهم و سیر حرکة الحیاة، و هو یختلف باختلاف الامم و الأزمان و مقدار الحاجة إلیه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سیدنا الاستاذ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رأی أستاذنا الشیخ حسین الحلی قدّس سرّه أن الوضع لدی البدائیین یختلف عنه لدی الامم المتحضرة من حیث توفر عنصر الإرادة فیه و عدمه، فهو لدی البشر فی بدأ تکوینهم لم یکن سوی تعبیر لا شعوری عن حاجة من الحاجات یصدر عنه، کما یصدر أی صوت من أی حیوان، و کما یصدر البکاء منه عند ما یحس بما</w:t>
      </w:r>
      <w:bookmarkStart w:id="105" w:name="pg19832_212017"/>
    </w:p>
    <w:p>
      <w:pPr>
        <w:pStyle w:val="BookText"/>
        <w:rPr/>
      </w:pPr>
      <w:bookmarkEnd w:id="105"/>
      <w:r>
        <w:rPr>
          <w:rFonts w:ascii="IRNazanin" w:hAnsi="IRNazanin" w:eastAsia="IRNazanin"/>
          <w:color w:val="111111"/>
          <w:sz w:val="28"/>
          <w:sz w:val="28"/>
          <w:szCs w:val="28"/>
          <w:rtl w:val="true"/>
          <w:lang w:bidi="fa-IR"/>
        </w:rPr>
        <w:t>یدعوه إلی الألم و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فالبکاء فی حقیقته تعبیر عن الألم کما أن الألفاظ تعابیر عن معانیها، و مثل هذا التعبیر فی حقیقته تعبیر عن الألم، کما أن الألفاظ تعبیر عن معانیها، و مثل هذا التعبیر لا یسبق بتصور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تبلور اللغة و تطورها فهذا الکلام ربما یتأتی فیه، لأن الواضعین سواء فی الأعلام الشخصیة أم غیرها یسبقون الاستعمال باختیار اللفظة و تصورها بعد تصور المعنی الموضوع</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ینتهی استاذنا التقی الحکیم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یری أن تقسیمات الوضع القادمة لا تتأتی من البدائیین، و إن صح ورودها بعد مرور البشر بمراحل حضاریة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 w:name="__RefHeading___Toc3493497_2314609296"/>
      <w:bookmarkStart w:id="107" w:name="_Toc41"/>
      <w:bookmarkEnd w:id="106"/>
      <w:r>
        <w:rPr>
          <w:rtl w:val="true"/>
        </w:rPr>
        <w:t>المرجعیة المعاصرة تعتمد آراء الشیخ الحلی</w:t>
      </w:r>
      <w:r>
        <w:rPr>
          <w:rtl w:val="true"/>
        </w:rPr>
        <w:t>:</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القارئ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فی اصول الفقه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لسماحة آیة اللّه العظمی السید محمد سعید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آراء الشیخ الحلی فی أغلب أبواب الاصول و مواضیعه منتثرة بین سطوره نقاشا و استشهادا رغم أن الکتاب لیس من تقریرات الشیخ قدّس سرّه بل هو من تألیفات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علمت منه أنه یحتفظ بتقریرات بحث الشیخ</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بأمر من سماحة المرجع الدینی آیة اللّه العظمی السید علی</w:t>
      </w:r>
      <w:bookmarkStart w:id="108" w:name="pg19832_212018"/>
    </w:p>
    <w:p>
      <w:pPr>
        <w:pStyle w:val="BookText"/>
        <w:rPr/>
      </w:pPr>
      <w:bookmarkEnd w:id="108"/>
      <w:r>
        <w:rPr>
          <w:rFonts w:ascii="IRNazanin" w:hAnsi="IRNazanin" w:eastAsia="IRNazanin"/>
          <w:color w:val="111111"/>
          <w:sz w:val="28"/>
          <w:sz w:val="28"/>
          <w:szCs w:val="28"/>
          <w:rtl w:val="true"/>
          <w:lang w:bidi="fa-IR"/>
        </w:rPr>
        <w:t xml:space="preserve">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تألفت لجنة لإعداد طبع دورة کاملة اصولیة للمرحوم الشیخ الحلی کتبها نفسه، و لا زالت اللجنة مشغولة بها، و للعلم أن هذه الدراسة الموجزة عن حیاة شیخنا الاستاذ الحلی ستکون مقدمة لهذا الکتاب، الذی سیری النور عن قریب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الحلی فی بحوثه الفقهیة و الاصولیة نجد فیها الرأی الدقیق و العمق الفکری، و أنه اجتهد أن تکون بحوثه ملامسة الواقع المعاش و خاصة فی البحوث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یصف أحد طلاب الشیخ محاضراته و ما فیها من جدة و تطور علمی، و کان حینها یحاضر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أنه یتناول بحث الوضع علی نهج مشایخنا فی الاصول، فلما دخل فی بحث الوضع و جده أنه قدّس سرّه ینحو فی هذه المسألة نهج الدراسات الحدیثة فی تکوین اللغة، و یواصل المتحدث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 شی‌ء جدید لم نعهده من قبل عند أساتذتنا و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یضرب لنا مثلا فی ذلک بتکوین اللغة عند الطفل و تکاملها لدیه،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اللغة أیة لغة تتکون بنفس الطریقة التی تتکون فیها اللغة عند الطفل، غیر أن اللغة عند الأطفال تتکون فی بضع سنین، و اللغة عند الشعوب و الامم تتکون فی بضع قرون</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3493499_2314609296"/>
      <w:bookmarkStart w:id="110" w:name="_Toc42"/>
      <w:bookmarkEnd w:id="109"/>
      <w:r>
        <w:rPr>
          <w:rtl w:val="true"/>
        </w:rPr>
        <w:t>من تتلمذ علیه؟</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أحد طلابه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الشیخ الحلی مدارا للبحث و التحقیق، و محطا لأنظار أهل</w:t>
      </w:r>
    </w:p>
    <w:p>
      <w:pPr>
        <w:pStyle w:val="BookText"/>
        <w:rPr/>
      </w:pPr>
      <w:r>
        <w:rPr>
          <w:rFonts w:ascii="IRNazanin" w:hAnsi="IRNazanin" w:eastAsia="IRNazanin"/>
          <w:color w:val="111111"/>
          <w:sz w:val="28"/>
          <w:sz w:val="28"/>
          <w:szCs w:val="28"/>
          <w:rtl w:val="true"/>
          <w:lang w:bidi="fa-IR"/>
        </w:rPr>
        <w:t>الفضل، یؤمّونه للارتواء من مناهل علومه، لما عرف به من غزارة العلم، و عمق التجربة، وسعة الأفق، و وفرة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تخرّج علی یدیه جیل من أهل العلم، هم الطلیعة الیوم فی جامعة النجف</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ذکر بعض من کتب عنه فی حقل من تتلمذ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عددهم ثلاثة و خمسین شخصیة علمیة، بعضهم تسنم زعامة المرجعیة الدینیة العامة کآیة اللّه العظمی السید علی السیستانی، و آیة اللّه العظمی السید محمد سعید الحکیم، و هما من المراجع العظام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تعرض لذکر من تتلمذ علیه فعد أکثر من هذا العدد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التی شاهدتها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معرفة تامة بأغلب الشخصیات العلمیة التی کانت تحضر بحث سیدی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وجوه الحوزة العلمیة حینذاک هم من الملتزمین بالحضور فی أغلب حلقات بحوث الشیخ الحلی الفقهیة و الاصولیة لغرض التعرف علی مدی عمق المحاضرین فی المادة العلمیة، و سعة آفاقهم المعرفیة فی مدرسة النجف الأشرف العریقة، و للاستفادة من تضلعهم الفکری فی مجالات الاختصاص، و لذا نری أن الکثیر من طلاب العلم قد یحضر علی أکثر من استاذ حلقة بحث خارج للاستفادة من تنوع أفکار المحاضرین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الحلی حین یتحدث فی المادة التی یحاضر فیها فهو یعبّر عن خلاصة أفکار فرسان المادة و عرض آرائهم المتنوعة فیها، و هذا ما یروق لنخبة من أهل العلم الذین یهتمون للعمق المعرفی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 تلامیذه فی ترجمته لأستاذه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 وقت یسأل الشیخ عن رأیه فی مسألة سواء کان فی الدرس أو فی خارجه و ما هی فتواه یکون جوابه لا شأن لی بالفتوی، إن عملنا أن نبحث حول المسألة فی الکتب و نستنسخها لنناقشها مع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 السید اللاله‌زاری حدیثه عن استاذه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الشیخ رجلا دقیقا فی کل المسائل، و تحقیقا لا أستطیع أن أقول إن الشیخ حسین الحلی أقل من العلّامة الحلی</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 ممن تتلمذ علیه ذکر لی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أبحاث شیخنا الفقیه المحقق آیة اللّه الشیخ حسین الحلی قدّس سرّه و کان له درسان فی الفقه و الاصول، و کنت أقتصر علی درسه فی الاصول، و أذکر أن درسه فی الاصول یومئذ کان فی 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غرفة فی الضلع الشرقی من الصحن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أستسغ الدرس لأول وهلة بسبب أسلوبه البیانی فی التدریس، غیر أنی وجدت أن وراء هذا الأسلوب البیانی الذی لم أستسغه لأول وهلة علما جما، و معرفة غزیرة بکلمات الأعلام و آرائهم، و نضجا و جدة فی الطرح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رحمه اللّه متأثرا بآراء أستاذیه فقیهی العصر المحقق النائینی، و المحقق العراقی قدّس سرّهما و لکن یغلب علیه فیما حضرته من أبحاثه نهج أستاذه الفقیه</w:t>
      </w:r>
    </w:p>
    <w:p>
      <w:pPr>
        <w:pStyle w:val="BookText"/>
        <w:rPr/>
      </w:pPr>
      <w:r>
        <w:rPr>
          <w:rFonts w:ascii="IRNazanin" w:hAnsi="IRNazanin" w:eastAsia="IRNazanin"/>
          <w:color w:val="111111"/>
          <w:sz w:val="28"/>
          <w:sz w:val="28"/>
          <w:szCs w:val="28"/>
          <w:rtl w:val="true"/>
          <w:lang w:bidi="fa-IR"/>
        </w:rPr>
        <w:t>العراقی الشیخ ضیاء الدین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أبرز خصاله الشخصیة تحرره رحمه اللّه عن التکلف، و بساطته فی المعیشة، و فی علاقاته الاجتماعیة مع تلامذته و مع سائر الناس، و ابتعاده عن الزعامة، و ما تکتنفها من القیود و الکلفات</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أشرنا فیما سبق أن شیخنا الحلی تأثر بأستاذه الشیخ النائینی، و نظرة إلی ما سجله من تقریرات استاذه النائینی، و ما عبر عنه بأنه أفضل تلامذته، و توجیه من طلب منه طبع رسالته بغیة تقلیده فیرشده إلی رسالة الشیخ النائینی، یتأکد بأن الشیخ تأثر بالنائینی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معنی هذا أن الآخرین من أعلام الحلقات العلمیة لم یتطرقوا إلی هذا الجانب، إنما کانوا یختصون بأفکارهم و یناقشون أفکار مخالفیهم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نری أن حلقة بحث الشیخ الحلی تقتصر علی النخبة ممن یهتم لهذا الجانب التحقیقی، و لذا نری أن حلقة بحث الشیخ الحلی العلمیة لم تصل إلی ثلث حلقة الآخرین ممن هم بدرجته من العلم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یرشدنا إلی التعرف علی مزیة مهمة للشیخ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یهتم لکل طالب من طلابه الجادین الذین یکتبون بحثیه یومیا، و یهتم کثیرا علی الاطلاع مما کتبه، فإذا رأی نقصا أو تشویشا لرأیه علّق علی الصفحة بخطه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تصوری أن الاهتمام فی الامور العلمیة یأخذ الجانب الکیفی، لأن الجانب الکمی لا قیمة له بالنسبة للجانب العلمی، و من هنا نستطیع أن نفسر عدم اتساع عدد أفراد الذین یحضرون بحثی الشیخ فی الفقه</w:t>
      </w:r>
    </w:p>
    <w:p>
      <w:pPr>
        <w:pStyle w:val="BookText"/>
        <w:rPr/>
      </w:pPr>
      <w:r>
        <w:rPr>
          <w:rFonts w:ascii="IRNazanin" w:hAnsi="IRNazanin" w:eastAsia="IRNazanin"/>
          <w:color w:val="111111"/>
          <w:sz w:val="28"/>
          <w:sz w:val="28"/>
          <w:szCs w:val="28"/>
          <w:rtl w:val="true"/>
          <w:lang w:bidi="fa-IR"/>
        </w:rPr>
        <w:t>و الاصول، کما کان فی بحثی المرجعین المعاصرین له، و هما العلمان الکبیران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الحکیم، و السید أبو القاسم الخوئی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أستعرض لذکر تلامیذ شیخنا الحلی فأنا أسجل أسماء من أعرف أنهم لازموا البحث، و أسجل حضور الآخرین معتمدا علی بعض المصادر، سأشیر إلی ذکرها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أعتقد أنه لا یمکن اعتبار جمیع من ورد اسمه فی هذه القائمة من طلابه الملازمین لبحوثه، فبعضهم حضر فی فترات متفاوتة، و لذا یمکن اعتبارهم طبقتین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مقدمة الملازمین المرجعان السید السیستانی، و السید محمد سعید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الأخوان العلمان السید محمد حسین، و السید محمد تقی الحکیم، و الشهیدان السیدان علاء الدین، و عزّ الدین بحر العلوم، و غیرهم ممن لا أستحضر أسماءهم بالضبط، و سوف اورد أسماء الجمیع حسب الحروف الهجائیة معتمدا علی المصادر التی تشیر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إبراهیم الشیخ صفر علی المشکینی الاردبیلی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إبراهیم الکماری بن ساجد السید باقر الزنجانی التبریزی </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إسماعیل السید حیدر الصدر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تقی بن السید حسین الطباطبائی القمی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جعفر محبوبة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جعفر المرعشی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جعفر میرزا علی النائینی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جمال الدین السید رءوف الملایری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حسن سعید الطهرانی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حسن الشیخ محسن الجواهری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حسن المرتضوی الشاهرودی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حسن موسی الشمیساوی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حسین باقر الموسوی الهندی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رضا السید زین العابدین الخلخالی الموسوی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یعثر علی رفاته بعد سقوط النظام الصدامی المباد الذی اعتقله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رضی السید محمد حسین الشیرازی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صادق الشیخ باقر القاموسی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ضیاء الدین الاشکوری النجفی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عباس الحسینی الکاشانی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عباس المدرسی الیزدی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عباس میرزا علی النائینی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عبد الجلیل الشیخ میرزا هادی کرمانشاهی الجلیلی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عبد الرزاق السید محمد الموسوی المقرم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عبد الرضا الروحانی القوچانی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عبد الرسول شریعتمداری جهرمی نزیل قم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عبد الرسول الواعظی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عبد العزیز السید جواد الطباطبائی الیزدی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عبد الکریم آل علی خان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عبد المجید شمس الدین السید عبد العظیم الحسینی الکابلی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عبد المهدی الشیخ عبد الحسین مطر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عبد الهادی حموزی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الشهید عزّ الدین بحر العلوم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یعثر علی رفاته بعد سقوط النظام الصدامی عام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الشهید علاء الدین السید علی بحر العلوم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یعثر علی رفاته بعد سقوط نظام صدام عام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الشهید الشیخ میرزا علی بن أسد اللّه بن حسن التبریزی الغروی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علی حرج </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علی زین الدین بن الشیخ عبد العزیز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علی السیستانی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علی الشیخ قاسم المعروف بقسام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علی الشیخ محمد طه الکرمی الحویزی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قربان علی بن محمد رضا الأفغانی الشهیر بالمحقق الترکمانی الکابلی نزیل قم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میرزا کاظم القاروبی التبریزی النجفی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کاظم الحسینی السرابی النجفی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الشهید کاظم السید محسن الحکیم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إبراهیم البروجردی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إبراهیم الجناتی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السید إسماعیل السدهی الموسوی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الشیخ عبد اللّه آل راضی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الشهید محمد باقر السید حیدر الصدر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باقر الطاهری الشاهرودی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تقی السید محمد سعید الحکیم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السید جمال الهاشمی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جواد الأمین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جواد الشیخ عبد الرضا آل راضی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جواد السید عبد الرءوف فضل اللّه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حسن الشیخ عبد اللطیف الجزائری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حسن القافی الیزدی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حسین فضل اللّه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حسین محمد رضا الکلباسی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حسین السید محمد سعید الحکیم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رضا محمد علی الحویزی العامری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سعید السید محسن الحکیم البصری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سعید السید محمد علی الحکیم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صادق السید باقر الحکیم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السید علی بحر العلوم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فقه خاص</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علی السید أحمد الحکیم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بن محمد إسماعیل القزوینی الغروی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علی صادقی اصفهانی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علی السید محمد حسین العلاق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علی المدرسی الیزدی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کاظم فقیهی مازندرانی نزیل قم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مفتی الشیعة الأردبیلی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مهدی الشیخ علی محمد الآصفی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مهدی السید میرزا حسن البجنوردی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مهدی السید فاضل الموسوی الخلخالی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الشیخ مهدی زین العابدین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هادی معرفت الحائری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محمود السید حسین الحبوبی الحسنی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مرتضی الأشرفی الشاهرودی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مرتضی الشیخ علی محمد البروجردی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مرتضی الحائری </w:t>
      </w:r>
      <w:r>
        <w:rPr>
          <w:rFonts w:eastAsia="IRNazanin" w:cs="IRNazanin"/>
          <w:color w:val="111111"/>
          <w:sz w:val="28"/>
          <w:szCs w:val="28"/>
          <w:rtl w:val="true"/>
          <w:lang w:bidi="fa-IR"/>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مرتضی السید محمد حسین الحکمی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مسلم السید حمود الحسینی الحلی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مصطفی الأشرفی الشاهرودی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مصطفی النورانی الأردبیلی </w:t>
      </w:r>
      <w:r>
        <w:rPr>
          <w:rFonts w:eastAsia="IRNazanin" w:cs="IRNazanin"/>
          <w:color w:val="111111"/>
          <w:sz w:val="28"/>
          <w:szCs w:val="28"/>
          <w:rtl w:val="true"/>
          <w:lang w:bidi="fa-IR"/>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موسی السید جعفر بحر العلوم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مهدی السید محسن الحکیم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نور الشیخ حسین مشکور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نور الدین بن حامد الواعظی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موسی الشیخ هادی زین العابدین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هاشم الطهرانی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یوسف السید محسن الحکیم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غیرهم من الأعلام و الفضلاء الذین کان لهم دور معروف فی الجامعة العلمیة فی النجف، و البعض من هؤلاء انتقلوا فی الظروف القاسیة التی فجّرها صدام حسین بوجه طلاب العلم الشیعة فی العتبات المقدسة فی النجف الأشرف، و کربلاء، و الکاظمیة، و سامراء، حیث سفّرهم إلی خارج العراق، و بعضهم عادوا إلی أوطانهم فی لبنان، و إیران، و باکستان، و الهند، و البحرین، و الأحساء، و القطیف، و غیرها من الدول الإسلامیة الشیعیة التی تعارف فی أجوائها أن ترسل أبناءها إلی الجامعة العلمیة النجفیة لیتفقهوا فی الدین، و یرجعوا إلی أوطانهم لتحمل مسئولیة إدارة حوزتها العلمیة، و الإرشاد الدینی فیها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أن الشیخ کان فی سن الشباب یحرص علی مجالسة العلماء من الطبقة المتقدمة علیه لیستفید منهم ما یمکن استفادته، و قد نقل لی أحد الفضلاء من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الطباطبائی الیزدی کان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مسوداته تعرض علی تلمیذه المقرب له المرحوم آیة اللّه الشیخ</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کاشف الغطاء، و کان الشیخ الحلی علی حضور مجلس الشیخ کاشف الغطاء للاستفادة من المسائل العلمیة التی تعرض فیه، و خاصة تلک التی کان یثیرها بین حضار المجلس الشیخ کاشف الغطاء من خلال مسودّات کتاب العروة الوثقی من المسائل القابلة للنقاش، و کان الشیخ الحلی یشارک فی النقاش المثار حول بعض الآراء الطباطبائیة و غیرها، و کان الشیخ کاشف الغطاء یهتم بمناقشات الشیخ الحلی لما یتوسم فیها من عمق علمی، و حسن رأی، و یتنبأ له بمنزلة علمیة مستقبلیة، و عمره حینذاک لم یتجاوز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bookmarkStart w:id="111" w:name="pg19832_212032"/>
    </w:p>
    <w:p>
      <w:pPr>
        <w:pStyle w:val="Heading3"/>
        <w:numPr>
          <w:ilvl w:val="2"/>
          <w:numId w:val="1"/>
        </w:numPr>
        <w:rPr/>
      </w:pPr>
      <w:bookmarkStart w:id="112" w:name="__RefHeading___Toc3493501_2314609296"/>
      <w:bookmarkStart w:id="113" w:name="_Toc43"/>
      <w:bookmarkEnd w:id="111"/>
      <w:bookmarkEnd w:id="112"/>
      <w:r>
        <w:rPr>
          <w:rtl w:val="true"/>
        </w:rPr>
        <w:t>الباب الثالث الوجه الآخر لشیخنا الحلی</w:t>
      </w:r>
      <w:bookmarkEnd w:id="11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 w:name="__RefHeading___Toc3493503_2314609296"/>
      <w:bookmarkStart w:id="115" w:name="_Toc44"/>
      <w:bookmarkEnd w:id="114"/>
      <w:r>
        <w:rPr>
          <w:rtl w:val="true"/>
        </w:rPr>
        <w:t>اشارة</w:t>
      </w:r>
      <w:bookmarkStart w:id="116" w:name="pg19832_212033"/>
      <w:bookmarkEnd w:id="115"/>
    </w:p>
    <w:p>
      <w:pPr>
        <w:pStyle w:val="Heading4"/>
        <w:numPr>
          <w:ilvl w:val="3"/>
          <w:numId w:val="1"/>
        </w:numPr>
        <w:rPr/>
      </w:pPr>
      <w:bookmarkStart w:id="117" w:name="__RefHeading___Toc3493505_2314609296"/>
      <w:bookmarkStart w:id="118" w:name="_Toc45"/>
      <w:bookmarkEnd w:id="116"/>
      <w:bookmarkEnd w:id="117"/>
      <w:r>
        <w:rPr>
          <w:rtl w:val="true"/>
        </w:rPr>
        <w:t>الفصل الأول ملامح إنسانیة لها الأثر فی بناء شخصیة مترجمنا الشیخ</w:t>
      </w:r>
      <w:bookmarkEnd w:id="118"/>
    </w:p>
    <w:p>
      <w:pPr>
        <w:pStyle w:val="Heading5"/>
        <w:numPr>
          <w:ilvl w:val="4"/>
          <w:numId w:val="1"/>
        </w:numPr>
        <w:rPr/>
      </w:pPr>
      <w:bookmarkStart w:id="119" w:name="__RefHeading___Toc3493507_2314609296"/>
      <w:bookmarkStart w:id="120" w:name="_Toc46"/>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هناک قضایا إنسانیة و أخلاقیة تبرز صاحبها مدرسة تعج بالفضائل الکریمة، و تمیزه عن کثیر من الذین عاشوا و ماتوا و هم علی هامش الحیاة، و یهملهم التاریخ، و الإنسان مهما کانت مکانته العلمیة و الاجتماعیة إذا لم تکن مثمرة و مشوبة بما یخلدها فلا خیر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الحلی جم الفضائل، و إذا أردنا اختزالها بما یتسع هذه الأوراق المعدودة فیمکن اختصارها بالنقاط التالیة</w:t>
      </w:r>
      <w:r>
        <w:rPr>
          <w:rFonts w:eastAsia="IRNazanin" w:cs="IRNazanin"/>
          <w:color w:val="111111"/>
          <w:sz w:val="28"/>
          <w:szCs w:val="28"/>
          <w:rtl w:val="true"/>
          <w:lang w:bidi="fa-IR"/>
        </w:rPr>
        <w:t>:</w:t>
      </w:r>
    </w:p>
    <w:p>
      <w:pPr>
        <w:pStyle w:val="Heading5"/>
        <w:numPr>
          <w:ilvl w:val="4"/>
          <w:numId w:val="1"/>
        </w:numPr>
        <w:rPr/>
      </w:pPr>
      <w:bookmarkStart w:id="121" w:name="__RefHeading___Toc3493509_2314609296"/>
      <w:bookmarkStart w:id="122" w:name="_Toc47"/>
      <w:bookmarkEnd w:id="121"/>
      <w:r>
        <w:rPr>
          <w:rtl w:val="true"/>
        </w:rPr>
        <w:t>أولا</w:t>
      </w:r>
      <w:r>
        <w:rPr>
          <w:rtl w:val="true"/>
        </w:rPr>
        <w:t xml:space="preserve">: </w:t>
      </w:r>
      <w:r>
        <w:rPr>
          <w:rtl w:val="true"/>
        </w:rPr>
        <w:t>ورعه و تقواه</w:t>
      </w:r>
      <w:r>
        <w:rPr>
          <w:rtl w:val="true"/>
        </w:rPr>
        <w:t>.</w:t>
      </w:r>
      <w:bookmarkEnd w:id="122"/>
    </w:p>
    <w:p>
      <w:pPr>
        <w:pStyle w:val="BookText"/>
        <w:rPr/>
      </w:pPr>
      <w:r>
        <w:rPr>
          <w:rFonts w:ascii="IRNazanin" w:hAnsi="IRNazanin" w:eastAsia="IRNazanin"/>
          <w:color w:val="111111"/>
          <w:sz w:val="28"/>
          <w:sz w:val="28"/>
          <w:szCs w:val="28"/>
          <w:rtl w:val="true"/>
          <w:lang w:bidi="fa-IR"/>
        </w:rPr>
        <w:t xml:space="preserve">لقد عشت معه زمنا یزید علی عدة عقود لاحظت فیه عامل التقوی و الورع یبعده الولوج فی المظاهر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یتطلبها أغلب الناس لأیام دنیاه و تلوین الواجهة، بما یعشیه عن حقیقة الإنسانیة الطبیعیة غیر المتکلفة، و بما یرضی اللّه سبحانه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کمثل لذلک فالمعتاد إذا دخل أحد العلماء إلی مجلس الفاتحة فی النجف یستعید مقرئ القرآن الفاتحة تکریما له، و الشیخ الحلی من العلماء الذین یستحقون استعادة الفاتحة کما هو المألوف لأقرانه، و لکن ذلک القارئ ما کان یقوم بهذه المهمة، فاستهجنت منه هذا الموقف، و قررت أن أستفسر عن السبب، فالتقیت به مرة، فاستوقفته و سألته عن السبب، فقال بکل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عمک ما یرضی بذلک</w:t>
      </w:r>
      <w:r>
        <w:rPr>
          <w:rFonts w:eastAsia="IRNazanin" w:cs="IRNazanin"/>
          <w:color w:val="111111"/>
          <w:sz w:val="28"/>
          <w:szCs w:val="28"/>
          <w:rtl w:val="true"/>
          <w:lang w:bidi="fa-IR"/>
        </w:rPr>
        <w:t>.</w:t>
      </w:r>
      <w:bookmarkStart w:id="123" w:name="pg19832_212034"/>
    </w:p>
    <w:p>
      <w:pPr>
        <w:pStyle w:val="BookText"/>
        <w:rPr/>
      </w:pPr>
      <w:bookmarkEnd w:id="123"/>
      <w:r>
        <w:rPr>
          <w:rFonts w:ascii="IRNazanin" w:hAnsi="IRNazanin" w:eastAsia="IRNazanin"/>
          <w:color w:val="111111"/>
          <w:sz w:val="28"/>
          <w:sz w:val="28"/>
          <w:szCs w:val="28"/>
          <w:rtl w:val="true"/>
          <w:lang w:bidi="fa-IR"/>
        </w:rPr>
        <w:t>و مرة جاءه شخص من أهل المال فأعطاه مبلغا رفضه و لم یقبل منه، فقال له بعض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لم تقبل منه الهدیة؟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أمواله فیها شبهة، و أنا لا أرید لنفسی أن أحترق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حصل مثل هذا الکثیر، و لا أرید أن أطیل بها، و لو أراد الشیخ أن یقبل مثل هذه الأمور لکان حاله غیر ما عرف فیه من بساطة العیش التی قضی فیها حیاته</w:t>
      </w:r>
      <w:r>
        <w:rPr>
          <w:rFonts w:eastAsia="IRNazanin" w:cs="IRNazanin"/>
          <w:color w:val="111111"/>
          <w:sz w:val="28"/>
          <w:szCs w:val="28"/>
          <w:rtl w:val="true"/>
          <w:lang w:bidi="fa-IR"/>
        </w:rPr>
        <w:t>.</w:t>
      </w:r>
    </w:p>
    <w:p>
      <w:pPr>
        <w:pStyle w:val="Heading5"/>
        <w:numPr>
          <w:ilvl w:val="4"/>
          <w:numId w:val="1"/>
        </w:numPr>
        <w:rPr/>
      </w:pPr>
      <w:bookmarkStart w:id="124" w:name="__RefHeading___Toc3493511_2314609296"/>
      <w:bookmarkStart w:id="125" w:name="_Toc48"/>
      <w:bookmarkEnd w:id="124"/>
      <w:r>
        <w:rPr>
          <w:rtl w:val="true"/>
        </w:rPr>
        <w:t>ثانیا</w:t>
      </w:r>
      <w:r>
        <w:rPr>
          <w:rtl w:val="true"/>
        </w:rPr>
        <w:t xml:space="preserve">: </w:t>
      </w:r>
      <w:r>
        <w:rPr>
          <w:rtl w:val="true"/>
        </w:rPr>
        <w:t>کرمه و عطاؤه</w:t>
      </w:r>
      <w:r>
        <w:rPr>
          <w:rtl w:val="true"/>
        </w:rPr>
        <w:t>.</w:t>
      </w:r>
      <w:bookmarkEnd w:id="125"/>
    </w:p>
    <w:p>
      <w:pPr>
        <w:pStyle w:val="BookText"/>
        <w:rPr/>
      </w:pPr>
      <w:r>
        <w:rPr>
          <w:rFonts w:ascii="IRNazanin" w:hAnsi="IRNazanin" w:eastAsia="IRNazanin"/>
          <w:color w:val="111111"/>
          <w:sz w:val="28"/>
          <w:sz w:val="28"/>
          <w:szCs w:val="28"/>
          <w:rtl w:val="true"/>
          <w:lang w:bidi="fa-IR"/>
        </w:rPr>
        <w:t>الکرم سجیة إنسانیة محبوبة ترفع من شأن الانسان و تحفظ مقامه فی اسرته و أهله و بلده، و شیخنا الحلی من هذا الصنف الذی حباهم اللّه سبحانه خصلة أحبها لنفسه، و أحب أن تکون فی عباده المکرمین أیضا، فکان المال لا قیمة له فی حساب الشیخ الحلی، و قبل فی العیش البسیط، زاهدا فی دنیاه، فلا یفرح به حین یغوص فی جیبه لأنه سوف ینتقل إلی ید غیره إن آجلا أو عاجلا، و لا یأسف علیه إذا أعطاه لمن یستحقه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نقل لی من أثق به من الأصدقاء أن أحد طلابه الموثوقین نقل أنه ذهب إلی بیت الشیخ الحلی لیناقشه فی مسألة فقهیة علقت فی ذهنه، و لما دخل علیه فی غرفته الخاصة المتواضعة فی أثاثها، استقبله بکل بشاشة و ترحاب، و بعد أن استقر به المقام أتم مناقشة المسألة و خرجا سویة باتجاه الصحن الحیدری، و فی الطریق التقی به أحد خدم الروضة العلویة، و معه رجل عرّف نفسه للشیخ و سلّم علیه، و قدّم له ظرفا فیه بعض المال، و ودعه و انصرف، و بعد دقائق عاد خادم الروضة الذی صحب الرجل، و قال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بعض المساعدة مما وصل لکم یا مولانا، فقال له الشیخ</w:t>
      </w:r>
      <w:r>
        <w:rPr>
          <w:rFonts w:eastAsia="IRNazanin" w:cs="IRNazanin"/>
          <w:color w:val="111111"/>
          <w:sz w:val="28"/>
          <w:szCs w:val="28"/>
          <w:rtl w:val="true"/>
          <w:lang w:bidi="fa-IR"/>
        </w:rPr>
        <w:t>:</w:t>
      </w:r>
      <w:bookmarkStart w:id="126" w:name="pg19832_212035"/>
    </w:p>
    <w:p>
      <w:pPr>
        <w:pStyle w:val="BookText"/>
        <w:rPr/>
      </w:pPr>
      <w:bookmarkEnd w:id="126"/>
      <w:r>
        <w:rPr>
          <w:rFonts w:ascii="IRNazanin" w:hAnsi="IRNazanin" w:eastAsia="IRNazanin"/>
          <w:color w:val="111111"/>
          <w:sz w:val="28"/>
          <w:sz w:val="28"/>
          <w:szCs w:val="28"/>
          <w:rtl w:val="true"/>
          <w:lang w:bidi="fa-IR"/>
        </w:rPr>
        <w:t>أنت محتاج،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جدی رسول اللّه إنی محتاج، فدفع الشیخ الحلی له الظرف بما فیه، و لم یأخذ منه دینارا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 مندهشا، فقبل فترة وجیزة طلب منه ولده بعض المال لشراء حاجة ضروریة للبیت اعتذر له من عدم مال لدیه، و جاء له رزق فأعطاه بسخاء و لم یقدّم حاجته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 کرم الشیخ، یقدّم المحتاج و یؤثره علی نفسه حتی فی أضیق الأوقات</w:t>
      </w:r>
      <w:r>
        <w:rPr>
          <w:rFonts w:eastAsia="IRNazanin" w:cs="IRNazanin"/>
          <w:color w:val="111111"/>
          <w:sz w:val="28"/>
          <w:szCs w:val="28"/>
          <w:rtl w:val="true"/>
          <w:lang w:bidi="fa-IR"/>
        </w:rPr>
        <w:t>.</w:t>
      </w:r>
    </w:p>
    <w:p>
      <w:pPr>
        <w:pStyle w:val="Heading5"/>
        <w:numPr>
          <w:ilvl w:val="4"/>
          <w:numId w:val="1"/>
        </w:numPr>
        <w:rPr/>
      </w:pPr>
      <w:bookmarkStart w:id="127" w:name="__RefHeading___Toc3493513_2314609296"/>
      <w:bookmarkStart w:id="128" w:name="_Toc49"/>
      <w:bookmarkEnd w:id="127"/>
      <w:r>
        <w:rPr>
          <w:rtl w:val="true"/>
        </w:rPr>
        <w:t>ثالثا</w:t>
      </w:r>
      <w:r>
        <w:rPr>
          <w:rtl w:val="true"/>
        </w:rPr>
        <w:t xml:space="preserve">: </w:t>
      </w:r>
      <w:r>
        <w:rPr>
          <w:rtl w:val="true"/>
        </w:rPr>
        <w:t xml:space="preserve">أصدقاؤه </w:t>
      </w:r>
      <w:r>
        <w:rPr>
          <w:rtl w:val="true"/>
        </w:rPr>
        <w:t>«</w:t>
      </w:r>
      <w:r>
        <w:rPr>
          <w:rtl w:val="true"/>
        </w:rPr>
        <w:t>الصفوة</w:t>
      </w:r>
      <w:r>
        <w:rPr>
          <w:rtl w:val="true"/>
        </w:rPr>
        <w:t>».</w:t>
      </w:r>
      <w:bookmarkEnd w:id="128"/>
    </w:p>
    <w:p>
      <w:pPr>
        <w:pStyle w:val="BookText"/>
        <w:rPr/>
      </w:pPr>
      <w:r>
        <w:rPr>
          <w:rFonts w:ascii="IRNazanin" w:hAnsi="IRNazanin" w:eastAsia="IRNazanin"/>
          <w:color w:val="111111"/>
          <w:sz w:val="28"/>
          <w:sz w:val="28"/>
          <w:szCs w:val="28"/>
          <w:rtl w:val="true"/>
          <w:lang w:bidi="fa-IR"/>
        </w:rPr>
        <w:t>و هم أصدقاؤه الأعزاء، حیث اطلق هذا اللقب علی مجموعة من الأعلام کان عددهم تسعة أشخاص،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إبراهیم السید محمد شبر توفی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حسن البهبهانی توفی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حسین الحلی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علی بحر العلوم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کاظم علی‌بیج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محمد جواد الحجامی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حسین الجواهری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حسین المظفر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موسی الجصانی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میر علی أبو طبیخ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 المرحوم الاستاذ جعفر الخلیلی فی تعریف الصفوة الذین نشیر إلیهم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بهذا الرهط من خیار الأصحاب الذین یصاحبون السید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یماسونه، ینشطون فی اتجاهاتهم العلمیة و الأدبیة فیختارون لأنفسهم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الحق أنهم کانوا صفوة القوم فی بحوثهم و آدابهم و أخلاقهم و هزلهم، و لم یبق من الصفوة الیوم </w:t>
      </w:r>
      <w:r>
        <w:rPr>
          <w:rStyle w:val="FootnoteAnchor"/>
          <w:rtl w:val="true"/>
        </w:rPr>
        <w:footnoteReference w:id="161"/>
      </w:r>
      <w:r>
        <w:rPr>
          <w:rFonts w:ascii="IRNazanin" w:hAnsi="IRNazanin" w:eastAsia="IRNazanin"/>
          <w:color w:val="111111"/>
          <w:sz w:val="28"/>
          <w:sz w:val="28"/>
          <w:szCs w:val="28"/>
          <w:rtl w:val="true"/>
          <w:lang w:bidi="fa-IR"/>
        </w:rPr>
        <w:t xml:space="preserve">إلّا الشیخ حسین الحلی، و کانت هذه الصفوة تتخذ من بیت السید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ندوة عامة و خاصة، فهی لا تفارق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صباحا و لا مساء، فإذا انصرف الناس و قضیت بعض حاجات المراجعین ممن طلب وساطة السید علی فی امورهم لدی العلماء أو لدی الحکومة، أو حل مشاکلهم الخاصة، و فض النزاع فیما بینهم، و انتهی المجلس فیما هو فیه من مناقشات، و انفرط عقد الاجتماع، بقی أعضاء الصفوة فی أماکنهم و تحول المجلس العام إلی مجلس خاص، و عمر هنالک بألوان شتی من جد و سمر برئ کانت تسوده النکتة و الظرف و الدعابة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الصفوة من أهل الفضل و العلم و الأدب جمعتهم الفضیلة و المحبة و الأخوّة الصادقة، فکانوا لا یفترقون من شبابهم حتی شیخوختهم، و قد توفی الشیخ الحلی آخرهم، و کانوا جمیعا متقاربین فی السن، و کان بینهم للعلم مکان، و للأدب مکان، و للفضیلة مکان، و من مآثرهم الوفائیة أن المرحوم السید میر علی أبو طبیخ اصیب بمرض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الروماتزم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فأقعده فی البیت، فکان من وفاء هذه الصفوة أن خصصوا لزیارته فی کل أسبوع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التزم الشیخ الحلی و باقی الصفوة أن یجمعوا غذاءهم کل یوم</w:t>
      </w:r>
      <w:bookmarkStart w:id="129" w:name="pg19832_212037"/>
    </w:p>
    <w:p>
      <w:pPr>
        <w:pStyle w:val="BookText"/>
        <w:rPr/>
      </w:pPr>
      <w:bookmarkEnd w:id="129"/>
      <w:r>
        <w:rPr>
          <w:rFonts w:ascii="IRNazanin" w:hAnsi="IRNazanin" w:eastAsia="IRNazanin"/>
          <w:color w:val="111111"/>
          <w:sz w:val="28"/>
          <w:sz w:val="28"/>
          <w:szCs w:val="28"/>
          <w:rtl w:val="true"/>
          <w:lang w:bidi="fa-IR"/>
        </w:rPr>
        <w:t xml:space="preserve">الأربعاء فی بیت السید میر علی و یقضوا نهارهم معه بعد إتمام الدروس الصباحیة، تسلیة لصاحبهم الذی أقعده المرض فی بیته، و کان هذا الاجتماع یعتبر ندوة علمیة أدبیة تثار فیه المسائل العلمیة، و المناقشات الأدبیة، و الطرائف و النکات، و بقی هذا المجلس حتی وفاة السید میر علی، و هذه واحدة من وفائه مع کل إخوانه یتعهدهم بما یمکنه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3493515_2314609296"/>
      <w:bookmarkStart w:id="131" w:name="_Toc50"/>
      <w:bookmarkEnd w:id="130"/>
      <w:r>
        <w:rPr>
          <w:rtl w:val="true"/>
        </w:rPr>
        <w:t>رابعا</w:t>
      </w:r>
      <w:r>
        <w:rPr>
          <w:rtl w:val="true"/>
        </w:rPr>
        <w:t xml:space="preserve">: </w:t>
      </w:r>
      <w:r>
        <w:rPr>
          <w:rtl w:val="true"/>
        </w:rPr>
        <w:t>وفاؤه لإخوانه و أصدقائه</w:t>
      </w:r>
      <w:r>
        <w:rPr>
          <w:rtl w:val="true"/>
        </w:rPr>
        <w:t>.</w:t>
      </w:r>
      <w:bookmarkEnd w:id="131"/>
    </w:p>
    <w:p>
      <w:pPr>
        <w:pStyle w:val="BookText"/>
        <w:rPr/>
      </w:pPr>
      <w:r>
        <w:rPr>
          <w:rFonts w:ascii="IRNazanin" w:hAnsi="IRNazanin" w:eastAsia="IRNazanin"/>
          <w:color w:val="111111"/>
          <w:sz w:val="28"/>
          <w:sz w:val="28"/>
          <w:szCs w:val="28"/>
          <w:rtl w:val="true"/>
          <w:lang w:bidi="fa-IR"/>
        </w:rPr>
        <w:t xml:space="preserve">و من السجایا الکریمة التی یمتدح الإنسان علیها و یقدّر فیها وفاؤه لإخوانه و أصدقائه، و لها من الصفات العلیا و الفضائل الرفیعة ما تحفز علی التقدیر و الإکبار، لقد بقی الشیخ الحلی وفیا لإخوانه و أصدقائه یتعهدهم، و یذکرهم بخیر و یحنو علیهم، و کان آخر من توفی من أصدقائه السید علی بحر العلوم فرثاه بأروع رثاء أثار الحزن و الألم فی نفوس المستمعین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ما کنت أحسب أن الزمن یمتد بی لأری هذا الیوم الحزین، و هو یلم علی أطرافی فأضطر لأقول کلمة فی أخ رعیته و رعانی، و کنت انتظر أن یوسّدنی ملحود قبری، و یرعی أهل بیتی من بعدی، فإذا بالمقادیر تقلب هذا الظن، و إذا بی أنا المعزی و المثکول، و أنا الذی أوسده فی منزله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ساعد اللّه قلبی الوجیع، و کدت أن لا اجیب لشدة تألمی و تأثری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علیّ أبا محمد أن أجر نفسی جرا إلی بیتک، و انادیک فلا أری شخصک الکریم، و أدخل کالمدهوش ألتفت یمینا و یسارا فأری أولادک الأعزاء یلتفون حولی لیجددوا بی ذکری والدهم الراحل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 بی الخواطر الغالیة أمام ناظری تعکس علی حبک و إخلاصک، و أکاد أغیب عن الوجود، و أتمنی الموت، و أنا بانتظاره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بعد ساعة، فما ذا أرجو بالحیاة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مجلة النجف عام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32" w:name="pg19832_212038"/>
    </w:p>
    <w:p>
      <w:pPr>
        <w:pStyle w:val="BookText"/>
        <w:rPr/>
      </w:pPr>
      <w:bookmarkEnd w:id="132"/>
      <w:r>
        <w:rPr>
          <w:rFonts w:ascii="IRNazanin" w:hAnsi="IRNazanin" w:eastAsia="IRNazanin"/>
          <w:color w:val="111111"/>
          <w:sz w:val="28"/>
          <w:sz w:val="28"/>
          <w:szCs w:val="28"/>
          <w:rtl w:val="true"/>
          <w:lang w:bidi="fa-IR"/>
        </w:rPr>
        <w:t xml:space="preserve">و لم یقتصر هذا الوفاء لهم فحسب، بل تعدی إلی أولاد بعض أصدقائه بعد أن فقدوا آباءهم، فتکفلهم بالرعایة و التوجیه، و لم ینقطع عن رعایتهم حتی کبروا و أصبحوا آباء، و من هؤلاء أولاد أصدقائه الذین اطلق علیهم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من هذا فان بعض أولاد الصفوة خاصة أشرف علی تثقیفهم العلمی و الأدبی، و للوفاء أقول بکل اعتزاز و فخر فانا أولاد السید علی نعترف أن شیخنا الجلیل کان نعم الموجّه لنا، و إذا کان عندنا فی میزان الفضل و الأدب بعض الشی‌ء فالفضل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أذکر أنه کان رحمه اللّه قارئا متنوع القراءة، و کان من عادته إذا قرأ أی کتاب و من أی نوع کان و یری فیه بعض الفائدة فیعمل له فهرسا خاصا لما یعجبه مما فی الکتاب، و خاصة لکتب المصادر المهمة فی التاریخ و الأدب و مختلف العلوم، و کان یتفضل علیّ بنسخة منها لاستفادتی، و لا یبخل علی أحد إذا طالبه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یرشدنا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أخویّ الشهیدین السیدین علاء الدین و 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قراءة الکتب التی یراها من الضروری أن نطلع علیها لغرض المعرفة العامة، و بقی معنا علی مثل هذه الحالة حتی وفاته</w:t>
      </w:r>
      <w:r>
        <w:rPr>
          <w:rFonts w:eastAsia="IRNazanin" w:cs="IRNazanin"/>
          <w:color w:val="111111"/>
          <w:sz w:val="28"/>
          <w:szCs w:val="28"/>
          <w:rtl w:val="true"/>
          <w:lang w:bidi="fa-IR"/>
        </w:rPr>
        <w:t>.</w:t>
      </w:r>
    </w:p>
    <w:p>
      <w:pPr>
        <w:pStyle w:val="Heading5"/>
        <w:numPr>
          <w:ilvl w:val="4"/>
          <w:numId w:val="1"/>
        </w:numPr>
        <w:rPr/>
      </w:pPr>
      <w:bookmarkStart w:id="133" w:name="__RefHeading___Toc3493517_2314609296"/>
      <w:bookmarkStart w:id="134" w:name="_Toc51"/>
      <w:bookmarkEnd w:id="133"/>
      <w:r>
        <w:rPr>
          <w:rtl w:val="true"/>
        </w:rPr>
        <w:t>خامسا</w:t>
      </w:r>
      <w:r>
        <w:rPr>
          <w:rtl w:val="true"/>
        </w:rPr>
        <w:t xml:space="preserve">: </w:t>
      </w:r>
      <w:r>
        <w:rPr>
          <w:rtl w:val="true"/>
        </w:rPr>
        <w:t>أخلاقه و تواضعه</w:t>
      </w:r>
      <w:r>
        <w:rPr>
          <w:rtl w:val="true"/>
        </w:rPr>
        <w:t>.</w:t>
      </w:r>
      <w:bookmarkEnd w:id="13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أن المرحوم الشیخ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مطلع علی واقعه الأخلاقی الرائع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 التواضع، یحترم الصغیر المستحق للاحترام کما یحترم الکبیر، و کان لا یأبه بالشکلیات فی حیاته الاجتماعیة، و یؤکد علی القاعدة</w:t>
      </w:r>
    </w:p>
    <w:p>
      <w:pPr>
        <w:pStyle w:val="BookText"/>
        <w:rPr/>
      </w:pPr>
      <w:r>
        <w:rPr>
          <w:rFonts w:ascii="IRNazanin" w:hAnsi="IRNazanin" w:eastAsia="IRNazanin"/>
          <w:color w:val="111111"/>
          <w:sz w:val="28"/>
          <w:sz w:val="28"/>
          <w:szCs w:val="28"/>
          <w:rtl w:val="true"/>
          <w:lang w:bidi="fa-IR"/>
        </w:rPr>
        <w:t xml:space="preserve">الشهیرة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بالمکین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مقتنعا أن شکلیات المجالس لا تؤهل الإنسان للعلو و الرفعة، إنما ما یحمله من فضل و علم و أدب هی التی تبرز صاحبها، و تضفی علیه المکانة اللائقة، و هذا هو منطق السلوک الأخلاقی فی المجتمع الإنسانی للعظماء من العلماء و الأدباء و أصحاب الشأن، و هذا هو مبدأ شیخنا أبی الجواد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سمعت شخصیا من آیة اللّه المرحوم الشیخ محمد علی الکاظمی أحد أبرز تلامیذ المیرزا النائینی، و هو یتحدث إلی المرحوم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الصدیق الحمیم للشیخ الحلی و للشیخ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خلّ صاحبک شیخ حسین یختار فی المجالس مکانه اللائق لیجلس فی صدر المجلس، و لا یتواضع کثیرا و یجلس فی آخر المجلس، فیضطرنا إلی الإحراج لأننا لا نرید أن نتقدم علیه فی الجلوس فهو من کبارنا، و علینا أن نحترمه، فأین یکون موضعنا إذا لم یختر المکان اللائق به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اللون من التواضع لم نألفه عند الکثیر ممن تسنّموا هذه المنزلة العلمیة، و هو أسلوب الأنبیاء و المرسلین و الأوصیاء و الأولین من الناس المحترمین</w:t>
      </w:r>
      <w:r>
        <w:rPr>
          <w:rFonts w:eastAsia="IRNazanin" w:cs="IRNazanin"/>
          <w:color w:val="111111"/>
          <w:sz w:val="28"/>
          <w:szCs w:val="28"/>
          <w:rtl w:val="true"/>
          <w:lang w:bidi="fa-IR"/>
        </w:rPr>
        <w:t>.</w:t>
      </w:r>
      <w:bookmarkStart w:id="135" w:name="pg19832_212040"/>
    </w:p>
    <w:p>
      <w:pPr>
        <w:pStyle w:val="Heading4"/>
        <w:numPr>
          <w:ilvl w:val="3"/>
          <w:numId w:val="1"/>
        </w:numPr>
        <w:rPr/>
      </w:pPr>
      <w:bookmarkStart w:id="136" w:name="__RefHeading___Toc3493519_2314609296"/>
      <w:bookmarkStart w:id="137" w:name="_Toc52"/>
      <w:bookmarkEnd w:id="135"/>
      <w:bookmarkEnd w:id="136"/>
      <w:r>
        <w:rPr>
          <w:rtl w:val="true"/>
        </w:rPr>
        <w:t>الفصل الثانی الشیخ الحلی و السیاسة</w:t>
      </w:r>
      <w:bookmarkEnd w:id="137"/>
    </w:p>
    <w:p>
      <w:pPr>
        <w:pStyle w:val="Heading5"/>
        <w:numPr>
          <w:ilvl w:val="4"/>
          <w:numId w:val="1"/>
        </w:numPr>
        <w:rPr/>
      </w:pPr>
      <w:bookmarkStart w:id="138" w:name="__RefHeading___Toc3493521_2314609296"/>
      <w:bookmarkStart w:id="139" w:name="_Toc53"/>
      <w:bookmarkEnd w:id="138"/>
      <w:r>
        <w:rPr>
          <w:rtl w:val="true"/>
        </w:rPr>
        <w:t>اشارة</w:t>
      </w:r>
      <w:bookmarkEnd w:id="13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أصبحت السیاسة جزءا من حیاة غالبیة مراجع الدین و علماء الحوزة العلمیة الدینیة فی النجف الأشرف و کربلاء و الکاظمیة فی بدایة القرن الماضی الثالث عشر الهجری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التاسع عشر المیلادی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المحاولات المتعاقبة من قبل بعض رجال الدین فی فصل الدین عن السیاسة، و حصر مهامهم فی الفتیا بما یتعلق بشأن الامور الدینیة التی لا علاقة لها بالسیاسة، و اقتصار دور الفقیه علی العبادات و المعاملات، و الأحوال الشخصیة و ثبوت الهلال، و ما یشابه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الرأی و إن قال به بعض علماء الشیعة علی أساس أن الدولة الإسلامیة لا تقوم إلا بظهور الإمام المهدی علیه السّلام، و لکن الحاجة الزمنیة المتطورة أدت إلی القول بتطور الفقه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ذلک انتقل أغلب فقهاء الإمامیة إلی معالجة القضایا الملحة التی لها لصوق بالحیاة العامة کالحکومة و الولایة، و التصرف بالثروة الاقتصادیة الوطنیة علی مختلف أوجهها، و ضرورة ممارسة حق السلطة، التی تنظم الحیاة العامة ما دام العالم تطور إلی حکومات مقننة، و توجهات تربط الدول بعضها ببعض، و إقرار نظریة للحکم علی أساس تنسجم و قواعد الدین الإسلامی، و خاصة ما دامت حکومات غازیة تحتل البلاد،</w:t>
      </w:r>
      <w:bookmarkStart w:id="140" w:name="pg19832_212041"/>
    </w:p>
    <w:p>
      <w:pPr>
        <w:pStyle w:val="BookText"/>
        <w:rPr/>
      </w:pPr>
      <w:bookmarkEnd w:id="140"/>
      <w:r>
        <w:rPr>
          <w:rFonts w:ascii="IRNazanin" w:hAnsi="IRNazanin" w:eastAsia="IRNazanin"/>
          <w:color w:val="111111"/>
          <w:sz w:val="28"/>
          <w:sz w:val="28"/>
          <w:szCs w:val="28"/>
          <w:rtl w:val="true"/>
          <w:lang w:bidi="fa-IR"/>
        </w:rPr>
        <w:t>و تسیطر علی ثرواتها الفکریة و المادیة، و الضرورة تحکمت بذلک، و خاصة بعد أن مارست إیران هذا الحق، و شارک رجل الدین فی السلطة فی إدارة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تری بعض المصادر أن أول رجل دین شارک فی السلطة هو الشیخ علی بن الحسین بن عبد العالی الکرکی </w:t>
      </w:r>
      <w:r>
        <w:rPr>
          <w:rStyle w:val="FootnoteAnchor"/>
          <w:rtl w:val="true"/>
        </w:rPr>
        <w:footnoteReference w:id="165"/>
      </w:r>
      <w:r>
        <w:rPr>
          <w:rFonts w:ascii="IRNazanin" w:hAnsi="IRNazanin" w:eastAsia="IRNazanin"/>
          <w:color w:val="111111"/>
          <w:sz w:val="28"/>
          <w:sz w:val="28"/>
          <w:szCs w:val="28"/>
          <w:rtl w:val="true"/>
          <w:lang w:bidi="fa-IR"/>
        </w:rPr>
        <w:t xml:space="preserve">، و منح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لأول مرة فی إیران، و هو لقب کان معروفا فی الدولة العثمانیة، یمنحه السلطان العثمانی عادة لعالم دین یترأس المشیخة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3493523_2314609296"/>
      <w:bookmarkStart w:id="142" w:name="_Toc54"/>
      <w:bookmarkEnd w:id="141"/>
      <w:r>
        <w:rPr>
          <w:rtl w:val="true"/>
        </w:rPr>
        <w:t>الشیخ الحلی و جهاد العلماء ضد الانکلیز</w:t>
      </w:r>
      <w:r>
        <w:rPr>
          <w:rtl w:val="true"/>
        </w:rPr>
        <w:t>:</w:t>
      </w:r>
      <w:bookmarkEnd w:id="14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بدأ الإنکلیز فی غزو العراق لاحتلاله و إخراجه من عهد الحکم العثمانی، و أبعدت ولایة العثمانیین من البلاد الإسلامیة بصفتها الحکومة الإسلامیة علی أساس الخلافة العثمانیة، و رغم أن المسلمین الشیعة فی العراق عانوا من الحکومة العثمانیة معاناة طائفیة مقیتة، و لکن حین توجه</w:t>
      </w:r>
    </w:p>
    <w:p>
      <w:pPr>
        <w:pStyle w:val="BookText"/>
        <w:rPr/>
      </w:pPr>
      <w:r>
        <w:rPr>
          <w:rFonts w:ascii="IRNazanin" w:hAnsi="IRNazanin" w:eastAsia="IRNazanin"/>
          <w:color w:val="111111"/>
          <w:sz w:val="28"/>
          <w:sz w:val="28"/>
          <w:szCs w:val="28"/>
          <w:rtl w:val="true"/>
          <w:lang w:bidi="fa-IR"/>
        </w:rPr>
        <w:t xml:space="preserve">الإنکلیز لاحتلال العراق فی عام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وقف علماء الشیعة فی العراق إلی جانب الحکومة العثمانیة علی أساس أنها حکومة إسلامیة رغم طائفیتها، و استنادا إلی القاعدة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الناقص خیر 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تنادی مراجع الدین فی العراق بدعوة المسلمین العراقیین للجهاد ضد الغزاة الصلیبیین، و أفتوا بالجهاد المقدس، و وجوب الدفاع عن بیضة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تری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إفتاء معظم العلماء من الشیعة و السنة بوجوب الجهاد إلی جانب العثمانیین منشؤه دفع الضرر عن المسلمین، و رأوا أن تعزیز موقف العثمانیین المسلمین أمر لا مناص منه حسبما تقتضیه أحکام الشریعة الإسلامیة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قاد مراجع الحوزة العلمیة فی النجف الأشرف و کربلاء و الکاظمیة و الشخصیات الدینیة المجاهدین و العشائر العراقیة إلی البصرة لمقاتلة الجیش الانکلیزی الغازی المتمرکز فی الشعیبة و القرنة و غیرهما من المناطق الواقعة ضمن محیط محافظة البصرة، فإن الجیوش الانکلیزیة قصدت العراق من ناحیة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جعفر محبوبة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إعلان الحرب العامة و اشتراک الأتراک بها و ندائهم بالنفیر العام اشترک العراقیون مع الأتراک فیها، و وقفوا معهم جبنا إلی جنب، وصفا لصف، و نهض علماء الشیعة فی النجف و أفتوا بوجوب الدفاع عن بیضة الإسلام، فهاجت الشیعة لدفع الإنکلیز عن العراق، و انتظمت الجبهات</w:t>
      </w:r>
    </w:p>
    <w:p>
      <w:pPr>
        <w:pStyle w:val="BookText"/>
        <w:rPr/>
      </w:pPr>
      <w:r>
        <w:rPr>
          <w:rFonts w:ascii="IRNazanin" w:hAnsi="IRNazanin" w:eastAsia="IRNazanin"/>
          <w:color w:val="111111"/>
          <w:sz w:val="28"/>
          <w:sz w:val="28"/>
          <w:szCs w:val="28"/>
          <w:rtl w:val="true"/>
          <w:lang w:bidi="fa-IR"/>
        </w:rPr>
        <w:t xml:space="preserve">الحربیة، و أکثرها من عشائر العراق، و لم یکتف العلماء بالفتیا فقط، بل خاضوا تلک المعامع بأنفسهم، و وقفوا وقوف الإبطال، و أبلوا بلاء حسنا، و کان أشدهم جهادا و أکثرهم صبرا و جلادا المرحوم العلّامة السید محمد سعید الحبوبی </w:t>
      </w:r>
      <w:r>
        <w:rPr>
          <w:rStyle w:val="FootnoteAnchor"/>
          <w:rtl w:val="true"/>
        </w:rPr>
        <w:footnoteReference w:id="168"/>
      </w:r>
      <w:r>
        <w:rPr>
          <w:rFonts w:ascii="IRNazanin" w:hAnsi="IRNazanin" w:eastAsia="IRNazanin"/>
          <w:color w:val="111111"/>
          <w:sz w:val="28"/>
          <w:sz w:val="28"/>
          <w:szCs w:val="28"/>
          <w:rtl w:val="true"/>
          <w:lang w:bidi="fa-IR"/>
        </w:rPr>
        <w:t>، فانه قاد جیشا جرّارا إلی جبهة الشعیبة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إزاء هذه المقابلة من العلماء و المجاهدین العراقیین قابلت القیادة العثمانیة المجاهدین مقابلة سیئة للغایة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هذه المقدمة الموجزة عن موقف علماء الشیعة فی الجهاد ضد الإنکلیز لنا أن نتساءل، هل لشیخنا الحلی مشارکة فیها؟</w:t>
      </w:r>
    </w:p>
    <w:p>
      <w:pPr>
        <w:pStyle w:val="BookText"/>
        <w:rPr/>
      </w:pPr>
      <w:r>
        <w:rPr>
          <w:rFonts w:ascii="IRNazanin" w:hAnsi="IRNazanin" w:eastAsia="IRNazanin"/>
          <w:color w:val="111111"/>
          <w:sz w:val="28"/>
          <w:sz w:val="28"/>
          <w:szCs w:val="28"/>
          <w:rtl w:val="true"/>
          <w:lang w:bidi="fa-IR"/>
        </w:rPr>
        <w:t>قبل أن نردّ علی السؤال لا بد أن نحدد عمر الشیخ خلال هذا التحرک الدینی و الوطنی؟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أشرنا فی بدایة الحدیث أن الشیخ حسین الحلی ولد فی حدود عام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170"/>
      </w:r>
      <w:r>
        <w:rPr>
          <w:rFonts w:ascii="IRNazanin" w:hAnsi="IRNazanin" w:eastAsia="IRNazanin"/>
          <w:color w:val="111111"/>
          <w:sz w:val="28"/>
          <w:sz w:val="28"/>
          <w:szCs w:val="28"/>
          <w:rtl w:val="true"/>
          <w:lang w:bidi="fa-IR"/>
        </w:rPr>
        <w:t xml:space="preserve">و ثورة الجهاد ضد الإنکلیز عام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 الشیخ کان عمره</w:t>
      </w:r>
    </w:p>
    <w:p>
      <w:pPr>
        <w:pStyle w:val="BookText"/>
        <w:rPr/>
      </w:pPr>
      <w:r>
        <w:rPr>
          <w:rFonts w:ascii="IRNazanin" w:hAnsi="IRNazanin" w:eastAsia="IRNazanin"/>
          <w:color w:val="111111"/>
          <w:sz w:val="28"/>
          <w:sz w:val="28"/>
          <w:szCs w:val="28"/>
          <w:rtl w:val="true"/>
          <w:lang w:bidi="fa-IR"/>
        </w:rPr>
        <w:t>حینذاک فی أوائل العشرینات، بین الاثنین أو الثلاثة و العشرین، و بالامکان مشارکته فی الجهاد بهذا العمر، قال الاستاذ حسن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 ثورة النجف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غادر للجهاد عن طریق بغداد جعفر الشیخ عبد الحسین </w:t>
      </w:r>
      <w:r>
        <w:rPr>
          <w:rStyle w:val="FootnoteAnchor"/>
          <w:rtl w:val="true"/>
        </w:rPr>
        <w:footnoteReference w:id="171"/>
      </w:r>
      <w:r>
        <w:rPr>
          <w:rFonts w:ascii="IRNazanin" w:hAnsi="IRNazanin" w:eastAsia="IRNazanin"/>
          <w:color w:val="111111"/>
          <w:sz w:val="28"/>
          <w:sz w:val="28"/>
          <w:szCs w:val="28"/>
          <w:rtl w:val="true"/>
          <w:lang w:bidi="fa-IR"/>
        </w:rPr>
        <w:t xml:space="preserve">، و الشیخ عبد الکریم الجزائری </w:t>
      </w:r>
      <w:r>
        <w:rPr>
          <w:rStyle w:val="FootnoteAnchor"/>
          <w:rtl w:val="true"/>
        </w:rPr>
        <w:footnoteReference w:id="172"/>
      </w:r>
      <w:r>
        <w:rPr>
          <w:rFonts w:ascii="IRNazanin" w:hAnsi="IRNazanin" w:eastAsia="IRNazanin"/>
          <w:color w:val="111111"/>
          <w:sz w:val="28"/>
          <w:sz w:val="28"/>
          <w:szCs w:val="28"/>
          <w:rtl w:val="true"/>
          <w:lang w:bidi="fa-IR"/>
        </w:rPr>
        <w:t xml:space="preserve">، و الشیخ حسین الحلی، و الشیخ حسین الواسطی </w:t>
      </w:r>
      <w:r>
        <w:rPr>
          <w:rStyle w:val="FootnoteAnchor"/>
          <w:rtl w:val="true"/>
        </w:rPr>
        <w:footnoteReference w:id="173"/>
      </w:r>
      <w:r>
        <w:rPr>
          <w:rFonts w:ascii="IRNazanin" w:hAnsi="IRNazanin" w:eastAsia="IRNazanin"/>
          <w:color w:val="111111"/>
          <w:sz w:val="28"/>
          <w:sz w:val="28"/>
          <w:szCs w:val="28"/>
          <w:rtl w:val="true"/>
          <w:lang w:bidi="fa-IR"/>
        </w:rPr>
        <w:t>، و الشیخ منصور المحتصر</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حرز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و الفتلاوی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المتقدم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معهم الکثیر من</w:t>
      </w:r>
    </w:p>
    <w:p>
      <w:pPr>
        <w:pStyle w:val="BookText"/>
        <w:rPr/>
      </w:pPr>
      <w:r>
        <w:rPr>
          <w:rFonts w:ascii="IRNazanin" w:hAnsi="IRNazanin" w:eastAsia="IRNazanin"/>
          <w:color w:val="111111"/>
          <w:sz w:val="28"/>
          <w:sz w:val="28"/>
          <w:szCs w:val="28"/>
          <w:rtl w:val="true"/>
          <w:lang w:bidi="fa-IR"/>
        </w:rPr>
        <w:t>رجال الدین و طلبة العلم</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أعثر علی مصدر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تتبعی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الشیخ الحلی فی عداد المجاهدین فی حرکة الجهاد ضد الإنکلیز عام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لکن لم استبعد حضوره فی هذه الحرکة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حسن </w:t>
      </w:r>
      <w:r>
        <w:rPr>
          <w:rStyle w:val="FootnoteAnchor"/>
          <w:rtl w:val="true"/>
        </w:rPr>
        <w:footnoteReference w:id="176"/>
      </w:r>
      <w:r>
        <w:rPr>
          <w:rFonts w:ascii="IRNazanin" w:hAnsi="IRNazanin" w:eastAsia="IRNazanin"/>
          <w:color w:val="111111"/>
          <w:sz w:val="28"/>
          <w:sz w:val="28"/>
          <w:szCs w:val="28"/>
          <w:rtl w:val="true"/>
          <w:lang w:bidi="fa-IR"/>
        </w:rPr>
        <w:t xml:space="preserve">الأخ الکبیر للشیخ الحلی کان من حلقة المرحوم السید محمد سعید الحبوبی، و من الملازمین لمجلسه </w:t>
      </w:r>
      <w:r>
        <w:rPr>
          <w:rStyle w:val="FootnoteAnchor"/>
          <w:rtl w:val="true"/>
        </w:rPr>
        <w:footnoteReference w:id="177"/>
      </w:r>
      <w:r>
        <w:rPr>
          <w:rFonts w:ascii="IRNazanin" w:hAnsi="IRNazanin" w:eastAsia="IRNazanin"/>
          <w:color w:val="111111"/>
          <w:sz w:val="28"/>
          <w:sz w:val="28"/>
          <w:szCs w:val="28"/>
          <w:rtl w:val="true"/>
          <w:lang w:bidi="fa-IR"/>
        </w:rPr>
        <w:t>، و کما هو معروف أن السید الحبوبی هو بطل حرکة الجهاد ضد الإنکلیز، و قاد جموع المجاهدین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أن یتأثر الأخوان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أبناء الشیخ علی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بالأجواء المفعمة بالحماس للتحرک إلی البصرة لمقاتلة الإنکلیز بالمشارکة فی الحرکة، و الانخراط فی موکب المجاهدین، و هذا لا یتنافی أن یکون خروج کل منهما مع جهة ما، فکان الشیخ حسین مع الشیخ الجزائری عن طریق بغداد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یؤکد ذلک ما نقل لی أن المرحوم السید محسن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ساعد السید الحبوبی فی تحرکه الجهادی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التقی بالشیخ الحلی بالبصرة فنقله إلی صفوف المجاهدین مجموعة السید الحبوبی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143" w:name="pg19832_212046"/>
    </w:p>
    <w:p>
      <w:pPr>
        <w:pStyle w:val="BookText"/>
        <w:rPr/>
      </w:pPr>
      <w:bookmarkEnd w:id="14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عرفته من بعض الإخوة الذین لهم معرفة برحلة الجهاد، أن الشیخ الحلی کان مشارکا فی حرکة الجهاد بصفته عسکریا مشمولا حینذاک بالجندیة، و بحکم الواجب العسکری خرج للجهاد، و حین التقی به المرحوم السید محسن الحکیم فی البصرة طلب السید الحکیم من قائد المجاهدین السید محمد سعید الحبوبی أن ینقله من معسکر الجندیة إلی معسکر المجاهدین، ففی بدایة الأمر تردد السید الحبوبی لأنه جندی رسمی، لکنه بالأخیر خوّل السید الحکیم العمل بما یراه مناسبا، و فعلا نقله إلی معسکر المجاهدین</w:t>
      </w:r>
      <w:r>
        <w:rPr>
          <w:rFonts w:eastAsia="IRNazanin" w:cs="IRNazanin"/>
          <w:color w:val="111111"/>
          <w:sz w:val="28"/>
          <w:szCs w:val="28"/>
          <w:rtl w:val="true"/>
          <w:lang w:bidi="fa-IR"/>
        </w:rPr>
        <w:t>.</w:t>
      </w:r>
    </w:p>
    <w:p>
      <w:pPr>
        <w:pStyle w:val="Heading5"/>
        <w:numPr>
          <w:ilvl w:val="4"/>
          <w:numId w:val="1"/>
        </w:numPr>
        <w:rPr/>
      </w:pPr>
      <w:bookmarkStart w:id="144" w:name="__RefHeading___Toc3493525_2314609296"/>
      <w:bookmarkStart w:id="145" w:name="_Toc55"/>
      <w:bookmarkEnd w:id="144"/>
      <w:r>
        <w:rPr>
          <w:rtl w:val="true"/>
        </w:rPr>
        <w:t>و فی خضمّ المشروطة و المستبدة</w:t>
      </w:r>
      <w:bookmarkEnd w:id="145"/>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الاستعداد للمشارکة فی التحرکات الوطنیة عارما فی نفوس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ذکرهم الاستاذ حسن الأسدی فی حدیثه عن انقسام النجفیین حول موضوع المشروطة و المستبدة، فعدّ الشیخ علی و ولدیه الحسن و الحسین من جماعة المرحوم السید محمد کاظم الیزدی الذی وقف إلی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الشیخ محمد کاظم الخراسانی الذی اعتمد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بمرور الزمن حکم الدور البرلمانی فی المنطقة، و إیران جزء من المحیط الذی اتسع فیه حکم الدولة، و خاصة بعد أن شارک رجل الدین بالسلطة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السؤال الأساس لمسیرة الحکم الإسلامی فی الدولة الإیرانیة بعد أن تجاوز المتنازعون عن سلطة الدولة، هل الحکم یحد</w:t>
      </w:r>
      <w:bookmarkStart w:id="146" w:name="pg19832_212047"/>
    </w:p>
    <w:p>
      <w:pPr>
        <w:pStyle w:val="BookText"/>
        <w:rPr/>
      </w:pPr>
      <w:bookmarkEnd w:id="146"/>
      <w:r>
        <w:rPr>
          <w:rFonts w:ascii="IRNazanin" w:hAnsi="IRNazanin" w:eastAsia="IRNazanin"/>
          <w:color w:val="111111"/>
          <w:sz w:val="28"/>
          <w:sz w:val="28"/>
          <w:szCs w:val="28"/>
          <w:rtl w:val="true"/>
          <w:lang w:bidi="fa-IR"/>
        </w:rPr>
        <w:t>بدستور یقرّه البرلمان، أو تبقی الامور خاضعة لاستبداد الحاکم؟</w:t>
      </w:r>
    </w:p>
    <w:p>
      <w:pPr>
        <w:pStyle w:val="BookText"/>
        <w:rPr/>
      </w:pPr>
      <w:r>
        <w:rPr>
          <w:rFonts w:ascii="IRNazanin" w:hAnsi="IRNazanin" w:eastAsia="IRNazanin"/>
          <w:color w:val="111111"/>
          <w:sz w:val="28"/>
          <w:sz w:val="28"/>
          <w:szCs w:val="28"/>
          <w:rtl w:val="true"/>
          <w:lang w:bidi="fa-IR"/>
        </w:rPr>
        <w:t>و هنا برزت نظریتان فی هذا الشأن نوجزهما بالآتی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 الحکومة بنظام دستوری تحد من تصرفات الحاکم المعتمد علی رأیه، و أطلق علی هذا التوجه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فی إدارته للدولة لا یعتمد دستورا محددا، و إنما هو حرّ فی رأیه، و أطلق علی هذا التوجه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انقسم علماء المرجعیة الشیعیة إلی فریق یؤید الحیاة الدستوریة، لیضع حدا للاستبداد السیاسی و الدینی فی نفس الوقت، و فریق آخر تشبث بنظام الحکم الاستبدادی خشیة من انهیار التقالید الدینیة، و التفریط بسطوتها علی المجتمع، لأن فصل الدین عن الدولة أو الحکم العلمانی بالبلدان الاروبیة کان طریق الحکم البرلمانی و الدستوری بالبلدان الأوروبیة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النجف من أهم المراکز الدینیة الحساسة، و بخاصة بالنسبة لإیران و العراق، بل تکاد تکون المرکز الدینی الحساس الوحید، لذلک فان جمیع الحرکات السیاسیة العنیفة فی إیران و العراق کانت تنعکس آثارها فی النجف انعکاسا مؤثرا نافذا تترتب علیه کثیر من النتائج و الأحداث، و ما الفتاوی و البرقیات الشدیدة اللهجة التی کانت تصدر عن النجف لکل من سلاطین ترکیا، و شاهات إیران، إلّا صورة واحدة من صور ذلک التأثیر</w:t>
      </w:r>
      <w:r>
        <w:rPr>
          <w:rFonts w:eastAsia="IRNazanin" w:cs="IRNazanin"/>
          <w:color w:val="111111"/>
          <w:sz w:val="28"/>
          <w:szCs w:val="28"/>
          <w:rtl w:val="true"/>
          <w:lang w:bidi="fa-IR"/>
        </w:rPr>
        <w:t>.</w:t>
      </w:r>
    </w:p>
    <w:p>
      <w:pPr>
        <w:pStyle w:val="Heading5"/>
        <w:numPr>
          <w:ilvl w:val="4"/>
          <w:numId w:val="1"/>
        </w:numPr>
        <w:rPr/>
      </w:pPr>
      <w:bookmarkStart w:id="147" w:name="__RefHeading___Toc3493527_2314609296"/>
      <w:bookmarkStart w:id="148" w:name="_Toc56"/>
      <w:bookmarkEnd w:id="147"/>
      <w:r>
        <w:rPr>
          <w:rtl w:val="true"/>
        </w:rPr>
        <w:t>الشیخ الحلی مع المشروطة أو المستبدة؟</w:t>
      </w:r>
      <w:bookmarkEnd w:id="1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تطورت المعارضة فی تینک الإمبراطوریتین إلی حرکات</w:t>
      </w:r>
    </w:p>
    <w:p>
      <w:pPr>
        <w:pStyle w:val="BookText"/>
        <w:rPr/>
      </w:pPr>
      <w:r>
        <w:rPr>
          <w:rFonts w:ascii="IRNazanin" w:hAnsi="IRNazanin" w:eastAsia="IRNazanin"/>
          <w:color w:val="111111"/>
          <w:sz w:val="28"/>
          <w:sz w:val="28"/>
          <w:szCs w:val="28"/>
          <w:rtl w:val="true"/>
          <w:lang w:bidi="fa-IR"/>
        </w:rPr>
        <w:t>دستوریة دیمقراطیة، نشأت فی النجف بحوث و دراسات عمیقة فی الدیمقراطیة و الدستور، و تناولها رجال الدین الأکابر من مختلف و جهات النظر الإسلامیة، و ألّفوا فی تأیید الدیمقراطیة الدستوریة مختلف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حجة الإسلام المیرزا حسین النائینی فی مقدمة من وضعوا الکتب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بنتیجة هذه الحرکة الفکریة الصاخبة انشطرت النجف کل النجف بعد صدور الدستور العثمانی عام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شطرین متناحرین بلغ الخصام بینهما أقصی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شطر یتزعمه آیة اللّه الملا کاظم الخراسانی، و تلتف حوله الأکثریة الساحقة من العلماء، و الطبقة الخاصة المثقفة من النجفیین، جمیع آل 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الشیخ علی الشیخ باقر الجواهری، و الشیخ حسن بن الشیخ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آل الشبیبی، و آل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السید حسین کمال الدین، الذی کان یعمل مع الیزدی إلی عام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اختلف مع الیزدی فی کیفیة تعامله مع الإنکلیز بشأن ثورة النجف فترک صحبته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آل مرزة خلیل الذین کانوا لواء الدعوة الدستوریة قبل الخراسانی، و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الشرقی، و السید هاشم الهندی، و الشیخ حسن دخیل، و الشیخ علی مانع، و السید مسلم زوین، و الشیخ محمد جواد الجزائری، و الشیخ محمد حسین شلیلة،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سواء منهم الاسر أو الأشخاص عراقیون، و لهم مکانتهم الدینیة و الاجتماعیة فی النجف و خارجه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الشطر الثانی فیتزعمه السید محمد کاظم الیزدی، و معه جمیع أسرة آل کاشف الغطاء و بخاصة الشیخ أحمد و الشیخ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آل الشیخ عباس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معظم المعممین العرب،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سمیسم، و آل مطوک، و آل محی الدین، و آل الدجیلی،</w:t>
      </w:r>
    </w:p>
    <w:p>
      <w:pPr>
        <w:pStyle w:val="BookText"/>
        <w:rPr/>
      </w:pPr>
      <w:r>
        <w:rPr>
          <w:rFonts w:ascii="IRNazanin" w:hAnsi="IRNazanin" w:eastAsia="IRNazanin"/>
          <w:color w:val="111111"/>
          <w:sz w:val="28"/>
          <w:sz w:val="28"/>
          <w:szCs w:val="28"/>
          <w:rtl w:val="true"/>
          <w:lang w:bidi="fa-IR"/>
        </w:rPr>
        <w:t>و آل محبوبة، و غیرهم من المعممین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معه من الأفراد صالح حجی، و جواد حجی، و الشیخ حسن الحلی، و الشیخ حسین الحلی، و أبوهما الشیخ علی الحلی المعروف بالزهد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عبد الحسین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یطلق علی جماعة الخراسانی اسم المشروطة، لأنهم یؤیدون الحکم المشروط بالدستور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جماعة الیزدی الذین کانوا یعتبرون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 و إلحادا، فکان یطلق علیهم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المستبدة</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المصدر المتقدم یشیر إلی أن وفاة الشیخ الخراسانی عام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وضع حدا لمظهر العنف بین التیارین، و أن جمیع رجال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المرشحین للزعامة الدینیة بعد السید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أیدوا رأی الشیخ الخراسانی، و شارکوه نفس الفکرة الدستوریة المتحررة، و عملوا علی تحقیقها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من نتاج هذا الصراع الفکری أن کتب آیة اللّه العظمی المیرزا محمد حسین النائینی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الامة و تنزیه الملة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هذا النص توضح لنا بأن اسرة شیخنا الحلی بما فیها هو کانت تعیش جوا سیاسیا قبل ثورة الجهاد علی الإنکلیز إلی جانب العثمانیین، و کانت تتبنی رأی السید محمد کاظم الیزدی الذی کان یقر الاستبداد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النص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بعد وفاة السید کانت الحرکة التثقیفیة نشطة بالنسبة لتأیید المشروطة، بجهود النخبة من المؤمنین بفکرة الدستوریة التی نادی بها المرحوم الخراسانی و التی أثرت علی التوجه العام بعد وفاة المرحوم الیزدی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المهم الذی یتصل ببحثنا المتمحور حول الشیخ حسین الحلی یهمنا أن نعرف، هل بقی علی رأیه السابق بأن لا شأن لعلماء الدین فی شئون السلطة زمن الغیبة، أم تغیر مع التطور المشار إلیه؟</w:t>
      </w:r>
    </w:p>
    <w:p>
      <w:pPr>
        <w:pStyle w:val="BookText"/>
        <w:rPr/>
      </w:pPr>
      <w:r>
        <w:rPr>
          <w:rFonts w:ascii="IRNazanin" w:hAnsi="IRNazanin" w:eastAsia="IRNazanin"/>
          <w:color w:val="111111"/>
          <w:sz w:val="28"/>
          <w:sz w:val="28"/>
          <w:szCs w:val="28"/>
          <w:rtl w:val="true"/>
          <w:lang w:bidi="fa-IR"/>
        </w:rPr>
        <w:t xml:space="preserve">الإجابة علی هذا التساؤل لیس بالأمر البسیط، خاصة و أن المصادر التی تتحدث عن حیاته لا تشیر لهذه الخصوصیات، و لا تتحدث عن الموضوع من قریب أو بعید، غیر أننا نستطیع أن نتصیده من ثنایا أحادیثه الشخصیة مع المقربین له، حیث یری عدم جواز التصدی للسلطة الحکومیة فی زمن الغیبة، و لعل اتصاله بالمیرزا النائینی فی أیام مرجعیته العامة أثر علی أستاذه فی تبدیل رأیه بالمشروطة الذی ضمّنه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الامة و تنزیه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خاصة إذا عرفنا أن 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نقلت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الأیام أخذ یجمع نسخ الکتاب سواء المطبوع باللغة الفارسیة أو المترجم للعربیة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أنه بذل علی تحصیل کل نسخة منه مالا یصل إلی لیرة ذهبیة، و قیل خمسة لیرات 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تصفه أنه کان ذا ثراء، و مال غزیر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یعزز هذا الرأی أن الشیخ النائینی کان یهتم بالشیخ الحلی لعلاقته الوثیقة به، و أنه من حضّار مجلسه العلمی أکثر 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مما زاده وثوقا به، و قد نقل أن سئل المیرزا النائینی عن سر اعتنائه البالغ و اهتمامه الکبیر بالشیخ الحلی، فردّ بکل اعتزاز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من مسألة تطرح حتی یکتب عنها رسالة مشتملة علی التحقیق و التدقیق و نقل کافة الأقوال فیها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هناک سببا آخر دفع المیرزا النائینی تغییر رأیه بالنسبة</w:t>
      </w:r>
      <w:bookmarkStart w:id="149" w:name="pg19832_212051"/>
    </w:p>
    <w:p>
      <w:pPr>
        <w:pStyle w:val="BookText"/>
        <w:rPr/>
      </w:pPr>
      <w:bookmarkEnd w:id="149"/>
      <w:r>
        <w:rPr>
          <w:rFonts w:ascii="IRNazanin" w:hAnsi="IRNazanin" w:eastAsia="IRNazanin"/>
          <w:color w:val="111111"/>
          <w:sz w:val="28"/>
          <w:sz w:val="28"/>
          <w:szCs w:val="28"/>
          <w:rtl w:val="true"/>
          <w:lang w:bidi="fa-IR"/>
        </w:rPr>
        <w:t xml:space="preserve">للمشروطة و جمع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حصل فی إیران من استغلال أصحاب المشروطة الاعتداءات علی الناس باسم مخالفة التوجه للمشروطة، و الإعدامات التی حصلت باسم مخالفة خط المشروطة، کما حصل مع الشیخ فضل اللّه النوری </w:t>
      </w:r>
      <w:r>
        <w:rPr>
          <w:rStyle w:val="FootnoteAnchor"/>
          <w:rtl w:val="true"/>
        </w:rPr>
        <w:footnoteReference w:id="185"/>
      </w:r>
      <w:r>
        <w:rPr>
          <w:rFonts w:ascii="IRNazanin" w:hAnsi="IRNazanin" w:eastAsia="IRNazanin"/>
          <w:color w:val="111111"/>
          <w:sz w:val="28"/>
          <w:sz w:val="28"/>
          <w:szCs w:val="28"/>
          <w:rtl w:val="true"/>
          <w:lang w:bidi="fa-IR"/>
        </w:rPr>
        <w:t xml:space="preserve">، و الشیخ باقر الاصطهباناتی </w:t>
      </w:r>
      <w:r>
        <w:rPr>
          <w:rStyle w:val="FootnoteAnchor"/>
          <w:rtl w:val="true"/>
        </w:rPr>
        <w:footnoteReference w:id="186"/>
      </w:r>
      <w:r>
        <w:rPr>
          <w:rFonts w:ascii="IRNazanin" w:hAnsi="IRNazanin" w:eastAsia="IRNazanin"/>
          <w:color w:val="111111"/>
          <w:sz w:val="28"/>
          <w:sz w:val="28"/>
          <w:szCs w:val="28"/>
          <w:rtl w:val="true"/>
          <w:lang w:bidi="fa-IR"/>
        </w:rPr>
        <w:t>لانهما ضدها، و غیرهما ممن نالهما الاضطهاد و القمع، و هذه من الامور التی ترفضها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دعا المیرزا النائینی لتغییر رأیه فی موضوع المشروطة</w:t>
      </w:r>
      <w:r>
        <w:rPr>
          <w:rFonts w:eastAsia="IRNazanin" w:cs="IRNazanin"/>
          <w:color w:val="111111"/>
          <w:sz w:val="28"/>
          <w:szCs w:val="28"/>
          <w:rtl w:val="true"/>
          <w:lang w:bidi="fa-IR"/>
        </w:rPr>
        <w:t>.</w:t>
      </w:r>
    </w:p>
    <w:p>
      <w:pPr>
        <w:pStyle w:val="Heading5"/>
        <w:numPr>
          <w:ilvl w:val="4"/>
          <w:numId w:val="1"/>
        </w:numPr>
        <w:rPr/>
      </w:pPr>
      <w:bookmarkStart w:id="150" w:name="__RefHeading___Toc3493529_2314609296"/>
      <w:bookmarkStart w:id="151" w:name="_Toc57"/>
      <w:bookmarkEnd w:id="150"/>
      <w:r>
        <w:rPr>
          <w:rtl w:val="true"/>
        </w:rPr>
        <w:t>الشیخ الحلی و أحداث العراق المعاصرة</w:t>
      </w:r>
      <w:bookmarkEnd w:id="15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تفجرت بالعراق فی القرن الماضی أحداث کثیرة من انقلابات إلی ثورات و مؤامرات نجحت بعضها، و فشلت بعضها، و أدی کل ذلک إلی تعاقب حکومات تختلف فی توجهاتها و ایدیولوجیاتها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أبرزها تغییر الحکم من الملکی إلی الجمهوری، و مدی المآسی التی عاناها الشعب</w:t>
      </w:r>
    </w:p>
    <w:p>
      <w:pPr>
        <w:pStyle w:val="BookText"/>
        <w:rPr/>
      </w:pPr>
      <w:r>
        <w:rPr>
          <w:rFonts w:ascii="IRNazanin" w:hAnsi="IRNazanin" w:eastAsia="IRNazanin"/>
          <w:color w:val="111111"/>
          <w:sz w:val="28"/>
          <w:sz w:val="28"/>
          <w:szCs w:val="28"/>
          <w:rtl w:val="true"/>
          <w:lang w:bidi="fa-IR"/>
        </w:rPr>
        <w:t>العراقی من هذه الأحداث، کان أشدها و أضیقها و أمرّها عهد صدام حسین الأسود، و لمّا کانت المرجعیة الدینیة الشیعیة فی العراق تمثل الثقل الأکبر فی المعادلة السیاسیة العراقیة، کان من الطبیعی أن یکون لها رأیها فی التطورات السیاسیة العامة و الخاصة التی تخص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تابعنا مسیرة المرجعیة الدینیة فی القرن الماضی، و ما بعد سقوط النظام الشمولی لاحظنا أن المرجعیة الدینیة المتصدیة فی العراق بالأمس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تمثلت بالإمامین الراحلین السید محسن الحکیم، و السید أبو القاسم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 و لم یکن شیخنا الحلی بعیدا عن الجو السیاسی العراقی أو الإیرانی، و حین عصف بالعراق الجمهوری الشأن السیاسی الحزبی المتطرف فمثّل البعد الایدیولوجی بینهما صراعا عنیفا انتهی بحرب طاحنة أکلت الأخضر و الیابس فی الدولتین، و کان علی مراجع الدین فی الدرجة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یتحملوا من المسئولیة الاجتماعیة و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یحددوا الموقف الدینی من القضیة، و هذا ما اصطدم به الشیخ الحلی و أمثاله، و فی مقدمتهم المرجعان الدینیان السید الحکیم و السید أبو القاسم الخوئی، و أن الموقف لا یختلف بینهم من حیث الرأی، فلقد تصدیا بصفتهما مرکزی القیادة الدینیة فی العراق خاصة و العالم الإسلامی عامة، و شیخنا الحلی یعیش الأمر نفسه، و لکن درجة المسئولیة الشرعیة تختلف عما عاشها السید الحکیم من قبل و السید الخوئی بعده، و کان الشیخ الحلی یقف إلی جانب المرجعیة فی مثل هذه الظروف، و یساعدهم فی الرأی، و تحدید الموقف المقتضی، علی أساس تأیید المرجعیة الدینیة فی أحلک ظروفها ضرورة دینیة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المنطلق المبدئی لم یترک الشیخ الحلی المرجعیة الدینیة</w:t>
      </w:r>
    </w:p>
    <w:p>
      <w:pPr>
        <w:pStyle w:val="BookText"/>
        <w:rPr/>
      </w:pPr>
      <w:r>
        <w:rPr>
          <w:rFonts w:ascii="IRNazanin" w:hAnsi="IRNazanin" w:eastAsia="IRNazanin"/>
          <w:color w:val="111111"/>
          <w:sz w:val="28"/>
          <w:sz w:val="28"/>
          <w:szCs w:val="28"/>
          <w:rtl w:val="true"/>
          <w:lang w:bidi="fa-IR"/>
        </w:rPr>
        <w:t>وحیدة تغوص فی أعماق السیاسة ما لم یشارکها الرأی الذی یقتضیه الشرع الشریف فی المیدان 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فالظروف القاسیة التی مرّ بها العراق بصورة عامة و النجف الأشرف علی الخصوص، و ما عانته المرجعیة الدینیة من نظام لم یحترم القیم الدینیة، و لا یبالی فی اجتثاثها لیخلو له الجو بکل فعالیاته، لیقیم علی أطلاله سلطته الدکتاتوریة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هذا فان المرجعیة الدینیة الشریفة فی النجف الأشرف التی کانت تعانی مداهمة الأخطار لکنها کانت تقف إلی صف الشعب لم یرهبها سیف الحاکم، و شراسة الجلادین، و سجلت موقفا رائعا فی المحنة السوداء التی مرت علی عراقنا مثل الصمود و التضحیة و الفداء من أجل عقیدتها و قیمها العلیا، و شرف الحوزة العلمیة النجفیة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الیوم و المتمثلة بالإمام السید علی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بقیة المراجع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تحتفی بهم مدینة النجف الأشرف الیوم دخلت بکلها فی خضمّ السیاسة العراقیة العامة، و لو علی سبیل التوجیه و الإرشاد، نتیجة رجوع الجماهیر إلیها لتحدید الموقف المناسب و الأصلح من الأحداث الجاریة رغم عدم أخذها الکلی بمبدإ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رأی السید الإمام الراحل السید روح اللّه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الشیخ الحلی مع کونه انضم مع السید الیزدی فی الشأن السیاسی العام، إلّا أن من خلال أبحاثه نری أنه توسع فی صلاحیات الحاکم الشرعی، و لا یحصرها بامور ضیّقة، و یمکن أن نتعرف علیها من خلال هذین النصین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صلاحیات الحاکم الشرعی علی الطلاق جبرا علی الزوج متی طلبت الزوجة منه ذلک من غیر فرق 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ینفق علی زوجته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اصیب بعنن بعد الوطء و لو مرة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ترک زوجته و لم یباشرها و لم یضاجعها مما ینطبق علیه عنوان الهجران بلا تقصیر صادر منها، أو غیر ذلک من الموارد التی یعسر معها بقاء للزوجة بدون زوج، فیری الشیخ الحلی رحمه اللّه التوسعة فی صلاحیات الحاکم الشرعی و شمولها لهذه السلطة، و إجراء الطلاق جبرا علی الزوج متی طلبت الزوجة ذلک منه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هذا المورد الذی یتمادی الزوج فی امتناعه من القیام بشئون الزوجیة أن یجبر الزوج أوّلا بأن یوقع الطلاق بنفسه، فإن امتنع أجری الحاکم بنفسه الطلاق جبرا علیه، لأن الحاکم الشرعی لا یقف مکتوف الید فی مثل هذه الموارد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بحثه الشوارع المفتوحة من قبل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طرقا خمسة لعدم جواز المرور علیها، قال شیخنا الاستاذ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انسداد تلک الطرق الخمسة یحتاج إلی إثبات ولایة الحاکم الشرعی و عمومها لما یتوقف علیه النظام، و قد حققنا فی محله عدم قصور أدلة ولایة الحاکم عن مثل ذلک، و إن منعنا منها فیما لا یتوقف علیه الانتظام کالحدود مما هو من خصائص الإمام علیه السّلام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نلاحظ من ذلک أن شیخنا الحلی لم یطلق صلاحیات الحاکم الشرعی، فاعتبر مثل إقامة الحدود و غیرها من مختصات الإمام، فلا تکون</w:t>
      </w:r>
    </w:p>
    <w:p>
      <w:pPr>
        <w:pStyle w:val="BookText"/>
        <w:rPr/>
      </w:pPr>
      <w:r>
        <w:rPr>
          <w:rFonts w:ascii="IRNazanin" w:hAnsi="IRNazanin" w:eastAsia="IRNazanin"/>
          <w:color w:val="111111"/>
          <w:sz w:val="28"/>
          <w:sz w:val="28"/>
          <w:szCs w:val="28"/>
          <w:rtl w:val="true"/>
          <w:lang w:bidi="fa-IR"/>
        </w:rPr>
        <w:t>له ولایة عامة و سلطة مطلقة، لکنه لم یضیّقها فی الموارد المنصوص علیها فقط، بل سار فی الجادة الوسطی حسب ما استفاده من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شیخنا الحلی أحد الشخصیات العلمیة الکبیرة فی الوسط الإسلامی الشیعی لم یکن فی العراق فحسب، و إنما تعرفه المجتمعات الشیعیة فی أغلب مدن العالم الشیعی، و عرف أکثر بقربه لکل المراجع العظمی التی حظیت بالرئاسة الکبری فی العالم الشیعی، نظرا إلی أن الذین تسنموا هذه المکانة هم زملاؤه لدی دروسهم عند أعلام النجف السابقین، و کان الغالب من المراجع لهم رأی فی الأحداث السیاسیة التی حصلت فی البلاد الإسلامیة فی مقدمتها العراق و إیران خلال تلک الحقبة، بالإضافة إلی أن الشیخ لم یکن بعیدا عن هذه الأحداث الخطیرة التی عمّت المنطقة و تعامل معها العلماء إیجابا أو سلبا علی اختلاف مواقفهم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بحکم صلتنا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بمنزلة الأب الروحی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منه قولا أو کتابة بما یشیر من قریب أو بعید عن التأیید أو الرفض لتلکم الأحداث، مع أننی شخصیا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بحکم قربی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أناقشه فی کثیر من الأحداث، و خاصة فی وجود المرحوم والدی الذی کان بحکم مرکزه الاجتماعی و السیاسی فی العراق لا یتباطأ فی إعلان رأیه، و من أجل تحدید الموقف الشرعی کان یتشاور مع الشیخ، و یستنیر برأیه فی مثل تلکم الملمات الخطیرة، و کان الشیخ رحمه اللّه لا یبخل علیه برأی و مشورة، لکنه عند ما یطلب منه الادلاء برأیه الشخصی فی الاعلام الخارجی کان یتوقف عن الإجابة، بالخصوص إذا کان المقصود التصریحات الصحفیة، و لعله کان ملتزما برأیه بفصل الدین عن السیاسة، و من هذا المنطق کان حذرا من التدخل فی القضایا السیاسة خاصة الساخنة منها</w:t>
      </w:r>
      <w:r>
        <w:rPr>
          <w:rFonts w:eastAsia="IRNazanin" w:cs="IRNazanin"/>
          <w:color w:val="111111"/>
          <w:sz w:val="28"/>
          <w:szCs w:val="28"/>
          <w:rtl w:val="true"/>
          <w:lang w:bidi="fa-IR"/>
        </w:rPr>
        <w:t>.</w:t>
      </w:r>
      <w:bookmarkStart w:id="152" w:name="pg19832_212056"/>
    </w:p>
    <w:p>
      <w:pPr>
        <w:pStyle w:val="BookText"/>
        <w:rPr/>
      </w:pPr>
      <w:bookmarkEnd w:id="152"/>
      <w:r>
        <w:rPr>
          <w:rFonts w:ascii="IRNazanin" w:hAnsi="IRNazanin" w:eastAsia="IRNazanin"/>
          <w:color w:val="111111"/>
          <w:sz w:val="28"/>
          <w:sz w:val="28"/>
          <w:szCs w:val="28"/>
          <w:rtl w:val="true"/>
          <w:lang w:bidi="fa-IR"/>
        </w:rPr>
        <w:t>إن الشیخ الحلی بحکم معایشته للأحداث السیاسیة العراقیة، و ما حصل فیها من سفک دماء، و إرعاب للناس، و غمط لحقوق الجماهیر، و استغلال الأحزاب الظروف المواتیة لصالح مراکزها، ترک أثرا کبیرا فی نفوس المتحمسین الوطنیین و دعاهم إلی الابتعاد من السیاسة بل هجرها، و هجر العراق إلی دول تتعاطف مع الدیمقراطیة، و تؤمن بحقوق الجماهیر فی التعایش السلمی، و حریة الرأی بدلا من الاستحواذ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الصورة القاتمة التی عکستها أوضاع العراق الحدیثة بالإضافة إلی رواسب أحداث المشروطة و المستبدة فی ایران، و ما دعا المیرزا النائینی إلی الارتداد عن رأیه الخاص بالنسبة للحریة السیاسیة، و نبذ الاستبداد فی السلطة، و تناوب المآسی الفضیعة فی العراق منذ ما یسمی بالحکم الوطنی فی العشرینات من القرن الماضی، ترکت الشیخ للابتعاد عن الشأن السیاسی، و فک الارتباط معها کمتصد و رائد لتلکم التحرکات التی عاشها الإنسان العراقی من بدایة القرن الماضی إلی یوم وفاته بالثمانینات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النظرة الفاحصة علی مجمل الوضع السیاسی العراقی من خلال هذه الأزمنة التی تعبّر عن نظرة عمیقة لقراءة السجل التاریخی للعراق، و حینها قد یکون من حقه الشرعی أن یبتعد عن الانزلاق فی هذا الخط المثیر للشبهات الشرعیة، و المشاکل الوطنیة</w:t>
      </w:r>
      <w:r>
        <w:rPr>
          <w:rFonts w:eastAsia="IRNazanin" w:cs="IRNazanin"/>
          <w:color w:val="111111"/>
          <w:sz w:val="28"/>
          <w:szCs w:val="28"/>
          <w:rtl w:val="true"/>
          <w:lang w:bidi="fa-IR"/>
        </w:rPr>
        <w:t>.</w:t>
      </w:r>
    </w:p>
    <w:p>
      <w:pPr>
        <w:pStyle w:val="Heading4"/>
        <w:numPr>
          <w:ilvl w:val="3"/>
          <w:numId w:val="1"/>
        </w:numPr>
        <w:rPr/>
      </w:pPr>
      <w:bookmarkStart w:id="153" w:name="__RefHeading___Toc3493531_2314609296"/>
      <w:bookmarkStart w:id="154" w:name="_Toc58"/>
      <w:bookmarkEnd w:id="153"/>
      <w:r>
        <w:rPr>
          <w:rtl w:val="true"/>
        </w:rPr>
        <w:t>نهایة الحدیث</w:t>
      </w:r>
      <w:bookmarkEnd w:id="154"/>
    </w:p>
    <w:p>
      <w:pPr>
        <w:pStyle w:val="Heading5"/>
        <w:numPr>
          <w:ilvl w:val="4"/>
          <w:numId w:val="1"/>
        </w:numPr>
        <w:rPr/>
      </w:pPr>
      <w:bookmarkStart w:id="155" w:name="__RefHeading___Toc3493533_2314609296"/>
      <w:bookmarkStart w:id="156" w:name="_Toc59"/>
      <w:bookmarkEnd w:id="155"/>
      <w:r>
        <w:rPr>
          <w:rtl w:val="true"/>
        </w:rPr>
        <w:t>اشارة</w:t>
      </w:r>
      <w:bookmarkEnd w:id="15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التطواف المختصر فی حیاة شیخنا الحلی قدّس سرّه نستطیع أن نوجز أهم المراحل التی تؤرخ حیاة شیخنا المعظم، و تعکس للقارئ الکریم شخصیته الفذة، إلی جانب ما تقدم نضیف الآتی</w:t>
      </w:r>
      <w:r>
        <w:rPr>
          <w:rFonts w:eastAsia="IRNazanin" w:cs="IRNazanin"/>
          <w:color w:val="111111"/>
          <w:sz w:val="28"/>
          <w:szCs w:val="28"/>
          <w:rtl w:val="true"/>
          <w:lang w:bidi="fa-IR"/>
        </w:rPr>
        <w:t>:</w:t>
      </w:r>
      <w:bookmarkStart w:id="157" w:name="pg19832_212057"/>
    </w:p>
    <w:p>
      <w:pPr>
        <w:pStyle w:val="Heading5"/>
        <w:numPr>
          <w:ilvl w:val="4"/>
          <w:numId w:val="1"/>
        </w:numPr>
        <w:rPr/>
      </w:pPr>
      <w:bookmarkStart w:id="158" w:name="__RefHeading___Toc3493535_2314609296"/>
      <w:bookmarkStart w:id="159" w:name="_Toc60"/>
      <w:bookmarkEnd w:id="157"/>
      <w:bookmarkEnd w:id="158"/>
      <w:r>
        <w:rPr>
          <w:rtl w:val="true"/>
        </w:rPr>
        <w:t>أوّلا</w:t>
      </w:r>
      <w:r>
        <w:rPr>
          <w:rtl w:val="true"/>
        </w:rPr>
        <w:t xml:space="preserve">: </w:t>
      </w:r>
      <w:r>
        <w:rPr>
          <w:rtl w:val="true"/>
        </w:rPr>
        <w:t>العالم المؤمن</w:t>
      </w:r>
      <w:r>
        <w:rPr>
          <w:rtl w:val="true"/>
        </w:rPr>
        <w:t>.</w:t>
      </w:r>
      <w:bookmarkEnd w:id="159"/>
    </w:p>
    <w:p>
      <w:pPr>
        <w:pStyle w:val="BookText"/>
        <w:rPr/>
      </w:pPr>
      <w:r>
        <w:rPr>
          <w:rFonts w:ascii="IRNazanin" w:hAnsi="IRNazanin" w:eastAsia="IRNazanin"/>
          <w:color w:val="111111"/>
          <w:sz w:val="28"/>
          <w:sz w:val="28"/>
          <w:szCs w:val="28"/>
          <w:rtl w:val="true"/>
          <w:lang w:bidi="fa-IR"/>
        </w:rPr>
        <w:t>الإنسان الذی یحمل فی دخیلته عقیدة معمّقة باللّه سبحانه و بمحمد صلّی اللّه علیه و آله و سلّم و أهل بیته علیهم السّلام و یتکل علیهم فی مهماته قطعا ینال التوفیق من اللّه عزّ و جل، و یتبدل الضراء بالسراء من حیث یحتسب و من حیث لا یحتسب، و ینعکس ذلک علی منظومة حیاته فی سلوکه و أخلاقه و أی جانب له علاقة بهذین المقوّمین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السلوک و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شیخنا الحلی حین تنسجم معه فی أقواله و أفعاله تراه مثلا للایمان العمیق بتوجهه السلوکی و الأخلاقی، و لعلنا نفهم ذلک من خلال ما نقل عنه أحد طلابه، و أنه کان الشیخ فی حالة عسرة و توجه للّه سبحانه، فأبدله من حال إلی أحسن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الشیخ إلی طلابه ذات یوم و هو یحدّثهم عن أثر المعتقد فی نفس الإنسان، فقال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الأیام تحدث لنا الاستاذ فی درسه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أخی حائکا، و کنت أعمل فی الخیاطة، و کان والدنا من العلماء العظام، و یصلی فی الصحن الشریف، فدخلت یوما علیه و هو جالس فی مکتبته مهموما مغموما، فسألته عن سبب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کل هذه الکتب، و لکن لا أجد من یستفید منها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فتأثرت بکلماته، و أظهرت له استعدادی فی تحصیل العلم، فسرّ بذلک و استبشر کثیرا، فقام بتهیئة کافة مستلزمات و حاجیات طالب العلم من لباس و عمة و عباءة و قباء و ما إلی ذلک، و قام بتوجیه الدعوة للأساتذة و الأصدقاء لإجراء حفل ارتداء العمة و تاج الملائکة و الانخراط بسلک الروحانیین، و قد اختار یوم الحفل ذکری ولادة أمیر</w:t>
      </w:r>
    </w:p>
    <w:p>
      <w:pPr>
        <w:pStyle w:val="BookText"/>
        <w:rPr/>
      </w:pPr>
      <w:r>
        <w:rPr>
          <w:rFonts w:ascii="IRNazanin" w:hAnsi="IRNazanin" w:eastAsia="IRNazanin"/>
          <w:color w:val="111111"/>
          <w:sz w:val="28"/>
          <w:sz w:val="28"/>
          <w:szCs w:val="28"/>
          <w:rtl w:val="true"/>
          <w:lang w:bidi="fa-IR"/>
        </w:rPr>
        <w:t>المؤمنین علی علیه السّلام تبرکا بالمناسبة، و فی الحفل انتابنی الفرح و السرور الشدیدان حیث أصبحت موضع الاحترام و التقدیر من قبل الأصدقاء و الاساتذة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أخذت غرفة فی مدرسة القوام، و اشتغلت بالدراسة عند أساتذة الصرف و النحو، و فی یوم دعانی والدی و سألنی عن المرفوعات و المنصوبات فی باب النحو، و لم أتمکن من الإجابة، و وجدت الأمر عسیرا علیّ، فتأثر والدی کثیرا لضیاع الوقت و الجهد من دون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زاجرا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غیر قادر علی الفهم فدع تحصیل العلم جانبا و ارجع إلی الخیاطة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هذه بمثابة صدمة لی، لأننی کنت مستأنسا باللباس الروحانی، و مسرورا بما أجده من احترام و تقدیر الآخرین لی، و خرجت من والدی باکیا، و توجهت إلی غرفتی فی مدرسة القوام، و خطر ببالی أن أتوضأ و أصلی صلاة الحاجة، فدخلت الحجرة و صلیت رکعتین، و بعد الصلاة بکیت، و خاطبت ربی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أنت أعرف بحال والدی، و أنا لا ارید إیذاءه، و هو لا یترکنی من دون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تحصیل العلم، أو نزع العمة، و أنا کلما حضرت الدرس لا أفهم شیئا منه، کما لیس بامکانی نزع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بدعائی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الفهم أو الموت، و مکثت فی الغرفة باکیا متضرعا للّه حتی الصباح</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کالعادة أخذت الکتاب فی الصباح و ذهبت إلی الدرس، فوجدت نفسی أفهم کل ما یلقیه الاستاذ علیّ، بل أصبحت فاهما لما سلف من الدروس، فحمدت اللّه کثیرا علی ما حبانی من الفهم و تقبل الدرس، و هی نعمة بالغة</w:t>
      </w:r>
      <w:r>
        <w:rPr>
          <w:rFonts w:eastAsia="IRNazanin" w:cs="IRNazanin"/>
          <w:color w:val="111111"/>
          <w:sz w:val="28"/>
          <w:szCs w:val="28"/>
          <w:rtl w:val="true"/>
          <w:lang w:bidi="fa-IR"/>
        </w:rPr>
        <w:t>.</w:t>
      </w:r>
      <w:bookmarkStart w:id="160" w:name="pg19832_212059"/>
    </w:p>
    <w:p>
      <w:pPr>
        <w:pStyle w:val="BookText"/>
        <w:rPr/>
      </w:pPr>
      <w:bookmarkEnd w:id="160"/>
      <w:r>
        <w:rPr>
          <w:rFonts w:ascii="IRNazanin" w:hAnsi="IRNazanin" w:eastAsia="IRNazanin"/>
          <w:color w:val="111111"/>
          <w:sz w:val="28"/>
          <w:sz w:val="28"/>
          <w:szCs w:val="28"/>
          <w:rtl w:val="true"/>
          <w:lang w:bidi="fa-IR"/>
        </w:rPr>
        <w:t>ثم ختم حدیثه الاستاذ الحلی رحمه اللّه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تعجبت لسرعة استجابة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نشوة الانفراج أنسته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سألک عبادی عنی فإنی قریب اجیب دعوة الداعی إذا دعان </w:t>
      </w:r>
      <w:r>
        <w:rPr>
          <w:rStyle w:val="FootnoteAnchor"/>
          <w:rtl w:val="true"/>
        </w:rPr>
        <w:footnoteReference w:id="190"/>
      </w:r>
      <w:r>
        <w:rPr>
          <w:rFonts w:ascii="IRNazanin" w:hAnsi="IRNazanin" w:eastAsia="IRNazanin"/>
          <w:color w:val="111111"/>
          <w:sz w:val="28"/>
          <w:sz w:val="28"/>
          <w:szCs w:val="28"/>
          <w:rtl w:val="true"/>
          <w:lang w:bidi="fa-IR"/>
        </w:rPr>
        <w:t>و إذا انقطع الإنسان إلی خالقه فلا بدّ أن یجیب فهو الرحیم الودود، و هکذا کانت تلک الساعة الفریدة التی انقطع فیها الشیخ إلی خالقه فألهمه الفهم و التوجه</w:t>
      </w:r>
      <w:r>
        <w:rPr>
          <w:rFonts w:eastAsia="IRNazanin" w:cs="IRNazanin"/>
          <w:color w:val="111111"/>
          <w:sz w:val="28"/>
          <w:szCs w:val="28"/>
          <w:rtl w:val="true"/>
          <w:lang w:bidi="fa-IR"/>
        </w:rPr>
        <w:t>.</w:t>
      </w:r>
    </w:p>
    <w:p>
      <w:pPr>
        <w:pStyle w:val="Heading5"/>
        <w:numPr>
          <w:ilvl w:val="4"/>
          <w:numId w:val="1"/>
        </w:numPr>
        <w:rPr/>
      </w:pPr>
      <w:bookmarkStart w:id="161" w:name="__RefHeading___Toc3493537_2314609296"/>
      <w:bookmarkStart w:id="162" w:name="_Toc61"/>
      <w:bookmarkEnd w:id="161"/>
      <w:r>
        <w:rPr>
          <w:rtl w:val="true"/>
        </w:rPr>
        <w:t>ثانیا</w:t>
      </w:r>
      <w:r>
        <w:rPr>
          <w:rtl w:val="true"/>
        </w:rPr>
        <w:t xml:space="preserve">: </w:t>
      </w:r>
      <w:r>
        <w:rPr>
          <w:rtl w:val="true"/>
        </w:rPr>
        <w:t>العالم المجدد</w:t>
      </w:r>
      <w:r>
        <w:rPr>
          <w:rtl w:val="true"/>
        </w:rPr>
        <w:t>.</w:t>
      </w:r>
      <w:bookmarkEnd w:id="162"/>
    </w:p>
    <w:p>
      <w:pPr>
        <w:pStyle w:val="BookText"/>
        <w:rPr/>
      </w:pPr>
      <w:r>
        <w:rPr>
          <w:rFonts w:ascii="IRNazanin" w:hAnsi="IRNazanin" w:eastAsia="IRNazanin"/>
          <w:color w:val="111111"/>
          <w:sz w:val="28"/>
          <w:sz w:val="28"/>
          <w:szCs w:val="28"/>
          <w:rtl w:val="true"/>
          <w:lang w:bidi="fa-IR"/>
        </w:rPr>
        <w:t xml:space="preserve">و لعل الشیخ الحلی أول فقیه لجامعة النجف الأشرف یعیش المواضیع المستجدة المستحدثة، و التی تتطلب رأی الشریعة الغراء فیها، و حسب متطلبات العصر، بمنهج رصین، و أسلوب متمیز، ظهرت خاصة فی تقریرات تلمیذه الشهید السید عزّ الدین بحر العلوم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أبرز تصوراته الاصولیة التی عبّرت عن آرائه الجدیدة تلمیذه المرحوم آیة اللّه السید محمد تقی الحکیم فی انطباعاته فی بعض محاضراته الاصولیة، خاصة فی الوضع و العرف و المعنی الحرفی و غیرها</w:t>
      </w:r>
      <w:r>
        <w:rPr>
          <w:rFonts w:eastAsia="IRNazanin" w:cs="IRNazanin"/>
          <w:color w:val="111111"/>
          <w:sz w:val="28"/>
          <w:szCs w:val="28"/>
          <w:rtl w:val="true"/>
          <w:lang w:bidi="fa-IR"/>
        </w:rPr>
        <w:t>.</w:t>
      </w:r>
    </w:p>
    <w:p>
      <w:pPr>
        <w:pStyle w:val="Heading5"/>
        <w:numPr>
          <w:ilvl w:val="4"/>
          <w:numId w:val="1"/>
        </w:numPr>
        <w:rPr/>
      </w:pPr>
      <w:bookmarkStart w:id="163" w:name="__RefHeading___Toc3493539_2314609296"/>
      <w:bookmarkStart w:id="164" w:name="_Toc62"/>
      <w:bookmarkEnd w:id="163"/>
      <w:r>
        <w:rPr>
          <w:rtl w:val="true"/>
        </w:rPr>
        <w:t>ثالثا</w:t>
      </w:r>
      <w:r>
        <w:rPr>
          <w:rtl w:val="true"/>
        </w:rPr>
        <w:t xml:space="preserve">: </w:t>
      </w:r>
      <w:r>
        <w:rPr>
          <w:rtl w:val="true"/>
        </w:rPr>
        <w:t>العالم المحقق</w:t>
      </w:r>
      <w:r>
        <w:rPr>
          <w:rtl w:val="true"/>
        </w:rPr>
        <w:t>.</w:t>
      </w:r>
      <w:bookmarkEnd w:id="1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المطلع علی مقتنیات مکتبته المتنوعة، و ما أجری علی أغلبها من ملاحظات و تعلیقات و تصحیحات و هوامش، یستطیع أن یحکم حینها علی أن هذه الشخصیة موسوعیة، ملمّة بالفقه و الاصول و الحدیث و التاریخ</w:t>
      </w:r>
      <w:bookmarkStart w:id="165" w:name="pg19832_212060"/>
    </w:p>
    <w:p>
      <w:pPr>
        <w:pStyle w:val="BookText"/>
        <w:rPr/>
      </w:pPr>
      <w:bookmarkEnd w:id="165"/>
      <w:r>
        <w:rPr>
          <w:rFonts w:ascii="IRNazanin" w:hAnsi="IRNazanin" w:eastAsia="IRNazanin"/>
          <w:color w:val="111111"/>
          <w:sz w:val="28"/>
          <w:sz w:val="28"/>
          <w:szCs w:val="28"/>
          <w:rtl w:val="true"/>
          <w:lang w:bidi="fa-IR"/>
        </w:rPr>
        <w:t>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 الأخ ولده الفاضل الشیخ محمد جواد أن یفسح المجال لرواد الفکر بطبع هذا التراث القیّم لیستفید منها الکثیر من طلاب المعرفة</w:t>
      </w:r>
      <w:r>
        <w:rPr>
          <w:rFonts w:eastAsia="IRNazanin" w:cs="IRNazanin"/>
          <w:color w:val="111111"/>
          <w:sz w:val="28"/>
          <w:szCs w:val="28"/>
          <w:rtl w:val="true"/>
          <w:lang w:bidi="fa-IR"/>
        </w:rPr>
        <w:t>.</w:t>
      </w:r>
    </w:p>
    <w:p>
      <w:pPr>
        <w:pStyle w:val="Heading5"/>
        <w:numPr>
          <w:ilvl w:val="4"/>
          <w:numId w:val="1"/>
        </w:numPr>
        <w:rPr/>
      </w:pPr>
      <w:bookmarkStart w:id="166" w:name="__RefHeading___Toc3493541_2314609296"/>
      <w:bookmarkStart w:id="167" w:name="_Toc63"/>
      <w:bookmarkEnd w:id="166"/>
      <w:r>
        <w:rPr>
          <w:rtl w:val="true"/>
        </w:rPr>
        <w:t>رابعا</w:t>
      </w:r>
      <w:r>
        <w:rPr>
          <w:rtl w:val="true"/>
        </w:rPr>
        <w:t xml:space="preserve">: </w:t>
      </w:r>
      <w:r>
        <w:rPr>
          <w:rtl w:val="true"/>
        </w:rPr>
        <w:t>الرجل العارف</w:t>
      </w:r>
      <w:r>
        <w:rPr>
          <w:rtl w:val="true"/>
        </w:rPr>
        <w:t>.</w:t>
      </w:r>
      <w:bookmarkEnd w:id="167"/>
    </w:p>
    <w:p>
      <w:pPr>
        <w:pStyle w:val="BookText"/>
        <w:rPr/>
      </w:pPr>
      <w:r>
        <w:rPr>
          <w:rFonts w:ascii="IRNazanin" w:hAnsi="IRNazanin" w:eastAsia="IRNazanin"/>
          <w:color w:val="111111"/>
          <w:sz w:val="28"/>
          <w:sz w:val="28"/>
          <w:szCs w:val="28"/>
          <w:rtl w:val="true"/>
          <w:lang w:bidi="fa-IR"/>
        </w:rPr>
        <w:t>إن شیخنا الجلیل من أولئک الأبدال الورعین الذین ترکوا بهرجة الدنیا زادا للآخرة، و رغم أنه قدّس سرّه لم یتظاهر بما یثیر فیه الحرص علی طلب هذه المظاهر التی لا علاقة بها مع الناس، و إنما لتقربه من خالقه الذی منّ علیه بلطف المعرفة و الفضل، و إذا کانت ثمة دلالة علی ذلک فحیاته البسیطة، و العیش الکفاف، و عدم قبوله للمظاهر الدنیویة خیر دلیل علی المدعی</w:t>
      </w:r>
      <w:r>
        <w:rPr>
          <w:rFonts w:eastAsia="IRNazanin" w:cs="IRNazanin"/>
          <w:color w:val="111111"/>
          <w:sz w:val="28"/>
          <w:szCs w:val="28"/>
          <w:rtl w:val="true"/>
          <w:lang w:bidi="fa-IR"/>
        </w:rPr>
        <w:t>.</w:t>
      </w:r>
    </w:p>
    <w:p>
      <w:pPr>
        <w:pStyle w:val="Heading5"/>
        <w:numPr>
          <w:ilvl w:val="4"/>
          <w:numId w:val="1"/>
        </w:numPr>
        <w:rPr/>
      </w:pPr>
      <w:bookmarkStart w:id="168" w:name="__RefHeading___Toc3493543_2314609296"/>
      <w:bookmarkStart w:id="169" w:name="_Toc64"/>
      <w:bookmarkEnd w:id="168"/>
      <w:r>
        <w:rPr>
          <w:rtl w:val="true"/>
        </w:rPr>
        <w:t>خامسا</w:t>
      </w:r>
      <w:r>
        <w:rPr>
          <w:rtl w:val="true"/>
        </w:rPr>
        <w:t xml:space="preserve">: </w:t>
      </w:r>
      <w:r>
        <w:rPr>
          <w:rtl w:val="true"/>
        </w:rPr>
        <w:t>العالم الموسوعی</w:t>
      </w:r>
      <w:r>
        <w:rPr>
          <w:rtl w:val="true"/>
        </w:rPr>
        <w:t>.</w:t>
      </w:r>
      <w:bookmarkEnd w:id="1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شیخنا کان من الذین تبحروا فی اختصاصه الفقهی و الاصولی نتیجة انتمائه إلی مدرسة الفرسان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النائینی، و العراقی، و الاصفهانی أقطاب الحوزة العلمیة الدینیة فی النجف الأشرف، بالإضافة إلی الاطلاع الواسع علی تراث العصر الذی خلفه أساتذة القرن من بناة المدرسة الفقهیة و الاصولیة فی جامعة النجف بدایة من عهد الشیخ المفید، و السید المرتضی، و الشیخ الطوسی، إلی جیل أجداده الحلیین، إلی عصره، و ما طرأ علیه من تطور فکری عظیم، مضافا إلی تضلعه فی التاریخ و الأدب، و ما یتصل بهما من علوم، و کان ما یقرأه من الکتب المصدریة یفهرس لها فهرسا خاصا بما یتعلق بالمذهب أو القضایا المتعلقة بالدین أو بعض النکات التاریخیة أو الأدبیة التی یری فیها فائدة تاریخیة أو معرفیة، و قد أکد هذا الأمر أحد تلامیذه السید محمد حسین الطهرانی اللاله‌زاری،</w:t>
      </w:r>
      <w:bookmarkStart w:id="170" w:name="pg19832_212061"/>
    </w:p>
    <w:p>
      <w:pPr>
        <w:pStyle w:val="BookText"/>
        <w:rPr/>
      </w:pPr>
      <w:bookmarkEnd w:id="170"/>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العالم متضلع و خبیر و منظم، و کل کتبه سواء الشیعیة أو العامة بعد مطالعتها یعمل لها فهرسا خاصا لما یتعلق بالمواضیع التی یری فیها خصوصیة للمذهب أو غیره، و کانت هذه الفهارس موضع استفادة من یرغب للاستفادة بها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هذا فان کل هذه المؤهلات الضخمة تساعدنا بدون تردد أن نقبل اللقب الذی اطلق علیه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فقهاء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یعتز هو باصولیته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مشهور عند الناس بالفقه، و اصولی أقوی من فقهی</w:t>
      </w:r>
      <w:r>
        <w:rPr>
          <w:rFonts w:eastAsia="IRNazanin" w:cs="IRNazanin"/>
          <w:color w:val="111111"/>
          <w:sz w:val="28"/>
          <w:szCs w:val="28"/>
          <w:rtl w:val="true"/>
          <w:lang w:bidi="fa-IR"/>
        </w:rPr>
        <w:t>».</w:t>
      </w:r>
    </w:p>
    <w:p>
      <w:pPr>
        <w:pStyle w:val="Heading5"/>
        <w:numPr>
          <w:ilvl w:val="4"/>
          <w:numId w:val="1"/>
        </w:numPr>
        <w:rPr/>
      </w:pPr>
      <w:bookmarkStart w:id="171" w:name="__RefHeading___Toc3493545_2314609296"/>
      <w:bookmarkStart w:id="172" w:name="_Toc65"/>
      <w:bookmarkEnd w:id="171"/>
      <w:r>
        <w:rPr>
          <w:rtl w:val="true"/>
        </w:rPr>
        <w:t>سادسا</w:t>
      </w:r>
      <w:r>
        <w:rPr>
          <w:rtl w:val="true"/>
        </w:rPr>
        <w:t xml:space="preserve">: </w:t>
      </w:r>
      <w:r>
        <w:rPr>
          <w:rtl w:val="true"/>
        </w:rPr>
        <w:t>العالم الوطنی الرزین</w:t>
      </w:r>
      <w:r>
        <w:rPr>
          <w:rtl w:val="true"/>
        </w:rPr>
        <w:t>.</w:t>
      </w:r>
      <w:bookmarkEnd w:id="17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إلی جانب کل ذلک وطنی شارک فی الثورة ضد احتلال العراق فی جهاد العلماء ضد الإنکلیز، و عاش أحداث العراق فی تطوراتها التی مرت علیه من ثورة العلماء فی العشرینات إلی یوم وفاته فی أشق مأساة یشهدها العراق فی قرنه المختم بالأحداث المؤلمة، و السابحة فی برک الدماء البریئة، و القهر المبرمج، و الضیم القاتل، و الشعب هو الضحیة بین تلکم الآلام التی تتمدد علی حافة التاریخ لتربط الحاضر المقهور بالماضی المهزوز، و لم یعلن رأیه ضدها،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یرون لا شأن لعلماء الدین فی السلطة زمن الغیبة، و رغم أن خلع نفسه من ممارسة مسئولیة المرجعیة المتصدیة، فان مشاعره المرهفة و الحساسة لم</w:t>
      </w:r>
      <w:bookmarkStart w:id="173" w:name="pg19832_212062"/>
    </w:p>
    <w:p>
      <w:pPr>
        <w:pStyle w:val="BookText"/>
        <w:rPr/>
      </w:pPr>
      <w:bookmarkEnd w:id="173"/>
      <w:r>
        <w:rPr>
          <w:rFonts w:ascii="IRNazanin" w:hAnsi="IRNazanin" w:eastAsia="IRNazanin"/>
          <w:color w:val="111111"/>
          <w:sz w:val="28"/>
          <w:sz w:val="28"/>
          <w:szCs w:val="28"/>
          <w:rtl w:val="true"/>
          <w:lang w:bidi="fa-IR"/>
        </w:rPr>
        <w:t>تتخل عن معایشة الکارثة و تفاعلاتها الخطیرة علی الوطن و المواطن</w:t>
      </w:r>
      <w:r>
        <w:rPr>
          <w:rFonts w:eastAsia="IRNazanin" w:cs="IRNazanin"/>
          <w:color w:val="111111"/>
          <w:sz w:val="28"/>
          <w:szCs w:val="28"/>
          <w:rtl w:val="true"/>
          <w:lang w:bidi="fa-IR"/>
        </w:rPr>
        <w:t>.</w:t>
      </w:r>
    </w:p>
    <w:p>
      <w:pPr>
        <w:pStyle w:val="Heading5"/>
        <w:numPr>
          <w:ilvl w:val="4"/>
          <w:numId w:val="1"/>
        </w:numPr>
        <w:rPr/>
      </w:pPr>
      <w:bookmarkStart w:id="174" w:name="__RefHeading___Toc3493547_2314609296"/>
      <w:bookmarkStart w:id="175" w:name="_Toc66"/>
      <w:bookmarkEnd w:id="174"/>
      <w:r>
        <w:rPr>
          <w:rtl w:val="true"/>
        </w:rPr>
        <w:t>سابعا</w:t>
      </w:r>
      <w:r>
        <w:rPr>
          <w:rtl w:val="true"/>
        </w:rPr>
        <w:t xml:space="preserve">: </w:t>
      </w:r>
      <w:r>
        <w:rPr>
          <w:rtl w:val="true"/>
        </w:rPr>
        <w:t>العالم المربی</w:t>
      </w:r>
      <w:r>
        <w:rPr>
          <w:rtl w:val="true"/>
        </w:rPr>
        <w:t>.</w:t>
      </w:r>
      <w:bookmarkEnd w:id="175"/>
    </w:p>
    <w:p>
      <w:pPr>
        <w:pStyle w:val="BookText"/>
        <w:rPr/>
      </w:pPr>
      <w:r>
        <w:rPr>
          <w:rFonts w:ascii="IRNazanin" w:hAnsi="IRNazanin" w:eastAsia="IRNazanin"/>
          <w:color w:val="111111"/>
          <w:sz w:val="28"/>
          <w:sz w:val="28"/>
          <w:szCs w:val="28"/>
          <w:rtl w:val="true"/>
          <w:lang w:bidi="fa-IR"/>
        </w:rPr>
        <w:t xml:space="preserve">کان شیخنا الراحل الحلی یحرص کل الحرص علی أن یولی غالب طلابه الاهتمام الکامل للاطلاع علی ما یکتبه تلامیذه سواء أ کانت من محاضراته التی یلقیها علیهم فقها و اصولا، أو غیرهما من المواضیع التی تثار معه فتألف بحثا قائما فی ذاته، کما حدث مع الشهید السید عزّ الدین بحر العلوم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 من مواضیع کتابه المذکور لم یتطرق لها المرحوم الشیخ فی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التعطیلی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حین رغب السید الشهید أن تکون ضمن بحوث الشیخ بدأ یهیئ المواضیع و یعرضها علی الشیخ حتی إذا تبناها ضمها إلی کتابه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لاحظت أنه کان یهتم کثیرا أن یجری علی بعض تقریرات دروسه التصحیحات المقتضیة لشرح رأیه، و نجدها مثبتة بعضها فی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أذکر أنی جئته مستفسرا عن فقرة وردت فی بعض خطب الإمام أمیر المؤمنین علی علیه السّلام حیث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یظهر صاحب القیروان الغض البض ذو النسب المحض من سلالة ذی البداء المسجی بالردی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من هو هذا؟ فردّ رحمه اللّه بالامکان أن تبحث و تعرف من هو المقصود، و عرفنی بذلک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راجعت کثیرا من المصادر حتی وقفت علی أن المقصود بعبارة الإمام</w:t>
      </w:r>
    </w:p>
    <w:p>
      <w:pPr>
        <w:pStyle w:val="BookText"/>
        <w:rPr/>
      </w:pPr>
      <w:r>
        <w:rPr>
          <w:rFonts w:ascii="IRNazanin" w:hAnsi="IRNazanin" w:eastAsia="IRNazanin"/>
          <w:color w:val="111111"/>
          <w:sz w:val="28"/>
          <w:sz w:val="28"/>
          <w:szCs w:val="28"/>
          <w:rtl w:val="true"/>
          <w:lang w:bidi="fa-IR"/>
        </w:rPr>
        <w:t xml:space="preserve">هو جدّ الفاطمیین الذین أسسوا الدولة الفاطمیة بالمغرب و مصر فی نهایة القرن الثالث الهجری، و لعله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طلب منی أن أبحث تاریخیا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أتابع بحثی عن الدولة الفاطمیة، و هو یطلع علی ما وصلت إلیه و یقرأ ما أکتب و یصحح حین یری استنتاجاتی مجافیات للواقع حتی وصل بی البحث إلی ثلاثة أجزاء، و لا زالت مخطوطة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کان مربیا و یحرص کل الحرص علی من یهتم لأمره أن یشجّعه علی البحث و الکتابة، و یرشده فی کثیر من الأحیان إلی المصادر المقتضیة للبحث</w:t>
      </w:r>
      <w:r>
        <w:rPr>
          <w:rFonts w:eastAsia="IRNazanin" w:cs="IRNazanin"/>
          <w:color w:val="111111"/>
          <w:sz w:val="28"/>
          <w:szCs w:val="28"/>
          <w:rtl w:val="true"/>
          <w:lang w:bidi="fa-IR"/>
        </w:rPr>
        <w:t>.</w:t>
      </w:r>
      <w:bookmarkStart w:id="176" w:name="pg19832_212064"/>
    </w:p>
    <w:p>
      <w:pPr>
        <w:pStyle w:val="Heading3"/>
        <w:numPr>
          <w:ilvl w:val="2"/>
          <w:numId w:val="1"/>
        </w:numPr>
        <w:rPr/>
      </w:pPr>
      <w:bookmarkStart w:id="177" w:name="__RefHeading___Toc3493549_2314609296"/>
      <w:bookmarkStart w:id="178" w:name="_Toc67"/>
      <w:bookmarkEnd w:id="176"/>
      <w:bookmarkEnd w:id="177"/>
      <w:r>
        <w:rPr>
          <w:rtl w:val="true"/>
        </w:rPr>
        <w:t>نهایة البحث</w:t>
      </w:r>
      <w:bookmarkEnd w:id="178"/>
    </w:p>
    <w:p>
      <w:pPr>
        <w:pStyle w:val="Heading4"/>
        <w:numPr>
          <w:ilvl w:val="3"/>
          <w:numId w:val="1"/>
        </w:numPr>
        <w:rPr/>
      </w:pPr>
      <w:bookmarkStart w:id="179" w:name="__RefHeading___Toc3493551_2314609296"/>
      <w:bookmarkStart w:id="180" w:name="_Toc68"/>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فی نهایة الحدیث، یقول الاستاذ المرحوم محمد علی الحومانی الکاتب و الأدیب اللبنانی الشهیر عن الشیخ الحلی، و کان یلتقی به فی مجلس المرحوم السید علی بحر العلوم الیومی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أجلس أحیانا إلی العلّامة المحقق الشیخ حسین الحلی فأجده منکمشا علی نفسه یسامر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نارجیلته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مطرق لا یرفع رأسه إلّا لسائل أو قائل، فإذا أجاب أو وعی رجع إلی إطراقه یساجل سمیرته، و یکاد الشاعر الحساس یشرف علی قلبه و هو مضغوط بین یدی الیأس من هذا المجتمع، و النقمة علی هذا النفر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عنیت النفر الذی 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الطلیعة من مقدمة جمهورهم الصاخب فی وجه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 کان الساعد الأیمن للمجتهد الکبیر المیرزا النائینی المتوفی قبل أعوام، و لقد کانت تثنی له الوسادة بین یدی عمیده، و کان هو المرجع الثانی إذ یرجع الناس إلی استاذه، و ها هو الیوم معطل قابع یتلمس فی ظلام هذا الأفق القاتم وجها یتذرع به إلی السلوی عما یری و یسمع، و هل هناک أشقی من عالم هجره قومه، و فرغوا للالتفاف بمن هو دونه، حتی انطوی علی نفسه کما انطوی إمامه من قبل، فحرم الناس من جوهر مرّ به ثلاثون عاما و هو یصقله لیشع الأنفس القاتمة بما ینبعث عنه من نور</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لبی شیخنا الحلی نداء ربه فی الرابع من شهر شوال عام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و دفن فی الصحن الحیدری الشریف فی مقبرة استاذه الشیخ محمد حسین النائینی بالحجرة السادسة علی یسار الداخل إلی الصحن الحیدری من الباب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أرخ وفاته المرحوم السید محمد الحلی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 الغری و أصبحت‌تبکی القداسة و العلوم</w:t>
      </w:r>
    </w:p>
    <w:p>
      <w:pPr>
        <w:pStyle w:val="BookText"/>
        <w:rPr/>
      </w:pPr>
      <w:r>
        <w:rPr>
          <w:rFonts w:ascii="IRNazanin" w:hAnsi="IRNazanin" w:eastAsia="IRNazanin"/>
          <w:color w:val="111111"/>
          <w:sz w:val="28"/>
          <w:sz w:val="28"/>
          <w:szCs w:val="28"/>
          <w:rtl w:val="true"/>
          <w:lang w:bidi="fa-IR"/>
        </w:rPr>
        <w:t>لما قضی شیخ الفضائل‌من به العلیا تریم</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لآیةفیها الشریعة تستقیم</w:t>
      </w:r>
    </w:p>
    <w:p>
      <w:pPr>
        <w:pStyle w:val="BookText"/>
        <w:rPr/>
      </w:pPr>
      <w:r>
        <w:rPr>
          <w:rFonts w:ascii="IRNazanin" w:hAnsi="IRNazanin" w:eastAsia="IRNazanin"/>
          <w:color w:val="111111"/>
          <w:sz w:val="28"/>
          <w:sz w:val="28"/>
          <w:szCs w:val="28"/>
          <w:rtl w:val="true"/>
          <w:lang w:bidi="fa-IR"/>
        </w:rPr>
        <w:t>الحلة الفیحاء صارت‌فیه تحسدها النجوم</w:t>
      </w:r>
    </w:p>
    <w:p>
      <w:pPr>
        <w:pStyle w:val="BookText"/>
        <w:rPr/>
      </w:pPr>
      <w:r>
        <w:rPr>
          <w:rFonts w:ascii="IRNazanin" w:hAnsi="IRNazanin" w:eastAsia="IRNazanin"/>
          <w:color w:val="111111"/>
          <w:sz w:val="28"/>
          <w:sz w:val="28"/>
          <w:szCs w:val="28"/>
          <w:rtl w:val="true"/>
          <w:lang w:bidi="fa-IR"/>
        </w:rPr>
        <w:t>و به الغری سما مقاماحین راح به یقیم</w:t>
      </w:r>
    </w:p>
    <w:p>
      <w:pPr>
        <w:pStyle w:val="BookText"/>
        <w:rPr/>
      </w:pPr>
      <w:r>
        <w:rPr>
          <w:rFonts w:ascii="IRNazanin" w:hAnsi="IRNazanin" w:eastAsia="IRNazanin"/>
          <w:color w:val="111111"/>
          <w:sz w:val="28"/>
          <w:sz w:val="28"/>
          <w:szCs w:val="28"/>
          <w:rtl w:val="true"/>
          <w:lang w:bidi="fa-IR"/>
        </w:rPr>
        <w:t>ساد الظلام بفقده‌فوفاته خطب جسیم</w:t>
      </w:r>
    </w:p>
    <w:p>
      <w:pPr>
        <w:pStyle w:val="BookText"/>
        <w:rPr/>
      </w:pPr>
      <w:r>
        <w:rPr>
          <w:rFonts w:ascii="IRNazanin" w:hAnsi="IRNazanin" w:eastAsia="IRNazanin"/>
          <w:color w:val="111111"/>
          <w:sz w:val="28"/>
          <w:sz w:val="28"/>
          <w:szCs w:val="28"/>
          <w:rtl w:val="true"/>
          <w:lang w:bidi="fa-IR"/>
        </w:rPr>
        <w:t>فجع الوصی فأرخوا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رزء الحسین به عظیم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رحمک اللّه یا سیدی، و حباک من رضاه و غفرانه فی آخرتک ما آنس وحشتک، و وفقنا لنحفظ حقک علینا ما دمنا نشعر بالحیاة، و نستضی‌ء بالنور</w:t>
      </w:r>
      <w:r>
        <w:rPr>
          <w:rFonts w:eastAsia="IRNazanin" w:cs="IRNazanin"/>
          <w:color w:val="111111"/>
          <w:sz w:val="28"/>
          <w:szCs w:val="28"/>
          <w:rtl w:val="true"/>
          <w:lang w:bidi="fa-IR"/>
        </w:rPr>
        <w:t>.</w:t>
      </w:r>
      <w:bookmarkStart w:id="181" w:name="pg19832_212067"/>
    </w:p>
    <w:p>
      <w:pPr>
        <w:pStyle w:val="Heading4"/>
        <w:numPr>
          <w:ilvl w:val="3"/>
          <w:numId w:val="1"/>
        </w:numPr>
        <w:rPr/>
      </w:pPr>
      <w:bookmarkStart w:id="182" w:name="__RefHeading___Toc3493553_2314609296"/>
      <w:bookmarkStart w:id="183" w:name="_Toc69"/>
      <w:bookmarkEnd w:id="181"/>
      <w:bookmarkEnd w:id="182"/>
      <w:r>
        <w:rPr>
          <w:rtl w:val="true"/>
        </w:rPr>
        <w:t>[</w:t>
      </w:r>
      <w:r>
        <w:rPr>
          <w:rtl w:val="true"/>
        </w:rPr>
        <w:t>نص إجازة آیة اللّه العظمی المیرزا النائینی لآیة اللّه الشیخ الحلی قدّس سرّهما فی الاجتهاد و الروایة</w:t>
      </w:r>
      <w:r>
        <w:rPr>
          <w:rtl w:val="true"/>
        </w:rPr>
        <w:t>]</w:t>
      </w:r>
      <w:bookmarkEnd w:id="1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أفضل صلواته و أزکی تحیاته و تسلیماته علی من اصطفاه من الأولین و الآخرین و بعثه رحمة للعالمین محمد و آله الأئمّة الطیبین الطاهرین الکهف الحصین و غیاث المضطر المستکین و عصمة المعتصمین و ملجأ الهاربین و منجی الخائفین و اللعنة الدائمة علی أعدائهم أبد الآبدین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فإن شرف العلم لا یخفی و فضله لا یحصی، قد ورثه أهله من الأنبیاء، و أدرکوا به درجات الصدیقین 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جدّ فی الطلب و العمل به هو قرّة عینی العالم العامل العلّام و الفاضل الکامل الهمام، صفوة المجتهدین العظام و عماد الأعلام و رکن الإسلام المؤید المسدد التقی الزکی جناب الآغا الشیخ حسین النجفی الحلی کثّر اللّه تعالی فی أهل العلم أمثاله، و بلّغه من الدارین آماله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بذل فی هذا السبیل برهة من عمره و اشتغل به شطرا من دهره، و قد حضر أبحاثی الفقهیة و الاصولیة باحثا فاحصا مجتهدا باذلا جهده فی کتابة ما استفاده و ضبطه و تنقیحه، فأصبح و هو بحمد اللّه تعالی من المجتهدین العظام و الأفاضل الأعلام، و حقّ له العمل بما یستنبطه من الأحکام علی النهج الجاری بین المجتهدین الأعلام، فلیحمد اللّه تعالی علی ما أولاه، و لیشکره علی ما أنعمه به و حباه، فلقد کثر الطالبون و قلّ الواصلون، و عند الصباح یحمد القوم السری و ینجلی عنهم غلالات</w:t>
      </w:r>
    </w:p>
    <w:p>
      <w:pPr>
        <w:pStyle w:val="BookText"/>
        <w:rPr/>
      </w:pPr>
      <w:r>
        <w:rPr>
          <w:rFonts w:ascii="IRNazanin" w:hAnsi="IRNazanin" w:eastAsia="IRNazanin"/>
          <w:color w:val="111111"/>
          <w:sz w:val="28"/>
          <w:sz w:val="28"/>
          <w:szCs w:val="28"/>
          <w:rtl w:val="true"/>
          <w:lang w:bidi="fa-IR"/>
        </w:rPr>
        <w:t>الکری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أجزت له أن یروی عنی جمیع ما صحّت لی روایته من کتب الأدعیة و التفسیر و الفقه و الحدیث و غیر ذلک، سیما الصحیفة المبارکة العلویة و السجادیة و نهج البلاغة و الکتب الأربعة التی علیها المدار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و الفقیه و التهذیب و الاستبصار، و کذلک الجوامع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و مستدرکه و الوافی و البحار، و غیر ذلک من کتب أصحابنا الإمامیة، و ما رووه عن غیرنا بحق إجازتی من مشایخی العظام بأسانیدهم الکثیرة المفصّلة فی فهارست الشیوخ و کتب المشیخة و المنتهیة إلی أرباب الجوامع العظام و الکتب و الاصول، و منهم إلی أهل بیت النبوّة و موضع الرسالة و مهبط الوحی و معدن العصمة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ما أرویه عن شیخی العلّامة فقیه دهره و وحید عصره حضرة الحاج المیرزا حسین المیرزا خلیل الطهرانی النجفی قدّس سرّه، و کان کثیر الاهتمام بتکثیر طرقه و یروی عن ثلّة من الأساطین الذین عاصرهم أو أدرکهم، و بعد أن أجازنی أن أروی عنه عن جمیعهم قال ما یقرب من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أعلاها سندا و أقلها واسطة ما أرویه عن العلّامة الطباطبائی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قدّس سرّه سمّی لی الواسطة، لکنی الآن متردد فی شخصه، و لا یسعنی استقصاء سائر من کان یروی عنهم فإنهم کثیرون، و لنقتصر من ذکر مشایخه فی الإجازة علی ذلک، و فیه الغنی و الکفایة، و الحمد للّه رب العالمین و أفضل صلواته و تحیاته علی رسوله و آله الطاهرین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أوصیک یا ولدی و قرة عینی بملازمة التقوی و التحذر من أن تغرّک الدنیا، فإنها بحر عمیق و قد غرق فیها عالم کثیر، لا ینجو من الغرق فیها إلّا</w:t>
      </w:r>
    </w:p>
    <w:p>
      <w:pPr>
        <w:pStyle w:val="BookText"/>
        <w:rPr/>
      </w:pPr>
      <w:r>
        <w:rPr>
          <w:rFonts w:ascii="IRNazanin" w:hAnsi="IRNazanin" w:eastAsia="IRNazanin"/>
          <w:color w:val="111111"/>
          <w:sz w:val="28"/>
          <w:sz w:val="28"/>
          <w:szCs w:val="28"/>
          <w:rtl w:val="true"/>
          <w:lang w:bidi="fa-IR"/>
        </w:rPr>
        <w:t xml:space="preserve">من رکب سفینة التقوی، مراعیا فی حشوها و قیّمها و سکّانها و دلیلها و شراعها ما فی روایة هشام المرویة فی الکافی فی أوائل کتاب العقل و الجهل، و علیک یا ولدی بالإکثار من ذکر الموت و إقلال الغفلة عنه، و أن تکثر التأمل و التدبر فیما رواه فی النهج عن مولانا أمیر المؤمنین صلی اللّه علیه و آله الطاهرین فی هذا الشأن، خصوصا فیما رواه عنه بعد 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فی کثرة التأمل و التدبر فیه شأنا من الشأن، عصمنا اللّه تعالی جمیعا من مردیات الهوی، و وفقنا لما یحب و یرضی، و رزقنا التجافی عن دار الغرور و الانابة إلی دار الخلود، و الاستعداد للموت قبل حلول الفوت بالنبی و آله الطاهرین صلوات اللّه علیهم أجمعین، و أرجوه أن لا ینسانی من صالح دعواته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حرره بیمناه الداثرة فی یوم مولد النبی صلّی اللّه علیه و آله و سلّم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أفقر البریة إلی رحمة ربه الغنی محمد حسین الغروی النائینی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خاتم الأنبیاء و المرسلین محمد و آله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الفکر الاصولی الإمامی مراحل و أدوارا ساهمت جمیعها فی منحه نضجا معرفیا کبیرا و کیانا استقلالیا واضحا و عمقا ذاتیا فریدا، ممّا أثمر عن تکاملیة نسبیّة مثّلتها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الشیخ الأعظم الأنصاری قدّس سرّه، التی ما دمنا نقتات علی مائدة مبانیها و نغرف من معین آرائها، فهی الضاربة جذورها و الشاهقة آثارها فی الافق العلمی الرحیب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 الثقافة بکل جلاء و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حقّا أن تستمر هذه المدرسة بنتاجها الغض الطری المتجدّد، بفضل المراجعات الدءوبة و المناقشات السدیدة و المحاکاة الهادفة البنّاءة، الأمر الذی أضفی علیها مزیدا من النضارة و 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أسهموا فی تفعیل و تطویر هذه المدرسة الرائدة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الجلیل و المتتبع النبیل استاذ الفقهاء و المجتهدین سماحة آیة اللّه العظمی الشیخ حسین الحلّی قدّس سرّه، الذی رفد المکتبة الاصولیة و أتحف الأوساط العلمیة بأثره القیّم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السفر الذی اکتنف آخر آراء المصنّف الاصولیة التی طرحها بأسلوب التعلیقات المبسوطة علی مبانی استاذه الکبیر المحقق النائینی قدّس سرّه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متن تعلیقاته قدّس سرّه کلّا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مباحث الألفاظ،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الحجج</w:t>
      </w:r>
      <w:r>
        <w:rPr>
          <w:rFonts w:eastAsia="IRNazanin" w:cs="IRNazanin"/>
          <w:color w:val="111111"/>
          <w:sz w:val="28"/>
          <w:szCs w:val="28"/>
          <w:rtl w:val="true"/>
          <w:lang w:bidi="fa-IR"/>
        </w:rPr>
        <w:t>.</w:t>
      </w:r>
      <w:bookmarkStart w:id="184" w:name="pg19832_212071"/>
    </w:p>
    <w:p>
      <w:pPr>
        <w:pStyle w:val="BookText"/>
        <w:rPr/>
      </w:pPr>
      <w:bookmarkEnd w:id="184"/>
      <w:r>
        <w:rPr>
          <w:rFonts w:ascii="IRNazanin" w:hAnsi="IRNazanin" w:eastAsia="IRNazanin"/>
          <w:color w:val="111111"/>
          <w:sz w:val="28"/>
          <w:sz w:val="28"/>
          <w:szCs w:val="28"/>
          <w:rtl w:val="true"/>
          <w:lang w:bidi="fa-IR"/>
        </w:rPr>
        <w:t>و الجدیر بالذکر أنّ النهوض بهذا المشروع کان بأمر من سماحة المرجع الدینی الأعلی السید علی السیستانی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تأکیدات نجله الفاضل حجة الإسلام و المسلمین السید محمد رضا السیستانی زید عزّه</w:t>
      </w:r>
      <w:r>
        <w:rPr>
          <w:rFonts w:eastAsia="IRNazanin" w:cs="IRNazanin"/>
          <w:color w:val="111111"/>
          <w:sz w:val="28"/>
          <w:szCs w:val="28"/>
          <w:rtl w:val="true"/>
          <w:lang w:bidi="fa-IR"/>
        </w:rPr>
        <w:t>.</w:t>
      </w:r>
    </w:p>
    <w:p>
      <w:pPr>
        <w:pStyle w:val="Heading4"/>
        <w:numPr>
          <w:ilvl w:val="3"/>
          <w:numId w:val="1"/>
        </w:numPr>
        <w:rPr/>
      </w:pPr>
      <w:bookmarkStart w:id="185" w:name="__RefHeading___Toc3493555_2314609296"/>
      <w:bookmarkStart w:id="186" w:name="_Toc70"/>
      <w:bookmarkEnd w:id="185"/>
      <w:r>
        <w:rPr>
          <w:rtl w:val="true"/>
        </w:rPr>
        <w:t>مراحل العمل فی تحقیق الکتاب</w:t>
      </w:r>
      <w:r>
        <w:rPr>
          <w:rtl w:val="true"/>
        </w:rPr>
        <w:t>:</w:t>
      </w:r>
      <w:bookmarkEnd w:id="186"/>
    </w:p>
    <w:p>
      <w:pPr>
        <w:pStyle w:val="BookText"/>
        <w:rPr/>
      </w:pPr>
      <w:r>
        <w:rPr>
          <w:rFonts w:ascii="IRNazanin" w:hAnsi="IRNazanin" w:eastAsia="IRNazanin"/>
          <w:color w:val="111111"/>
          <w:sz w:val="28"/>
          <w:sz w:val="28"/>
          <w:szCs w:val="28"/>
          <w:rtl w:val="true"/>
          <w:lang w:bidi="fa-IR"/>
        </w:rPr>
        <w:t xml:space="preserve">قد یستغرب القارئ الکریم إذا ما قیل له إنّه لمّا شاهدت اللجنة المخوّلة للتحقیق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لها من خبرات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الأوراق و الدفاتر المرسلة من النجف الأشرف المتضمنة لما سجّله قلمه الشریف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اضافات و ملحقات أضافها المصنّف، و یبدو أنها نتیجة ثلاث دورات بحث خارج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علیها بوادر الیأس من إمکان تحقیق هذا السفر و إعداده للطبع لو لا من کان یقف وراء الأمر خصوصا إذا أضفنا إلی ذلک الأنفاس القدسیة لذلک الرجل العظیم صاحب هذا الکتاب القیّم الذی کان دعامة کبری فی حل المشکلات التی کانت تبرز فی طیّات العمل،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نستطیع أن نلخّص عملنا الدءوب فی هذا الکتاب ضمن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واجهنا فی بدء العمل مشکلة و هی أن تلک الدفاتر التی کانت بخط المصنّف قدّس سرّه لم یمکن للطباعین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طبعها، من هنا قامت اللجنة باستنساخها و إعادة کتابتها بالید بخط واضح ثمّ تقدیمها لصف الحروف، مما کان یستغرق وقتا کبیرا، و قد تم العمل علی ذلک فی المجلّد الأوّل و الثانی و الثالث التی تم طبعها بید الأخ السید مهدی یوسف الحکیم، و لکن بفضل جهود الأخ السید فاضل الموسوی استغنینا فی الأجزاء الأخیرة عن الاستنساخ فجزاه اللّه خیر جزاء العاملین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الذی بأیدینا کان عبارة عن دفاتر کبیرة، قسّمناها إلی اثنی</w:t>
      </w:r>
    </w:p>
    <w:p>
      <w:pPr>
        <w:pStyle w:val="BookText"/>
        <w:rPr/>
      </w:pPr>
      <w:r>
        <w:rPr>
          <w:rFonts w:ascii="IRNazanin" w:hAnsi="IRNazanin" w:eastAsia="IRNazanin"/>
          <w:color w:val="111111"/>
          <w:sz w:val="28"/>
          <w:sz w:val="28"/>
          <w:szCs w:val="28"/>
          <w:rtl w:val="true"/>
          <w:lang w:bidi="fa-IR"/>
        </w:rPr>
        <w:t>عشر جزءا، فخرجت بحمد اللّه کما هی علیها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إلی الخامس هو شرح و تعالیق المصنّف قدّس سرّه علی قسم الألفاظ من أجود التقریرات، و لکن تعالیقه کانت علی الأجود المطبوع قدیما و الذی تختلف عباراته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نقل کثیرا ما و لو بلا تغییر أساسی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الأجود المطبوع حدیثا، کما أن ذلک الأجود المطبوع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المتوفر فی الأسواق، و لذا کنا نتکلف بالذهاب إلی مکتبة السید المرعشی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یشتمل علی هوامش للسید الخوئی قدّس سرّه، و لذا قمنا بتطبیق و مقارنة ما هو موجود فی الطبعة القدیمة مع ما هو الموجود فی الطبعة الحدیثة أعنی المطبوعة مع تعالیق السید الخوئی قدّس سرّه، و حیث إن المتوفر فی الاسواق فعلا هو الأجود المطبوع حدیثا من هنا کان المعوّل فی التخریجات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حاولنا الاشارة إلی موضع الاختلاف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الجزء السادس إلی آخر الموسوعة و هی سبع مجلّدات علّق الماتن فیها علی کتاب فوائد الاصول مباحث الحجج، و لا تختلف نسخ الفوائد فی عباراتها و إن تعددت طبعاتها، لکنا اخترنا الطبعة الحدیثة طبع مؤسسة النشر الإسلامی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 بمطالعة علمیة دقیقة للکتاب و تصحیح الأخطاء الإملائیة و غیرها، و غالبا ما أشرنا إلی التصحیحات، و أشرنا إلی ما غیّرناه فی الهامش، کما أن ما أضفناه جعلناه بین معقوفتین و ربما أشرنا فی الهامش إلی أنه لم یکن فی الأصل و إنما أضفناه لاستقامة العبارة به، کل ذلک بعد حرصنا علی التحفظ علی ما رسمه قلمه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بتکلف</w:t>
      </w:r>
    </w:p>
    <w:p>
      <w:pPr>
        <w:pStyle w:val="BookText"/>
        <w:rPr/>
      </w:pPr>
      <w:r>
        <w:rPr>
          <w:rFonts w:ascii="IRNazanin" w:hAnsi="IRNazanin" w:eastAsia="IRNazanin"/>
          <w:color w:val="111111"/>
          <w:sz w:val="28"/>
          <w:sz w:val="28"/>
          <w:szCs w:val="28"/>
          <w:rtl w:val="true"/>
          <w:lang w:bidi="fa-IR"/>
        </w:rPr>
        <w:t>توجیهات غیر قریبة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 باستخراج المصادر من الآیات الکریمة و الأحادیث الشریفة و أقوال العلماء و أهل اللغة مهما أمکن، و إذا لم نعثر علیه فغالبا ما أشرنا إلیه فی الهامش، کما قمنا بارجاع ما تقدم أو یأتی، کل ذلک حرصا منّا علی إخراج هذا السفر بحلّة قیّمة تتناسب مع مقام مؤلفه العظیم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 بتقطیع النص و ضبطه و تقویمه و اخراجه بهذا الشکل الذی تسهل مراجعته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ملحقات و اضافات ذکرها المصنّف قدّس سرّه فی دورات مختلفة من درسه لخارج الاصول حاولنا جهد الامکان درجها فی المتن و إذا عصی علینا ذلک أدرجناها فی الهامش و أشرنا إلی أنه منه قدّس سرّه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المصنّف قدّس سرّه بنفسه فی موارد کثیرة بالتعرض للمجلّد و للصفحة التی ینقل المطلب منه، و لکن بما أن استخراجه کان من الطبعات القدیمة فقمنا بحذف ما ذکره فی المتن من رقم المجلّد و الصفحة و ذکرنا المصدر بتمامه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فیما ینقل مضمونا من أحد و لیس نصا و قد أعطی رقم الصفحة، حاولنا ابقاء ذلک فی المتن و لکنا فی الهامش استخرجناه من المصدر الجدید، فمن باب المثال إذا ذکر المصنّف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الحاشیة علی الطبعة الجدیدة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حذفنا رقم الصفحة من المتن و ذکرنا المصدر فی الهامش من 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ذکر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تحریرات السید سلّمه اللّه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ینقل نص عبارته، ففی هذه الصورة أبقینا رقم الصفحة ثمّ أدرجنا فی الهامش رقم المجلّد و الصفحة من الطبعة الحدیثة، کل ذلک حرصا منا علی عدم</w:t>
      </w:r>
      <w:bookmarkStart w:id="187" w:name="pg19834_212074"/>
    </w:p>
    <w:p>
      <w:pPr>
        <w:pStyle w:val="BookText"/>
        <w:rPr/>
      </w:pPr>
      <w:bookmarkEnd w:id="1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التصرف مهما أمکن فیما سجّله قلمه الشریف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نتقدم بالشکر الجزیل لفضیلة الحجة الشیخ محمد الکلباسی حیث تفضل علینا بنسخة اخری من هذا الکتاب بخط والده آیة اللّه الشیخ محمد حسین الکلباسی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أخیرا لا یمکننا أن ندّعی خلو هذا الکتاب عن أخطاء زاغ عنها البصر، إلّا أننا حاولنا مهما أمکن تفادی تلک الأخطاء، و لکن العصمة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الشیرازی محمّد تقی الغروی</w:t>
      </w:r>
    </w:p>
    <w:p>
      <w:pPr>
        <w:pStyle w:val="BookText"/>
        <w:rPr/>
      </w:pPr>
      <w:r>
        <w:rPr>
          <w:rFonts w:ascii="IRNazanin" w:hAnsi="IRNazanin" w:eastAsia="IRNazanin"/>
          <w:color w:val="111111"/>
          <w:sz w:val="28"/>
          <w:sz w:val="28"/>
          <w:szCs w:val="28"/>
          <w:rtl w:val="true"/>
          <w:lang w:bidi="fa-IR"/>
        </w:rPr>
        <w:t>محمّد صادق سیبویه علی الایروانی</w:t>
      </w:r>
    </w:p>
    <w:p>
      <w:pPr>
        <w:pStyle w:val="BookText"/>
        <w:rPr/>
      </w:pPr>
      <w:r>
        <w:rPr>
          <w:rFonts w:ascii="IRNazanin" w:hAnsi="IRNazanin" w:eastAsia="IRNazanin"/>
          <w:color w:val="111111"/>
          <w:sz w:val="28"/>
          <w:sz w:val="28"/>
          <w:szCs w:val="28"/>
          <w:rtl w:val="true"/>
          <w:lang w:bidi="fa-IR"/>
        </w:rPr>
        <w:t>اصول الفقه</w:t>
      </w:r>
    </w:p>
    <w:p>
      <w:pPr>
        <w:pStyle w:val="BookText"/>
        <w:rPr/>
      </w:pPr>
      <w:r>
        <w:rPr>
          <w:rFonts w:ascii="Amiri" w:hAnsi="Amiri" w:eastAsia="Amiri" w:cs="Amiri"/>
          <w:color w:val="111111"/>
          <w:sz w:val="28"/>
          <w:sz w:val="28"/>
          <w:szCs w:val="28"/>
          <w:rtl w:val="true"/>
          <w:lang w:bidi="ar-SA"/>
        </w:rPr>
        <w:t xml:space="preserve">تألیف الاصولیّ الشّهیر آیة اللّه العظمی الشّیخ حسین الحلّی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3493557_2314609296"/>
      <w:bookmarkStart w:id="189" w:name="_Toc71"/>
      <w:bookmarkEnd w:id="188"/>
      <w:r>
        <w:rPr>
          <w:rtl w:val="true"/>
        </w:rPr>
        <w:t>مقدمات مباحث الأصول</w:t>
      </w:r>
      <w:bookmarkEnd w:id="18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3493559_2314609296"/>
      <w:bookmarkStart w:id="191" w:name="_Toc72"/>
      <w:bookmarkEnd w:id="190"/>
      <w:r>
        <w:rPr>
          <w:rtl w:val="true"/>
        </w:rPr>
        <w:t>اشارة</w:t>
      </w:r>
      <w:bookmarkEnd w:id="19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192" w:name="pg19834_212078"/>
    </w:p>
    <w:p>
      <w:pPr>
        <w:pStyle w:val="BookText"/>
        <w:rPr/>
      </w:pPr>
      <w:bookmarkEnd w:id="192"/>
      <w:r>
        <w:rPr>
          <w:rFonts w:ascii="IRNazanin" w:hAnsi="IRNazanin" w:eastAsia="IRNazanin"/>
          <w:color w:val="111111"/>
          <w:sz w:val="28"/>
          <w:sz w:val="28"/>
          <w:szCs w:val="28"/>
          <w:rtl w:val="true"/>
          <w:lang w:bidi="fa-IR"/>
        </w:rPr>
        <w:t xml:space="preserve">اصول الفقه </w:t>
      </w:r>
      <w:r>
        <w:rPr>
          <w:rStyle w:val="FootnoteAnchor"/>
          <w:rtl w:val="true"/>
        </w:rPr>
        <w:footnoteReference w:id="195"/>
      </w:r>
    </w:p>
    <w:p>
      <w:pPr>
        <w:pStyle w:val="Heading3"/>
        <w:numPr>
          <w:ilvl w:val="2"/>
          <w:numId w:val="1"/>
        </w:numPr>
        <w:rPr/>
      </w:pPr>
      <w:bookmarkStart w:id="193" w:name="__RefHeading___Toc3493561_2314609296"/>
      <w:bookmarkStart w:id="194" w:name="_Toc73"/>
      <w:bookmarkEnd w:id="193"/>
      <w:r>
        <w:rPr>
          <w:rtl w:val="true"/>
        </w:rPr>
        <w:t>[</w:t>
      </w:r>
      <w:r>
        <w:rPr>
          <w:rtl w:val="true"/>
        </w:rPr>
        <w:t>مرتبة علم الاصول و موضوع کل علم</w:t>
      </w:r>
      <w:bookmarkEnd w:id="194"/>
    </w:p>
    <w:p>
      <w:pPr>
        <w:pStyle w:val="Heading4"/>
        <w:numPr>
          <w:ilvl w:val="3"/>
          <w:numId w:val="1"/>
        </w:numPr>
        <w:rPr/>
      </w:pPr>
      <w:bookmarkStart w:id="195" w:name="__RefHeading___Toc3493563_2314609296"/>
      <w:bookmarkStart w:id="196" w:name="_Toc74"/>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تعریف العلم و موضوعه و فائدته و 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تعریفه فقد علم مما سبق إجمالا، و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بالقواعد التی إذا انضمت إلیها صغریاتها أنتجت نتیجة 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3493565_2314609296"/>
      <w:bookmarkStart w:id="198" w:name="_Toc75"/>
      <w:bookmarkEnd w:id="197"/>
      <w:r>
        <w:rPr>
          <w:rtl w:val="true"/>
        </w:rPr>
        <w:t>[</w:t>
      </w:r>
      <w:r>
        <w:rPr>
          <w:rtl w:val="true"/>
        </w:rPr>
        <w:t>علم الاصول من المبادئ التصدیقیة لعلم الفقه</w:t>
      </w:r>
      <w:bookmarkEnd w:id="198"/>
    </w:p>
    <w:p>
      <w:pPr>
        <w:pStyle w:val="BookText"/>
        <w:rPr/>
      </w:pPr>
      <w:r>
        <w:rPr>
          <w:rFonts w:ascii="IRNazanin" w:hAnsi="IRNazanin" w:eastAsia="IRNazanin"/>
          <w:color w:val="111111"/>
          <w:sz w:val="28"/>
          <w:sz w:val="28"/>
          <w:szCs w:val="28"/>
          <w:rtl w:val="true"/>
          <w:lang w:bidi="fa-IR"/>
        </w:rPr>
        <w:t>لا ینبغی التردد فی کون الاصول لیس فنّا مستقلا، بل هو من المبادئ التصدیقیة لعلم الفقه، فانّ هذه اللفظة و هی اصول الفقه کافیة فی الدلالة علی ذلک، و أنّه من المبادئ</w:t>
      </w:r>
      <w:r>
        <w:rPr>
          <w:rFonts w:eastAsia="IRNazanin" w:cs="IRNazanin"/>
          <w:color w:val="111111"/>
          <w:sz w:val="28"/>
          <w:szCs w:val="28"/>
          <w:rtl w:val="true"/>
          <w:lang w:bidi="fa-IR"/>
        </w:rPr>
        <w:t>.</w:t>
      </w:r>
    </w:p>
    <w:p>
      <w:pPr>
        <w:pStyle w:val="Heading4"/>
        <w:numPr>
          <w:ilvl w:val="3"/>
          <w:numId w:val="1"/>
        </w:numPr>
        <w:rPr/>
      </w:pPr>
      <w:bookmarkStart w:id="199" w:name="__RefHeading___Toc3493567_2314609296"/>
      <w:bookmarkStart w:id="200" w:name="_Toc76"/>
      <w:bookmarkEnd w:id="199"/>
      <w:r>
        <w:rPr>
          <w:rtl w:val="true"/>
        </w:rPr>
        <w:t>[</w:t>
      </w:r>
      <w:r>
        <w:rPr>
          <w:rtl w:val="true"/>
        </w:rPr>
        <w:t>ما هی المبادئ التصدیقیة؟</w:t>
      </w:r>
      <w:r>
        <w:rPr>
          <w:rtl w:val="true"/>
        </w:rPr>
        <w:t>]</w:t>
      </w:r>
      <w:bookmarkEnd w:id="20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المبادئ التصدیقیة عبارة عن الامور التی تبتنی علیها قیاسات العلم، و توجب الاذعان بالنسبة الحکمیة فی قضایاه، و هی ثبوت محمولات المسائل لموضوعاتها، و لو لا تلک المقدّمات لما أمکن التصدیق بتلک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حقها أن تکون من المقدمات التمهیدیة لذلک العلم المتوقف علیها، باعتبار أنّ الکبریات لا بد أن تکون فی مقام الاستدلال مسلّمة لتکون حین الدخول فی ذلک الفن مفروغا عنها، و من الواضح أنّ الاصول من المبادئ</w:t>
      </w:r>
      <w:r>
        <w:rPr>
          <w:rFonts w:eastAsia="IRNazanin" w:cs="IRNazanin"/>
          <w:color w:val="111111"/>
          <w:sz w:val="28"/>
          <w:szCs w:val="28"/>
          <w:rtl w:val="true"/>
          <w:lang w:bidi="fa-IR"/>
        </w:rPr>
        <w:t>.</w:t>
      </w:r>
      <w:bookmarkStart w:id="201" w:name="pg19834_212079"/>
    </w:p>
    <w:p>
      <w:pPr>
        <w:pStyle w:val="BookText"/>
        <w:rPr/>
      </w:pPr>
      <w:bookmarkEnd w:id="201"/>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المقدمات التمهیدیة لعلم الفقه، فانا قد ذکرنا فی بحث الاجتهاد و التقلید أنّ عمل الفقیه عند إرادته معرفة الحکم فی واقعة من الوقائع یدور علی امور أربعة 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هو الدلیل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الشرعی الاحرازی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الشرعی غیر الاحرازی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ینتهی إلیه حکم العقل من براءة أو احتیاط أو تخییر، و هذه الامور هی روح اصول الفقه، و هی متشتتة متفرقة محمولا و موضوعا، و لأجل ذلک سمیت اصول الفقه و لم تسم بأصل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الامور امور أخر تکون کالمدخل الی هذه الامور، خصوصا للأوّل منها أعنی الدلیل الاجتهادی، فانه یتوقف علی الکثیر من مباحث الألفاظ، و أهم مباحث الجزء الثانی الذی یصطلحون علیه بالأدلة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فالنحو و نحوه من الصرف و اللغة و بقیة العلوم إن توقف علیها الاستنباط، فلا مانع من عدّ ذلک الذی یتوقف علیه الاستنباط منها من الاصول، و إدخاله فیه کما صنعه العلامة فی کتابه المختصر أعنی التهذیب فی الاصول حیث أدرج جملة من مسائل علم النحو و اللغة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ما ذکرناه من کون الاصول من مبادئ الفقه تری الکثیر من فقهائنا یذکرون مسائله فی مقدمات کتبهم الفقهیة، فلاحظ کشف الغطاء، و الحدائق، و المعالم الذی هو مقدمة لفقه المعالم المطبوع بعضه، و لأجل ذلک صدّر کتابه بتعریف الفقه،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هو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3493569_2314609296"/>
      <w:bookmarkStart w:id="203" w:name="_Toc77"/>
      <w:bookmarkEnd w:id="202"/>
      <w:r>
        <w:rPr>
          <w:rtl w:val="true"/>
        </w:rPr>
        <w:t>[</w:t>
      </w:r>
      <w:r>
        <w:rPr>
          <w:rtl w:val="true"/>
        </w:rPr>
        <w:t>موضوع کل علم</w:t>
      </w:r>
      <w:bookmarkEnd w:id="203"/>
    </w:p>
    <w:p>
      <w:pPr>
        <w:pStyle w:val="Heading4"/>
        <w:numPr>
          <w:ilvl w:val="3"/>
          <w:numId w:val="1"/>
        </w:numPr>
        <w:rPr/>
      </w:pPr>
      <w:bookmarkStart w:id="204" w:name="__RefHeading___Toc3493571_2314609296"/>
      <w:bookmarkStart w:id="205" w:name="_Toc78"/>
      <w:bookmarkEnd w:id="204"/>
      <w:r>
        <w:rPr>
          <w:rtl w:val="true"/>
        </w:rPr>
        <w:t>اشارة</w:t>
      </w:r>
      <w:bookmarkEnd w:id="20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فتشتمل علی تعریف کلی موضوع العلم، و تمییز العوارض الذاتیة من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bookmarkStart w:id="206" w:name="pg19834_212080"/>
    </w:p>
    <w:p>
      <w:pPr>
        <w:pStyle w:val="BookText"/>
        <w:rPr/>
      </w:pPr>
      <w:bookmarkEnd w:id="206"/>
      <w:r>
        <w:rPr>
          <w:rFonts w:ascii="IRNazanin" w:hAnsi="IRNazanin" w:eastAsia="IRNazanin"/>
          <w:color w:val="111111"/>
          <w:sz w:val="28"/>
          <w:sz w:val="28"/>
          <w:szCs w:val="28"/>
          <w:rtl w:val="true"/>
          <w:lang w:bidi="fa-IR"/>
        </w:rPr>
        <w:t xml:space="preserve">العارض تارة یعرض بلا وساطة شی‌ء أصلا، کادراک الکلیات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قال العلّامة الاصفهانی قدّس سرّه فی حاشیته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صرحوا أیضا بأن العارض للشی‌ء بواسطة أمر أخص أو أعم داخلیّا کان أو خارجیا عرض غریب، و الأخص و الأعم واسطة فی العروض، فیشکل حینئذ بأن أغلب محمولات العلوم عارضة لانواع موضوعاتها، فتکون أعراضا غریبة لها، کما أن جل مباحث هذا العلم یبحث فیها عما یعرض لأمر أعم من موضوع هذا العلم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القوم فی التفصی عن هذه العویصة یمینا و شمالا و لم یأت أحد منهم بما یشفی العلیل و یروی الغلیل،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قسّموا الواسطة الی الواسطة فی العروض و الواسطة فی الثبوت و الواسطة فی الاثبات</w:t>
      </w:r>
      <w:r>
        <w:rPr>
          <w:rFonts w:eastAsia="IRNazanin" w:cs="IRNazanin"/>
          <w:color w:val="111111"/>
          <w:sz w:val="28"/>
          <w:szCs w:val="28"/>
          <w:rtl w:val="true"/>
          <w:lang w:bidi="fa-IR"/>
        </w:rPr>
        <w:t>.</w:t>
      </w:r>
    </w:p>
    <w:p>
      <w:pPr>
        <w:pStyle w:val="Heading4"/>
        <w:numPr>
          <w:ilvl w:val="3"/>
          <w:numId w:val="1"/>
        </w:numPr>
        <w:rPr/>
      </w:pPr>
      <w:bookmarkStart w:id="207" w:name="__RefHeading___Toc3493573_2314609296"/>
      <w:bookmarkStart w:id="208" w:name="_Toc79"/>
      <w:bookmarkEnd w:id="207"/>
      <w:r>
        <w:rPr>
          <w:rtl w:val="true"/>
        </w:rPr>
        <w:t>[</w:t>
      </w:r>
      <w:r>
        <w:rPr>
          <w:rtl w:val="true"/>
        </w:rPr>
        <w:t>تفسیر الواسطة فی العروض و الثبوت و الاثبات</w:t>
      </w:r>
      <w:bookmarkEnd w:id="208"/>
    </w:p>
    <w:p>
      <w:pPr>
        <w:pStyle w:val="BookText"/>
        <w:rPr/>
      </w:pPr>
      <w:r>
        <w:rPr>
          <w:rFonts w:ascii="IRNazanin" w:hAnsi="IRNazanin" w:eastAsia="IRNazanin"/>
          <w:color w:val="111111"/>
          <w:sz w:val="28"/>
          <w:sz w:val="28"/>
          <w:szCs w:val="28"/>
          <w:rtl w:val="true"/>
          <w:lang w:bidi="fa-IR"/>
        </w:rPr>
        <w:t>و عرّفوا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الواسطة فی الحمل، بمعنی أن العارض یحمل علی الواسطة، و بواسطة حمل الواسطة علی الموضوع یکون ذلک العارض محمولا علی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نقلوا عن الشیخ الرئیس </w:t>
      </w:r>
      <w:r>
        <w:rPr>
          <w:rStyle w:val="FootnoteAnchor"/>
          <w:rtl w:val="true"/>
        </w:rPr>
        <w:footnoteReference w:id="200"/>
      </w:r>
      <w:r>
        <w:rPr>
          <w:rFonts w:ascii="IRNazanin" w:hAnsi="IRNazanin" w:eastAsia="IRNazanin"/>
          <w:color w:val="111111"/>
          <w:sz w:val="28"/>
          <w:sz w:val="28"/>
          <w:szCs w:val="28"/>
          <w:rtl w:val="true"/>
          <w:lang w:bidi="fa-IR"/>
        </w:rPr>
        <w:t xml:space="preserve">تعریفها بأنها ما یقترن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إنّ هذا الشخص متحرک الاصابع لأنه کاتب، أو إن العالم حادث لأنّه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عرّفوا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العلة فی عروض العارض علی المعروض</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 أوجبت العلم بثبوت العارض للمعروض</w:t>
      </w:r>
      <w:r>
        <w:rPr>
          <w:rFonts w:eastAsia="Amiri" w:cs="Amiri" w:ascii="Amiri" w:hAnsi="Amiri"/>
          <w:color w:val="111111"/>
          <w:sz w:val="28"/>
          <w:szCs w:val="28"/>
          <w:rtl w:val="true"/>
          <w:lang w:bidi="ar-SA"/>
        </w:rPr>
        <w:t>.</w:t>
      </w:r>
      <w:bookmarkStart w:id="209" w:name="pg19834_212081"/>
    </w:p>
    <w:p>
      <w:pPr>
        <w:pStyle w:val="Heading4"/>
        <w:numPr>
          <w:ilvl w:val="3"/>
          <w:numId w:val="1"/>
        </w:numPr>
        <w:rPr/>
      </w:pPr>
      <w:bookmarkStart w:id="210" w:name="__RefHeading___Toc3493575_2314609296"/>
      <w:bookmarkStart w:id="211" w:name="_Toc80"/>
      <w:bookmarkEnd w:id="209"/>
      <w:bookmarkEnd w:id="210"/>
      <w:r>
        <w:rPr>
          <w:rtl w:val="true"/>
        </w:rPr>
        <w:t>[</w:t>
      </w:r>
      <w:r>
        <w:rPr>
          <w:rtl w:val="true"/>
        </w:rPr>
        <w:t>تحقیق مفصّل حول أقسام العرض و ما یکون ذاتیا و ما یکون غریبا و جهات اخری مرتبطة بالعوارض</w:t>
      </w:r>
      <w:bookmarkEnd w:id="211"/>
    </w:p>
    <w:p>
      <w:pPr>
        <w:pStyle w:val="BookText"/>
        <w:rPr/>
      </w:pPr>
      <w:r>
        <w:rPr>
          <w:rFonts w:ascii="IRNazanin" w:hAnsi="IRNazanin" w:eastAsia="IRNazanin"/>
          <w:color w:val="111111"/>
          <w:sz w:val="28"/>
          <w:sz w:val="28"/>
          <w:szCs w:val="28"/>
          <w:rtl w:val="true"/>
          <w:lang w:bidi="fa-IR"/>
        </w:rPr>
        <w:t>و لازمه سقوط هذا التقسیم، لأنّ کلا من هذه الوسائط التی عدّوها واسطة فی الحمل لا تکون إلا علة فی عروض محمولها علی الذات، فانّ الناطق علة فی عروض الادراک علی الانسان، و هکذا الحال فی الحیوان و الماشی، و هکذا الحال فی الأعراض، إذ لا یخفی أنّ العرضین لمعروضین أو لمعروض واحد، مع فرض کون انتساب کل منهما الی معروضه نسبة حقیقیة، إن لم یکن بینهما ارتباط العلیة و المعلولیة مثل بیاض الجسم و حرارته، فلا یکون أحدهما واسطة فی الآخر بأی معنی أخذنا الواسطة من هذه المعانی الثلاثة، و إن کان أحدهما علة لعروض الآخر علی معروضه مثل الکتابة التی هی علة فی عروض حرکة الاصابع علی الذات، کانت العلة واسطة فی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یعرض الشی‌ء باعتبار وسائط الثبوت کلها عرض ذاتی بالمعنی المشار إلیه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الخارج واسطة فی الثبوت و کانت الصفة عارضة للذات أوّلا و بالذات من دون اعتبار عروضها أوّلا لغیرها، کانت من الاعراض الذاتیة</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إن شاء اللّه تعالی </w:t>
      </w:r>
      <w:r>
        <w:rPr>
          <w:rStyle w:val="FootnoteAnchor"/>
          <w:rtl w:val="true"/>
        </w:rPr>
        <w:footnoteReference w:id="203"/>
      </w:r>
      <w:r>
        <w:rPr>
          <w:rFonts w:ascii="Amiri" w:hAnsi="Amiri" w:eastAsia="Amiri" w:cs="Amiri"/>
          <w:color w:val="111111"/>
          <w:sz w:val="28"/>
          <w:sz w:val="28"/>
          <w:szCs w:val="28"/>
          <w:rtl w:val="true"/>
          <w:lang w:bidi="ar-SA"/>
        </w:rPr>
        <w:t>نقل عبارة الفصول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أنّه مع کون الواسطة واسطة فی الثبوت یتولد من ذلک الانتقال اللّمی، و لو کان الانتقال بالعکس کان إنّیا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العرضان معا معلولین لعلة ثالثة لم یکن أحدهما واسطة فی العروض بالنسبة إلی الآخر، و لا واسطة فی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أحدهما واسطة فی الاثبات بالنسبة إلی</w:t>
      </w:r>
    </w:p>
    <w:p>
      <w:pPr>
        <w:pStyle w:val="BookText"/>
        <w:rPr/>
      </w:pPr>
      <w:r>
        <w:rPr>
          <w:rFonts w:ascii="IRNazanin" w:hAnsi="IRNazanin" w:eastAsia="IRNazanin"/>
          <w:color w:val="111111"/>
          <w:sz w:val="28"/>
          <w:sz w:val="28"/>
          <w:szCs w:val="28"/>
          <w:rtl w:val="true"/>
          <w:lang w:bidi="fa-IR"/>
        </w:rPr>
        <w:t xml:space="preserve">الآخر، و یتألف من ذلک الانتقال من هذا المعلول إلی علته و هو إنّی، ثم بعد ذلک الانتقال من العلة إلی المعلول الآخر و هو لمّی، و لیس لنا عرضان منسوبان إلی معروضهما نسبة حقیقیة خارجان عن هذه الأقسام الثلاثة أعنی عدم الربط بینهما، أو کون أحدهما معلولا للآخر، أو کونهما معلولین لعلة ثالثة، و حینئذ فما هی الواسطة فی العروض مع فرض کون نسبة العرض إلی معروضه بتلک الواسطة نسبة حقیقیة، و سیأتی </w:t>
      </w:r>
      <w:r>
        <w:rPr>
          <w:rStyle w:val="FootnoteAnchor"/>
          <w:rtl w:val="true"/>
        </w:rPr>
        <w:footnoteReference w:id="204"/>
      </w:r>
      <w:r>
        <w:rPr>
          <w:rFonts w:ascii="IRNazanin" w:hAnsi="IRNazanin" w:eastAsia="IRNazanin"/>
          <w:color w:val="111111"/>
          <w:sz w:val="28"/>
          <w:sz w:val="28"/>
          <w:szCs w:val="28"/>
          <w:rtl w:val="true"/>
          <w:lang w:bidi="fa-IR"/>
        </w:rPr>
        <w:t>تحقیق ذلک عند نقل کلام صاحب الحاشیة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العارض الذی یعرض عارضا آخر مثل الشدّة العارضة للبیاض العارض للجسم، و السرعة العارضة للحرکة العارضة للجسم، فلیس ذلک من قبیل الواسطة فی العروض، لأنّ الشدّة لیست من عوارض الجسم و کذلک السرعة، و إنما هی من عوارض عارضه و هو البیاض فی الأول و الحرکة فی الثانی، و لا یتصف الجسم بالشدة و لا السرعة إلّا باعتبار التجوّز من قبیل نسبة العرض إلی الذات باعتبار ملابسها نظیر نسبة الطول إلی زید باعتبار کونه طویل الأب و نحو ذلک من النسب المجازیة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النهر و سال المیزاب، هذا بالنظر إلی النظر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الدقة و محالیة قیام العرض بالعرض فلیس هناک عرضان یکون الثانی منهما و هو السرعة قائما بالحرکة، و یکون الأول منهما و هو الحرکة قائما بالجسم، لما عرفت من استحالة قیام العرض بالعرض، و قد تخلّصوا من ذلک بما یفیدونه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به الامتیاز فی البسائط عین ما به الاشتراک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اشتراک فی أمثال ذلک إلّا بعناوین انتزاعیة، بخلاف المرکبات من جنس و فصل فانّ ما به الاشتراک فیها و هو الجنس مغایر لما به الامتیاز و هو الفصل، و لکن من لا یؤمن بالجنس و الفصل یمکنه القول بأنّه لا مائز بین هذا النوع و هو الإنسان مثلا و ذلک النوع الذی هو الفرس إلّا بعوارض زائدة علی الذات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مفاد ذلک أن صفات العرض عین ذاته، و حینئذ فلا</w:t>
      </w:r>
    </w:p>
    <w:p>
      <w:pPr>
        <w:pStyle w:val="BookText"/>
        <w:rPr/>
      </w:pPr>
      <w:r>
        <w:rPr>
          <w:rFonts w:ascii="IRNazanin" w:hAnsi="IRNazanin" w:eastAsia="IRNazanin"/>
          <w:color w:val="111111"/>
          <w:sz w:val="28"/>
          <w:sz w:val="28"/>
          <w:szCs w:val="28"/>
          <w:rtl w:val="true"/>
          <w:lang w:bidi="fa-IR"/>
        </w:rPr>
        <w:t>یکون فی البین إلّا عرض واحد، فتخرج المسألة أیضا عن الوسائط الثلاثة،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البیاض و السطح، و جعل الثانی واسطة فی عروض البیاض علی الجسم و أن المعروض الحقیقی هو السطح، فلا یخفی ما فیه، حیث إن نفس السطح الذی هو نفس الطول و العرض المفروض کونه من عوارض الجسم لا واقعیة لاتصافه بالبیاض، و إنّما المتصف بالبیاض هو نفس الجسم، و لیس السطح واسطة عروضیة فی ذلک و لا ثبوتیة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الأولی هو أخذ الواسطة بمعنی العلة، فیقال واسطة فی العروض بمعنی أنها علة فی عروض العارض علی معروضه، فتنطبق علی الواسطة فی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معنی الواسطة فی الاثبات ما یکون علة فی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لنا إلا واسطتان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فی العروض و هی الواسطة فی الثبوت، و واسطة فی الاثبات، و هی شاملة للعلة التی هی الواسطة فی الثبوت أعنی العروض، و للمعلول، و لأحد المعلولین بالنسبة الی الآخر، و هذا هو المستفاد من عبارة شرح المطالع و حاشیة الشریف علیها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إنّهم قد ذکروا العوارض الغریبة و وسائطها العروضیة، فقال بعضهم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الغریب ما یعرضه بواسطة عروضیة خارجة أعم منه کالحاجة للانسان لأنّه ممکن، و المشی للناطق لأنه حیوان، أو أخص کالتعقل للحیوان بواسطة الناطق، من غیر فرق فی جمیع ذلک بین أن یفرض للعرض واسطة ثبوتیة و بین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الامکان علة لعروض الحاجة علی الانسان، و لو جعلنا الحاجة و الامکان من قبیل الحرکة و السرعة جری فیهما الاشکال المتقدم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المشی للناطق، فان أخذنا الناطق فصلا أعنی نفس الصورة فلیس المشی من عوارضه، و إن أخذناه حاکیا عن النوع أعنی نفس الانسان، فالمشی من عوارض جزئه الأعم، و هو فی نظره من العوارض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الحیوانیة علة فی عروض المشی علی النوع الخاص أعنی الانسان المرکب من الحیوان الناطق، و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المشی لم یعرض علی الانسان و إنما معروضه هو الحیوان الموجود فی ضمن الانسان کعروضه للحیوان الموجود فی ضمن الفرس</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ذکره التعقل للحیوان بواسطة الناطق فهو عجیب، حیث إن التعقّل لا ینسب حتی و لو مجازا إلی الحیوان، و لیس هو من عوارضه لا دقة و لا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کونه من عوارض الحیوان فجعل الناطق واسطة فی عروض التعقل علی الحیوان عجیب، لأنه یعتبر الحمل فی الواسطة العروضیة،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بالواسطة فی العروض ما یقترن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علیه الرئیس، فهی المحمول الذی یلحقه العرض أوّلا و یحمل علیه، ثم من جهة کونه محمولا علی آخر و متحدا به یحمل العرض علی ذلک الأمر الآخر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الناطق لا یحمل علی الحیوان، و لو ارید حمله علی بعض أفراد الحیوان و هو الناطق لم یکن ثمة واسطة عروضیة، إذ لیس إلّا التعقل و هو محمول علی ذلک البعض و عارض علیه بلا واسطة عروضیة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الوسائط العروضیة فی الأعراض الذاتیة، فهی ما أفاده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فالذاتی یعنی العرض الذاتی ما یعرض الشی‌ء بلا واسطة فی العروض کالامکان و قسمیه، فانّ لحوقها لمعروضاتها بلا واسطة عروضیة أو بواسطة فیه داخلة فی المعروض مساویة له کادراک المجرد العارض علی الانسان بواسطة الناطق، أو أعم منه کالمشی اللاحق له بواسطة الحیوان، أو خارجة مساویة کالأطراف العارضة للجسم بتوسط عنوان المتناهی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جریان الاشکال السابق فی السرعة و الحرکة فی الأطراف و التناهی، و أما المشی للانسان بواسطة الحیوان فقد عرفت أن معروض المشی إنّما هو الحیوان لا نفس الانسان، و لو سلّمنا أنه عارض علی نفس الانسان لقلنا إنه بعلة جزئه الذی هو الحیوان، فتکون الحیوانیة واسطة فی ثبوت المشی للانسان لا واسطة فی العروض، و هکذا الحال فی إدراک المجرّدات العارض علی الانسان بواسطة الناطقیة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لک أن العوارض للشی‌ء لیس فیها غریب، فانّ الفارق بین الذاتی و الغریب هو الواسطة فی العروض، فان کانت داخلة فی</w:t>
      </w:r>
    </w:p>
    <w:p>
      <w:pPr>
        <w:pStyle w:val="BookText"/>
        <w:rPr/>
      </w:pPr>
      <w:r>
        <w:rPr>
          <w:rFonts w:ascii="IRNazanin" w:hAnsi="IRNazanin" w:eastAsia="IRNazanin"/>
          <w:color w:val="111111"/>
          <w:sz w:val="28"/>
          <w:sz w:val="28"/>
          <w:szCs w:val="28"/>
          <w:rtl w:val="true"/>
          <w:lang w:bidi="fa-IR"/>
        </w:rPr>
        <w:t>المعروض أو کانت خارجة مساویة له، کان العرض بواسطتها ذاتیا، و إلّا کان العرض غریبا، و حیث قد أنکرنا الواسطة فی العروض یکون التقسیم المذکور ساقطا من أصله، و لا یکون فی عوارض الشی‌ء ما هو غریب، نعم بعضها یکون العلة فیه نفس الذات، و بعضها یکون العلة فیه شی‌ء آخر کجزء مساو أو أعم أو خارج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العارض علی الشی‌ء تارة یکون مختصا به و اخری یکون أعم بأن یعرض غیره کما یعرضه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الواسطة بالعروض بمعنی ما تکون هی و ذوها عارضین علی الذات، و یکون ذو الواسطة عارضا علی نفس الواسطة، و هما معا عارضان علی نفس الذات، لا واقعیة لها، و أنّ حرکة الأصابع و إن کانت هی و الکتابة عارضین علی الذات، إلّا أنّ حرکة الأصابع لا تکون عارضة علی الکتابة، نعم إن الکتابة علة فی عروض الحرکة علی الذات فتکون علة فی ثبوت الحرکة</w:t>
      </w:r>
      <w:r>
        <w:rPr>
          <w:rStyle w:val="FootnoteAnchor"/>
          <w:rtl w:val="true"/>
        </w:rPr>
        <w:footnoteReference w:id="210"/>
      </w:r>
      <w:r>
        <w:rPr>
          <w:rFonts w:ascii="IRNazanin" w:hAnsi="IRNazanin" w:eastAsia="IRNazanin"/>
          <w:color w:val="111111"/>
          <w:sz w:val="28"/>
          <w:sz w:val="28"/>
          <w:szCs w:val="28"/>
          <w:rtl w:val="true"/>
          <w:lang w:bidi="fa-IR"/>
        </w:rPr>
        <w:t>فلا تکون إلّا واسطة فی الثبوت، و بسبب ذلک تکون واسطة فی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تعدّد فی البین، و أنّ حرکة الأصابع عین الکتابة، و أمّا شدة البیاض فهو و إن کان عارضا علی نفس البیاض إلّا أنّه لا یکون الشدة المذکورة عارضة علی الذات إلّا بنحو من التجوّز کما شرحناه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الکلام فی صحة کون الشدة علی البیاض، فانها من قبیل قیام العرض بالعرض، و حیث إنّ العرض بسیط تکون صفته عین ذاته، و یکون الامتیاز بین البیاضین من قبیل أنّ ما به الامتیاز عین ما به الاشتراک کما هو الشأن فی جمیع البسائط، حتی فی مثل فصل الانسان و هو الناطق و فصل</w:t>
      </w:r>
    </w:p>
    <w:p>
      <w:pPr>
        <w:pStyle w:val="BookText"/>
        <w:rPr/>
      </w:pPr>
      <w:r>
        <w:rPr>
          <w:rFonts w:ascii="IRNazanin" w:hAnsi="IRNazanin" w:eastAsia="IRNazanin"/>
          <w:color w:val="111111"/>
          <w:sz w:val="28"/>
          <w:sz w:val="28"/>
          <w:szCs w:val="28"/>
          <w:rtl w:val="true"/>
          <w:lang w:bidi="fa-IR"/>
        </w:rPr>
        <w:t>الفرس و هو الصاهل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سوّغنا عروض العرض علی العرض لم یکن ذلک موجبا لکون البیاض واسطة فی العروض بالنسبة إلی الشدة، لما عرفت من أنّ الجسم لا یتصف بالشدة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مرادهم هو أنّ العارض لا بد أن یکون عارضا للواسطة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الواسطة تارة تکون جزء الذات و اخری تکون عارضة للذات، و جزء الذات قسمان، و العارض لها اثنان أیضا، فیخرج الثالث و هو ما کانت الواسطة مباینة، لکن إخراجه یکون بلا جهة، فانّ ملاک التقسیم هو کون عروض العارض لذات الشی‌ء أو لجزئه أو للخارج عنه، و هذا عبارة اخری عن کون المنشأ هو علة العروض، فیرجع إلی ما فی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لا معنی للتوسط فی العروض فی قبال علة العروض إلّا ما ذکرناه من کون الواسطة و ذیها عارضین علی الذات مع کون ذی الواسطة عارضا علی الواسطة و هو ما ذکرناه من کونه لا مصداق 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بالواسطة فی العروض إن کان بمعنی أنّ العارض یعرض علیها، و هی و ذلک العارض عارضان علی الذات عروضا حقیقیا،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یتصور فی کون الواسطة جزءا ذاتیا أعم أو أخص، لأنّ الواسطة و هی الجزء لیست عارضة علی الذات، کما أنه لا یتصور فی الواسطة الخارجة مثل توسط الکتابة فی حرکة الأصابع و مثل توسط البیاض فی الشدة، فانّ الأول لا یکون العارض فیه و هو الحرکة عارضا علی الکتابة التی هی الواسطة، و الثانی لا یکون العارض فیه عارضا علی الذات عروضا حقیقیا، فانّ الشدة لا یتصف بها الجسم، و هکذا فی مثل سرعة الحرکة، و لا بد حینئذ من تفسیر الواسطة فی العروض بالواسطة</w:t>
      </w:r>
    </w:p>
    <w:p>
      <w:pPr>
        <w:pStyle w:val="BookText"/>
        <w:rPr/>
      </w:pPr>
      <w:r>
        <w:rPr>
          <w:rFonts w:ascii="IRNazanin" w:hAnsi="IRNazanin" w:eastAsia="IRNazanin"/>
          <w:color w:val="111111"/>
          <w:sz w:val="28"/>
          <w:sz w:val="28"/>
          <w:szCs w:val="28"/>
          <w:rtl w:val="true"/>
          <w:lang w:bidi="fa-IR"/>
        </w:rPr>
        <w:t xml:space="preserve">فی الحمل، و سیأتی </w:t>
      </w:r>
      <w:r>
        <w:rPr>
          <w:rStyle w:val="FootnoteAnchor"/>
          <w:rtl w:val="true"/>
        </w:rPr>
        <w:footnoteReference w:id="211"/>
      </w:r>
      <w:r>
        <w:rPr>
          <w:rFonts w:ascii="IRNazanin" w:hAnsi="IRNazanin" w:eastAsia="IRNazanin"/>
          <w:color w:val="111111"/>
          <w:sz w:val="28"/>
          <w:sz w:val="28"/>
          <w:szCs w:val="28"/>
          <w:rtl w:val="true"/>
          <w:lang w:bidi="fa-IR"/>
        </w:rPr>
        <w:t>الکلام علی إبطاله فی جواب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إنّ هذه الوسائط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نقلوه فی تفسیر الواسطة فی العروض عن الشیخ الرئیس </w:t>
      </w:r>
      <w:r>
        <w:rPr>
          <w:rStyle w:val="FootnoteAnchor"/>
          <w:rtl w:val="true"/>
        </w:rPr>
        <w:footnoteReference w:id="212"/>
      </w:r>
      <w:r>
        <w:rPr>
          <w:rFonts w:ascii="IRNazanin" w:hAnsi="IRNazanin" w:eastAsia="IRNazanin"/>
          <w:color w:val="111111"/>
          <w:sz w:val="28"/>
          <w:sz w:val="28"/>
          <w:szCs w:val="28"/>
          <w:rtl w:val="true"/>
          <w:lang w:bidi="fa-IR"/>
        </w:rPr>
        <w:t xml:space="preserve">بأنها ما یقترن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تفسیر للوسط فی الشکل الأول کما ربما یظهر ممّا نقله عنه فی شرح المطالع </w:t>
      </w:r>
      <w:r>
        <w:rPr>
          <w:rStyle w:val="FootnoteAnchor"/>
          <w:rtl w:val="true"/>
        </w:rPr>
        <w:footnoteReference w:id="214"/>
      </w:r>
      <w:r>
        <w:rPr>
          <w:rFonts w:ascii="IRNazanin" w:hAnsi="IRNazanin" w:eastAsia="IRNazanin"/>
          <w:color w:val="111111"/>
          <w:sz w:val="28"/>
          <w:sz w:val="28"/>
          <w:szCs w:val="28"/>
          <w:rtl w:val="true"/>
          <w:lang w:bidi="fa-IR"/>
        </w:rPr>
        <w:t>فلا یکون إلّا تفسیرا للوسط فی الاثبات، و هو الأوسط المتکرر فی الشکل الأول، مثل التغیر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متغیر و کل متغیر حادث فالعالم حادث، و یکون الانتقال 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حادث و کل حادث متغیر فالعالم متغیر، کان الانتقال إنیّا، لکون الأول من الانتقال من العلة التی هی التغیّر الی المعلول و کون الانتقال فی الثانی من المعلول الذی هو الحدوث الی العلة التی هی التغیر، و لعل ذلک هو مراد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الواسطة فی العروض هی الواسطة فی الحمل، فانّ المراد بذلک هو الوسط المتکرر فی الشکل، لکونه واسطة فی حمل الاکبر الذی هو الحدوث فی المثال الأول علی الأصغر الذی هو العالم الموضوع فی الصغری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محصّل لتفسیرهم الواسطة فی العروض بالواسطة فی الحمل، لما عرفت من أنّه لا وجه للتوسط فی الحمل إلّا العلیة أو المعلولیة، و أمّا مجرّد تطبیق الکلی علی بعض أنواعه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و الحیوان جسم</w:t>
      </w:r>
    </w:p>
    <w:p>
      <w:pPr>
        <w:pStyle w:val="BookText"/>
        <w:rPr/>
      </w:pPr>
      <w:r>
        <w:rPr>
          <w:rFonts w:ascii="IRNazanin" w:hAnsi="IRNazanin" w:eastAsia="IRNazanin"/>
          <w:color w:val="111111"/>
          <w:sz w:val="28"/>
          <w:sz w:val="28"/>
          <w:szCs w:val="28"/>
          <w:rtl w:val="true"/>
          <w:lang w:bidi="fa-IR"/>
        </w:rPr>
        <w:t>فالانسان جسم، فقد حقق فی محله أنّ مجرد التطبیق لا واقعیة له، و لیس هو إلّا لقلقة لسان، فلا تدخل فی البرهان، و لا یصاغ منه الشکل الأول إلّا صوریّا من مجرد التعبیر اللفظی الذی لا أثر له، فلا تدخل فی المطالب الاستدلالیة و لو لمثل إثبات ذاتیة العرض أو غرابته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ننقل الکلام إلی تقسیمهم العرض إلی الذاتی و الغریب باعتبار کون العرض عارضا للذات، و کونه عارضا بواسطة الجزء المساوی، أو الجزء الأعم، أو الخارج المساوی، فیکون عرضا ذاتیا، أو کونه عارضا بواسطة الخارج الأعم، أو بواسطة الخارج الأخص، أو بواسطة الخارج المباین، فیکون غریبا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الواسطة فی هذا التقسیم هی الواسطة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یظهر من الفصول </w:t>
      </w:r>
      <w:r>
        <w:rPr>
          <w:rStyle w:val="FootnoteAnchor"/>
          <w:rtl w:val="true"/>
        </w:rPr>
        <w:footnoteReference w:id="215"/>
      </w:r>
      <w:r>
        <w:rPr>
          <w:rFonts w:ascii="IRNazanin" w:hAnsi="IRNazanin" w:eastAsia="IRNazanin"/>
          <w:color w:val="111111"/>
          <w:sz w:val="28"/>
          <w:sz w:val="28"/>
          <w:szCs w:val="28"/>
          <w:rtl w:val="true"/>
          <w:lang w:bidi="fa-IR"/>
        </w:rPr>
        <w:t xml:space="preserve">و البدائع </w:t>
      </w:r>
      <w:r>
        <w:rPr>
          <w:rStyle w:val="FootnoteAnchor"/>
          <w:rtl w:val="true"/>
        </w:rPr>
        <w:footnoteReference w:id="216"/>
      </w:r>
      <w:r>
        <w:rPr>
          <w:rFonts w:ascii="IRNazanin" w:hAnsi="IRNazanin" w:eastAsia="IRNazanin"/>
          <w:color w:val="111111"/>
          <w:sz w:val="28"/>
          <w:sz w:val="28"/>
          <w:szCs w:val="28"/>
          <w:rtl w:val="true"/>
          <w:lang w:bidi="fa-IR"/>
        </w:rPr>
        <w:t>و المرحوم الشیخ عبد الهادی شلیلة فی شرح المنظومة المنطقیة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الوسائط أعنی الجزء بقسمیه، و الخارج بأقسامه الثلاثة أعنی المساوی و الأعم و الأخص، و إن کانت هی فی الواقع عللا و وسائط فی الثبوت، إلّا أنها مع ذلک وسائط فی الحمل، لأنک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ناطق و کل ناطق مدرک فیکون الانسان مدرکا، و حینئذ تنطبق علیها الواسطة فی العروض بناء علی ما تقدم فی تعریفها من أنّها الواسطة فی الحمل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هذا الحمل هو العلّیة، و ذلک هو الذی صحّح فیه</w:t>
      </w:r>
    </w:p>
    <w:p>
      <w:pPr>
        <w:pStyle w:val="BookText"/>
        <w:rPr/>
      </w:pPr>
      <w:r>
        <w:rPr>
          <w:rFonts w:ascii="IRNazanin" w:hAnsi="IRNazanin" w:eastAsia="IRNazanin"/>
          <w:color w:val="111111"/>
          <w:sz w:val="28"/>
          <w:sz w:val="28"/>
          <w:szCs w:val="28"/>
          <w:rtl w:val="true"/>
          <w:lang w:bidi="fa-IR"/>
        </w:rPr>
        <w:t>الشکل الأول، إذ لو تجرّد الحمل من العلّیة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و کل حیوان جسم، لم یکن من الشکل الأول، و کان من مجرّد لقلقة اللسان و لا یکون نافعا فی البرهان حتی فی إثبات کون الاکبر المحمول علی الواسطة عرضا ذاتیا أو عرضا غریبا بالنسبة إلی الأصغر الذی حملت علیه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صحة الحمل فی مثل النطق علی الانسان إنّما هی باعتبار المشتق منه و إلّا کان مباینا للانسان، و حینئذ یکون حاله حال النار فی کونه من الواسطة المباینة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المناقشة فی کون العلة فی مثل حرارة الماء هی ذات النار بدعوی أنّ العلة فی حرارته هی قربه إلی النار و هی من عوارض الماء القابلة للحمل علیه بالاشتقاق، هذا بالنظر العرفی، و ان کان القرب بحسب الدقة من قبیل الشرط فی تأثیر العلة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بعضهم و هو صاحب شرح المطالع </w:t>
      </w:r>
      <w:r>
        <w:rPr>
          <w:rStyle w:val="FootnoteAnchor"/>
          <w:rtl w:val="true"/>
        </w:rPr>
        <w:footnoteReference w:id="218"/>
      </w:r>
      <w:r>
        <w:rPr>
          <w:rFonts w:ascii="IRNazanin" w:hAnsi="IRNazanin" w:eastAsia="IRNazanin"/>
          <w:color w:val="111111"/>
          <w:sz w:val="28"/>
          <w:sz w:val="28"/>
          <w:szCs w:val="28"/>
          <w:rtl w:val="true"/>
          <w:lang w:bidi="fa-IR"/>
        </w:rPr>
        <w:t>أنّ الواسطة هنا هی الواسطة فی الثبوت، قیاسا علی القسم الأول أعنی ما یکون عارضا للذات، فانّ الذات فیه تکون علة لعروضه علیها، و حینئذ یکون کل من جزئها الأعم و جزئها المساوی و الخارج المساوی و الخارج الأعم و الخارج الأخص و الخارج المباین، جمیع هذه الوسائط تکون عللا فی عروض العارض علی معروضه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المنقول عن الملا صدرا فی حاشیته علی شرح حکمة الاشراق </w:t>
      </w:r>
      <w:r>
        <w:rPr>
          <w:rStyle w:val="FootnoteAnchor"/>
          <w:rtl w:val="true"/>
        </w:rPr>
        <w:footnoteReference w:id="219"/>
      </w:r>
      <w:r>
        <w:rPr>
          <w:rFonts w:ascii="IRNazanin" w:hAnsi="IRNazanin" w:eastAsia="IRNazanin"/>
          <w:color w:val="111111"/>
          <w:sz w:val="28"/>
          <w:sz w:val="28"/>
          <w:szCs w:val="28"/>
          <w:rtl w:val="true"/>
          <w:lang w:bidi="fa-IR"/>
        </w:rPr>
        <w:t xml:space="preserve">و السبزواری صاحب المنظومة فی شرح منظومته فی المنطق </w:t>
      </w:r>
      <w:r>
        <w:rPr>
          <w:rStyle w:val="FootnoteAnchor"/>
          <w:rtl w:val="true"/>
        </w:rPr>
        <w:footnoteReference w:id="2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المراد من هذا التقسیم هو أنّ العرض إن کان عارضا للذات عروضا حقیقیا کان العرض ذاتیا، و إن کان عروضه مجازیا بالعرض و المجاز نظیر جری النهر و سال المیزاب کان العرض عرضا غریبا، و علی ذلک جری شیخنا قدّس سرّه </w:t>
      </w:r>
      <w:r>
        <w:rPr>
          <w:rStyle w:val="FootnoteAnchor"/>
          <w:rtl w:val="true"/>
        </w:rPr>
        <w:footnoteReference w:id="221"/>
      </w:r>
      <w:r>
        <w:rPr>
          <w:rFonts w:ascii="IRNazanin" w:hAnsi="IRNazanin" w:eastAsia="IRNazanin"/>
          <w:color w:val="111111"/>
          <w:sz w:val="28"/>
          <w:sz w:val="28"/>
          <w:szCs w:val="28"/>
          <w:rtl w:val="true"/>
          <w:lang w:bidi="fa-IR"/>
        </w:rPr>
        <w:t>و لعلّ ذلک هو المراد لصاحب الکفایة</w:t>
      </w:r>
      <w:r>
        <w:rPr>
          <w:rStyle w:val="FootnoteAnchor"/>
          <w:rtl w:val="true"/>
        </w:rPr>
        <w:footnoteReference w:id="222"/>
      </w:r>
      <w:r>
        <w:rPr>
          <w:rFonts w:ascii="IRNazanin" w:hAnsi="IRNazanin" w:eastAsia="IRNazanin"/>
          <w:color w:val="111111"/>
          <w:sz w:val="28"/>
          <w:sz w:val="28"/>
          <w:szCs w:val="28"/>
          <w:rtl w:val="true"/>
          <w:lang w:bidi="fa-IR"/>
        </w:rPr>
        <w:t>فیکون المراد من الواسطة فی العروض التی جعل عدمها معتبرا فی کون العرض ذاتیا هی الواسطة الموجبة للتجوّز فی نسبة العرض إلی الذات،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یظهر ممّا حرّره المرحوم الشیخ محمد علی أنّ المراد بالواسطة بالعروض معنی آخر غیر ما تقدم من الواسطة فی الحمل،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الواسطة فی العروض هو ما کان العرض أوّلا و بالذات یعرض نفس الواسطة و یحمل علیها، و ثانیا و بالعرض یعرض لذی الواسطة و یحمل علیه کحرکة الجالس فی السفینة، فانّ الحرکة أوّلا و بالذات تعرض السفینة و تستند إلیها، و ثانیا و بالعرض تعرض الجالس و تستند إلیه و تحمل علیه، من قبیل الوصف بحال المتعلق، إلخ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الواسطة فی عروض الحرکة علی الراکب هو السفینة، و من الواضح أنّها مباینة له غیر محمولة علیه، غایته أنّه یمکن أن یقال إن حرکة السفینة علة لحرکة الراکب، فلا تکون حرکته من العوارض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حرکة الراکب عین حرکة السفینة، إذ لیس الراکب فی السفینة إلّا من قبیل أجزائها، و من الواضح أنّ حرکة أحد أجزاء السفینة عین</w:t>
      </w:r>
    </w:p>
    <w:p>
      <w:pPr>
        <w:pStyle w:val="BookText"/>
        <w:rPr/>
      </w:pPr>
      <w:r>
        <w:rPr>
          <w:rFonts w:ascii="IRNazanin" w:hAnsi="IRNazanin" w:eastAsia="IRNazanin"/>
          <w:color w:val="111111"/>
          <w:sz w:val="28"/>
          <w:sz w:val="28"/>
          <w:szCs w:val="28"/>
          <w:rtl w:val="true"/>
          <w:lang w:bidi="fa-IR"/>
        </w:rPr>
        <w:t>حرکة أجزائها الآخر، و لا یکون فی البین إلّا حرکة واحدة منبسطة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حرکة الراکب و حرکة السفینة کلاهما معلولان لما هو علة حرکة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التخلّص عن هذه المناقشات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یمثّل للواسطة فی العروض بالمعنی المذکور بمثل جری النهر و سال المیزاب، و یکون الماء هو الواسطة فی عروض الجریان علی النهر و علی المیزاب، و لعلّه قدّس سرّه یرید بذلک أنّ نسبة العرض إذا کانت غیر حقیقیة کما مر فی شدة البیاض و سرعة الحرکة، یصطلح علیه بأنه من قبیل الواسطة فی العروض، و أنّ ذلک العرض المنسوب إلی الذات نسبة مجازیة لا حقیقة لها واقعا، یکون من العوارض الغریبة، و یکون العرض الذاتی ما عداه مما یکون نسبته إلی المعروض نسبة حقیقیة، و إن لم تکن بعلیّة الذات و اقتضائها بل کانت بعلة اخری أو سبب آخر یعبّر عنه بالواسطة فی الثبوت، لم یکن ذلک العرض إلّا عرضا ذاتیا، و ینحصر العرض الغریب بما عرفت ممّا لا تکون نسبته إلی الذات نسبة حقیقیة، بل کانت من قبیل النسبة بحال المتعلق، و أحسن مثال لذلک حینئذ هو جری النهر و سال المیزاب کما عرفت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ما أفاده فی الکفایة</w:t>
      </w:r>
      <w:r>
        <w:rPr>
          <w:rStyle w:val="FootnoteAnchor"/>
          <w:rtl w:val="true"/>
        </w:rPr>
        <w:footnoteReference w:id="224"/>
      </w:r>
      <w:r>
        <w:rPr>
          <w:rFonts w:ascii="IRNazanin" w:hAnsi="IRNazanin" w:eastAsia="IRNazanin"/>
          <w:color w:val="111111"/>
          <w:sz w:val="28"/>
          <w:sz w:val="28"/>
          <w:szCs w:val="28"/>
          <w:rtl w:val="true"/>
          <w:lang w:bidi="fa-IR"/>
        </w:rPr>
        <w:t>من إخراج العارض بالواسطة العروضیة بالمعنی المذکور عن العوارض الذاتیة، و جعل العرض الذاتی هو ما عدا العارض بالواسطة المذکورة، فلاحظ و تأمّل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أنک قد عرفت أنّهم قسّموا العوارض إلی ما یکون عارضا لنفس الذات، و ما یکون عارضا لها بواسطة جزئها المساوی،</w:t>
      </w:r>
    </w:p>
    <w:p>
      <w:pPr>
        <w:pStyle w:val="BookText"/>
        <w:rPr/>
      </w:pPr>
      <w:r>
        <w:rPr>
          <w:rFonts w:ascii="IRNazanin" w:hAnsi="IRNazanin" w:eastAsia="IRNazanin"/>
          <w:color w:val="111111"/>
          <w:sz w:val="28"/>
          <w:sz w:val="28"/>
          <w:szCs w:val="28"/>
          <w:rtl w:val="true"/>
          <w:lang w:bidi="fa-IR"/>
        </w:rPr>
        <w:t>و ما یکون عارضا لها بواسطة الخارج المساوی لها، و ما یکون عارضا لها بواسطة جزئها الأعم، و ما یکون عارضا لها بواسطة الخارج الأعم، و ما یکون عارضا لها بواسطة الخارج الأخص، و ما یکون عارضا لها بواسطة الخارج المباین، و اتّفقوا ظاهرا علی کون الأول و الثانی من الأعراض الذاتیة، و علی کون الخامس و السادس و السابع من الأعراض الغریبة، و وقع الاختلاف بینهم فی الثالث و الرابع، و المستفاد من ذلک کله أنّ المدار فی کون العرض ذاتیا أو غریبا علی حال تلک الواسطة، و أنها مثلا إن کانت جزءا مساویا للذات کان العرض ذاتیا، و ان کانت خارجة أعم کان العرض غریبا، و هکذا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معرفة المراد بهذه الواسطة، و هل المراد بها الواسطة فی العروض، أو أنّ المراد بها هو الواسطة فی الثبوت، أو أن المراد بها هو الواسطة فی الاثبات، و الذی ینبغی القطع به هو عدم الاعتبار بالثالث کما صرح به الکثیر منهم، فیبقی الأمر مرددا بین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الکثیر منهم کما صرح به شیخنا قدّس سرّه فی تحریرات المرحوم الشیخ محمد علی </w:t>
      </w:r>
      <w:r>
        <w:rPr>
          <w:rStyle w:val="FootnoteAnchor"/>
          <w:rtl w:val="true"/>
        </w:rPr>
        <w:footnoteReference w:id="225"/>
      </w:r>
      <w:r>
        <w:rPr>
          <w:rFonts w:ascii="IRNazanin" w:hAnsi="IRNazanin" w:eastAsia="IRNazanin"/>
          <w:color w:val="111111"/>
          <w:sz w:val="28"/>
          <w:sz w:val="28"/>
          <w:szCs w:val="28"/>
          <w:rtl w:val="true"/>
          <w:lang w:bidi="fa-IR"/>
        </w:rPr>
        <w:t>هو عدم العبرة بالثانی، فیکون المتعیّن هو الأول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بالعرض الذاتی ما یعرض الشی‌ء لذاته أی بلا واسطة فی العروض، سواء احتاج إلی واسطة فی الثبوت و لو إلی مباین أعم أو لا</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یعرض الشی‌ء باعتبار وسائط الثبوت</w:t>
      </w:r>
    </w:p>
    <w:p>
      <w:pPr>
        <w:pStyle w:val="BookText"/>
        <w:rPr/>
      </w:pPr>
      <w:r>
        <w:rPr>
          <w:rFonts w:ascii="IRNazanin" w:hAnsi="IRNazanin" w:eastAsia="IRNazanin"/>
          <w:color w:val="111111"/>
          <w:sz w:val="28"/>
          <w:sz w:val="28"/>
          <w:szCs w:val="28"/>
          <w:rtl w:val="true"/>
          <w:lang w:bidi="fa-IR"/>
        </w:rPr>
        <w:t xml:space="preserve">کلها عرض ذاتی بالمعنی المشار إلیه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الحاصل أنّ الواسطة التی بها یکون العرض ذاتیا و یکون غریبا هی الواسطة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مجموع کلماتهم فی تفسیر الواسطة فی العروض التی علیها المدار فی تقسیم العرض إلی الذاتی و الغریب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عرفته من اعتبار الحمل فیها، و هو ظاهر کل من أشکل علی جعل العارض بواسطة المباین من العوارض الغریبة علی ما عرفته من المرحوم الشیخ عبد الهادی شلیلة فی منظومته </w:t>
      </w:r>
      <w:r>
        <w:rPr>
          <w:rStyle w:val="FootnoteAnchor"/>
          <w:rtl w:val="true"/>
        </w:rPr>
        <w:footnoteReference w:id="228"/>
      </w:r>
      <w:r>
        <w:rPr>
          <w:rFonts w:ascii="IRNazanin" w:hAnsi="IRNazanin" w:eastAsia="IRNazanin"/>
          <w:color w:val="111111"/>
          <w:sz w:val="28"/>
          <w:sz w:val="28"/>
          <w:szCs w:val="28"/>
          <w:rtl w:val="true"/>
          <w:lang w:bidi="fa-IR"/>
        </w:rPr>
        <w:t>، و هو الذی جری علیه فی البدائع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ظهر أنّ الواسطة فی العروض لا یکون مباینا، لأن المفروض عدم صحة حمل العارض علی الذات ابتداء لعدم کونه من مقتضیاتها، فلو لم تکن الواسطة المحمول علیها محمولا علی الذات بل شیئا مباینا معها، فکیف یصح حمله بملاحظة تلک الواسطة علیها</w:t>
      </w:r>
      <w:r>
        <w:rPr>
          <w:rStyle w:val="FootnoteAnchor"/>
          <w:rtl w:val="true"/>
        </w:rPr>
        <w:footnoteReference w:id="229"/>
      </w:r>
      <w:r>
        <w:rPr>
          <w:rFonts w:ascii="IRNazanin" w:hAnsi="IRNazanin" w:eastAsia="IRNazanin"/>
          <w:color w:val="111111"/>
          <w:sz w:val="28"/>
          <w:sz w:val="28"/>
          <w:szCs w:val="28"/>
          <w:rtl w:val="true"/>
          <w:lang w:bidi="fa-IR"/>
        </w:rPr>
        <w:t>، و قد عرفت ما یلزمه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إرجاع الواسطة فی العروض إلی الواسطة فی الثبوت، و هو الظاهر من قولهم فی تفسیر العرض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 لذاته أو لجزئه الأعم من المساوی و الأعم، و ما یعرض له للخارج المساوی، فی قبال العرض الغریب و هو ما یعرض للخارج الأعم أو الأخص أو المباین، فإنّ الظاهر هو کون هذه الوسائط عللا للعروض فی قبال ما یکون العلة فیه هو نفس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الظاهر من شرح المطالع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ینبغی هو تقدیم مقدمة لفهم ما یرومه شارح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أنّک تراهم یقولون فی مقام تقسیم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الشی‌ء لذاته، 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لجزئه المساوی، عارض الشی‌ء لجزئه الأعم إلخ، فقولهم عارض الشی‌ء لذاته لا یریدون به إلّا أن الذات علة فی عروض ذلک العرض علیها، و الذی ینبغی هو أن البواقی علی هذا النمط، فیکون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الشی‌ء لجزئه، أنّ الجزء یکون علة فی عروض ذلک العارض علی ذلک الشی‌ء، و هکذا البواقی، فلا یکون الجزء و الخارج المساوی أو الأعم إلّا علة فی العروض، فلا تکون هذه الوسائط إلّا عللا فلا تکون إلّا وسائط فی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تعبیر البعض بالواسطة فی العروض، فهو علی حدّ قولهم واسطة فی الثبوت، و قولهم واسطة فی الاثبات، فی کون الواسطة فی الأول علة فی الثبوت، و فی الثانی علة فی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ینبغی أن یکون المراد بقولهم واسطة فی العروض، أنّها علة فی العروض، فلا تکون إلّا واسطة و علّة فی الثبوت، فلا یحسن جعلها فی قبالها، و اللازم هو جعل الواسطة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فی الثبوت و واسطة فی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فاعلم أنّ الظاهر من شرح المطالع هو هذا المعنی، أعنی جعل قسمة الواسطة ثنائیة، و إرجاع الواسطة فی العروض إلی الواسطة فی الثبوت، فإنّه قال فی شرح المطالع فی مقام الاشکال علی من عدّ العارض بالواسطة المباینة من الأعراض الغریبة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نحن نقسّم العرض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إمّا أن یلحق الشی‌ء</w:t>
      </w:r>
    </w:p>
    <w:p>
      <w:pPr>
        <w:pStyle w:val="BookText"/>
        <w:rPr/>
      </w:pPr>
      <w:r>
        <w:rPr>
          <w:rFonts w:ascii="IRNazanin" w:hAnsi="IRNazanin" w:eastAsia="IRNazanin"/>
          <w:color w:val="111111"/>
          <w:sz w:val="28"/>
          <w:sz w:val="28"/>
          <w:szCs w:val="28"/>
          <w:rtl w:val="true"/>
          <w:lang w:bidi="fa-IR"/>
        </w:rPr>
        <w:t>لا بواسطة لحوق شی‌ء آخر أو بتوسطه، و الوسط إمّا أن یکون داخلا فی الشی‌ء أو خارجا إلی آخر القسمة، و حینئذ لا یمکن أن یکون الوسط مباینا لأن المباین لا یلحق الشی‌ء، و أیضا الوسط علی ما عرّفه الشیخ ما یقترن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کذا، فلا بد من اعتبار الحمل، و المباین لا یکون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بما یظهر منه عموم الوسط للمباین، و أنّه لا یشترط فی الوسط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الشبهة إنّما نشأت من عدم الفرق بین الوسط فی التصدیق و بین الواسطة فی الثبوت </w:t>
      </w:r>
      <w:r>
        <w:rPr>
          <w:rStyle w:val="FootnoteAnchor"/>
          <w:rtl w:val="true"/>
        </w:rPr>
        <w:footnoteReference w:id="232"/>
      </w:r>
      <w:r>
        <w:rPr>
          <w:rFonts w:ascii="IRNazanin" w:hAnsi="IRNazanin" w:eastAsia="IRNazanin"/>
          <w:color w:val="111111"/>
          <w:sz w:val="28"/>
          <w:sz w:val="28"/>
          <w:szCs w:val="28"/>
          <w:rtl w:val="true"/>
          <w:lang w:bidi="fa-IR"/>
        </w:rPr>
        <w:t xml:space="preserve">، و الشیخ صرّح بذلک فی کتاب البرهان من منطق الشفاء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جعل الأعراض ستة، و جعل الثلاثة الاول ذاتیات و الأخیرة غریبات،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التسمیة اختصاصه بذات الشی‌ء، و ما لا یختص بالشی‌ء بل عرض له لأمر أعم، أو یختص و لا یشمله بل یکون عارضا له لأمر أخص، سمی عرضا غریبا، لما فیه من الغرابة بالقیاس الی ذات الشی‌ء</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فی تفسیر الواسطة العروضیة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کان العارض لا حقا لنفسها، و یکون نسبة ذلک العارض الی الموضوع نسبة مجازیة باعتبار کونه من عوارض ملابسه، و هذا الوجه هو المنقول عن حاشیة</w:t>
      </w:r>
    </w:p>
    <w:p>
      <w:pPr>
        <w:pStyle w:val="BookText"/>
        <w:rPr/>
      </w:pPr>
      <w:r>
        <w:rPr>
          <w:rFonts w:ascii="IRNazanin" w:hAnsi="IRNazanin" w:eastAsia="IRNazanin"/>
          <w:color w:val="111111"/>
          <w:sz w:val="28"/>
          <w:sz w:val="28"/>
          <w:szCs w:val="28"/>
          <w:rtl w:val="true"/>
          <w:lang w:bidi="fa-IR"/>
        </w:rPr>
        <w:t xml:space="preserve">الملا صدرا علی شرح حکمة الاشراق </w:t>
      </w:r>
      <w:r>
        <w:rPr>
          <w:rStyle w:val="FootnoteAnchor"/>
          <w:rtl w:val="true"/>
        </w:rPr>
        <w:footnoteReference w:id="235"/>
      </w:r>
      <w:r>
        <w:rPr>
          <w:rFonts w:ascii="IRNazanin" w:hAnsi="IRNazanin" w:eastAsia="IRNazanin"/>
          <w:color w:val="111111"/>
          <w:sz w:val="28"/>
          <w:sz w:val="28"/>
          <w:szCs w:val="28"/>
          <w:rtl w:val="true"/>
          <w:lang w:bidi="fa-IR"/>
        </w:rPr>
        <w:t xml:space="preserve">و هو المنقول عن السبزواری فی شرح منظومته فی المنطق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کأنّ قول صاحب الکفایة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واسطة فی العروض</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ناظر إلیه، و إلیه ینظر شیخنا قدّس سرّه فیما حکاه عنه المرحوم الشیخ محمد علی فیما قدمنا نقله </w:t>
      </w:r>
      <w:r>
        <w:rPr>
          <w:rStyle w:val="FootnoteAnchor"/>
          <w:rtl w:val="true"/>
        </w:rPr>
        <w:footnoteReference w:id="238"/>
      </w:r>
      <w:r>
        <w:rPr>
          <w:rFonts w:ascii="IRNazanin" w:hAnsi="IRNazanin" w:eastAsia="IRNazanin"/>
          <w:color w:val="111111"/>
          <w:sz w:val="28"/>
          <w:sz w:val="28"/>
          <w:szCs w:val="28"/>
          <w:rtl w:val="true"/>
          <w:lang w:bidi="fa-IR"/>
        </w:rPr>
        <w:t>، و علیه فتکون جمیع العوارض العارضة علی الذات ذاتیة سوی ما یکون نسبته إلیها نسبة مجازیة فإنّه فی الحقیقة لیس من عوارض تلک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فی تحریر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من تفسیر الواسطة فی العروض بالواسطة الثانیة فلم أعرف له وجها و لا مأخذا، فلاحظ و 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أخاله هو أنّه قدّس سرّه تعرّض لبحثین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تحریر المرحوم الشیخ محمد علی </w:t>
      </w:r>
      <w:r>
        <w:rPr>
          <w:rStyle w:val="FootnoteAnchor"/>
          <w:rtl w:val="true"/>
        </w:rPr>
        <w:footnoteReference w:id="240"/>
      </w:r>
      <w:r>
        <w:rPr>
          <w:rFonts w:ascii="IRNazanin" w:hAnsi="IRNazanin" w:eastAsia="IRNazanin"/>
          <w:color w:val="111111"/>
          <w:sz w:val="28"/>
          <w:sz w:val="28"/>
          <w:szCs w:val="28"/>
          <w:rtl w:val="true"/>
          <w:lang w:bidi="fa-IR"/>
        </w:rPr>
        <w:t>و هو مع الجماعة القائلین بأنّ المدار فی کون العرض ذاتیا و غریبا علی حال الواسطة فی الثبوت، و أنّ العرض إن کان باقتضاء الذات أو جزئها المساوی أو الأعم أو ما هو خارج عنها مساو لها فهو ذاتیّ، لکون الجمیع باقتضاء الذات حتی الأخیر منها، لأن الذات لمّا کانت مقتضیة لذلک الخارج المساوی المقتضی لذلک العرض کان ذلک العرض بالأخرة باقتضاء الذات، بخلاف ما لو کان الوسط فیه ما هو الخارج الأخص أو الأعم أو المباین فانه لا یکون باقتضاء الذات، فلا یکون عرضا ذاتیا بل غریبا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بحث شیخنا قدّس سرّه معهم هو أنّه لیس المدار فی کون العرض ذاتیا علی اقتضاء الذات أو ما یلحق بالذات، بل المدار فیه علی کون العرض لاحقا للذات محمولا علیها ابتداء، سواء کان بعلیة نفس الذات أو کان بعلیة جزئها أو کان بعلیة ما هو خارج عنها، و لا یکون العرض غریبا إلّا ما لم یکن لاحقا للذات ابتداء، بل کان هو فی الحقیقة لاحقا للواسطة، و إنّما یلحق الذات تبعا و بالعرض و المجاز نظیر الوصف بحال المتعلق، فهذا هو العرض الغریب، أما غیره من الأقسام الستة أو السبعة فکلها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شی‌ء، و هو أن ما یعرض لما هو الخارج الأخص کالرفع اللاحق للفاعل الذی هو أخص من الکلمة، و ما یعرض للخارج الأعم مثل العوارض المبحوث عنها فی مباحث الألفاظ، و هی أن الألفاظ أعم من موضوع علم الاصول أعنی الکتاب و السنة، و هکذا فی عوارض الجنس لما هو موضوع الفن مثل المشی الذی هو عارض الحیوان بالنسبة إلی علم یکون موضوعه الانسان، فإن هذه و إن کانت ذاتیة إلّا أن الذی ینبغی هو جعل الأول أعنی الرفع من مباحث العلم الذی یکون موضوعه الفاعل لا العلم الذی یکون موضوعه الکلمة، و کذلک الثانی أعنی العوارض المذکورة فی مباحث الألفاظ ینبغی جعلها فی العلم الذی یکون موضوعه مطلق الألفاظ لا العلم الذی یکون موضوعه هو خصوص الألفاظ الواردة فی الکتاب و السنة، و هکذا البحث عن المشی ینبغی أن یکون فی العلم الذی یکون موضوعه الحیوان لا العلم الذی یکون موضوعه الانسان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w:t>
      </w:r>
      <w:r>
        <w:rPr>
          <w:rStyle w:val="FootnoteAnchor"/>
          <w:rtl w:val="true"/>
        </w:rPr>
        <w:footnoteReference w:id="241"/>
      </w:r>
      <w:r>
        <w:rPr>
          <w:rFonts w:ascii="IRNazanin" w:hAnsi="IRNazanin" w:eastAsia="IRNazanin"/>
          <w:color w:val="111111"/>
          <w:sz w:val="28"/>
          <w:sz w:val="28"/>
          <w:szCs w:val="28"/>
          <w:rtl w:val="true"/>
          <w:lang w:bidi="fa-IR"/>
        </w:rPr>
        <w:t>عن هذا الأخیر باعتبار الحیثیة، فالبحث عن عوارض</w:t>
      </w:r>
    </w:p>
    <w:p>
      <w:pPr>
        <w:pStyle w:val="BookText"/>
        <w:rPr/>
      </w:pPr>
      <w:r>
        <w:rPr>
          <w:rFonts w:ascii="IRNazanin" w:hAnsi="IRNazanin" w:eastAsia="IRNazanin"/>
          <w:color w:val="111111"/>
          <w:sz w:val="28"/>
          <w:sz w:val="28"/>
          <w:szCs w:val="28"/>
          <w:rtl w:val="true"/>
          <w:lang w:bidi="fa-IR"/>
        </w:rPr>
        <w:t>الأوامر لا یکون المنظور فیه مطلق الأوامر بل الأوامر من حیث وقوعها فی الکتاب و السنة، فالحیثیة تقییدیة توجب تضییق دائرة العروض فی تلک المسائل، و هکذا الحال فی البحث عن رفع الفاعل فی النحو الذی یکون موضوعه الکلمة، فإن المنظور إلیه فی ذلک البحث هو الفاعل من حیث إنه مصداق الکلمة لا من حیث نفسه خصوص عنوان الفاعل ککونه مقدّما رتبة علی المفعول، فالحیثیة هنا توجب توسعة موضوع القضیة القائلة الفاعل مرفوع، فهی توجب توسعة دائرة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سیأتی </w:t>
      </w:r>
      <w:r>
        <w:rPr>
          <w:rStyle w:val="FootnoteAnchor"/>
          <w:rtl w:val="true"/>
        </w:rPr>
        <w:footnoteReference w:id="242"/>
      </w:r>
      <w:r>
        <w:rPr>
          <w:rFonts w:ascii="IRNazanin" w:hAnsi="IRNazanin" w:eastAsia="IRNazanin"/>
          <w:color w:val="111111"/>
          <w:sz w:val="28"/>
          <w:sz w:val="28"/>
          <w:szCs w:val="28"/>
          <w:rtl w:val="true"/>
          <w:lang w:bidi="fa-IR"/>
        </w:rPr>
        <w:t>إن شاء اللّه تعالی أن القائل بهذا المسلک من أن المائز بین الذاتی و الغریب هو التجوز و عدمه فی راحة من هذا الاشکال، أعنی دخول هذه المسائل فی موضوع الفن و إن کانت داخلة فی موضوع فن آخر لأجل تعدد الغایة و ترتب الغایتین علی تلک المسألة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بعد الفراغ عن کون المیزان فی العرض الذاتی هو عروضه لنفس الذات عروضا حقیقیا، فیخرج منه ما یعرضها تجوّزا باعتبار الاتصاف بحال المتعلق، یقع الاشکال فی العوارض المترتبة مثل الضحک الذی هو بالتعجب الذی هو بالادراک الذی هو باقتضاء الذات، فیقال إن الادراک من العوارض الذاتیة و کذلک التعجب، لکون الأول باقتضاء الذات و الثانی باقتضاء ما هو خارج عنها مساو لها، لکن الاشکال فی الثالث فإنه إنّما یلحق الذات بالعرض و المجاز بواسطة التعجب، فیکون التعجب من قبیل الواسطة فی العروض و إن کان الادراک بالقیاس إلی التعجب من قبیل الواسطة فی الثبوت، و هذا البحث هو الذی تعرض له فی تقریرات</w:t>
      </w:r>
    </w:p>
    <w:p>
      <w:pPr>
        <w:pStyle w:val="BookText"/>
        <w:rPr/>
      </w:pP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عوارض الأمر الخارجی المساوی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243"/>
      </w:r>
      <w:r>
        <w:rPr>
          <w:rFonts w:ascii="IRNazanin" w:hAnsi="IRNazanin" w:eastAsia="IRNazanin"/>
          <w:color w:val="111111"/>
          <w:sz w:val="28"/>
          <w:sz w:val="28"/>
          <w:szCs w:val="28"/>
          <w:rtl w:val="true"/>
          <w:lang w:bidi="fa-IR"/>
        </w:rPr>
        <w:t>، إلّا أنه أخیرا اختار کون الضحک أیضا من العوارض الذاتیة و أن التعجب بالنسبة إلیه لا یکون إلّا من قبیل الواسطة فی الثبوت لا فی العروض، فلاحظ التقریر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الحق هو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قد عرفت اختیاره قدّس سرّه فی العوارض المترتبة من أن الجمیع عوارض ذاتیة، و بعد ذلک لا موقع لما أفاده الاستاذ العراقی قدّس سرّه فی مقالته من الأشکال علی شیخنا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إشکالا من ذلک ما عن بعض أعاظم المعاصرین علی المحکی من مقرر بحثه، حیث جعل میزان الوساطة فی العروض علی احتیاج عروضه إلی واسطة اخری فی الثبوت، و مثّل لذلک بالضحک العارض للتعجب العارض لادراک الکلی، و ظاهر کلامه التزامه بعروض الضحک للانسان مع کونه من عوارض التعجب باعترافه، و لا یخفی ما فی هذا الکلام من مواقع النظر</w:t>
      </w:r>
      <w:r>
        <w:rPr>
          <w:rStyle w:val="FootnoteAnchor"/>
          <w:rtl w:val="true"/>
        </w:rPr>
        <w:footnoteReference w:id="244"/>
      </w:r>
      <w:r>
        <w:rPr>
          <w:rFonts w:ascii="IRNazanin" w:hAnsi="IRNazanin" w:eastAsia="IRNazanin"/>
          <w:color w:val="111111"/>
          <w:sz w:val="28"/>
          <w:sz w:val="28"/>
          <w:szCs w:val="28"/>
          <w:rtl w:val="true"/>
          <w:lang w:bidi="fa-IR"/>
        </w:rPr>
        <w:t>، ثم ذکر مواقع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نسج علی هذا المنوال مقرر بحثه فی کتابه بدائع الأفکار</w:t>
      </w:r>
      <w:r>
        <w:rPr>
          <w:rStyle w:val="FootnoteAnchor"/>
          <w:rtl w:val="true"/>
        </w:rPr>
        <w:footnoteReference w:id="245"/>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جمیع ذلک مبنی علی أن شیخنا قدّس سرّه یری أن الضحک من عوارض التعجب، و قد عرفت رأیه فی ذلک و أنه لا یری التعجب بالنسبة إلی الضحک و لا الادراک بالنسبة إلی التعجب إلّا من قبیل العلة و الواسطة فی الثبوت دون العروض</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نسج علی هذا المنوال محشی الکفایة السلطان‌آبادی المعروف</w:t>
      </w:r>
    </w:p>
    <w:p>
      <w:pPr>
        <w:pStyle w:val="BookText"/>
        <w:rPr/>
      </w:pPr>
      <w:r>
        <w:rPr>
          <w:rFonts w:ascii="IRNazanin" w:hAnsi="IRNazanin" w:eastAsia="IRNazanin"/>
          <w:color w:val="111111"/>
          <w:sz w:val="28"/>
          <w:sz w:val="28"/>
          <w:szCs w:val="28"/>
          <w:rtl w:val="true"/>
          <w:lang w:bidi="fa-IR"/>
        </w:rPr>
        <w:t xml:space="preserve">بالسلطان </w:t>
      </w:r>
      <w:r>
        <w:rPr>
          <w:rStyle w:val="FootnoteAnchor"/>
          <w:rtl w:val="true"/>
        </w:rPr>
        <w:footnoteReference w:id="246"/>
      </w:r>
      <w:r>
        <w:rPr>
          <w:rFonts w:ascii="IRNazanin" w:hAnsi="IRNazanin" w:eastAsia="IRNazanin"/>
          <w:color w:val="111111"/>
          <w:sz w:val="28"/>
          <w:sz w:val="28"/>
          <w:szCs w:val="28"/>
          <w:rtl w:val="true"/>
          <w:lang w:bidi="fa-IR"/>
        </w:rPr>
        <w:t>و نقل ما فی تقریر السید عن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فالواسطة فی الثبوت و إلّا ففی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ما الداعی لهؤلاء إلی أن یذکروا مجرد الاشکال و لم یذکروا ما أفاده قدّس سرّه و ما اختاره فی المسألة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الحق هو الأوّل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 شیخنا قدّس سرّه فی البحث الأوّل فقد عرفت أنه خیرة أساطین الفن مثل الملا صدرا و شارح المنظومة و علیه جری فی الکفایة و تبعه من تأخر، و لکن إذا وصلت النوبة إلی أنّ الانتساب الحقیقی و الانتساب المجازی هو المائز بین العرض الذاتی و العرض الغریب یسهل الأمر، و تخرج المسألة عن کونها من مسائل المعقول، و تکون من مسائل علم اللغة، أعنی علم المعانی، و هی مسألة المجاز فی الاسناد و کون التجوز من قبیل المجاز العقلی و لا أهمیة لها، و فی الحقیقة یکون العارض الغریب لتلک الذات لیس عارضا لها و إنّما هو عارض لذلک الملابس لها مثل قضیة نسبة عارض الحال إلی المحل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النهر و سال المیزاب، و کأن تمثیلهم لذلک بمسألة حرکة الراکب للسفینة من باب عکس هذا المثال أعنی أنّه یکون من قبیل نسبة عرض المحل إلی الحال، فالحرکة عرض للسفینة التی هی المحل، لکنها تنسب إلی الراکب الذی هو الحال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فیه، فإن الحرکة واحدة طارئة علی کل من السفینة و راکبها، لا أن الحرکة للسفینة حقیقة و تنسب إلی الحال فیها مجازا، بل و لا أن حرکة الراکب بعلّة السفینة و حرکة السفینة بعلة الموج مثلا، و لا أنّ</w:t>
      </w:r>
    </w:p>
    <w:p>
      <w:pPr>
        <w:pStyle w:val="BookText"/>
        <w:rPr/>
      </w:pPr>
      <w:r>
        <w:rPr>
          <w:rFonts w:ascii="IRNazanin" w:hAnsi="IRNazanin" w:eastAsia="IRNazanin"/>
          <w:color w:val="111111"/>
          <w:sz w:val="28"/>
          <w:sz w:val="28"/>
          <w:szCs w:val="28"/>
          <w:rtl w:val="true"/>
          <w:lang w:bidi="fa-IR"/>
        </w:rPr>
        <w:t>حرکة الراکب معلولة لحرکة السفینة، بل لیس فی البین إلّا حرکة واحدة منبسطة علی الجمیع منتسبة نسبة حقیقیة و هی معلولة للموج، فلیس ثمة تجوّز کما عرفت تفصیل ذلک فیما تقدم، و أمّا بقیة الأمثلة التی ذکروها فقد عرفت الکلام فیها مفصلا فلا نطیل بالاعادة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یعلم أن ظاهر التوجیه الثالث للواسطة فی العروض، و أنّها ما أوجبت التجوز فی نسبة العرض إلی معروضه و بذلک یکون العرض غریبا، هو أن المدار فی غرابة العرض علی ذلک، أعنی کون النسبة مجازیة من قبیل النسبة بحال المتعلق، سواء کانت الواسطة مباینة و غیر محمولة کما فی مثال توسط السفینة فی نسبة الحرکة إلی الراکب، و کذلک عکسه أعنی توسط الماء فی نسبة الجریان إلی النهر و المیزاب، أو کانت محمولة کما فی توسط الحرکة فی عروض السرعة، و کما فی توسط البیاض فی عروض الشدّة، فإن الحرکة و البیاض محمولان علی الجسم، و لکن نسبة العرض إلیه بواسطتهما و هو السرعة و الشدة یکون بالعرض و المجاز و من قبیل النسبة بحال المتعلق، و یقابل ذلک العرض الذاتی و هو ما یکون نسبة العرض فیه حقیقیة، فإنّه شامل أیضا لما یکون الواسطة فیه محمولة کما فی توسط الناطق و الحیوان فی عروض الادراک و المشی علی الإنسان، فإن نسبة الادراک و المشی إلی الإنسان حقیقیة و الواسطة فی ذلک و هی الناطق و الحیوان واسطة محمولة علی الانسان، و لما یکون الواسطة فیه غیر محمولة کما فی توسط النار لعروض الحرارة علی الماء، فان نسبة الحرارة إلی الماء نسبة حقیقیة، و الواسطة و هی النار غیر محمولة علی الماء لکونها مباینة له، و یمکن القول بأن الواسطة و العلة فی حرارة الماء لیست هی النار بل العلة فی ذلک هی مجاورته للنار، و حینئذ یکون من الواسطة المحمولة</w:t>
      </w:r>
    </w:p>
    <w:p>
      <w:pPr>
        <w:pStyle w:val="BookText"/>
        <w:rPr/>
      </w:pPr>
      <w:r>
        <w:rPr>
          <w:rFonts w:ascii="IRNazanin" w:hAnsi="IRNazanin" w:eastAsia="IRNazanin"/>
          <w:color w:val="111111"/>
          <w:sz w:val="28"/>
          <w:sz w:val="28"/>
          <w:szCs w:val="28"/>
          <w:rtl w:val="true"/>
          <w:lang w:bidi="fa-IR"/>
        </w:rPr>
        <w:t>لأن المجاورة تحمل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فالواسطة بالعروض هی الموجبة لکون نسبة العرض مجازیة، سواء کانت الواسطة محمولة أو کانت غیر محمولة، إن تصورنا الواسطة غیر المحمولة، و هذا بخلاف الوجه الأول فی تفسیر الواسطة فی العروض، فإن الواسطة فیه لا بد أن تکون محمولة، کما أنّ نسبة العرض فیه لا بد أن تکون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باعتبار هذین القیدین المحقق صاحب الحاشیة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 أن المراد بالعوارض کما عرفت هی المحمولات الخارجة عن حقیقة ما حملت علیه، و حینئذ فإن کانت تلک العوارض محمولة علی موضوعاتها من دون ملاحظة حمل شی‌ء آخر علیها أصلا کانت تلک العوارض عارضة لذات الموضوع، و إن کان عروضها بواسطة حمل شی‌ء علیها، فذلک الشی‌ء إمّا أن یکون داخلا فی الموضوع أو خارجا عنه حسب ما فصّلناه من الأقسام، فلا یعقل أن یکون العروض بواسطة أمر مباین للماهیّة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فی تأیید ذلک، أعنی اعتبار الحمل فی الواسطة و تشییده و دفع الاعتراضات عنه، و فی بعض أجوبته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کون المراد بالواسطة فی المقام هو الواسطة فی العروض دون الثبوت بالمعنی المقابل له، فهو الذی یقتضیه التحقیق فی المقام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تمهّد ذلک تبیّن أن عروض شی‌ء لشی‌ء إما أن یکون بلا واسطة أو بواسطة لا تکون إلا محمولة، فإنّه إن صح حمل العارض علی موضوعه من دون لحوق شی‌ء آخر للموضوع و حمله علیه، کان عارضا لذاته من دون حاجة إلی الواسطة، و إن افتقر إلی لحوق شی‌ء آخر له فلا بد</w:t>
      </w:r>
    </w:p>
    <w:p>
      <w:pPr>
        <w:pStyle w:val="BookText"/>
        <w:rPr/>
      </w:pPr>
      <w:r>
        <w:rPr>
          <w:rFonts w:ascii="IRNazanin" w:hAnsi="IRNazanin" w:eastAsia="IRNazanin"/>
          <w:color w:val="111111"/>
          <w:sz w:val="28"/>
          <w:sz w:val="28"/>
          <w:szCs w:val="28"/>
          <w:rtl w:val="true"/>
          <w:lang w:bidi="fa-IR"/>
        </w:rPr>
        <w:t xml:space="preserve">أن یکون ذلک الشی‌ء من عوارض المحل، إذ لولاه لم یعقل کون العارض له عارضا لذلک المحل، سواء کان جوهرا أو عرضا قائما بغیر المحل المذکور، و لو اطلق العروض فی مثله فعلی سبیل المجاز دون الحقیقة، و هو خلاف المفروض، إذ الکلام فی العوارض الحقیقیة و إن کانت غریبة بالنسبة إلی معروضاتها، فإذا ثبت ذلک لزمه صحة حمل الواسطة علی المحل حسب ما مرّ بیانه من صحة حمل العوارض علی معروضاتها بالاعتبار المتقدم </w:t>
      </w:r>
      <w:r>
        <w:rPr>
          <w:rStyle w:val="FootnoteAnchor"/>
          <w:rtl w:val="true"/>
        </w:rPr>
        <w:footnoteReference w:id="248"/>
      </w:r>
      <w:r>
        <w:rPr>
          <w:rFonts w:ascii="IRNazanin" w:hAnsi="IRNazanin" w:eastAsia="IRNazanin"/>
          <w:color w:val="111111"/>
          <w:sz w:val="28"/>
          <w:sz w:val="28"/>
          <w:szCs w:val="28"/>
          <w:rtl w:val="true"/>
          <w:lang w:bidi="fa-IR"/>
        </w:rPr>
        <w:t>انتهی ما أردنا نقله من کلامه قدّس سرّه علی 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تری تصریحه بأن الواسطة فی المقام هی الواسطة فی العروض دون الواسطة فی الثبوت، و أنّها لا بد أن تکون محمولة علی الموضوع، و أن العارض للموضوع بواسطتها لا بد أن یکون عروضه عروضا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هذا المحقق فی آخر تحقیقاته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ذکرنا أن العرض الذاتی ما یکون عارضا للشی‌ء لنفس ذاته من غیر واسطة فی العروض، أو لأمر مساو للذات، سواء کان داخلا فی الذات أو خارجا عنها کما نص علیه جماعة من محققی المتأخرین، فیکون کل من العوارض الذاتیة و الغریبة أقساما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الواسطة الملحوظة فی المقام إنّما هی الواسطة فی العروض دون الثبوت، فما ذکره بعض الأجلة و حکاه عن التفتازانی فی شرح الرسالة من أنّ المقصود بها الواسطة فی الثبوت، فاسد کما عرفت تفصیل الحال فیه بما قررنا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قدّس سرّه یجعل المدار علی الواسطة فی العروض دون الواسطة فی الثبوت، و لکنه یعتبر الحمل فی الواسطة فی العروض، و یعتبر فیها أیضا أن</w:t>
      </w:r>
    </w:p>
    <w:p>
      <w:pPr>
        <w:pStyle w:val="BookText"/>
        <w:rPr/>
      </w:pPr>
      <w:r>
        <w:rPr>
          <w:rFonts w:ascii="IRNazanin" w:hAnsi="IRNazanin" w:eastAsia="IRNazanin"/>
          <w:color w:val="111111"/>
          <w:sz w:val="28"/>
          <w:sz w:val="28"/>
          <w:szCs w:val="28"/>
          <w:rtl w:val="true"/>
          <w:lang w:bidi="fa-IR"/>
        </w:rPr>
        <w:t>تکون نسبة العرض إلی ذی الواسطة نسبة حقیقیة، و یکون العرض الذاتی عنده ما کان عارضا للذات بلا واسطة فی العروض، و یکون ما یعرضها بواسطة الجزء المساوی أو الخارج المساوی ملحقا به لکونه لأمر راجع إلی الذات مساویا لها، و البواقی و هی کون الواسطة هی الجزء الأعم أو الخارج الأعم أو الخارج الأخص کلها غریبة، و یکون الوجه فی الغرابة هو أنّ الواسطة توسّع دائرة العارض أو تضیّقه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قول صاحب الفصول </w:t>
      </w:r>
      <w:r>
        <w:rPr>
          <w:rStyle w:val="FootnoteAnchor"/>
          <w:rtl w:val="true"/>
        </w:rPr>
        <w:footnoteReference w:id="249"/>
      </w:r>
      <w:r>
        <w:rPr>
          <w:rFonts w:ascii="IRNazanin" w:hAnsi="IRNazanin" w:eastAsia="IRNazanin"/>
          <w:color w:val="111111"/>
          <w:sz w:val="28"/>
          <w:sz w:val="28"/>
          <w:szCs w:val="28"/>
          <w:rtl w:val="true"/>
          <w:lang w:bidi="fa-IR"/>
        </w:rPr>
        <w:t>و صاحب الکفایة</w:t>
      </w:r>
      <w:r>
        <w:rPr>
          <w:rStyle w:val="FootnoteAnchor"/>
          <w:rtl w:val="true"/>
        </w:rPr>
        <w:footnoteReference w:id="250"/>
      </w:r>
      <w:r>
        <w:rPr>
          <w:rFonts w:ascii="IRNazanin" w:hAnsi="IRNazanin" w:eastAsia="IRNazanin"/>
          <w:color w:val="111111"/>
          <w:sz w:val="28"/>
          <w:sz w:val="28"/>
          <w:szCs w:val="28"/>
          <w:rtl w:val="true"/>
          <w:lang w:bidi="fa-IR"/>
        </w:rPr>
        <w:t xml:space="preserve">فی اعتبار عدم الواسطة فی العروض منزّل علی ذلک، و قد أشکلنا علیه فیما تقدّم </w:t>
      </w:r>
      <w:r>
        <w:rPr>
          <w:rStyle w:val="FootnoteAnchor"/>
          <w:rtl w:val="true"/>
        </w:rPr>
        <w:footnoteReference w:id="251"/>
      </w:r>
      <w:r>
        <w:rPr>
          <w:rFonts w:ascii="IRNazanin" w:hAnsi="IRNazanin" w:eastAsia="IRNazanin"/>
          <w:color w:val="111111"/>
          <w:sz w:val="28"/>
          <w:sz w:val="28"/>
          <w:szCs w:val="28"/>
          <w:rtl w:val="true"/>
          <w:lang w:bidi="fa-IR"/>
        </w:rPr>
        <w:t>بأن الواسطة العارضة إن کانت علة للعارض کانت واسطة فی الثبوت، و إن کانا معا معلولین لثالث کانت واسطة فی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عنه بأنّه لا منافاة بین کونها واسطة فی الثبوت أو الاثبات و بین کونها واسطة فی العروض بالمعنی الذی شرحه، و من جهة وجود الواسطة فی العروض یکون العرض غریبا، و کون العارض بالواسطة فی الثبوت إنّما یکون ذاتیا اذا لم یکن ما یوجب الغرابة و هو کون تلک الواسطة الثبوتیة واسطة فی العروض، فلاحظ و تأمل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الواسطة فی الثبوت و ان کانت مباینة لا تحمل لتکون واسطة فی العروض إلّا أنّه یصح </w:t>
      </w:r>
      <w:r>
        <w:rPr>
          <w:rStyle w:val="FootnoteAnchor"/>
          <w:rtl w:val="true"/>
        </w:rPr>
        <w:footnoteReference w:id="252"/>
      </w:r>
      <w:r>
        <w:rPr>
          <w:rFonts w:ascii="IRNazanin" w:hAnsi="IRNazanin" w:eastAsia="IRNazanin"/>
          <w:color w:val="111111"/>
          <w:sz w:val="28"/>
          <w:sz w:val="28"/>
          <w:szCs w:val="28"/>
          <w:rtl w:val="true"/>
          <w:lang w:bidi="fa-IR"/>
        </w:rPr>
        <w:t>الحمل فیها بالاشتقاق، فالتعجب علة فی الضحک و واسطة فی الثبوت فیه، و لکن المتعجب واسطة فی العروض و هو</w:t>
      </w:r>
    </w:p>
    <w:p>
      <w:pPr>
        <w:pStyle w:val="BookText"/>
        <w:rPr/>
      </w:pP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أنّه یمکن حمل عبارة الکفایة و الفصول من قولهما بلا واسطة فی العروض علی هذا المعنی، و لا یلزم منه ما ذکرناه من لزوم کون جمیع العوارض ذاتیة و لا عدم تأتّی الواسطة فی العروض فیما لو کانت الواسطة من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الرفع العارض علی الکلمة بواسطة الفاعلیة فی قولهم الفاعل مرفوع، یکون خارجا عن مسائل علم النحو الذی یکون موضوعه الکلمة، إذ لیس الرفع حینئذ من عوارضها الذاتیة، لکونه لاحقا لها بواسطة الخارج الأخص و هو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الجواب حینئذ عن ذلک، بأنّ ما به الامتیاز فی هذه المقامات عین ما به الاشتراک، فیکون الفاعل عین الکلمة، و نحو ذلک من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یخلو من خدشة فی دعوی کون العارض بواسطة المساوی الداخل و الخارج أنه بلا واسطة فی العروض إلّا بنحو من التسامح، بدعوی خفاء الواسطة، و ادّعاء اختصاص الواسطة بالعروض بخصوص ما یکون توسطها موجبا لتوسعة العارض بالنسبة إلی المعروض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المسامحتان و إن صحّتا، إلّا أنّ المسامحة لا تناسب التقسیم المعقولی، نعم هو اصطلاح و لا مشاحة فیه، لکن لا بد من ثبوت الاصطلاح من أهل الفن و لم یثبت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حبّذا لو قالوا العارض المبحوث عنه فی الفن هو العارض المساوی لموضوعه لا الأعم و لا الأخص و أراحونا من هذه المشاکل، و یبقی الکلام معهم فی صدق ذلک و أنه لم لا یکون البحث عن العارض الأعم و العارض</w:t>
      </w:r>
    </w:p>
    <w:p>
      <w:pPr>
        <w:pStyle w:val="BookText"/>
        <w:rPr/>
      </w:pPr>
      <w:r>
        <w:rPr>
          <w:rFonts w:ascii="IRNazanin" w:hAnsi="IRNazanin" w:eastAsia="IRNazanin"/>
          <w:color w:val="111111"/>
          <w:sz w:val="28"/>
          <w:sz w:val="28"/>
          <w:szCs w:val="28"/>
          <w:rtl w:val="true"/>
          <w:lang w:bidi="fa-IR"/>
        </w:rPr>
        <w:t>الأخص من مباحث ذلک الفن إذا ترتبت الثمرة المطلوبة من ذلک الفن علیهما، و إن کانا من مباحث الفن الذی یکون موضوعه الأعم أو موضوعه الأخص، لأجل ترتب الثمرة فی ذینک العلمین علی البحثین،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 الذی هو لصاحب المطالع و محشیها الشریف الجرجانی، فهو أخیرا جعل الأعراض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 الشی‌ء لذاته، و ما یعرضه للمساوی الداخل و المساوی الخارج، و ما یعرضه للأعم الداخل و الخارج، و ما یعرضه للأخص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الثلاثة الاول ذاتیات و الثلاثة الأخیرة غریبات،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التسمیة اختصاصه بذات الشی‌ء و ما لا یختص بالشی‌ء بل عرض له لأمر أعم أو یختص و لا یشمله بل یکون عارضا له لأمر أخص سمی عرضا غریبا، لما فیه من الغرابة بالقیاس إلی ذات الشی‌ء</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بالأخرة صار موافقا لما نقلناه عن صاحب الحاشیة، و صار المدار فی الذاتیة و الغرابة علی مساواة العارض للمعروض و علی عدم المساواة، و قد عرفت ما یرد علی ذلک من کونه خلاف الواقع فی مباحث الفنون، و هذا بخلاف ما عن شیخنا قدّس سرّه فإنّ المدار فیه علی کون الانتساب حقیقة أو مجازا، سواء کانت الواسطة محمولة أو غیر محمولة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 بانحصار العرض الغریب بما کانت النسبة فیه إلی المعروض مجازیة و کانت الواسطة فیه محمولة کما فی مثل سرعة الحرکة و شدّة البیاض، و مثل البیاض العارض للجسم بتوسط السطح، دون مثل</w:t>
      </w:r>
    </w:p>
    <w:p>
      <w:pPr>
        <w:pStyle w:val="BookText"/>
        <w:rPr/>
      </w:pPr>
      <w:r>
        <w:rPr>
          <w:rFonts w:ascii="IRNazanin" w:hAnsi="IRNazanin" w:eastAsia="IRNazanin"/>
          <w:color w:val="111111"/>
          <w:sz w:val="28"/>
          <w:sz w:val="28"/>
          <w:szCs w:val="28"/>
          <w:rtl w:val="true"/>
          <w:lang w:bidi="fa-IR"/>
        </w:rPr>
        <w:t xml:space="preserve">حرکة الجالس فی السفینة الذی یکون الواسطة فیه و هی السفینة غیر محمولة، لکونها مباینة کما فی شرح الکفایة للرشتی </w:t>
      </w:r>
      <w:r>
        <w:rPr>
          <w:rStyle w:val="FootnoteAnchor"/>
          <w:rtl w:val="true"/>
        </w:rPr>
        <w:footnoteReference w:id="254"/>
      </w:r>
      <w:r>
        <w:rPr>
          <w:rFonts w:ascii="IRNazanin" w:hAnsi="IRNazanin" w:eastAsia="IRNazanin"/>
          <w:color w:val="111111"/>
          <w:sz w:val="28"/>
          <w:sz w:val="28"/>
          <w:szCs w:val="28"/>
          <w:rtl w:val="true"/>
          <w:lang w:bidi="fa-IR"/>
        </w:rPr>
        <w:t>و یقابله ما فی المقالة</w:t>
      </w:r>
      <w:r>
        <w:rPr>
          <w:rStyle w:val="FootnoteAnchor"/>
          <w:rtl w:val="true"/>
        </w:rPr>
        <w:footnoteReference w:id="255"/>
      </w:r>
      <w:r>
        <w:rPr>
          <w:rFonts w:ascii="IRNazanin" w:hAnsi="IRNazanin" w:eastAsia="IRNazanin"/>
          <w:color w:val="111111"/>
          <w:sz w:val="28"/>
          <w:sz w:val="28"/>
          <w:szCs w:val="28"/>
          <w:rtl w:val="true"/>
          <w:lang w:bidi="fa-IR"/>
        </w:rPr>
        <w:t>من جعل السرعة العارضة للحرکة و الاستقامة العارضة للخط و نحو ذلک من قبیل حرکة الجالس فی السفینة بتوسطها، من کون الجمیع من قبیل الواسطة غیر المحمولة، و کون نسبة العرض إلی ذی الواسطة 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فی المقالة ناظر إلی نفس العلة أعنی نفس الحرکة و نفس الخط، فإنّ کلا منهما لا یحمل علی الجسم کالسفینة بالنسبة إلی الراکب، و لکن لو تم ذلک لجری فی الجزء المساوی أو الأعم، فتجعل الواسطة هی الناطقیة و الحیوانیة و هی غیر محمولة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تمّ ذلک، لأمکن القول بأن جمیع هذه الوسائط غیر محمولة و هی وسائط فی الثبوت، غیر أن معلولها و هو عروض العرض علی ذلک المعروض لمّا کان مجازیا صار العرض فیها غریبا، و اصطلحنا علیها بأنّها واسطة فی العروض و إلّا فهی واسطة فی الثبوت، و لک أن تقول إنها لیست سببا و لا علة فی عروض العرض علی المعروض لتکون واسطة فی الثبوت، بل هی جهة مصححة لنسبة العرض إلی غیر من هو له، فنحن نسمّیها واسطة فی العروض لأجل ذلک، أعنی أنها مصححة لنسبة العرض إلی غیر من هو له تسمیة مجازیة تشبیها لها بما یکون علة و سببا فی عروض العرض و نسبته إلی من هو له حقیقة، فالنار علة فی عروض العرض و هو الحرارة علی ما هی له و هو الماء، و السفینة علة فی عروض الحرکة علی الراکب، إلّا أن تلک لمّا کانت علّیتها حقیقیة سمیناها بالواسطة</w:t>
      </w:r>
    </w:p>
    <w:p>
      <w:pPr>
        <w:pStyle w:val="BookText"/>
        <w:rPr/>
      </w:pPr>
      <w:r>
        <w:rPr>
          <w:rFonts w:ascii="IRNazanin" w:hAnsi="IRNazanin" w:eastAsia="IRNazanin"/>
          <w:color w:val="111111"/>
          <w:sz w:val="28"/>
          <w:sz w:val="28"/>
          <w:szCs w:val="28"/>
          <w:rtl w:val="true"/>
          <w:lang w:bidi="fa-IR"/>
        </w:rPr>
        <w:t>فی الثبوت، و هذه لمّا کانت علّیتها مجازیة اصطلحنا علیها بالواسطة فی العروض، و لکن هذه أبحاث لفظیة لا تلیق بفن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من اختار الوجه الثالث، و جعل المدار علی کون النسبة حقیقیة، یکون فی راحة من الاشکال فی المسائل الباحثة عن العوارض اللاحقة لموضوع الفن بواسطة الأعم أو بواسطة الخارج الأخص إذا کان انتسابها إلی الموضوع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یحتاج إلی توجیه فی اشتراک الفن الآخر مع هذا الفن فی أمثال تلک المسائل، مثل تعدد الغایة و ترتب کلا الغایتین علی أمثال هذه المسائل،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یرد علی القائلین بتفسیر الواسطة فی العروض بالواسطة فی الثبوت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هو الوجه فی تسمیة الثلاثة الاول بالذاتیة، و تسمیة الثلاثة الأخیرة بالغریبة، مع اشتراک الکل فی کون العروض علی الذات بواسطة ثبوتیة، و قد تقدّم </w:t>
      </w:r>
      <w:r>
        <w:rPr>
          <w:rStyle w:val="FootnoteAnchor"/>
          <w:rtl w:val="true"/>
        </w:rPr>
        <w:footnoteReference w:id="256"/>
      </w:r>
      <w:r>
        <w:rPr>
          <w:rFonts w:ascii="IRNazanin" w:hAnsi="IRNazanin" w:eastAsia="IRNazanin"/>
          <w:color w:val="111111"/>
          <w:sz w:val="28"/>
          <w:sz w:val="28"/>
          <w:szCs w:val="28"/>
          <w:rtl w:val="true"/>
          <w:lang w:bidi="fa-IR"/>
        </w:rPr>
        <w:t>الوجه فی ذلک عن شرح المطالع و کأنه لا یزید علی مجرد الاستحسان و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هو الوجه فی إخراج الثلاثة الأخیرة عن البحث عن موضوع الفن، فان العارض لموضوع الفن لو کان بعلّیة الخارج الأعم أو کان بعلّیة الخارج الأخص، أو کان بعلّیة الخارج المباین، لا یکون خارجا عن عوارضه اللاحقة له، فلا وجه لاخراجها عن عوارضه التی یبحث عنها، غایته أنّها فی الأول تکون أعم منه و فی الثانی تکون أخص منه، و ذلک لا یوجب خروجها عن عوارضه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الاشکال بعینه یتوجّه علی القائلین بتفسیر الواسطة بالعروض</w:t>
      </w:r>
    </w:p>
    <w:p>
      <w:pPr>
        <w:pStyle w:val="BookText"/>
        <w:rPr/>
      </w:pPr>
      <w:r>
        <w:rPr>
          <w:rFonts w:ascii="IRNazanin" w:hAnsi="IRNazanin" w:eastAsia="IRNazanin"/>
          <w:color w:val="111111"/>
          <w:sz w:val="28"/>
          <w:sz w:val="28"/>
          <w:szCs w:val="28"/>
          <w:rtl w:val="true"/>
          <w:lang w:bidi="fa-IR"/>
        </w:rPr>
        <w:t>بالواسطة فی الحمل، فانّ هذه الأعراض الأخیرة لا تخرج عن کونها عارضة و محمولة علی موضوع الفن، فلا تکون التسمیة إلّا لمجرد الاستحسان و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وجه لاخراج العوارض الأخیرة عن مباحث الفن، مثلا إنّ المشی العارض علی الانسان بتوسط أنّه حیوان یکون من عوارض الانسان کما أنّه من عوارض الحیوان، و هذا لا یوجب إخراجه عن الفن الذی یکون موضوعه الانسان کالطب مثلا، و لا یوجب اختصاصه بالفن الذی یکون موضوعه الحیوان کالبیطرة، و هکذا الحال فی بقیة العوارض التی زعموا أنها غریبة و أنها خارجة عن الفن الذی یبحث فیه عن عوارض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هؤلاء قد أخرجوا العارض بواسطة المباین کما عرفت، بدعوی کون المباین لا یحمل و أنّه واسطة فی الثبوت، و لکن لا أدری فی أیّ قسم أدخلوه، و الذی ینبغی لهم أن یدخلوه فی القسم الأول من الذاتی أعنی ما یکون عارضا لنفس الذات بلا واسطة فی العروض، لما سمعته </w:t>
      </w:r>
      <w:r>
        <w:rPr>
          <w:rStyle w:val="FootnoteAnchor"/>
          <w:rtl w:val="true"/>
        </w:rPr>
        <w:footnoteReference w:id="257"/>
      </w:r>
      <w:r>
        <w:rPr>
          <w:rFonts w:ascii="IRNazanin" w:hAnsi="IRNazanin" w:eastAsia="IRNazanin"/>
          <w:color w:val="111111"/>
          <w:sz w:val="28"/>
          <w:sz w:val="28"/>
          <w:szCs w:val="28"/>
          <w:rtl w:val="true"/>
          <w:lang w:bidi="fa-IR"/>
        </w:rPr>
        <w:t>عن البدائع و الفصول من أن توسط الواسطة فی الثبوت لا یخرج العرض عن کونه ذاتیا و بلا واسطة فی العروض</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الاشکالات لا ترد علی من فسّر الواسطة بما یکون توسطها موجبا للتجوّز فی النسبة، و تفسیر الذاتی بما یکون فاقدا لها، و الغریب بما یکون واجدا لها، فإنّ التسمیة بناء علی هذا التفسیر تکون واضحة المنشأ، کما أنّ إخراج ما یکون غریبا بهذا المعنی من الغرابة عن البحث عن موضوع الفن أعنی عوارضه الذاتیة یکون أیضا واضحا لا غبار علیه، إذ لیس ذلک حقیقة من العوارض لذلک الموضوع</w:t>
      </w:r>
      <w:r>
        <w:rPr>
          <w:rFonts w:eastAsia="IRNazanin" w:cs="IRNazanin"/>
          <w:color w:val="111111"/>
          <w:sz w:val="28"/>
          <w:szCs w:val="28"/>
          <w:rtl w:val="true"/>
          <w:lang w:bidi="fa-IR"/>
        </w:rPr>
        <w:t>.</w:t>
      </w:r>
      <w:bookmarkStart w:id="212" w:name="pg19834_212111"/>
    </w:p>
    <w:p>
      <w:pPr>
        <w:pStyle w:val="Heading3"/>
        <w:numPr>
          <w:ilvl w:val="2"/>
          <w:numId w:val="1"/>
        </w:numPr>
        <w:rPr/>
      </w:pPr>
      <w:bookmarkStart w:id="213" w:name="__RefHeading___Toc3493577_2314609296"/>
      <w:bookmarkStart w:id="214" w:name="_Toc81"/>
      <w:bookmarkEnd w:id="212"/>
      <w:bookmarkEnd w:id="213"/>
      <w:r>
        <w:rPr>
          <w:rtl w:val="true"/>
        </w:rPr>
        <w:t>[</w:t>
      </w:r>
      <w:r>
        <w:rPr>
          <w:rtl w:val="true"/>
        </w:rPr>
        <w:t>الکلام فی الوضع</w:t>
      </w:r>
      <w:bookmarkEnd w:id="214"/>
    </w:p>
    <w:p>
      <w:pPr>
        <w:pStyle w:val="Heading4"/>
        <w:numPr>
          <w:ilvl w:val="3"/>
          <w:numId w:val="1"/>
        </w:numPr>
        <w:rPr/>
      </w:pPr>
      <w:bookmarkStart w:id="215" w:name="__RefHeading___Toc3493579_2314609296"/>
      <w:bookmarkStart w:id="216" w:name="_Toc82"/>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یلهم اللّه تبارک و تعالی عباده علی اختلافهم کل طائفة علی التکلم بلفظ مخصوص عند إرادة معنی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3493581_2314609296"/>
      <w:bookmarkStart w:id="218" w:name="_Toc83"/>
      <w:bookmarkEnd w:id="217"/>
      <w:r>
        <w:rPr>
          <w:rtl w:val="true"/>
        </w:rPr>
        <w:t>[</w:t>
      </w:r>
      <w:r>
        <w:rPr>
          <w:rtl w:val="true"/>
        </w:rPr>
        <w:t>سبب الوضع هل هو إلهی أو بشری؟</w:t>
      </w:r>
      <w:r>
        <w:rPr>
          <w:rtl w:val="true"/>
        </w:rPr>
        <w:t>]</w:t>
      </w:r>
      <w:bookmarkEnd w:id="218"/>
    </w:p>
    <w:p>
      <w:pPr>
        <w:pStyle w:val="BookText"/>
        <w:rPr/>
      </w:pPr>
      <w:r>
        <w:rPr>
          <w:rFonts w:ascii="IRNazanin" w:hAnsi="IRNazanin" w:eastAsia="IRNazanin"/>
          <w:color w:val="111111"/>
          <w:sz w:val="28"/>
          <w:sz w:val="28"/>
          <w:szCs w:val="28"/>
          <w:rtl w:val="true"/>
          <w:lang w:bidi="fa-IR"/>
        </w:rPr>
        <w:t>هذا هو الصحیح الذی لا ریب فیه، إذ لیس فی البین جعل لفظ لمعنی ثم یتبعه الاستعمال لیکون ذلک سببا فی کون اللفظ حقیقة فی المعنی، بل إنّ سبب ذلک هو ما افید من إلهام اللّه تعالی حسبما أودع فی الانسان من فطرة التکلم المعبّر عنها فی القرآن الکریم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البیان </w:t>
      </w:r>
      <w:r>
        <w:rPr>
          <w:rStyle w:val="FootnoteAnchor"/>
          <w:rtl w:val="true"/>
        </w:rPr>
        <w:footnoteReference w:id="259"/>
      </w:r>
      <w:r>
        <w:rPr>
          <w:rFonts w:ascii="IRNazanin" w:hAnsi="IRNazanin" w:eastAsia="IRNazanin"/>
          <w:color w:val="111111"/>
          <w:sz w:val="28"/>
          <w:sz w:val="28"/>
          <w:szCs w:val="28"/>
          <w:rtl w:val="true"/>
          <w:lang w:bidi="fa-IR"/>
        </w:rPr>
        <w:t>و حاصلها أن الغرض الأصلی للمتکلم هو إحضار المعنی أمام السامع لیحکم علیه المتکلم بما یرید، و حیث إنّ ذلک غیر ممکن فهو بطبعه یلتجئ إلی التصویت بصوت یری أنه مناسب لذلک المعنی بحیث یری أنّ ذلک الصوت إیجاد لذلک المعنی کما شرحناه مفصلا فی رسالة فی أصل الوضع و حقیقته و تشعّب اللغات فراجعها</w:t>
      </w:r>
      <w:r>
        <w:rPr>
          <w:rStyle w:val="FootnoteAnchor"/>
          <w:rtl w:val="true"/>
        </w:rPr>
        <w:footnoteReference w:id="260"/>
      </w:r>
      <w:r>
        <w:rPr>
          <w:rFonts w:ascii="IRNazanin" w:hAnsi="IRNazanin" w:eastAsia="IRNazanin"/>
          <w:color w:val="111111"/>
          <w:sz w:val="28"/>
          <w:sz w:val="28"/>
          <w:szCs w:val="28"/>
          <w:rtl w:val="true"/>
          <w:lang w:bidi="fa-IR"/>
        </w:rPr>
        <w:t>، و عن ذلک التصویت فی ذلک المقام ینشأ کون اللفظ حقیقة فی المعنی</w:t>
      </w:r>
      <w:r>
        <w:rPr>
          <w:rFonts w:eastAsia="IRNazanin" w:cs="IRNazanin"/>
          <w:color w:val="111111"/>
          <w:sz w:val="28"/>
          <w:szCs w:val="28"/>
          <w:rtl w:val="true"/>
          <w:lang w:bidi="fa-IR"/>
        </w:rPr>
        <w:t>.</w:t>
      </w:r>
    </w:p>
    <w:p>
      <w:pPr>
        <w:pStyle w:val="Heading4"/>
        <w:numPr>
          <w:ilvl w:val="3"/>
          <w:numId w:val="1"/>
        </w:numPr>
        <w:rPr/>
      </w:pPr>
      <w:bookmarkStart w:id="219" w:name="__RefHeading___Toc3493583_2314609296"/>
      <w:bookmarkStart w:id="220" w:name="_Toc84"/>
      <w:bookmarkEnd w:id="219"/>
      <w:r>
        <w:rPr>
          <w:rtl w:val="true"/>
        </w:rPr>
        <w:t>[</w:t>
      </w:r>
      <w:r>
        <w:rPr>
          <w:rtl w:val="true"/>
        </w:rPr>
        <w:t>عدم حصول الوضع بکثرة الاستعمال المجازی</w:t>
      </w:r>
      <w:bookmarkEnd w:id="22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السبب الآخر، و هو کثرة استعمال اللفظ فی المعنی، فهو أیضا لا أساس له، لا لما قیل من أن الاعتماد علی الشهرة لا یخرج ذلک الاستعمال عن المجازیة لکون الشهرة حینئذ قرینة علی التجوّز، إذ لیس</w:t>
      </w:r>
      <w:bookmarkStart w:id="221" w:name="pg19834_212112"/>
    </w:p>
    <w:p>
      <w:pPr>
        <w:pStyle w:val="BookText"/>
        <w:rPr/>
      </w:pPr>
      <w:bookmarkEnd w:id="221"/>
      <w:r>
        <w:rPr>
          <w:rFonts w:ascii="IRNazanin" w:hAnsi="IRNazanin" w:eastAsia="IRNazanin"/>
          <w:color w:val="111111"/>
          <w:sz w:val="28"/>
          <w:sz w:val="28"/>
          <w:szCs w:val="28"/>
          <w:rtl w:val="true"/>
          <w:lang w:bidi="fa-IR"/>
        </w:rPr>
        <w:t>الکلام فی الاستظهار و إنما الکلام فی کیفیة استعمال المستعمل، فإنّ نحو استعمال اللفظ فی المعنی مجازا و بالعنایة مباین لنحو استعماله فیه علی نحو الحقیقة، فالاستعمال بنحو العنایة و إن کثر لا یخرج اللفظ عن المجازیة فلا بد أن ینتهی الأمر بالأخرة إلی أنّ المتکلم فی بعض تلک الاستعمالات قد قصد إعمال ذلک اللفظ فی ذلک المعنی علی نحو الحقیقة و علی أنه حاق معناه، فیکون ذلک الاستعمال هو السبب فی صیرورة اللفظ حقیقة فی ذلک المعنی عند ذلک المتکلم و یجری متابعوه علی ذلک</w:t>
      </w:r>
      <w:r>
        <w:rPr>
          <w:rFonts w:eastAsia="IRNazanin" w:cs="IRNazanin"/>
          <w:color w:val="111111"/>
          <w:sz w:val="28"/>
          <w:szCs w:val="28"/>
          <w:rtl w:val="true"/>
          <w:lang w:bidi="fa-IR"/>
        </w:rPr>
        <w:t>.</w:t>
      </w:r>
    </w:p>
    <w:p>
      <w:pPr>
        <w:pStyle w:val="Heading4"/>
        <w:numPr>
          <w:ilvl w:val="3"/>
          <w:numId w:val="1"/>
        </w:numPr>
        <w:rPr/>
      </w:pPr>
      <w:bookmarkStart w:id="222" w:name="__RefHeading___Toc3493585_2314609296"/>
      <w:bookmarkStart w:id="223" w:name="_Toc85"/>
      <w:bookmarkEnd w:id="222"/>
      <w:r>
        <w:rPr>
          <w:rtl w:val="true"/>
        </w:rPr>
        <w:t>[</w:t>
      </w:r>
      <w:r>
        <w:rPr>
          <w:rtl w:val="true"/>
        </w:rPr>
        <w:t>حصول الوضع بالاستعمال و دفع الاشکال عنه</w:t>
      </w:r>
      <w:bookmarkEnd w:id="223"/>
    </w:p>
    <w:p>
      <w:pPr>
        <w:pStyle w:val="BookText"/>
        <w:rPr/>
      </w:pPr>
      <w:r>
        <w:rPr>
          <w:rFonts w:ascii="IRNazanin" w:hAnsi="IRNazanin" w:eastAsia="IRNazanin"/>
          <w:color w:val="111111"/>
          <w:sz w:val="28"/>
          <w:sz w:val="28"/>
          <w:szCs w:val="28"/>
          <w:rtl w:val="true"/>
          <w:lang w:bidi="fa-IR"/>
        </w:rPr>
        <w:t>و الاشکال علیه بأنّه یلزم أن یکون ذلک الاستعمال خارجا عن الحقیقة لتوقفها علی الوضع، و عن المجاز لتوقفه علی العنایة، لا دخل له بما نحن بصدده من دعوی صیرورة اللفظ حقیقة فی ذلک المعنی عند ذلک المتکلم بسبب ذلک الاستعمال و إن فرضنا کون ذلک الاستعمال غلطا، علی أنّه لیس بغلط بعد فرض کونه مستحسنا طبعا مقبولا عند أهل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افید فی صفحة </w:t>
      </w:r>
      <w:r>
        <w:rPr>
          <w:rFonts w:eastAsia="IRNazanin" w:cs="IRNazanin"/>
          <w:color w:val="111111"/>
          <w:sz w:val="28"/>
          <w:szCs w:val="28"/>
          <w:lang w:bidi="fa-IR"/>
        </w:rPr>
        <w:t>24</w:t>
      </w:r>
      <w:r>
        <w:rPr>
          <w:rStyle w:val="FootnoteAnchor"/>
          <w:rtl w:val="true"/>
        </w:rPr>
        <w:footnoteReference w:id="261"/>
      </w:r>
      <w:r>
        <w:rPr>
          <w:rFonts w:ascii="IRNazanin" w:hAnsi="IRNazanin" w:eastAsia="IRNazanin"/>
          <w:color w:val="111111"/>
          <w:sz w:val="28"/>
          <w:sz w:val="28"/>
          <w:szCs w:val="28"/>
          <w:rtl w:val="true"/>
          <w:lang w:bidi="fa-IR"/>
        </w:rPr>
        <w:t>من الاشکال علیه بأنّه یوجب اجتماع اللحاظ الآلی و الاستقلالی فی ذلک اللفظ المستعمل بذلک الاستعمال، فیمکن دفعه بأنه لو کان ذلک المستعمل قد قصد الوضع و إنشاءه بذلک الاستعمال لکان تعدد اللحاظ لازما، أما إذا فرضنا أنه لم یقصد إلّا الاستعمال، غایته أنه علی أنّ ذلک اللفظ قد أعمله فی حاق حقیقته لا بالعنایة و التجوز، و عن الاستعمال بذلک القصد یتحقق الوضع قهرا و یکون اللفظ حقیقة فی المعنی، فلا یلزم فیه تعدد اللحاظ</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 بیان أنّ اللفظ موضوع للمعنی الفلانی مثلا یحتاج إلی</w:t>
      </w:r>
      <w:bookmarkStart w:id="224" w:name="pg19834_212113"/>
    </w:p>
    <w:p>
      <w:pPr>
        <w:pStyle w:val="BookText"/>
        <w:rPr/>
      </w:pPr>
      <w:bookmarkEnd w:id="224"/>
      <w:r>
        <w:rPr>
          <w:rFonts w:ascii="IRNazanin" w:hAnsi="IRNazanin" w:eastAsia="IRNazanin"/>
          <w:color w:val="111111"/>
          <w:sz w:val="28"/>
          <w:sz w:val="28"/>
          <w:szCs w:val="28"/>
          <w:rtl w:val="true"/>
          <w:lang w:bidi="fa-IR"/>
        </w:rPr>
        <w:t>النظر الاستقلالی إلی اللفظ، و مع ذلک یحصل ذلک المطلوب الذی هو إفهام السامع أنّ اللفظ موضوع لذلک المعنی باستعماله فیه بأن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بذلک الماء، فیفهم من تلک الاشارة أنّ لفظ الماء موضوع لذلک الجسم، من دون توقف علی أن یکون المتکلم قد لاحظ لفظ الماء لحاظا استقلالیا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الکثرة لا توجب الانقلاب إلی الحقیقة ما لم یکن فی البین استعمال علی نحو الحقیقة ممّن هو متّبع فی استعماله، و إلّا فلم لم ینقلب لفظ الأسد عن معناه الحقیقی الذی هو الحیوان المفترس إلی الرجل الشجاع مع أنه أکثر المجازات استعمالا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عدم هجر المعنی الأول لا یدفع هذا النقض، فانهم یلتزمون بأن الکثرة توجب الحقیقة فی المعنی الجدید سواء هجر المعنی الأول أو لم یهجر، غایته أنهم فی صورة عدم هجران المعنی الأول یلتزمون بالاشتراک اللفظی، و ستأتی تتمة البحث إن شاء اللّه فی مبحث الحقیقة الشرعیة</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لک أن الوضع المبتکر و المنقول لا یکون إلّا بالاستعمال دون الجعل الابتدائی و کثرة الاستعمال</w:t>
      </w:r>
      <w:r>
        <w:rPr>
          <w:rFonts w:eastAsia="IRNazanin" w:cs="IRNazanin"/>
          <w:color w:val="111111"/>
          <w:sz w:val="28"/>
          <w:szCs w:val="28"/>
          <w:rtl w:val="true"/>
          <w:lang w:bidi="fa-IR"/>
        </w:rPr>
        <w:t>.</w:t>
      </w:r>
    </w:p>
    <w:p>
      <w:pPr>
        <w:pStyle w:val="Heading4"/>
        <w:numPr>
          <w:ilvl w:val="3"/>
          <w:numId w:val="1"/>
        </w:numPr>
        <w:rPr/>
      </w:pPr>
      <w:bookmarkStart w:id="225" w:name="__RefHeading___Toc3493587_2314609296"/>
      <w:bookmarkStart w:id="226" w:name="_Toc86"/>
      <w:bookmarkEnd w:id="225"/>
      <w:r>
        <w:rPr>
          <w:rtl w:val="true"/>
        </w:rPr>
        <w:t>[</w:t>
      </w:r>
      <w:r>
        <w:rPr>
          <w:rtl w:val="true"/>
        </w:rPr>
        <w:t>هل الوضع العام و الموضوع له الخاص ممکن أم لا؟</w:t>
      </w:r>
      <w:r>
        <w:rPr>
          <w:rtl w:val="true"/>
        </w:rPr>
        <w:t>]</w:t>
      </w:r>
      <w:bookmarkEnd w:id="22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هذا الذی أفاده قدّس سرّه هنا من حصول الوضع بالاستعمال لا بالجعل المستقل لا یکاد یلتئم مع ما أفاده من إمکان کون الوضع عاما مع کون الموضوع له خاصا، حیث إن الاستعمال الواحد لا یعقل فیه الوضع لکل فرد من أفراد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فیه إشکالا آخر، و هو أن کون الموضوع له هو کل واحد من الأفراد الخاصة یقتضی تصور کل واحد من تلک الأفراد بخصوصه و لا یکفی فیه تصور العام، لأنه إنّما یکون تصورا للخاص بما أنه مصداق للعام لا بخصوص الخاص و شخصه، فإن کان الموضوع له هو</w:t>
      </w:r>
      <w:bookmarkStart w:id="227" w:name="pg19834_212114"/>
    </w:p>
    <w:p>
      <w:pPr>
        <w:pStyle w:val="BookText"/>
        <w:rPr/>
      </w:pPr>
      <w:bookmarkEnd w:id="227"/>
      <w:r>
        <w:rPr>
          <w:rFonts w:ascii="IRNazanin" w:hAnsi="IRNazanin" w:eastAsia="IRNazanin"/>
          <w:color w:val="111111"/>
          <w:sz w:val="28"/>
          <w:sz w:val="28"/>
          <w:szCs w:val="28"/>
          <w:rtl w:val="true"/>
          <w:lang w:bidi="fa-IR"/>
        </w:rPr>
        <w:t>الخاص بما أنه مصداق لذلک العام کان من قبیل الوضع العام و الموضوع له العام، و إن کان الموضوع له هو الخاص بخصوصیته بحیث تکون الخصوصیة داخلة فی الموضوع له، لم یکف فیه تصور العام، بل لا بدّ فیه من تصور تلک الخصوصیات بشخصها، و تصور الخصوصیة و ان کان ممکنا من تصور العام، إلّا أنه من قبیل الانتقال من تصور العام إلی تصور الخاص، و بعد تصور الخصوصیة و لو بواسطة تصور العام نضع اللفظ لتلک الخصوصیة، فیکون حینئذ من قبیل الوضع الخاص و الموضوع له خاص، فتأمل</w:t>
      </w:r>
      <w:r>
        <w:rPr>
          <w:rFonts w:eastAsia="IRNazanin" w:cs="IRNazanin"/>
          <w:color w:val="111111"/>
          <w:sz w:val="28"/>
          <w:szCs w:val="28"/>
          <w:rtl w:val="true"/>
          <w:lang w:bidi="fa-IR"/>
        </w:rPr>
        <w:t>.</w:t>
      </w:r>
    </w:p>
    <w:p>
      <w:pPr>
        <w:pStyle w:val="Heading4"/>
        <w:numPr>
          <w:ilvl w:val="3"/>
          <w:numId w:val="1"/>
        </w:numPr>
        <w:rPr/>
      </w:pPr>
      <w:bookmarkStart w:id="228" w:name="__RefHeading___Toc3493589_2314609296"/>
      <w:bookmarkStart w:id="229" w:name="_Toc87"/>
      <w:bookmarkEnd w:id="228"/>
      <w:r>
        <w:rPr>
          <w:rtl w:val="true"/>
        </w:rPr>
        <w:t>[</w:t>
      </w:r>
      <w:r>
        <w:rPr>
          <w:rtl w:val="true"/>
        </w:rPr>
        <w:t>المعنی الحرفی</w:t>
      </w:r>
      <w:bookmarkEnd w:id="22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الحروف فانها بنفسها ما لم تکن فی ضمن کلام ترکیبی لا تفید شیئا أصلا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لمجرد القصور فی لفظها عن الاستقلال بالتلفظ کلفظ الباء و الهیئة، بل لأجل القصور فی معناها عن أن یخطر وحده فی الذهن و إن أمکننا النطق بلفظ الحرف وحده کهل و بل و إلی و علی، فیکون الحجر الأساسی فی هذه المقدمة هو استقلال المعنی الاسمی و عدم استقلال المعنی الحرفی، سواء کان المنشأ فی ذلک هو نفس هذه الجهة أعنی عدم الاستقلال بالمفهومیة، أو کان المنشأ فیه هو کون معنی الحرف إیجادیا فلا یمکن حضوره فی الذهن إلّا مع ما یوجد فیه معناه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أعنی</w:t>
      </w:r>
      <w:bookmarkStart w:id="230" w:name="pg19834_212115"/>
    </w:p>
    <w:p>
      <w:pPr>
        <w:pStyle w:val="BookText"/>
        <w:rPr/>
      </w:pPr>
      <w:bookmarkEnd w:id="230"/>
      <w:r>
        <w:rPr>
          <w:rFonts w:ascii="IRNazanin" w:hAnsi="IRNazanin" w:eastAsia="IRNazanin"/>
          <w:color w:val="111111"/>
          <w:sz w:val="28"/>
          <w:sz w:val="28"/>
          <w:szCs w:val="28"/>
          <w:rtl w:val="true"/>
          <w:lang w:bidi="fa-IR"/>
        </w:rPr>
        <w:t>عدم استقلال المعنی الحرفی بمعنی عدم حضوره وحده فی الذهن، لا ینافی الاستدلال بالتبادر التصوری علی کونه حقیقة فی المعنی الفلانی و لو کان التبادر تصوریا، کما یقال إنّ صیغة الأمر حقیقة فی الوجوب للتبادر، و ذلک بأن تؤخذ صیغة الأمر طارئة علی مادة من المواد و لو الجامع بین الجمیع، کما یقال صیغة افعل حقیقة فی الوجوب، لأن المتبادر من هذا اللفظ أعنی لفظ الهیئة الطارئة علی تلک المادة هو الوجوب</w:t>
      </w:r>
      <w:r>
        <w:rPr>
          <w:rFonts w:eastAsia="IRNazanin" w:cs="IRNazanin"/>
          <w:color w:val="111111"/>
          <w:sz w:val="28"/>
          <w:szCs w:val="28"/>
          <w:rtl w:val="true"/>
          <w:lang w:bidi="fa-IR"/>
        </w:rPr>
        <w:t>.</w:t>
      </w:r>
    </w:p>
    <w:p>
      <w:pPr>
        <w:pStyle w:val="Heading4"/>
        <w:numPr>
          <w:ilvl w:val="3"/>
          <w:numId w:val="1"/>
        </w:numPr>
        <w:rPr/>
      </w:pPr>
      <w:bookmarkStart w:id="231" w:name="__RefHeading___Toc3493591_2314609296"/>
      <w:bookmarkStart w:id="232" w:name="_Toc88"/>
      <w:bookmarkEnd w:id="231"/>
      <w:r>
        <w:rPr>
          <w:rtl w:val="true"/>
        </w:rPr>
        <w:t>[</w:t>
      </w:r>
      <w:r>
        <w:rPr>
          <w:rtl w:val="true"/>
        </w:rPr>
        <w:t>انقسام المعانی غیر الاخطاریة إلی إیجادیة و نسبیة</w:t>
      </w:r>
      <w:r>
        <w:rPr>
          <w:rtl w:val="true"/>
        </w:rPr>
        <w:t>]</w:t>
      </w:r>
      <w:bookmarkEnd w:id="23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الاولی فکحروف التشبیه و النداء و التمنی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الحروف و نحوها و إن کانت إیجادیة إلّا أنها لا توجد معناها إلّا فی الغیر الذی هو مفاد الجملة فی قولک کأنّ زیدا أسد أو لعله أسد أو لیته أسد، أو هو مفاد المفرد مثل حرف النداء الذی مفاده إیجاد النداء مربوطا بزید، و الغرض أنه لیس لنا من الحروف ما یکون موجدا معناه فی صقعه من دون أن یکون مربوطا بالغیر</w:t>
      </w:r>
      <w:r>
        <w:rPr>
          <w:rFonts w:eastAsia="IRNazanin" w:cs="IRNazanin"/>
          <w:color w:val="111111"/>
          <w:sz w:val="28"/>
          <w:szCs w:val="28"/>
          <w:rtl w:val="true"/>
          <w:lang w:bidi="fa-IR"/>
        </w:rPr>
        <w:t>.</w:t>
      </w:r>
    </w:p>
    <w:p>
      <w:pPr>
        <w:pStyle w:val="Heading4"/>
        <w:numPr>
          <w:ilvl w:val="3"/>
          <w:numId w:val="1"/>
        </w:numPr>
        <w:rPr/>
      </w:pPr>
      <w:bookmarkStart w:id="233" w:name="__RefHeading___Toc3493593_2314609296"/>
      <w:bookmarkStart w:id="234" w:name="_Toc89"/>
      <w:bookmarkEnd w:id="233"/>
      <w:r>
        <w:rPr>
          <w:rtl w:val="true"/>
        </w:rPr>
        <w:t>[</w:t>
      </w:r>
      <w:r>
        <w:rPr>
          <w:rtl w:val="true"/>
        </w:rPr>
        <w:t>کون الحروف النسبیة موضوعة لجهة النسبة</w:t>
      </w:r>
      <w:r>
        <w:rPr>
          <w:rtl w:val="true"/>
        </w:rPr>
        <w:t>]</w:t>
      </w:r>
      <w:bookmarkEnd w:id="23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للنسب تارة یکون فی مقام لفظه مستقلا کلفظة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نفس النسبة بین السیر و البصرة، بل هو جهة لتلک النسبة بینهما، و أنّها علی جهة الابتداء، و إلّا فإنّ قوام النسبة بینهما إنما هو بالهیئة المتقومة بینهما، غایته أنّ الفعل لمّا کان قاصرا عن الاتصال بالاسم بایصال معناه إلیه، فیکون الحرف و اصلا بینهما</w:t>
      </w:r>
      <w:bookmarkStart w:id="235" w:name="pg19834_212116"/>
    </w:p>
    <w:p>
      <w:pPr>
        <w:pStyle w:val="BookText"/>
        <w:rPr/>
      </w:pPr>
      <w:bookmarkEnd w:id="235"/>
      <w:r>
        <w:rPr>
          <w:rFonts w:ascii="IRNazanin" w:hAnsi="IRNazanin" w:eastAsia="IRNazanin"/>
          <w:color w:val="111111"/>
          <w:sz w:val="28"/>
          <w:sz w:val="28"/>
          <w:szCs w:val="28"/>
          <w:rtl w:val="true"/>
          <w:lang w:bidi="fa-IR"/>
        </w:rPr>
        <w:t>علی الجهة التی یتضمنها ذلک الحرف من ابتداء أو انتهاء و نحو ذلک، و السر فی ذلک هو أنّ النسبة بین ذلک الفعل و ذلک الاسم لا تتقوّم بینهما من دون ما یدل علی جهة النسبة بینهما، و ذلک هو معنی قصور الفعل، و ربما کان الفعل صالحا لتقوّم النسبة بینه و بین الاسم، لکن یؤتی بالحرف بینهما لیدل علی فائدة و هی أن المطلوب هو إیصاله إلیه علی الجهة التی یتضمّنها الحرف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امسحوا برؤوسکم </w:t>
      </w:r>
      <w:r>
        <w:rPr>
          <w:rStyle w:val="FootnoteAnchor"/>
          <w:rtl w:val="true"/>
        </w:rPr>
        <w:footnoteReference w:id="267"/>
      </w:r>
      <w:r>
        <w:rPr>
          <w:rFonts w:ascii="IRNazanin" w:hAnsi="IRNazanin" w:eastAsia="IRNazanin"/>
          <w:color w:val="111111"/>
          <w:sz w:val="28"/>
          <w:sz w:val="28"/>
          <w:szCs w:val="28"/>
          <w:rtl w:val="true"/>
          <w:lang w:bidi="fa-IR"/>
        </w:rPr>
        <w:t>لیدل علی أنّ المطلوب هو الالصاق</w:t>
      </w:r>
      <w:r>
        <w:rPr>
          <w:rFonts w:eastAsia="IRNazanin" w:cs="IRNazanin"/>
          <w:color w:val="111111"/>
          <w:sz w:val="28"/>
          <w:szCs w:val="28"/>
          <w:rtl w:val="true"/>
          <w:lang w:bidi="fa-IR"/>
        </w:rPr>
        <w:t>.</w:t>
      </w:r>
    </w:p>
    <w:p>
      <w:pPr>
        <w:pStyle w:val="Heading4"/>
        <w:numPr>
          <w:ilvl w:val="3"/>
          <w:numId w:val="1"/>
        </w:numPr>
        <w:rPr/>
      </w:pPr>
      <w:bookmarkStart w:id="236" w:name="__RefHeading___Toc3493595_2314609296"/>
      <w:bookmarkStart w:id="237" w:name="_Toc90"/>
      <w:bookmarkEnd w:id="236"/>
      <w:r>
        <w:rPr>
          <w:rtl w:val="true"/>
        </w:rPr>
        <w:t>[</w:t>
      </w:r>
      <w:r>
        <w:rPr>
          <w:rtl w:val="true"/>
        </w:rPr>
        <w:t>کیفیة تصویر حمل الذات علی الموضوع</w:t>
      </w:r>
      <w:bookmarkEnd w:id="23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القسم الأول فالنسبة فیه تنزیلیة، بمعنی أنّه یلاحظ الموضوع عاریا عن ذاته، لا بمعنی کونه بشرط لا، بل بمعنی عدم لحاظ ذاته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هذا أعنی لحاظ الموضوع لا بشرط بالقیاس إلی المحمول جار فی جمیع القضایا الحملیة، من دون فرق بین کون المحمول فیها تمام الذات أو کونه جزء الذات أو کونه عارضا لها مثل زید إنسان أو زید ناطق أو زید قائم، فإنّ الموضوع فی جمیع ذلک لا یکون بالقیاس إلی المحمول مأخوذا بشرط شی‌ء و إلّا کانت القضیة ضروریة الثبوت، و لا بشرط لا و إلّا لکانت ضروریة السلب، بل إنّما یکون الموضوع مأخوذا فیها جمیعا لا بشرط، و لأجل ذلک یصح حمله علیه کما سیأتی إن شاء اللّه تعالی توضیحه فی بعض مباحث المشتق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أخذ زید لا بشرط بالقیاس إلی نفس ذاته یحتاج إلی نحو من العنایة، لا أنّ العنایة هی نفس أخذه لا</w:t>
      </w:r>
      <w:bookmarkStart w:id="238" w:name="pg19834_212117"/>
    </w:p>
    <w:p>
      <w:pPr>
        <w:pStyle w:val="BookText"/>
        <w:rPr/>
      </w:pPr>
      <w:bookmarkEnd w:id="238"/>
      <w:r>
        <w:rPr>
          <w:rFonts w:ascii="IRNazanin" w:hAnsi="IRNazanin" w:eastAsia="IRNazanin"/>
          <w:color w:val="111111"/>
          <w:sz w:val="28"/>
          <w:sz w:val="28"/>
          <w:szCs w:val="28"/>
          <w:rtl w:val="true"/>
          <w:lang w:bidi="fa-IR"/>
        </w:rPr>
        <w:t>بشرط</w:t>
      </w:r>
      <w:r>
        <w:rPr>
          <w:rFonts w:eastAsia="IRNazanin" w:cs="IRNazanin"/>
          <w:color w:val="111111"/>
          <w:sz w:val="28"/>
          <w:szCs w:val="28"/>
          <w:rtl w:val="true"/>
          <w:lang w:bidi="fa-IR"/>
        </w:rPr>
        <w:t>.</w:t>
      </w:r>
    </w:p>
    <w:p>
      <w:pPr>
        <w:pStyle w:val="Heading4"/>
        <w:numPr>
          <w:ilvl w:val="3"/>
          <w:numId w:val="1"/>
        </w:numPr>
        <w:rPr/>
      </w:pPr>
      <w:bookmarkStart w:id="239" w:name="__RefHeading___Toc3493597_2314609296"/>
      <w:bookmarkStart w:id="240" w:name="_Toc91"/>
      <w:bookmarkEnd w:id="239"/>
      <w:r>
        <w:rPr>
          <w:rtl w:val="true"/>
        </w:rPr>
        <w:t>[</w:t>
      </w:r>
      <w:r>
        <w:rPr>
          <w:rtl w:val="true"/>
        </w:rPr>
        <w:t>معنی أخذ الموضوع لا بشرط من ناحیة المحمول</w:t>
      </w:r>
      <w:bookmarkEnd w:id="240"/>
    </w:p>
    <w:p>
      <w:pPr>
        <w:pStyle w:val="BookText"/>
        <w:rPr/>
      </w:pPr>
      <w:r>
        <w:rPr>
          <w:rFonts w:ascii="IRNazanin" w:hAnsi="IRNazanin" w:eastAsia="IRNazanin"/>
          <w:color w:val="111111"/>
          <w:sz w:val="28"/>
          <w:sz w:val="28"/>
          <w:szCs w:val="28"/>
          <w:rtl w:val="true"/>
          <w:lang w:bidi="fa-IR"/>
        </w:rPr>
        <w:t>ثمّ إنّ المراد من قولهم یؤخذ الموضوع لا بشرط من ناحیة المحمول، لیس المراد الاطلاق من هذه الناحیة، بل المراد عدم اللحاظ من هذه الناحیة، فإنّ لحاظ الموضوع لمّا کان سابقا فی الرتبة علی المحمول کان من المستحیل لحاظ المحمول فیه وجودا أو عدما أو إطلاقا، بل لا یکون فی تلک الرتبة إلا عدم اللحاظ بالقیاس إلی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الأمر فی المحمول الذی هو تمام الذات مثل زید إنسان، إذ لا یمکن عدم لحاظ المحمول فی مثل ذلک الموضوع، لأنه عبارة اخری عن عدم لحاظ نفس الموضوع، و لعلّ ذلک من لوازم کون القضیة ذاتیة، و إلّا فلو قلنا إنّها من قبیل الحمل الشائع، کان المحمول علیه هو ذلک الفرد أعنی نفس الموجود، و هو أعنی مصداق الموجود صالح لعدم لحاظ المحمول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إیجادیة و نسبیة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3493599_2314609296"/>
      <w:bookmarkStart w:id="242" w:name="_Toc92"/>
      <w:bookmarkEnd w:id="241"/>
      <w:r>
        <w:rPr>
          <w:rtl w:val="true"/>
        </w:rPr>
        <w:t>[</w:t>
      </w:r>
      <w:r>
        <w:rPr>
          <w:rtl w:val="true"/>
        </w:rPr>
        <w:t>تحقق الایجادیة بالهیئة</w:t>
      </w:r>
      <w:r>
        <w:rPr>
          <w:rtl w:val="true"/>
        </w:rPr>
        <w:t>]</w:t>
      </w:r>
      <w:bookmarkEnd w:id="242"/>
    </w:p>
    <w:p>
      <w:pPr>
        <w:pStyle w:val="BookText"/>
        <w:rPr/>
      </w:pPr>
      <w:r>
        <w:rPr>
          <w:rFonts w:ascii="IRNazanin" w:hAnsi="IRNazanin" w:eastAsia="IRNazanin"/>
          <w:color w:val="111111"/>
          <w:sz w:val="28"/>
          <w:sz w:val="28"/>
          <w:szCs w:val="28"/>
          <w:rtl w:val="true"/>
          <w:lang w:bidi="fa-IR"/>
        </w:rPr>
        <w:t xml:space="preserve">ذکر للنسبیة ألفاظا مستقلة و ألفاظا غیر مستقلة کالهیئة، و لم یذکر تحقق الایجادیة بالهیئة، و لا یبعد القول بأن الایجادیة تتحقق بالهیئة کما فی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لایجاد الطلب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هذا السنخ من الحروف و بین الأسماء واضح، فإن معنی الاسم موجود فی صقعه قبل إیجاد اللفظ و یکون اللفظ حاکیا له، بخلاف هذا السنخ فإن معناه مخلوق بایجاد لفظه و اللفظ یوجده و یخلقه لا أنه یحکیه</w:t>
      </w:r>
      <w:r>
        <w:rPr>
          <w:rFonts w:eastAsia="IRNazanin" w:cs="IRNazanin"/>
          <w:color w:val="111111"/>
          <w:sz w:val="28"/>
          <w:szCs w:val="28"/>
          <w:rtl w:val="true"/>
          <w:lang w:bidi="fa-IR"/>
        </w:rPr>
        <w:t>.</w:t>
      </w:r>
      <w:bookmarkStart w:id="243" w:name="pg19834_212118"/>
    </w:p>
    <w:p>
      <w:pPr>
        <w:pStyle w:val="BookText"/>
        <w:rPr/>
      </w:pPr>
      <w:bookmarkEnd w:id="243"/>
      <w:r>
        <w:rPr>
          <w:rFonts w:ascii="IRNazanin" w:hAnsi="IRNazanin" w:eastAsia="IRNazanin"/>
          <w:color w:val="111111"/>
          <w:sz w:val="28"/>
          <w:sz w:val="28"/>
          <w:szCs w:val="28"/>
          <w:rtl w:val="true"/>
          <w:lang w:bidi="fa-IR"/>
        </w:rPr>
        <w:t>ثم إن النسب لا تختص بین الجواهر و الأعراض کما هو ظاهر قوله</w:t>
      </w:r>
      <w:r>
        <w:rPr>
          <w:rFonts w:eastAsia="IRNazanin" w:cs="IRNazanin"/>
          <w:color w:val="111111"/>
          <w:sz w:val="28"/>
          <w:szCs w:val="28"/>
          <w:rtl w:val="true"/>
          <w:lang w:bidi="fa-IR"/>
        </w:rPr>
        <w:t>:</w:t>
      </w:r>
    </w:p>
    <w:p>
      <w:pPr>
        <w:pStyle w:val="Heading4"/>
        <w:numPr>
          <w:ilvl w:val="3"/>
          <w:numId w:val="1"/>
        </w:numPr>
        <w:rPr/>
      </w:pPr>
      <w:bookmarkStart w:id="244" w:name="__RefHeading___Toc3493601_2314609296"/>
      <w:bookmarkStart w:id="245" w:name="_Toc93"/>
      <w:bookmarkEnd w:id="244"/>
      <w:r>
        <w:rPr>
          <w:rtl w:val="true"/>
        </w:rPr>
        <w:t>[</w:t>
      </w:r>
      <w:r>
        <w:rPr>
          <w:rtl w:val="true"/>
        </w:rPr>
        <w:t>وجود النسبة بین عرضین و جوهرین</w:t>
      </w:r>
      <w:bookmarkEnd w:id="245"/>
    </w:p>
    <w:p>
      <w:pPr>
        <w:pStyle w:val="BookText"/>
        <w:rPr/>
      </w:pPr>
      <w:r>
        <w:rPr>
          <w:rFonts w:ascii="IRNazanin" w:hAnsi="IRNazanin" w:eastAsia="IRNazanin"/>
          <w:color w:val="111111"/>
          <w:sz w:val="28"/>
          <w:sz w:val="28"/>
          <w:szCs w:val="28"/>
          <w:rtl w:val="true"/>
          <w:lang w:bidi="fa-IR"/>
        </w:rPr>
        <w:t xml:space="preserve">و أمّا الثانیة فتوضیحها إلخ </w:t>
      </w:r>
      <w:r>
        <w:rPr>
          <w:rStyle w:val="FootnoteAnchor"/>
          <w:rtl w:val="true"/>
        </w:rPr>
        <w:footnoteReference w:id="271"/>
      </w:r>
      <w:r>
        <w:rPr>
          <w:rFonts w:ascii="IRNazanin" w:hAnsi="IRNazanin" w:eastAsia="IRNazanin"/>
          <w:color w:val="111111"/>
          <w:sz w:val="28"/>
          <w:sz w:val="28"/>
          <w:szCs w:val="28"/>
          <w:rtl w:val="true"/>
          <w:lang w:bidi="fa-IR"/>
        </w:rPr>
        <w:t>، بل کما تکون النسبة بین الجوهر و العرض فکذلک تکون بین العرضین و بین الجوهرین کما فی النسبة الاضافیة کغلام زید و سرعة القیام</w:t>
      </w:r>
      <w:r>
        <w:rPr>
          <w:rFonts w:eastAsia="IRNazanin" w:cs="IRNazanin"/>
          <w:color w:val="111111"/>
          <w:sz w:val="28"/>
          <w:szCs w:val="28"/>
          <w:rtl w:val="true"/>
          <w:lang w:bidi="fa-IR"/>
        </w:rPr>
        <w:t>.</w:t>
      </w:r>
    </w:p>
    <w:p>
      <w:pPr>
        <w:pStyle w:val="Heading4"/>
        <w:numPr>
          <w:ilvl w:val="3"/>
          <w:numId w:val="1"/>
        </w:numPr>
        <w:rPr/>
      </w:pPr>
      <w:bookmarkStart w:id="246" w:name="__RefHeading___Toc3493603_2314609296"/>
      <w:bookmarkStart w:id="247" w:name="_Toc94"/>
      <w:bookmarkEnd w:id="246"/>
      <w:r>
        <w:rPr>
          <w:rtl w:val="true"/>
        </w:rPr>
        <w:t>[</w:t>
      </w:r>
      <w:r>
        <w:rPr>
          <w:rtl w:val="true"/>
        </w:rPr>
        <w:t>عدم خروج النسبة عن کونها إیجادیة کسائر المعانی الحرفیة</w:t>
      </w:r>
      <w:r>
        <w:rPr>
          <w:rtl w:val="true"/>
        </w:rPr>
        <w:t>]</w:t>
      </w:r>
      <w:bookmarkEnd w:id="247"/>
    </w:p>
    <w:p>
      <w:pPr>
        <w:pStyle w:val="BookText"/>
        <w:rPr/>
      </w:pPr>
      <w:r>
        <w:rPr>
          <w:rFonts w:ascii="IRNazanin" w:hAnsi="IRNazanin" w:eastAsia="IRNazanin"/>
          <w:color w:val="111111"/>
          <w:sz w:val="28"/>
          <w:sz w:val="28"/>
          <w:szCs w:val="28"/>
          <w:rtl w:val="true"/>
          <w:lang w:bidi="fa-IR"/>
        </w:rPr>
        <w:t>و لا یخفی أن النسبة لا تخرج عن الایجاد، فان الهیئة توجد النسبة بین الاسمین لا تحکیها، بل هی توجد النسبة الکلامیة بینهما، و یکون مجموع هذا الاسم و ذلک الاسم اللذین وقعت النسبة الکلامیة بینهما حاکیا عن الواقع، لا أن المبتدأ یحکی عن الذات و الخبر یحکی عن معناه و الهیئة تحکی عن النسبة، و قولنا إن المجموع حاک، لیس المقصود به حکایة دلالیة، بل المراد به الحکایة التقلیدیة کمن یحکی فعل شخص آخر بایجاد مثله، و سیأتی منه قدّس سرّه فی المقدمة الخامسة</w:t>
      </w:r>
      <w:r>
        <w:rPr>
          <w:rStyle w:val="FootnoteAnchor"/>
          <w:rtl w:val="true"/>
        </w:rPr>
        <w:footnoteReference w:id="272"/>
      </w:r>
      <w:r>
        <w:rPr>
          <w:rFonts w:ascii="IRNazanin" w:hAnsi="IRNazanin" w:eastAsia="IRNazanin"/>
          <w:color w:val="111111"/>
          <w:sz w:val="28"/>
          <w:sz w:val="28"/>
          <w:szCs w:val="28"/>
          <w:rtl w:val="true"/>
          <w:lang w:bidi="fa-IR"/>
        </w:rPr>
        <w:t>ما یوضح ذلک و یحققه بأوضح بیان و أمتن برهان، فقد تعرض هناک لما عن صاحب الحاشیة</w:t>
      </w:r>
      <w:r>
        <w:rPr>
          <w:rStyle w:val="FootnoteAnchor"/>
          <w:rtl w:val="true"/>
        </w:rPr>
        <w:footnoteReference w:id="273"/>
      </w:r>
      <w:r>
        <w:rPr>
          <w:rFonts w:ascii="IRNazanin" w:hAnsi="IRNazanin" w:eastAsia="IRNazanin"/>
          <w:color w:val="111111"/>
          <w:sz w:val="28"/>
          <w:sz w:val="28"/>
          <w:szCs w:val="28"/>
          <w:rtl w:val="true"/>
          <w:lang w:bidi="fa-IR"/>
        </w:rPr>
        <w:t>من اختصاص الایجاد ببعض الحروف و أن الهیئات غیر إیجادیة، بل إن الأرکان الأربعة التی أفادها فی بیان مختاره قدّس سرّه راجعة إلی هذا الرکن الرکین أعنی کون معانی الحروف بأسرها إیجادیة</w:t>
      </w:r>
      <w:r>
        <w:rPr>
          <w:rFonts w:eastAsia="IRNazanin" w:cs="IRNazanin"/>
          <w:color w:val="111111"/>
          <w:sz w:val="28"/>
          <w:szCs w:val="28"/>
          <w:rtl w:val="true"/>
          <w:lang w:bidi="fa-IR"/>
        </w:rPr>
        <w:t>.</w:t>
      </w:r>
    </w:p>
    <w:p>
      <w:pPr>
        <w:pStyle w:val="Heading4"/>
        <w:numPr>
          <w:ilvl w:val="3"/>
          <w:numId w:val="1"/>
        </w:numPr>
        <w:rPr/>
      </w:pPr>
      <w:bookmarkStart w:id="248" w:name="__RefHeading___Toc3493605_2314609296"/>
      <w:bookmarkStart w:id="249" w:name="_Toc95"/>
      <w:bookmarkEnd w:id="248"/>
      <w:r>
        <w:rPr>
          <w:rtl w:val="true"/>
        </w:rPr>
        <w:t>[</w:t>
      </w:r>
      <w:r>
        <w:rPr>
          <w:rtl w:val="true"/>
        </w:rPr>
        <w:t>نقد کلام السید الخوئی قدّس سرّه فی المعنی الحرفی</w:t>
      </w:r>
      <w:bookmarkEnd w:id="24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کون مفاد الهیئات تقیید المفاهیم الاسمیة کما هو ظاهر الحاشیة</w:t>
      </w:r>
      <w:r>
        <w:rPr>
          <w:rStyle w:val="FootnoteAnchor"/>
          <w:rtl w:val="true"/>
        </w:rPr>
        <w:footnoteReference w:id="274"/>
      </w:r>
      <w:r>
        <w:rPr>
          <w:rFonts w:ascii="IRNazanin" w:hAnsi="IRNazanin" w:eastAsia="IRNazanin"/>
          <w:color w:val="111111"/>
          <w:sz w:val="28"/>
          <w:sz w:val="28"/>
          <w:szCs w:val="28"/>
          <w:rtl w:val="true"/>
          <w:lang w:bidi="fa-IR"/>
        </w:rPr>
        <w:t>فهو مما لا یرجع إلی محصّل خصوصا فی النسب التامة الاخباریة، و أمّا النسب التقییدیة فهی إنما تکون بین القید و المقید و هما</w:t>
      </w:r>
    </w:p>
    <w:p>
      <w:pPr>
        <w:pStyle w:val="BookText"/>
        <w:rPr/>
      </w:pPr>
      <w:r>
        <w:rPr>
          <w:rFonts w:ascii="IRNazanin" w:hAnsi="IRNazanin" w:eastAsia="IRNazanin"/>
          <w:color w:val="111111"/>
          <w:sz w:val="28"/>
          <w:sz w:val="28"/>
          <w:szCs w:val="28"/>
          <w:rtl w:val="true"/>
          <w:lang w:bidi="fa-IR"/>
        </w:rPr>
        <w:t>اسمان، و مفاد الهیئة فیهما هو ربط أحدهما بالآخر علی جهة التقیید، فیکون حالها حال النسب التامة، غیر أنّ الناقصة تکون فی طیّ النسبة التامة، و إلّا فالکل نسب بین المفاهیم الاسمیة، و لأجل ذلک قالوا إن الأوصاف قبل العلم بها أخبار کما أن الأخبار بعد العلم بها 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أخذت جسم الماء بیدک و وضعته فی الکوز، فهناک ماء و هنا کوز، و أنت اتخذت یدک آلة فی جعل الماء فی الکوز، هذا فی القضیة الخارجیة الواقعیة، و أنت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فی الکوز، فهناک مفهوم الماء و مفهوم الکوز، و أنت بواسطة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المفهوم الأول مربوطا بالثانی علی جهة الظرفیة، فهذه القضیة اللفظیة أو الذهنیة هی مثال لذلک الذی وقع فی الخارج، لا أن اللفظ حاک عن الخارج، نعم إنا نقصد بایجاد ذلک المماثل إفهام السامع أن الواقع کذلک، کما فی حرکتنا التی نقلّد بها حرکة شخص آخر، و ذلک هو معنی الحکایة و معنی المطابقة إن کانت حرکتک مثل حرکته، و عدم المطابقة إن کانت حرکتک لیست بمثل حرکته، لکن قولک هذا یماثل ما فی الخارج لا أنه یوجده و یخلقه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قد عرفت أن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فی الکوز، لا یخلق ظرفیة الکوز فی الماء خارجا، 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فی الدار، لم یکن هذا القول منک إلّا مماثلا لما فی الخارج لا أنه یوجد الضرب فی الدار خارجا، لکن لو کان ذلک الحدث مما یمکن خلقه و إیجاده للمتکلم کما فی قولک بعتک، فانها صالحة لایجاد البیع بانشائه، حیث إنه لو لم یکن فی البین قصد إنشاء و ایجاد و یعبّر عنه ببعت الخبریة، لم یکن منک إلا إیجاد المماثل لما فی الخارج بقصد أن یکون ذلک المماثل حاکیا ما فی الخارج بنحو ما ذکرناه من الحکایة، أعنی المماثل لما ماثله، لا حکایة اللفظ عن معناه، فانه</w:t>
      </w:r>
      <w:bookmarkStart w:id="250" w:name="pg19834_212120"/>
    </w:p>
    <w:p>
      <w:pPr>
        <w:pStyle w:val="BookText"/>
        <w:rPr/>
      </w:pPr>
      <w:bookmarkEnd w:id="250"/>
      <w:r>
        <w:rPr>
          <w:rFonts w:ascii="IRNazanin" w:hAnsi="IRNazanin" w:eastAsia="IRNazanin"/>
          <w:color w:val="111111"/>
          <w:sz w:val="28"/>
          <w:sz w:val="28"/>
          <w:szCs w:val="28"/>
          <w:rtl w:val="true"/>
          <w:lang w:bidi="fa-IR"/>
        </w:rPr>
        <w:t xml:space="preserve">حینئذ لا یزید علی ما عرفت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ینخلق به البیع کما لا ینخلق به الضرب، لکن لو قصدت من هذه المماثلة لما توجده حال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إنک لم تقصد المماثلة و المحاکاة لبیع منک سابق، بل قصدت المماثلة و المحاکاة لبیع فعلی توجده أنت بقولک بعت، کان إیجاد ذلک المماثل خالقا لمماثله و موجدا له، فأنت قصدت بقولک بعت إیجاد البیع، فیکون ذلک نظیر فعلک الخارجی عند ما جعلت الماء فی الکوز، و هذا القول أیضا منک عبارة عن خلق البیع و جعله بواسطة هذه الآلة أعنی قولک بعت قاصدا بها إیجاد المماثل لا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ربط البیع بک بواسطة هیئة بعت، إن کان بقصد الحکایة أعنی حکایة المماثل، کان ذلک إخبارا، و إن لم یکن بذلک القصد بل کان بقصد إیجاد نفس البیع فی عالم الاعتبار کان ذلک إنشاء، و کان ذلک منک خلقا للبیع و ایجادا له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لک الحال فی کیفیة استعمال الجملة الخبریة فی إنشاء الطلب مثل یقوم و یسجد أو قام و سجد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من التشهد یقوم للثالثة أو قام للثالثة بمعنی طلب القیام و السجود، فإنّ الغرض من هذه النسبة التی أوجدها المتکلم بین الفعل و الفاعل هو طلب إیجاد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یدل علی النسبة الأوّلیة أی النسبة التی لا تزید علی قیام العرض بمعروضه کما فی الفعل المبنی للفاعل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3493607_2314609296"/>
      <w:bookmarkStart w:id="252" w:name="_Toc96"/>
      <w:bookmarkEnd w:id="251"/>
      <w:r>
        <w:rPr>
          <w:rtl w:val="true"/>
        </w:rPr>
        <w:t>[</w:t>
      </w:r>
      <w:r>
        <w:rPr>
          <w:rtl w:val="true"/>
        </w:rPr>
        <w:t>کون العرض مع ملابساته کالفاعل و المفعول به فی مرتبة واحدة</w:t>
      </w:r>
      <w:r>
        <w:rPr>
          <w:rtl w:val="true"/>
        </w:rPr>
        <w:t>]</w:t>
      </w:r>
      <w:bookmarkEnd w:id="25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الحدث الذی هو العرض له ملابسات شتی، فیلابس الفاعل و المفعول به إلی آخر متعلقات الفعل، و لا یمکن القول بأن ملابسته</w:t>
      </w:r>
      <w:bookmarkStart w:id="253" w:name="pg19834_212121"/>
    </w:p>
    <w:p>
      <w:pPr>
        <w:pStyle w:val="BookText"/>
        <w:rPr/>
      </w:pPr>
      <w:bookmarkEnd w:id="253"/>
      <w:r>
        <w:rPr>
          <w:rFonts w:ascii="IRNazanin" w:hAnsi="IRNazanin" w:eastAsia="IRNazanin"/>
          <w:color w:val="111111"/>
          <w:sz w:val="28"/>
          <w:sz w:val="28"/>
          <w:szCs w:val="28"/>
          <w:rtl w:val="true"/>
          <w:lang w:bidi="fa-IR"/>
        </w:rPr>
        <w:t>لفاعله سابقة فی الرتبة علی ملابسته لمفعوله و هکذا، بل هو ملابسها أجمع فی مرتبة واحدة، غایته أن ملحوظ المخبر تارة یکون هو ربط الفعل بفاعله و لم یکن ربطه بطرفه فعلا إلّا تبعا، و ربما کان 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مبحث لعله تأتی الاشارة إلیه إن شاء اللّه تعالی فی مباحث المشتق </w:t>
      </w:r>
      <w:r>
        <w:rPr>
          <w:rStyle w:val="FootnoteAnchor"/>
          <w:rtl w:val="true"/>
        </w:rPr>
        <w:footnoteReference w:id="276"/>
      </w:r>
      <w:r>
        <w:rPr>
          <w:rFonts w:ascii="IRNazanin" w:hAnsi="IRNazanin" w:eastAsia="IRNazanin"/>
          <w:color w:val="111111"/>
          <w:sz w:val="28"/>
          <w:sz w:val="28"/>
          <w:szCs w:val="28"/>
          <w:rtl w:val="true"/>
          <w:lang w:bidi="fa-IR"/>
        </w:rPr>
        <w:t>من أن الاشتقاق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معنوی، و الفعل سابق علی بقیة المشتقات بالاشتقاق المعنوی، و هذا أمر آخر علی الظاهر لا دخل له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المرفوعات هو الفاعل، لا أصل له و لا دخل له بما نحن فیه، کما أن تأخر نفس الجملة الاسمیة عن الفعل محل تأمل، فإن المتأخر إنما هو مفاد هیئة فاعل أعنی المشتق عن هیئة فعل أعنی الفعل، و هکذا الحال فی تأخر الفعل المبنی للمفعول عن الفعل المبنی للفاعل</w:t>
      </w:r>
      <w:r>
        <w:rPr>
          <w:rFonts w:eastAsia="IRNazanin" w:cs="IRNazanin"/>
          <w:color w:val="111111"/>
          <w:sz w:val="28"/>
          <w:szCs w:val="28"/>
          <w:rtl w:val="true"/>
          <w:lang w:bidi="fa-IR"/>
        </w:rPr>
        <w:t>.</w:t>
      </w:r>
    </w:p>
    <w:p>
      <w:pPr>
        <w:pStyle w:val="Heading4"/>
        <w:numPr>
          <w:ilvl w:val="3"/>
          <w:numId w:val="1"/>
        </w:numPr>
        <w:rPr/>
      </w:pPr>
      <w:bookmarkStart w:id="254" w:name="__RefHeading___Toc3493609_2314609296"/>
      <w:bookmarkStart w:id="255" w:name="_Toc97"/>
      <w:bookmarkEnd w:id="254"/>
      <w:r>
        <w:rPr>
          <w:rtl w:val="true"/>
        </w:rPr>
        <w:t>[</w:t>
      </w:r>
      <w:r>
        <w:rPr>
          <w:rtl w:val="true"/>
        </w:rPr>
        <w:t>تقسیم الحروف المستقلة فی الوجود من حیث وضعها للنسبة الأولیة و الثانویة</w:t>
      </w:r>
      <w:r>
        <w:rPr>
          <w:rtl w:val="true"/>
        </w:rPr>
        <w:t>]</w:t>
      </w:r>
      <w:bookmarkEnd w:id="255"/>
    </w:p>
    <w:p>
      <w:pPr>
        <w:pStyle w:val="BookText"/>
        <w:rPr/>
      </w:pPr>
      <w:r>
        <w:rPr>
          <w:rFonts w:ascii="IRNazanin" w:hAnsi="IRNazanin" w:eastAsia="IRNazanin"/>
          <w:color w:val="111111"/>
          <w:sz w:val="28"/>
          <w:sz w:val="28"/>
          <w:szCs w:val="28"/>
          <w:rtl w:val="true"/>
          <w:lang w:bidi="fa-IR"/>
        </w:rPr>
        <w:t>قوله فی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الکلمات الاستقلالیة، فمنها ما هو مشترک بینهما کلفظة، فی فانها تستعمل تارة لافادة قیام العرض أعنی مقولة الأین أو متی بموضوعه کزید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لافادة النسبة الثانویة کما فی ضربت فی الدار فانّها تدل علی نسبة الضرب إلی الدار زیادة علی نسبته إلی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الحروف الجارة موضوعة للنسب، و أنّ النسبة فیها تارة تکون أوّلیة و أخری تکون ثانویة، و أن ما یتکفل منها للنسبة الأوّلیة</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هو المعبّر عنه بالظرف المستقر، و ما یتکفل منها للنسبة الثانویة هو المعبّر عنه بالظرف اللغو، و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تلک الحروف صالحة لأن تستعمل فی کل من النسبتین، فتکون صالحة لکل من الاستقرار و اللغویة، و أنّ ما عداها لا یصلح إلا للنسبة الثانویة فلا یکون إلا لغوا، و أنه لا یوجد من الحروف ما هو مختص بالنسبة الاولی الذی هو عبارة عن الاستقرار،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w:t>
      </w:r>
      <w:r>
        <w:rPr>
          <w:rStyle w:val="FootnoteAnchor"/>
          <w:rtl w:val="true"/>
        </w:rPr>
        <w:footnoteReference w:id="279"/>
      </w:r>
      <w:r>
        <w:rPr>
          <w:rFonts w:ascii="IRNazanin" w:hAnsi="IRNazanin" w:eastAsia="IRNazanin"/>
          <w:color w:val="111111"/>
          <w:sz w:val="28"/>
          <w:sz w:val="28"/>
          <w:szCs w:val="28"/>
          <w:rtl w:val="true"/>
          <w:lang w:bidi="fa-IR"/>
        </w:rPr>
        <w:t>أن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تتکفله الحروف الجارّة هو جهات النسب، سواء کانت النسبة فی ذلک هی نسبة الفعل إلی متعلقه الذی هو مدخول حرف الجر، أو کانت النسبة هی النسبة بین مدخول حرف الجر و بین بعض الأسماء مثل زید فی الدار و مثل المال لزید، فان مفاد الأول هو أن النسبة بین زید و الدار علی جهة الظرفیة، و مفاد الثانی هو أن النسبة بین زید و بین المال هو علی جهة الاختصاص أو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افید من أن مفاد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الأین، و أنه تارة یکون من قبیل النسبة الأوّلیة و یکون مستقرا، و اخری یکون من النسبة الثانویة و یکون 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فالأولی فی هذا المقام هو نقل ما حررته فیه عنه قدّس سرّه فنقول بعونه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 بعد أن عرفت أن الأصل فی النسبة هی النسبة الفاعلیة أعنی نسبة العرض إلی معروضه، و أن النسبة الحملیة المتضمنة لحمل المشتق من ذلک العرض علی معروضه متأخرة رتبة عن</w:t>
      </w:r>
      <w:bookmarkStart w:id="256" w:name="pg19834_212123"/>
    </w:p>
    <w:p>
      <w:pPr>
        <w:pStyle w:val="BookText"/>
        <w:rPr/>
      </w:pPr>
      <w:bookmarkEnd w:id="256"/>
      <w:r>
        <w:rPr>
          <w:rFonts w:ascii="IRNazanin" w:hAnsi="IRNazanin" w:eastAsia="IRNazanin"/>
          <w:color w:val="111111"/>
          <w:sz w:val="28"/>
          <w:sz w:val="28"/>
          <w:szCs w:val="28"/>
          <w:rtl w:val="true"/>
          <w:lang w:bidi="fa-IR"/>
        </w:rPr>
        <w:t>النسبة الاولی، تعرف أن نسبة العرض إلی باقی متعلقاته مما وقع علیه أو فیه أو له و غیر ذلک من متعلقات الفعل کلها متأخرة عن کلا النسبتین المذکورتین</w:t>
      </w:r>
      <w:r>
        <w:rPr>
          <w:rFonts w:eastAsia="IRNazanin" w:cs="IRNazanin"/>
          <w:color w:val="111111"/>
          <w:sz w:val="28"/>
          <w:szCs w:val="28"/>
          <w:rtl w:val="true"/>
          <w:lang w:bidi="fa-IR"/>
        </w:rPr>
        <w:t>.</w:t>
      </w:r>
    </w:p>
    <w:p>
      <w:pPr>
        <w:pStyle w:val="Heading4"/>
        <w:numPr>
          <w:ilvl w:val="3"/>
          <w:numId w:val="1"/>
        </w:numPr>
        <w:rPr/>
      </w:pPr>
      <w:bookmarkStart w:id="257" w:name="__RefHeading___Toc3493611_2314609296"/>
      <w:bookmarkStart w:id="258" w:name="_Toc98"/>
      <w:bookmarkEnd w:id="257"/>
      <w:r>
        <w:rPr>
          <w:rtl w:val="true"/>
        </w:rPr>
        <w:t>[</w:t>
      </w:r>
      <w:r>
        <w:rPr>
          <w:rtl w:val="true"/>
        </w:rPr>
        <w:t>معنی الظرف المستقر و الظرف اللغو</w:t>
      </w:r>
      <w:r>
        <w:rPr>
          <w:rtl w:val="true"/>
        </w:rPr>
        <w:t>]</w:t>
      </w:r>
      <w:bookmarkEnd w:id="258"/>
    </w:p>
    <w:p>
      <w:pPr>
        <w:pStyle w:val="BookText"/>
        <w:rPr/>
      </w:pPr>
      <w:r>
        <w:rPr>
          <w:rFonts w:ascii="IRNazanin" w:hAnsi="IRNazanin" w:eastAsia="IRNazanin"/>
          <w:color w:val="111111"/>
          <w:sz w:val="28"/>
          <w:sz w:val="28"/>
          <w:szCs w:val="28"/>
          <w:rtl w:val="true"/>
          <w:lang w:bidi="fa-IR"/>
        </w:rPr>
        <w:t>ثم اعلم أن من جملة ما هو من متعلقات الفعل ممّا ینسب إلیه هو الظرف و الجار و المجرور، و قد قسّموا ذلک إلی الظرف المستقر و الظرف اللغو، و ینبغی أن یکون مرادهم من المستقر ما یکون متضمنا لاحدی المقولات کالأین و مقولة متی مثل زید فی الدار المتضمن لمقولة الأین، و 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ناوین معنی کائن أو استقر</w:t>
      </w:r>
      <w:r>
        <w:rPr>
          <w:rStyle w:val="FootnoteAnchor"/>
          <w:rtl w:val="true"/>
        </w:rPr>
        <w:footnoteReference w:id="280"/>
      </w:r>
      <w:r>
        <w:rPr>
          <w:rFonts w:ascii="IRNazanin" w:hAnsi="IRNazanin" w:eastAsia="IRNazanin"/>
          <w:color w:val="111111"/>
          <w:sz w:val="28"/>
          <w:sz w:val="28"/>
          <w:szCs w:val="28"/>
          <w:rtl w:val="true"/>
          <w:lang w:bidi="fa-IR"/>
        </w:rPr>
        <w:t>، إذ لیس المراد أن یقدّر فی ذلک لفظ کائن أو استقر، بل المراد أن ذلک أعنی الاخبار بالظرف أو الجار و المجرور فی مثل زید عندک أو فی الدار یتضمن الکون أو الاستقرار فی الدار و هو المعبّر عنه بمقولة الأین، و مرادهم من اللغو ما یکون متمما لاضافة اخری مثل ضرب زید فی الدار فإنه فی مثل ذلک لیس بنفسه مقولة من المقولات کی یکون مستقرا، بل هو متمم لاضافة اخری و هی نسبة العرض إلی معروضه، و یبیّن أن تلک النسبة و الاضافة واقعة فی الدار فیکون ظرفا لغوا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الحروف الجارة ما یمکن أن یکون مستقرا کما یمکن أن یکون لغوا و ذلک مثل لفظة فی، و منها ما لا یکون إلّا لغوا مثل من و عن و نحوهما، فإن ما هو من هذا القبیل لا یمکن أن یقع مستقرا لعدم إمکان وقوعه بنفسه إحدی المقولات و الاضافات، و إنما یکون متمما لمقولة و إضافة أخری، و حینئذ فلا یکون إلّا لغوا دائما، أما ما لا یکون إلا مستقرا</w:t>
      </w:r>
    </w:p>
    <w:p>
      <w:pPr>
        <w:pStyle w:val="BookText"/>
        <w:rPr/>
      </w:pPr>
      <w:r>
        <w:rPr>
          <w:rFonts w:ascii="IRNazanin" w:hAnsi="IRNazanin" w:eastAsia="IRNazanin"/>
          <w:color w:val="111111"/>
          <w:sz w:val="28"/>
          <w:sz w:val="28"/>
          <w:szCs w:val="28"/>
          <w:rtl w:val="true"/>
          <w:lang w:bidi="fa-IR"/>
        </w:rPr>
        <w:t>دائما فالظاهر أنه لا وجود 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جری اصطلاح النحویین فی الظرف المستقر و اللغو هو أنّ ما یتعلق به الظرف أو الجار و المجرور، إن کان محذوفا و کان عاما مثل الکون و الاستقرار و الحصول و نحوها کان مستقرا و إلّا کان لغوا، و یقولون إن حذف العامل فی الظرف المستقر واجب، لأن نفس ذلک الظرف قد تضمنه فلا داعی لذکره إلّا لأجل تصحیح قواعدهم، و لأجل ذلک یقولون فی أمثال ما هو محذوف وجوبا تقدیره کذا، لأجل ضرورة تصحیح الکلام کما فی مثل حذف الخبر وجوبا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کان نفس ذات المبتدأ هو المانع من الجواب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اللّه و المهر المفدّی‌لرحت و أنت غربال الاهاب</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کون الظرف مستقرا أو کونه لغوا فی اصطلاحهم هو هذا الذی نقلناه من تضمن الظرف للاستقرار الذی هو الفعل العام، بخلاف الظرف اللغو فإنه عبارة عما لا یکون متضمنا للاستقرار، و لعل هذه القیود الثلاثة أعنی کون المتعلق محذوفا، و کونه فعلا عاما، و کونه متضمنا فی الظرف متلازمة، إذ متی کان فعلا عاما وجب حذفه و کان الظرف متضمنا 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الإظهار فی مبحث حروف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یحذف المتعلق، فإن کان المحذوف فعلا عاما متضمنا فی الجار و المجرور یسمیان ظرفا مستقرا نحو زید فی الدار أی حصل، و إن لم یکن کذلک أو لم یحذف متعلقه یسمیان ظرفا 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لازم کون الفعل عاما کون الظرف متضمنا له، و لازم کون الظرف متضمنا له کون حذفه وجوبیا، و لأجل ذلک قال الشیخ الرضی فی مبحث کون الخبر ظرفا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یکون ذلک العامل من الأفعال العامة أی ممّا لا یخلو منه فعل نحو کائن و حاصل لیکون الظرف دالا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عند الجمهور إظهار هذا العامل أصلا، لقیام القرینة علی تعیینه و سدّ الظرف مسدّه کما یجی‌ء فی لو لا زید لکان کذا، فلا یقال زید کائن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جنّی بجوازه، و لا شاهد له، و أمّا قوله تعالی فلّما رءاه مستقرا عنده </w:t>
      </w:r>
      <w:r>
        <w:rPr>
          <w:rStyle w:val="FootnoteAnchor"/>
          <w:rtl w:val="true"/>
        </w:rPr>
        <w:footnoteReference w:id="282"/>
      </w:r>
      <w:r>
        <w:rPr>
          <w:rFonts w:ascii="IRNazanin" w:hAnsi="IRNazanin" w:eastAsia="IRNazanin"/>
          <w:color w:val="111111"/>
          <w:sz w:val="28"/>
          <w:sz w:val="28"/>
          <w:szCs w:val="28"/>
          <w:rtl w:val="true"/>
          <w:lang w:bidi="fa-IR"/>
        </w:rPr>
        <w:t>فمعناه ساکنا غیر متحرک و لیس بمعنی کائنا، و کذا حال الظرف فی ثلاثة مواضع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الصلة و الصفة و الحال، و فیما عدا المواضع الأربعة لا یتعلق الظرف و الجار إلا بملفوظ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کونه متضمنا لمقولة من المقولات أو کونه متمما لمقولة من المقولات فذلک أمر آخر لا أظن النحویین ناظرین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الظرف فی مثل ضربت فی الدار أیضا مقولة مستقلة و هی مقولة الأین، غایته أنه وقع أینا للفعل أعنی الحدث لا للجوهر، بخلاف زید فی الدار فإنه وقع أینا للذات أعنی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مثل من و عن و نحوهما یقع ظرفا مستقرا باصطلاح النحویین مثل قولنا هذا من ذاک و نحو ذلک و إن لم یکن مقولة من المقولات، و کذلک اللام تقول هذا المال لزید و نحو ذلک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حصر الأین فی مثل زید فی الدار، و جعل مثل</w:t>
      </w:r>
    </w:p>
    <w:p>
      <w:pPr>
        <w:pStyle w:val="BookText"/>
        <w:rPr/>
      </w:pPr>
      <w:r>
        <w:rPr>
          <w:rFonts w:ascii="IRNazanin" w:hAnsi="IRNazanin" w:eastAsia="IRNazanin"/>
          <w:color w:val="111111"/>
          <w:sz w:val="28"/>
          <w:sz w:val="28"/>
          <w:szCs w:val="28"/>
          <w:rtl w:val="true"/>
          <w:lang w:bidi="fa-IR"/>
        </w:rPr>
        <w:t xml:space="preserve">ضربت أو صلیت فی الدار من متمم المقولة لعله مناف لما یذکره فی مسألة اجتماع الأمر و النهی </w:t>
      </w:r>
      <w:r>
        <w:rPr>
          <w:rStyle w:val="FootnoteAnchor"/>
          <w:rtl w:val="true"/>
        </w:rPr>
        <w:footnoteReference w:id="284"/>
      </w:r>
      <w:r>
        <w:rPr>
          <w:rFonts w:ascii="IRNazanin" w:hAnsi="IRNazanin" w:eastAsia="IRNazanin"/>
          <w:color w:val="111111"/>
          <w:sz w:val="28"/>
          <w:sz w:val="28"/>
          <w:szCs w:val="28"/>
          <w:rtl w:val="true"/>
          <w:lang w:bidi="fa-IR"/>
        </w:rPr>
        <w:t>من أن اجتماع الصلاة و الغصب من قبیل الترکیب الانضمامی بین مقولة الفعل و هو الصلاة و مقولة الأین و هو المکان، و أنّ ما هو من قبیل متمم المقولة إنما هو فی مثل غسلت وجهی بالماء فیما لو کان الماء مغصوبا،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مقتضی 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للنسبة هو أن یکون هناک عرض منسوب و منسوب إلیه، لیکون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النسبة بینهما، و الظاهر من التحریر أن العرض المنسوب هو نفس مقولة الأین، و هو بنفسه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فما هو المفید للنسبة، إلّا أن نقول إن المفید لنسبة الأین إلی ذی الأین هو نفس الهیئة الترکیبیة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ما حرّره المرحوم الشیخ محمد علی عنه قدّس سرّه فی بیان الظرف المستقر و الظرف اللغو لعله یخالف هذا التحریر فی الکتاب، و کذلک یخالف ما حررته عنه قدّس سرّه فی بیان الظرف المستقر و انحصاره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المرحوم الشیخ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الکلام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تفید النسبة بین الظرف و المظروف،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الدار، و ضرب زید فی الدار، غایته أنّها تارة تفید نسبة قیام العرض بالمعروض، فیکون الظرف مستقرا، و اخری تفید نسبة ملابسات الفعل، فیکون الظرف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الحال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تارة تفید نسبة قیام العرض، و اخری تفید نسبة الملابسات، فیقال زید علی السطح، و ضرب زید علی</w:t>
      </w:r>
      <w:bookmarkStart w:id="259" w:name="pg19834_212127"/>
    </w:p>
    <w:p>
      <w:pPr>
        <w:pStyle w:val="BookText"/>
        <w:rPr/>
      </w:pPr>
      <w:bookmarkEnd w:id="259"/>
      <w:r>
        <w:rPr>
          <w:rFonts w:ascii="IRNazanin" w:hAnsi="IRNazanin" w:eastAsia="IRNazanin"/>
          <w:color w:val="111111"/>
          <w:sz w:val="28"/>
          <w:sz w:val="28"/>
          <w:szCs w:val="28"/>
          <w:rtl w:val="true"/>
          <w:lang w:bidi="fa-IR"/>
        </w:rPr>
        <w:t xml:space="preserve">السطح، و کذا الکلام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تارة یکون الظرف فیها مستقرا کقوله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 اخری یکون لغوا کقولک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من البصرة، حیث إنها تفید نسبة السیر إلی ملابسه من المکان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الفرق بین الظرف اللغو و 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الظرف المستقر ما کان بنفسه محمولا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الدار، و الظرف اللغو یکون من متممات الحمل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التحریر لا غبار علیه و لا تکون فیه مخالفة لاصطلاح النحویین فی الظرف اللغو و المستقر، کما أنه لا یکون مخالفا لما یذکره قدّس سرّه فی باب الاجتماع </w:t>
      </w:r>
      <w:r>
        <w:rPr>
          <w:rStyle w:val="FootnoteAnchor"/>
          <w:rtl w:val="true"/>
        </w:rPr>
        <w:footnoteReference w:id="287"/>
      </w:r>
      <w:r>
        <w:rPr>
          <w:rFonts w:ascii="IRNazanin" w:hAnsi="IRNazanin" w:eastAsia="IRNazanin"/>
          <w:color w:val="111111"/>
          <w:sz w:val="28"/>
          <w:sz w:val="28"/>
          <w:szCs w:val="28"/>
          <w:rtl w:val="true"/>
          <w:lang w:bidi="fa-IR"/>
        </w:rPr>
        <w:t>، أمّا الأول فواضح، و أمّا الثانی فلظهور أن المراد من المتمم ما یکون متمما لنسبة اخری، و لیس المراد ما یکون متمم المقولة کی ینافی اصطلاحه قدّس سرّه فی باب الاجتماع، فلاحظ و تدبر</w:t>
      </w:r>
      <w:r>
        <w:rPr>
          <w:rFonts w:eastAsia="IRNazanin" w:cs="IRNazanin"/>
          <w:color w:val="111111"/>
          <w:sz w:val="28"/>
          <w:szCs w:val="28"/>
          <w:rtl w:val="true"/>
          <w:lang w:bidi="fa-IR"/>
        </w:rPr>
        <w:t>.</w:t>
      </w:r>
    </w:p>
    <w:p>
      <w:pPr>
        <w:pStyle w:val="Heading4"/>
        <w:numPr>
          <w:ilvl w:val="3"/>
          <w:numId w:val="1"/>
        </w:numPr>
        <w:rPr/>
      </w:pPr>
      <w:bookmarkStart w:id="260" w:name="__RefHeading___Toc3493613_2314609296"/>
      <w:bookmarkStart w:id="261" w:name="_Toc99"/>
      <w:bookmarkEnd w:id="260"/>
      <w:r>
        <w:rPr>
          <w:rtl w:val="true"/>
        </w:rPr>
        <w:t>[</w:t>
      </w:r>
      <w:r>
        <w:rPr>
          <w:rtl w:val="true"/>
        </w:rPr>
        <w:t>معانی الحروف کلها إیجادیة نسبیة کانت أو غیرها</w:t>
      </w:r>
      <w:r>
        <w:rPr>
          <w:rtl w:val="true"/>
        </w:rPr>
        <w:t>]</w:t>
      </w:r>
      <w:bookmarkEnd w:id="26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أن الحروف بأجمعها معانیها إیجادیة نسبیة کانت أو غیرها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القول بکون الحروف موجدة لمعانیها ربما کان عین القول بأنها لا معنی لها، حیث إنّه بناء علی ذلک لا یکون تحت لفظ الحرف شی‌ء أصلا، و إنّما تکون نسبة الحرف إلی ذلک المعنی الذی یوجده کنسبة المؤثر إلی أثره و العلة إلی معلولها، و فی الحقیقة نسبة الحرف إلی ذلک</w:t>
      </w:r>
    </w:p>
    <w:p>
      <w:pPr>
        <w:pStyle w:val="BookText"/>
        <w:rPr/>
      </w:pPr>
      <w:r>
        <w:rPr>
          <w:rFonts w:ascii="IRNazanin" w:hAnsi="IRNazanin" w:eastAsia="IRNazanin"/>
          <w:color w:val="111111"/>
          <w:sz w:val="28"/>
          <w:sz w:val="28"/>
          <w:szCs w:val="28"/>
          <w:rtl w:val="true"/>
          <w:lang w:bidi="fa-IR"/>
        </w:rPr>
        <w:t>المعنی هی بعینها نسبة آلة التأثیر إلی الأثر، فلا یکون الحرف فی إحداث ذلک المعنی و إیجاده إلّا من قبیل السکین فی کونها آلة فی إیجاد قطع الشی‌ء، فکما لا یصح أن یقال إن السکین معناه القطع فکذلک لا یصح أن یقال إن معنی الحرف هو المعنی الذی یوجده، نعم لو کان المراد لأرباب القول المذکور أن الحرف لا أثر له أصلا کما أنه لا معنی له و إنما هو صرف العلامة، لحصل الفرق بینه و بین هذا الذی أفاده قدّس سرّه فإنّه بناء علی ما أفاده قدّس سرّه و ان لم یکن للحرف معنی تحت لفظه إلّا أنه یؤثر أثرا نسمیه معنی للحرف تسامحا و تساهلا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أنه بعد البناء علی أن الحروف بأسرها نسبیة و غیر نسبیة کلها آلات إیجاد معانیها، یکون الذی توجده الحروف النسبیة مثل الحروف الجارة و الهیئات و غیر ذلک من آلات النسب هو نفس النسبة بین المنتسبین، فلا فرق بین لفظة من و لفظ الهیئة فی ضرب و الهیئة فی اضرب فی أنّ کلا منها موجد للنسبة، إلّا أن الفرق بینها إنما هو فی جهات النسب، فالأول و هو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سرت من البصرة، أوجدت النسبة بین السیر و البصرة علی جهة الابتداء، و الثانی و هو هیئة ضرب زید، أوجدت النسبة بین الضرب و زید علی جهة الاسناد و الفاعلیة، و الثالث علی جهة الطلب، و هکذا الحال فی مثل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الخبریة و الانشائیة فإنها أیضا لایجاد النسبة بین البیع و المتکلم، غیر أن الاولی علی جهة الاخبار و الثانیة علی جهة الانشاء و الایجاد أعنی إیجاد البیع</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الآلات لم تعمل لایجاد الابتداء أو إیجاد الطلب أو إیجاد البیع، و إنما اعملت ابتداء فی إیجاد النسبة، و هذه الامور هی جهات لتلک النسب المنوجدة بهذه الآلات، و ربما کانت تلک الجهات لها</w:t>
      </w:r>
      <w:bookmarkStart w:id="262" w:name="pg19834_212129"/>
    </w:p>
    <w:p>
      <w:pPr>
        <w:pStyle w:val="BookText"/>
        <w:rPr/>
      </w:pPr>
      <w:bookmarkEnd w:id="262"/>
      <w:r>
        <w:rPr>
          <w:rFonts w:ascii="IRNazanin" w:hAnsi="IRNazanin" w:eastAsia="IRNazanin"/>
          <w:color w:val="111111"/>
          <w:sz w:val="28"/>
          <w:sz w:val="28"/>
          <w:szCs w:val="28"/>
          <w:rtl w:val="true"/>
          <w:lang w:bidi="fa-IR"/>
        </w:rPr>
        <w:t>أثر شرعی أو عرفی عقلائی یکون تابعا لوجودها فی وعائها الاعتباری المنتزع من إعمال تلک الآلة فی النسبة علی الجهة الفلانیة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تعرف أنه لا داعی إلی إتعاب النفس فی التفرقة بین مفاد هذه الأدوات و مفاد لفظ الابتداء و الطلب و البیع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المحتاج إلیه إنما هو الفرق بین النسبة المنوجدة باحدی هذه الآلات و بین المفهوم من لفظ النسبة، و ذلک الفرق هو کون الاولی علی نحو الایجاد و الثانیة علی نحو الحکایة، و هذا هو الحجر الأساسی فی الفرق بین الحروف و الاسماء</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3493615_2314609296"/>
      <w:bookmarkStart w:id="264" w:name="_Toc100"/>
      <w:bookmarkEnd w:id="263"/>
      <w:r>
        <w:rPr>
          <w:rtl w:val="true"/>
        </w:rPr>
        <w:t>[</w:t>
      </w:r>
      <w:r>
        <w:rPr>
          <w:rtl w:val="true"/>
        </w:rPr>
        <w:t>مناقشة ما اختاره صاحب الکفایة فی المعنی الحرفی</w:t>
      </w:r>
      <w:bookmarkEnd w:id="264"/>
    </w:p>
    <w:p>
      <w:pPr>
        <w:pStyle w:val="BookText"/>
        <w:rPr/>
      </w:pPr>
      <w:r>
        <w:rPr>
          <w:rFonts w:ascii="IRNazanin" w:hAnsi="IRNazanin" w:eastAsia="IRNazanin"/>
          <w:color w:val="111111"/>
          <w:sz w:val="28"/>
          <w:sz w:val="28"/>
          <w:szCs w:val="28"/>
          <w:rtl w:val="true"/>
          <w:lang w:bidi="fa-IR"/>
        </w:rPr>
        <w:t xml:space="preserve">و لو أنکرنا هذا الفرق و قلنا بأن کلا منها حاک و أن الفارق إنما هو فی جهة الوضع کما هو مسلک صاحب الکفایة قدّس سرّه </w:t>
      </w:r>
      <w:r>
        <w:rPr>
          <w:rStyle w:val="FootnoteAnchor"/>
          <w:rtl w:val="true"/>
        </w:rPr>
        <w:footnoteReference w:id="290"/>
      </w:r>
      <w:r>
        <w:rPr>
          <w:rFonts w:ascii="IRNazanin" w:hAnsi="IRNazanin" w:eastAsia="IRNazanin"/>
          <w:color w:val="111111"/>
          <w:sz w:val="28"/>
          <w:sz w:val="28"/>
          <w:szCs w:val="28"/>
          <w:rtl w:val="true"/>
          <w:lang w:bidi="fa-IR"/>
        </w:rPr>
        <w:t>اتجه علیه الاشکال بأن شرط الواضع لا یجب الوفاء به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یمکن الجواب عنه بأن ذلک لیس من قبیل الشرط من الواضع بل هو من قبیل الاختلاف فی الوضع و الاستعمال، فالاستعمال فی الحروف علی نحو اللحاظ الآلی و فی الأسماء علی نحو اللحاظ الاستقلالی، و هذا الاختلاف فی ناحیة الوضع و الاستعمال هو الموجب لعدم صحة إعمال أحدهما فی مقام الآخر، لأن ذلک أعنی إعمال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إعمال لفظ الابتداء، مساوق لجعل اللحاظ الآلی استقلالیا، أو جعل اللحاظ</w:t>
      </w:r>
    </w:p>
    <w:p>
      <w:pPr>
        <w:pStyle w:val="BookText"/>
        <w:rPr/>
      </w:pPr>
      <w:r>
        <w:rPr>
          <w:rFonts w:ascii="IRNazanin" w:hAnsi="IRNazanin" w:eastAsia="IRNazanin"/>
          <w:color w:val="111111"/>
          <w:sz w:val="28"/>
          <w:sz w:val="28"/>
          <w:szCs w:val="28"/>
          <w:rtl w:val="true"/>
          <w:lang w:bidi="fa-IR"/>
        </w:rPr>
        <w:t xml:space="preserve">الاستقلالی آلیا، فان اللحاظ الآلی و اللحاظ الاستقلالی لو لم نجعله قیدا فی الموضوع له و لا شرطا من الواضع علی المستعملین، بل جعلناه من قبیل تقیید دائرة الوضع، کان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دائرة الملکیة أو الاختصاص، بأن نملّک الثوب لزید فیما إذا لبسه فی النهار دون ما لو لبسه فی اللیل، و ذلک ممتنع ما لم نجعله شرطا علی زید بأن یلبسه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یجعل الشرط المذکور علی نحو التعلیق بأن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ملک لک إن لبسته فی النهار، لکن لو لبسه فی اللیل انتفت الملکیة من أصلها، فلو جعلنا الشرط فیما نحن فیه بأن یقول إنّی وضعت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للابتداء إن استعملتها فیه فی مقام لحاظه آلیا، کان مقتضاه أنه لو استعمله فی الابتداء فی مقام لحاظه استقلالیا انتفی الوضع من أصله، و لو قلنا إن لازمه انحصار الوضع بصورة استعماله آلیا دون استعماله استقلالیا رجع إلی ما تقدم من تقیید الاختصاص و الملکیة فی حالة دون حالة و هو غیر ممکن، و إن قلنا بامکان تقطیع الملکیة کما فی الوقف علی الطبقات بناء علی أنّه من مقولة التملیک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الاشکال مما یصعب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الاشکال علیه بلزوم ارتفاع النقیضین أو الضدین اللذین لا ثالث لهما، قابل للاندفاع، فإنّه بعد البناء علی کون الموضوع له و المستعمل فیه مثلا هو نفس الابتداء مجردا عن اللحاظ، و أن اللحاظ الآلی و الاستقلالی إنما یکون فی مقام الاستعمال، فان ذلک المقام هو مقام اللحاظ المنقسم إلی الآلی و الاستقلالی، فقبل الوصول إلی ذلک المقام قهرا یکون المعنی مجردا عن</w:t>
      </w:r>
    </w:p>
    <w:p>
      <w:pPr>
        <w:pStyle w:val="BookText"/>
        <w:rPr/>
      </w:pPr>
      <w:r>
        <w:rPr>
          <w:rFonts w:ascii="IRNazanin" w:hAnsi="IRNazanin" w:eastAsia="IRNazanin"/>
          <w:color w:val="111111"/>
          <w:sz w:val="28"/>
          <w:sz w:val="28"/>
          <w:szCs w:val="28"/>
          <w:rtl w:val="true"/>
          <w:lang w:bidi="fa-IR"/>
        </w:rPr>
        <w:t>کلا اللحاظین، و لیس ذلک من قبیل ارتفاع النقیضین و لا الضدین بل هو من قبیل ارتفاع اللحاظ المنقسم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المعنی لا بد أن یکون فی مقام الوضع ملحوظا، فعند وضع کل من لفظ الابتداء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معنی الابتداء ملحوظا، بل لا بد أن یکون ملحوظا استقلالا، لکن هذا اللحاظ لا یکون جزء الموضوع له بل هو طریق إلی الموضوع له، لاستحالة وضع اللفظ للمعنی بدون تصور المعنی، لکن لا یلزمه أن یکون ذلک التصور جزءا أو قیدا للموضوع له، بل هو طریق صرف إلی المعنی الموضوع 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الاشکال المذکور إنما یندفع بالنسبة إلی الموضوع له، أما بالنسبة إلی مقام المستعمل فیه فهو غیر مندفع، لأن المستعمل لا بد له من لحاظ المستعمل فیه إمّا آلیا أو استقلالیا، فتجریده عن کل منهما یوجب ارتفاع الضدین اللذین لا ثالث لهما، و کونه فی مرتبة الاستعمال ملاحظا إیاه آلیا أو استقلالیا لا یجدی، فان مرتبة الاستعمال متأخرة عن مرتبة المستعمل فیه، و لا بدّ له فی مرتبة المستعمل فیه من لحاظه بأحد اللحاظین، اللهم إلّا أن یقال إنه یلاحظ المستعمل فیه استقلالیا، نظیر لحاظ الواضع الذی عرفت أنّ لحاظه للموضوع له استقلالیا طریق لا یوجب دخوله فی الموضوع له، أو یقال إن لحاظه المستعمل فیه فی مرتبة الاستعمال آلیا أو استقلالیا کاف عن لحاظ المستعمل فیه فی الرتبة السابقة علی الاستعمال، و لو تمت هذه الجهة، و تمت أیضا الجهة السابقة و هی تقیید و لو بنحو التعلیق، و لم یکن انتفاء الشرط موجبا لانتفاء أصل الوضع، لکان مسلک الکفایة هو المتعین، دون مسلک شیخنا قدّس سرّه من التشبث بالفرق بین الاسم و الحرف بالاخطار و الایجاد، إذ لا تخلو هذه الطریقة من تکلف،</w:t>
      </w:r>
      <w:bookmarkStart w:id="265" w:name="pg19834_212132"/>
    </w:p>
    <w:p>
      <w:pPr>
        <w:pStyle w:val="BookText"/>
        <w:rPr/>
      </w:pPr>
      <w:bookmarkEnd w:id="265"/>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Heading4"/>
        <w:numPr>
          <w:ilvl w:val="3"/>
          <w:numId w:val="1"/>
        </w:numPr>
        <w:rPr/>
      </w:pPr>
      <w:bookmarkStart w:id="266" w:name="__RefHeading___Toc3493617_2314609296"/>
      <w:bookmarkStart w:id="267" w:name="_Toc101"/>
      <w:bookmarkEnd w:id="266"/>
      <w:r>
        <w:rPr>
          <w:rtl w:val="true"/>
        </w:rPr>
        <w:t>[</w:t>
      </w:r>
      <w:r>
        <w:rPr>
          <w:rtl w:val="true"/>
        </w:rPr>
        <w:t>أدلة صاحب الکفایة علی استحالة أخذ اللحاظ فی المستعمل فیه</w:t>
      </w:r>
      <w:bookmarkEnd w:id="267"/>
    </w:p>
    <w:p>
      <w:pPr>
        <w:pStyle w:val="BookText"/>
        <w:rPr/>
      </w:pPr>
      <w:r>
        <w:rPr>
          <w:rFonts w:ascii="IRNazanin" w:hAnsi="IRNazanin" w:eastAsia="IRNazanin"/>
          <w:color w:val="111111"/>
          <w:sz w:val="28"/>
          <w:sz w:val="28"/>
          <w:szCs w:val="28"/>
          <w:rtl w:val="true"/>
          <w:lang w:bidi="fa-IR"/>
        </w:rPr>
        <w:t>و لا یخفی أنه قد برهن فی الکفایة</w:t>
      </w:r>
      <w:r>
        <w:rPr>
          <w:rStyle w:val="FootnoteAnchor"/>
          <w:rtl w:val="true"/>
        </w:rPr>
        <w:footnoteReference w:id="292"/>
      </w:r>
      <w:r>
        <w:rPr>
          <w:rFonts w:ascii="IRNazanin" w:hAnsi="IRNazanin" w:eastAsia="IRNazanin"/>
          <w:color w:val="111111"/>
          <w:sz w:val="28"/>
          <w:sz w:val="28"/>
          <w:szCs w:val="28"/>
          <w:rtl w:val="true"/>
          <w:lang w:bidi="fa-IR"/>
        </w:rPr>
        <w:t>علی استحالة أخذ اللحاظ الآلی و الاستقلالی فی المستعمل فیه فضلا عن الموضوع له، ببرهانین لا مدفع لهما،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تعدد اللحاظ لیکون أحدهما جزء الموضوع و المستعمل فیه، و یکون الآخر متعلقا بما هو ملحوظ باللحاظ الأول، لأن من شرط الاستعمال ملاحظة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اللحاظ الآلی و الاستقلالی من طوارئ الاستعمال، و لا یکون إلا فی مرتبة الاستعمال، فلا یعقل أخذه فی المستعمل فیه الذی هو سابق فی الرتبة علی الاستعمال، و لعل قوله فی مقام بیان الحال فی أسماء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فتلخص مما حققناه أن التشخص الناشئ من قبل الاستعمالات لا یوجب تشخص المستعمل فیه </w:t>
      </w:r>
      <w:r>
        <w:rPr>
          <w:rStyle w:val="FootnoteAnchor"/>
          <w:rtl w:val="true"/>
        </w:rPr>
        <w:footnoteReference w:id="293"/>
      </w:r>
      <w:r>
        <w:rPr>
          <w:rFonts w:ascii="IRNazanin" w:hAnsi="IRNazanin" w:eastAsia="IRNazanin"/>
          <w:color w:val="111111"/>
          <w:sz w:val="28"/>
          <w:sz w:val="28"/>
          <w:szCs w:val="28"/>
          <w:rtl w:val="true"/>
          <w:lang w:bidi="fa-IR"/>
        </w:rPr>
        <w:t>، إشارة إلی الاشکال بالتقریب الثانی، فلاحظ</w:t>
      </w:r>
      <w:r>
        <w:rPr>
          <w:rFonts w:eastAsia="IRNazanin" w:cs="IRNazanin"/>
          <w:color w:val="111111"/>
          <w:sz w:val="28"/>
          <w:szCs w:val="28"/>
          <w:rtl w:val="true"/>
          <w:lang w:bidi="fa-IR"/>
        </w:rPr>
        <w:t>.</w:t>
      </w:r>
    </w:p>
    <w:p>
      <w:pPr>
        <w:pStyle w:val="Heading4"/>
        <w:numPr>
          <w:ilvl w:val="3"/>
          <w:numId w:val="1"/>
        </w:numPr>
        <w:rPr/>
      </w:pPr>
      <w:bookmarkStart w:id="268" w:name="__RefHeading___Toc3493619_2314609296"/>
      <w:bookmarkStart w:id="269" w:name="_Toc102"/>
      <w:bookmarkEnd w:id="268"/>
      <w:r>
        <w:rPr>
          <w:rtl w:val="true"/>
        </w:rPr>
        <w:t>[</w:t>
      </w:r>
      <w:r>
        <w:rPr>
          <w:rtl w:val="true"/>
        </w:rPr>
        <w:t>نقد القول بأن المعنی الحرفی ما لا یوجد فی الذهن إلا تبعا بخلاف الأسماء</w:t>
      </w:r>
      <w:r>
        <w:rPr>
          <w:rtl w:val="true"/>
        </w:rPr>
        <w:t>]</w:t>
      </w:r>
      <w:bookmarkEnd w:id="269"/>
    </w:p>
    <w:p>
      <w:pPr>
        <w:pStyle w:val="BookText"/>
        <w:rPr/>
      </w:pPr>
      <w:r>
        <w:rPr>
          <w:rFonts w:ascii="IRNazanin" w:hAnsi="IRNazanin" w:eastAsia="IRNazanin"/>
          <w:color w:val="111111"/>
          <w:sz w:val="28"/>
          <w:sz w:val="28"/>
          <w:szCs w:val="28"/>
          <w:rtl w:val="true"/>
          <w:lang w:bidi="fa-IR"/>
        </w:rPr>
        <w:t xml:space="preserve">و کیف کان، فهذان الاشکالان کما یردان علی القول بأن المعنی الحرفی هو الابتداء الملحوظ باللحاظ الآلی، فکذلک یردان علی القول بأن الفرق بین المعنی الحرفی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294"/>
      </w:r>
      <w:r>
        <w:rPr>
          <w:rFonts w:ascii="IRNazanin" w:hAnsi="IRNazanin" w:eastAsia="IRNazanin"/>
          <w:color w:val="111111"/>
          <w:sz w:val="28"/>
          <w:sz w:val="28"/>
          <w:szCs w:val="28"/>
          <w:rtl w:val="true"/>
          <w:lang w:bidi="fa-IR"/>
        </w:rPr>
        <w:t xml:space="preserve">و المعنی الاسمی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أن معنی الأول لا یوجد فی الذهن إلا تبعا، نظیر النظر الخارجی إلی نقطة خاصة، فأنت تری ما حولها لکنها رؤیة تبعیة مغفول عنها عند نظرک إلی النقطة، بخلاف نظرک إلی نفس النقطة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الفرق بعینه جار فی النظر إلی الحرف فإنه لا یکون إلا تبعا للحاظ المعنی الاسمی، بخلاف المعنی الاسمی فإنه یکون مستقلا فی النظر</w:t>
      </w:r>
      <w:bookmarkStart w:id="270" w:name="pg19834_212133"/>
    </w:p>
    <w:p>
      <w:pPr>
        <w:pStyle w:val="BookText"/>
        <w:rPr/>
      </w:pPr>
      <w:bookmarkEnd w:id="270"/>
      <w:r>
        <w:rPr>
          <w:rFonts w:ascii="IRNazanin" w:hAnsi="IRNazanin" w:eastAsia="IRNazanin"/>
          <w:color w:val="111111"/>
          <w:sz w:val="28"/>
          <w:sz w:val="28"/>
          <w:szCs w:val="28"/>
          <w:rtl w:val="true"/>
          <w:lang w:bidi="fa-IR"/>
        </w:rPr>
        <w:t xml:space="preserve">إلیه لا تابعا لغیره فی النظر، فلیس الفرق بینهما باللحاظ الآلی فی الأول، إذ لیس معنی الحرف آلة لمعنی الاسم، نعم إنه منظور إلیه فی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بخلاف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مرجع هذا القول بالأخرة إلی کون المعنی الحرفی مقیدا باللحاظ التبعی فی قبال المعنی الاسمی المقید باللحاظ المستقل، و حینئذ یکون حاله حال القول الأول فی توجه الاشکالین علیه، أعنی لزوم تعدد اللحاظ و لزوم أخذ ما هو آت من الاستعمال فی المرتبة السابقة علیه، أعنی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یرد علیه ما أورده علی التقیید باللحاظ الآلی من إنکار کون المعنی الحرفی آلة فی المعنی الاسمی، فإنّه یتوجه علیه نظیر ذلک الانکار، لتطرق الانکار إلی دعوی کون الحرف ملحوظا تبعا، لامکان دعوی انوجاده فی الذهن بمعنی کونه منظورا إلیه قصدا لا تبعا، فإن النظر فی قولک سرت من البصرة لیس مقصورا علی السیر کما فی النظر الخارجی إلی النقطة، بل هو متعلق بکل من معنی البصرة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الابتداء متعلق بالبصرة، فهو ینظر إلی البصرة و إلی متعلقها لا أنه ینظر إلی نفس البصرة و کان نظره إلی الابتداء المتعلق بها تبعا علی وجه یکون مغفولا عنه فی النظر</w:t>
      </w:r>
      <w:r>
        <w:rPr>
          <w:rFonts w:eastAsia="IRNazanin" w:cs="IRNazanin"/>
          <w:color w:val="111111"/>
          <w:sz w:val="28"/>
          <w:szCs w:val="28"/>
          <w:rtl w:val="true"/>
          <w:lang w:bidi="fa-IR"/>
        </w:rPr>
        <w:t>.</w:t>
      </w:r>
    </w:p>
    <w:p>
      <w:pPr>
        <w:pStyle w:val="Heading4"/>
        <w:numPr>
          <w:ilvl w:val="3"/>
          <w:numId w:val="1"/>
        </w:numPr>
        <w:rPr/>
      </w:pPr>
      <w:bookmarkStart w:id="271" w:name="__RefHeading___Toc3493621_2314609296"/>
      <w:bookmarkStart w:id="272" w:name="_Toc103"/>
      <w:bookmarkEnd w:id="271"/>
      <w:r>
        <w:rPr>
          <w:rtl w:val="true"/>
        </w:rPr>
        <w:t>[</w:t>
      </w:r>
      <w:r>
        <w:rPr>
          <w:rtl w:val="true"/>
        </w:rPr>
        <w:t>نقد القول بأن معانی الحروف النسب و الارتباطات الواقعیة</w:t>
      </w:r>
      <w:r>
        <w:rPr>
          <w:rtl w:val="true"/>
        </w:rPr>
        <w:t>]</w:t>
      </w:r>
      <w:bookmarkEnd w:id="27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بأن مفاد الحروف هو تلک النسب و الارتباطات الواقعیة أعنی نسبة الابتداء إلی السیر و البصرة، بتقریب أنه نحو وجود لهما فی الخارج یعبّر عنه بالوجود الربطی، أعنی وجود العرض لمعروضه الذی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أمر زائد علی وجود الجوهر و وجود ذات العرض، فکما أن لفظ السیر یحکی عن ذلک العرض و لفظ البصرة یحکی عن ذلک الجوهر فکذلک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 عن ذلک الوجود الربطی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 الحروف و الأسماء أن الحروف حاکیة عن الوجود الربطی بین الجوهر و العرض، بخلاف الأسماء فانها إنما تحکی وجود الجوهر أو نفس العرض، و من الواضح أن ذلک لا یکون من الوجود الربطی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هذا الفرق و إن کان حاصلا لکنه بین المعنی الحرفی و المعنی الاسمی المتعلق به، أمّا الفرق بین مفاد لفظة من و مفاد لفظة الابتداء فذلک مما لم یتکفله الفرق المذکور، فلا بد لصاحب هذا القول من إبداء الفرق بینهما، بأن معنی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من البصرة، لا یکون ملحوظا إلّا بعنوان الرابطیة، بخلاف لفظ الابتداء عند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السیر من البصرة حسن مثلا، و حینئذ یعود الأمر إلی التقیید بالوجود الذهنی الرابطی و عدم الرابطی، فیتوجه علیه الاشکالان اللذان أفادهما صاحب الکفایة، فلاحظ</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إبطال هذه الأقوال الثلاثة بما أفاده فی الکفایة، و بعد إبطالنا القول الرابع و هو کون المعانی الحرفیة قیودا فی المعانی الاسمیة، یبقی الأمر منحصرا بمسلک الکفایة و مسلک شیخنا قدّس سرّه، و بعد إصلاح ما فی الکفایة من شرط الواضع و إرجاعه إلی التقیید فی مرحلة الغرض لیکون منتجا لتقیید الوضع، نظیر قصد داعی الأمر فی التعبدیات کما أفاده فی المقالة</w:t>
      </w:r>
      <w:r>
        <w:rPr>
          <w:rStyle w:val="FootnoteAnchor"/>
          <w:rtl w:val="true"/>
        </w:rPr>
        <w:footnoteReference w:id="298"/>
      </w:r>
      <w:r>
        <w:rPr>
          <w:rFonts w:ascii="IRNazanin" w:hAnsi="IRNazanin" w:eastAsia="IRNazanin"/>
          <w:color w:val="111111"/>
          <w:sz w:val="28"/>
          <w:sz w:val="28"/>
          <w:szCs w:val="28"/>
          <w:rtl w:val="true"/>
          <w:lang w:bidi="fa-IR"/>
        </w:rPr>
        <w:t>، أو بما عرفت من إرجاعه إلی تقیید الوضع و حصره، لیکون محصّله هو أن الابتداء</w:t>
      </w:r>
    </w:p>
    <w:p>
      <w:pPr>
        <w:pStyle w:val="BookText"/>
        <w:rPr/>
      </w:pPr>
      <w:r>
        <w:rPr>
          <w:rFonts w:ascii="IRNazanin" w:hAnsi="IRNazanin" w:eastAsia="IRNazanin"/>
          <w:color w:val="111111"/>
          <w:sz w:val="28"/>
          <w:sz w:val="28"/>
          <w:szCs w:val="28"/>
          <w:rtl w:val="true"/>
          <w:lang w:bidi="fa-IR"/>
        </w:rPr>
        <w:t xml:space="preserve">إن قصد آلیا و رابطا بین الاسمین فالموضوع له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قصد فی حدّ نفسه فالموضوع له هو لفظ الابتداء، علی حسب ما مرّ شرحه من معنی الشرط، و لعل ما ذکرناه فی کیفیة الوضع و أنّه اختراع و إحضار للمعنی باحضار اللفظ المناسب له أظهر فی التقیید من بقیة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إصلاح مسلک الکفایة یکون الأمر مرددا بین المسلکین، و هذا غریب، لأن التردد إنما یحصل فیما لا یکون راجعا إلی نفس الشخص المتردد، کأن یتردد فی الامور التکوینیة مثل حرکة الکواکب و مثل التردد فی سائر الواقعیات، و مثله التردد فیما أراده المتکلم بقوله افعل مثلا، هل أراد الوجوب أو أراد الندب، و کذلک التردد فی کیفیة إرادته الندب من ذلک لو أحرز أنه أراد الندب و لکن حصل لنا التردد فی أنه أراده بلا عنایة أو أنه أراده بالعنایة، إلی غیر ذلک مما لا یکون راجعا إلی المتردد نفسه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یعود إلی نفس الشخص، و أنه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البصرة إلی الکوفة، هل قصد إیجاد ربط الابتداء بین المفهومین لیکون مماثلا للربط الواقعی بین واقع السیر و واقع البصرة، أو أنه </w:t>
      </w:r>
      <w:r>
        <w:rPr>
          <w:rStyle w:val="FootnoteAnchor"/>
          <w:rtl w:val="true"/>
        </w:rPr>
        <w:footnoteReference w:id="299"/>
      </w:r>
      <w:r>
        <w:rPr>
          <w:rFonts w:ascii="IRNazanin" w:hAnsi="IRNazanin" w:eastAsia="IRNazanin"/>
          <w:color w:val="111111"/>
          <w:sz w:val="28"/>
          <w:sz w:val="28"/>
          <w:szCs w:val="28"/>
          <w:rtl w:val="true"/>
          <w:lang w:bidi="fa-IR"/>
        </w:rPr>
        <w:t>لم یقصد بذلک إلّا الحکایة عن نفس ذلک الربط الواقعی بینهما علی نحو الآلیة و الارتباط علی وجه لم یقصد بقوله من البصرة إلّا نفس ما یقصده بقوله الابتداء، غیر أنه قصده فی الأول علی نحو الارتباط و الآلیة و فی الثانی علی نحو الاستقلالیة، فهذا التردد منه غریب، لأنه تردد فی قصده الجاری علیه فی جمیع کلماته، و لو نقل لنا هذا التردد عن شخص من الأشخاص لنسبناه إلی أقصی درجات</w:t>
      </w:r>
      <w:bookmarkStart w:id="273" w:name="pg19834_212136"/>
    </w:p>
    <w:p>
      <w:pPr>
        <w:pStyle w:val="BookText"/>
        <w:rPr/>
      </w:pPr>
      <w:bookmarkEnd w:id="273"/>
      <w:r>
        <w:rPr>
          <w:rFonts w:ascii="IRNazanin" w:hAnsi="IRNazanin" w:eastAsia="IRNazanin"/>
          <w:color w:val="111111"/>
          <w:sz w:val="28"/>
          <w:sz w:val="28"/>
          <w:szCs w:val="28"/>
          <w:rtl w:val="true"/>
          <w:lang w:bidi="fa-IR"/>
        </w:rPr>
        <w:t>الجهل، لکنا نجهل ذلک من أنفسنا و نتردد فی نفس قصدنا، إنّ هذا لغریب بل هو أغرب من کل غریب</w:t>
      </w:r>
      <w:r>
        <w:rPr>
          <w:rFonts w:eastAsia="IRNazanin" w:cs="IRNazanin"/>
          <w:color w:val="111111"/>
          <w:sz w:val="28"/>
          <w:szCs w:val="28"/>
          <w:rtl w:val="true"/>
          <w:lang w:bidi="fa-IR"/>
        </w:rPr>
        <w:t>.</w:t>
      </w:r>
    </w:p>
    <w:p>
      <w:pPr>
        <w:pStyle w:val="Heading4"/>
        <w:numPr>
          <w:ilvl w:val="3"/>
          <w:numId w:val="1"/>
        </w:numPr>
        <w:rPr/>
      </w:pPr>
      <w:bookmarkStart w:id="274" w:name="__RefHeading___Toc3493623_2314609296"/>
      <w:bookmarkStart w:id="275" w:name="_Toc104"/>
      <w:bookmarkEnd w:id="274"/>
      <w:r>
        <w:rPr>
          <w:rtl w:val="true"/>
        </w:rPr>
        <w:t>[</w:t>
      </w:r>
      <w:r>
        <w:rPr>
          <w:rtl w:val="true"/>
        </w:rPr>
        <w:t>ما أشکل به المحقق العراقی قدّس سرّه علی مسلک الکفایة قدّس سرّه</w:t>
      </w:r>
      <w:bookmarkEnd w:id="275"/>
    </w:p>
    <w:p>
      <w:pPr>
        <w:pStyle w:val="BookText"/>
        <w:rPr/>
      </w:pPr>
      <w:r>
        <w:rPr>
          <w:rFonts w:ascii="IRNazanin" w:hAnsi="IRNazanin" w:eastAsia="IRNazanin"/>
          <w:color w:val="111111"/>
          <w:sz w:val="28"/>
          <w:sz w:val="28"/>
          <w:szCs w:val="28"/>
          <w:rtl w:val="true"/>
          <w:lang w:bidi="fa-IR"/>
        </w:rPr>
        <w:t>و أمّا ما أشکل به الاستاذ العراقی قدّس سرّه فی مقالته علی مسلک الکفایة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العمدة فی وجه الاشکال أنه بعد الجزم بحسب الوجدان أنّ فی موارد استعمال الحروف ینسبق إلی الذهن النسب المخصوصة أو الابتداء الخاص مثلا بخصوصیاتها التفصیلیة، لا مجال لاستفادة ذلک من مفهوم النسبة أو الابتداء الملحوظ مرآة، إلخ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خصوصیة للابتداء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البصرة، فلا یمکن ادعاء کون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طبیعة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یخفی أن هذه الخصوصیة إنما جاءت من الطرفین، کما أن کل واحد من الطرفین یکتسی الخصوصیة من النسبة الحاصلة بینهما المحکیة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أن ذلک لا یخرج السیر عن کون مفاده هو کلی السیر، فکذلک لا یخرج الابتداء المستفاد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کون مفاده هو کلی الابتداء، أما استفادة الخصوصیة مما هو تحت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ممنوع أشد المنع، و إلّا لکانت هذه الخصوصیة جاریة فی لفظ الابتداء فی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 من البصرة حسن،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هذا الاشکال لو تم فانما هو إشکال علی دعوی کونه کلیا، و هو وارد علی مسلک صاحب المقالة قدّس سرّه فی المعنی الحرفی فیما مرّ نقله، فراجع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بل المتعین إسقاط اللحاظ الآلی من مسلک الکفایة، و إبداله</w:t>
      </w:r>
    </w:p>
    <w:p>
      <w:pPr>
        <w:pStyle w:val="BookText"/>
        <w:rPr/>
      </w:pPr>
      <w:r>
        <w:rPr>
          <w:rFonts w:ascii="IRNazanin" w:hAnsi="IRNazanin" w:eastAsia="IRNazanin"/>
          <w:color w:val="111111"/>
          <w:sz w:val="28"/>
          <w:sz w:val="28"/>
          <w:szCs w:val="28"/>
          <w:rtl w:val="true"/>
          <w:lang w:bidi="fa-IR"/>
        </w:rPr>
        <w:t>بلحاظ المعنی الحرفی رابطا بین الاسمین، لئلا ینقض بالعناوین المأخوذة معرّفات، و هو أولی من التعبیر بلحاظه حالة لغیره لانتقاضه بالمصادر، لأن الملحوظ فیها جهة الانتساب، و ذلک ملازم لأخذها حالة للفاعل، و إن أمکن الجواب عنه بأن أخذها مطروّة لجهة الانتساب لیس هو عبارة عن لحاظها حالة لفاعلها و لا أنه ملازم لذلک، و 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الأولی هو التعبیر بلحاظ الرابطیة، أعنی لحاظها عبارة عن النسبة بما أنها نسبة متقومة فی الذهن و الخارج بین المنتسبین، لا بما أنها حاصلة فی الذهن بنفسها و إن کانت فی الخارج متقومة بینهما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أیّ حال، أن هذه الملاحظة لا تکون دخیلة فی الموضوع له و لا فی المستعمل فیه، فلا فرق بین ما یحکیه لفظ النسبة و الربط و بین ما یحکیه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لفظ الهیئة، فی کون الموضوع له و المستعمل فیه هو نفس النسبة و الربط، غیر أنّه عند أدائه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لفظ الهیئة یکون ملحوظا بما أنه رابط بین المنتسبین، و عند أدائه بلفظ الربط أو بلفظ النسبة أو بلفظ الابتداء یکون ملحوظا فی حد نفسه، و إن کان هو فی الواقع رابطا بینهما، لکن هذا اللحاظ حاصل عند الاستعمال و غیر دخیل فی الموضوع له و لا فی المستعمل فیه، و مع ذلک لا یصح استعمال أحدهما فی مورد الآخر، لعدم وضعه له فی ذلک الحال علی ما عرفت من مقتضی تقید الوضع و اشتراطه، و هذا إنما یتم فی الحروف المتضمنة للنسب و الربط مثل حروف الجر و الهیئات دون الحروف الایجادیة مثل إن و أخواتها و همزة الاستفهام و أخواتها و یا الندائیة و أخواتها، و کذلک ما تکفل الاشارة الذهنیة مثل حرف التعریف و الموصولات أو الاشارة الخارجیة مثل لفظ هذا و أخواتها، و کذلک ما تکفل العرض و التنبیه و الردع و ما یعبّر عنه بأسماء</w:t>
      </w:r>
      <w:bookmarkStart w:id="276" w:name="pg19834_212138"/>
    </w:p>
    <w:p>
      <w:pPr>
        <w:pStyle w:val="BookText"/>
        <w:rPr/>
      </w:pPr>
      <w:bookmarkEnd w:id="276"/>
      <w:r>
        <w:rPr>
          <w:rFonts w:ascii="IRNazanin" w:hAnsi="IRNazanin" w:eastAsia="IRNazanin"/>
          <w:color w:val="111111"/>
          <w:sz w:val="28"/>
          <w:sz w:val="28"/>
          <w:szCs w:val="28"/>
          <w:rtl w:val="true"/>
          <w:lang w:bidi="fa-IR"/>
        </w:rPr>
        <w:t xml:space="preserve">الأفعال إلی غیر ذلک من الأدوات الایجادیة، بل لعل ذلک جار فی صیغ الأمر و النهی مثل افعل و لا تفعل، فإن جمیع ذلک لا یکون للحکایة بل للایجاد، نعم فیما یکون مشترکا بین الاخبار و الانشاء مثل قولک تقوم و تقعد، و مثل بعت و آجرت، و مثل أنت حر و هند طالق، و مثل أترجی و أتمنی، إلی غیر ذلک ممّا یصح استعماله فی مقام الانشاء کما یصح استعماله فی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فإن مفاد هذه الهیئات فی هذه المقامات لا یکون إلّا من قبیل حکایة الربط بین المادة و فاعلها، غیر أنّه إن کان بداعی الاعلام کان إخبارا، و إن کان بداعی التحریک و البعث إلی نفس تلک النسب المحکیة بتلک الهیئات یکون إنشاء</w:t>
      </w:r>
      <w:r>
        <w:rPr>
          <w:rFonts w:eastAsia="IRNazanin" w:cs="IRNazanin"/>
          <w:color w:val="111111"/>
          <w:sz w:val="28"/>
          <w:szCs w:val="28"/>
          <w:rtl w:val="true"/>
          <w:lang w:bidi="fa-IR"/>
        </w:rPr>
        <w:t>.</w:t>
      </w:r>
    </w:p>
    <w:p>
      <w:pPr>
        <w:pStyle w:val="Heading4"/>
        <w:numPr>
          <w:ilvl w:val="3"/>
          <w:numId w:val="1"/>
        </w:numPr>
        <w:rPr/>
      </w:pPr>
      <w:bookmarkStart w:id="277" w:name="__RefHeading___Toc3493625_2314609296"/>
      <w:bookmarkStart w:id="278" w:name="_Toc105"/>
      <w:bookmarkEnd w:id="277"/>
      <w:r>
        <w:rPr>
          <w:rtl w:val="true"/>
        </w:rPr>
        <w:t>[</w:t>
      </w:r>
      <w:r>
        <w:rPr>
          <w:rtl w:val="true"/>
        </w:rPr>
        <w:t>هل أسماء الاشارة موضوعة للذات فی مقام الاشارة أو للاشارة إلی الذات</w:t>
      </w:r>
      <w:bookmarkEnd w:id="278"/>
    </w:p>
    <w:p>
      <w:pPr>
        <w:pStyle w:val="BookText"/>
        <w:rPr/>
      </w:pPr>
      <w:r>
        <w:rPr>
          <w:rFonts w:ascii="IRNazanin" w:hAnsi="IRNazanin" w:eastAsia="IRNazanin"/>
          <w:color w:val="111111"/>
          <w:sz w:val="28"/>
          <w:sz w:val="28"/>
          <w:szCs w:val="28"/>
          <w:rtl w:val="true"/>
          <w:lang w:bidi="fa-IR"/>
        </w:rPr>
        <w:t>ثم إن هاهنا مطلبا لا بأس بالاشارة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اسم الاشارة کهذا مثلا هل هو موضوع للذات فی مقام الاشارة لها، أو أنه موضوع للاشارة إلی الذات، بمعنی أنه موضوع لاحداث الاشارة إلیها و إیجادها کما تحدث الاشارة بفعل الید، من دون فرق بینهما سوی أن ذلک باللسان و هذا إشارة بفعل الید؟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من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زید، هو الثانی، حیث إنا لا ندرک من لفظ هذا إلّا ذلک، أعنی إیجاد الاشارة إلی الذات، و تنبیه السامع إلیها لیلتفت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کونها موضوعة للذات المشار إلیها أو للذات بشرط الاستعمال فی مقام الاشارة، دعوی بلا دلیل، بل الدلیل علی خلافها، حیث إنا عند استعمال هذه اللفظة لا نلتفت إلی الذات إلّا باعتبار کونها متعلقا للاشارة التی تحدث بلفظ هذا، و لو کانت موضوعة للذات لحصل الالتفات</w:t>
      </w:r>
      <w:bookmarkStart w:id="279" w:name="pg19834_212139"/>
    </w:p>
    <w:p>
      <w:pPr>
        <w:pStyle w:val="BookText"/>
        <w:rPr/>
      </w:pPr>
      <w:bookmarkEnd w:id="279"/>
      <w:r>
        <w:rPr>
          <w:rFonts w:ascii="IRNazanin" w:hAnsi="IRNazanin" w:eastAsia="IRNazanin"/>
          <w:color w:val="111111"/>
          <w:sz w:val="28"/>
          <w:sz w:val="28"/>
          <w:szCs w:val="28"/>
          <w:rtl w:val="true"/>
          <w:lang w:bidi="fa-IR"/>
        </w:rPr>
        <w:t>إلیها عند الاستعمال، حیث إن تصور الموضوع له و المستعمل فیه شرط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استعمال تلک اللفظة لا نلتفت إلی الذات، و کذلک عند سماعها، و إنما نلتفت إلیها بواسطة حدوث الاشارة إلیها لا بواسطة إعمال هذه اللفظة فی نفس الذات المشار إلیها، و ذلک دلیل علی عدم وضعها للذات و عدم استعمالها فیها أصلا، و بالجملة هی محدثة للاشارة إلی الذات لا حاکیة عن الذات المشار إلیها، و حینئذ فتکون ممحّضة للجهة الآلیة، فتکون من قبیل الحروف لا الاسماء، و لا تکون لها جهة اسمیة أصلا، فان الملاک فی کون اللفظ اسما حکایته عن معنی مستقل باللحاظ، و کونه وجها لذلک المعنی و عنوانا و قالبا له، و قد عرفت عدم تحقق هذه الجهة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الالتفات إلی الذات متأخرا رتبة عن إحداث الاشارة، لا أنه بواسطة حکایة أداة الاشارة عن تلک الذات، بل بواسطة أن الانسان إذا وجّه إلیه الکلام مقرونا بالاشارة إلی شی‌ء یکون ذلک أعنی نفس الاشارة محرّکا له لأن یلتفت إلی ذلک الشی‌ء و یشاهده لا أنه یتصوره و ینظر إلیه بواسطة هذا اللفظ بأن یکون هذا اللفظ بمنزلة المرآة الحاکیة عن المشار إلیه</w:t>
      </w:r>
      <w:r>
        <w:rPr>
          <w:rFonts w:eastAsia="IRNazanin" w:cs="IRNazanin"/>
          <w:color w:val="111111"/>
          <w:sz w:val="28"/>
          <w:szCs w:val="28"/>
          <w:rtl w:val="true"/>
          <w:lang w:bidi="fa-IR"/>
        </w:rPr>
        <w:t>.</w:t>
      </w:r>
    </w:p>
    <w:p>
      <w:pPr>
        <w:pStyle w:val="Heading4"/>
        <w:numPr>
          <w:ilvl w:val="3"/>
          <w:numId w:val="1"/>
        </w:numPr>
        <w:rPr/>
      </w:pPr>
      <w:bookmarkStart w:id="280" w:name="__RefHeading___Toc3493627_2314609296"/>
      <w:bookmarkStart w:id="281" w:name="_Toc106"/>
      <w:bookmarkEnd w:id="280"/>
      <w:r>
        <w:rPr>
          <w:rtl w:val="true"/>
        </w:rPr>
        <w:t>[</w:t>
      </w:r>
      <w:r>
        <w:rPr>
          <w:rtl w:val="true"/>
        </w:rPr>
        <w:t>دفع الاشکال علی کون أدوات الاشارة حروفا</w:t>
      </w:r>
      <w:r>
        <w:rPr>
          <w:rtl w:val="true"/>
        </w:rPr>
        <w:t>]</w:t>
      </w:r>
      <w:bookmarkEnd w:id="28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الجواب عمّا یرد علی ما ذکرنا من کون أدوات الاشارة حروفا، ما یقال لو کانت حروفا لما صح الاسناد إلیها و الاخبار عنها، فانک بعد أن عرفت ما أشرنا إلیه یتضح لک الجواب عن ذلک، حیث إن الاخبار المذکور إنما هو عن نفس تلک الذات الخارجیة التی یلتفت إلیها السامع بعد الاشارة إلیها بلفظ هذا، فیکون ذلک نحوا من الإلقاء بلا واسطة حاک،</w:t>
      </w:r>
    </w:p>
    <w:p>
      <w:pPr>
        <w:pStyle w:val="BookText"/>
        <w:rPr/>
      </w:pPr>
      <w:r>
        <w:rPr>
          <w:rFonts w:ascii="IRNazanin" w:hAnsi="IRNazanin" w:eastAsia="IRNazanin"/>
          <w:color w:val="111111"/>
          <w:sz w:val="28"/>
          <w:sz w:val="28"/>
          <w:szCs w:val="28"/>
          <w:rtl w:val="true"/>
          <w:lang w:bidi="fa-IR"/>
        </w:rPr>
        <w:t>فإنّه إذا أوجد الإشارة إلی تلک الذات إمّا بأداة الاشارة و إمّا بفعل الید، کان ذلک إلقاء لنفس المعنی لا بواسطة حاک، فإذا ألقی نفس المعنی إلی السامع یلتفت إلیه بنفسه بلا حاجة إلی حاک، و حینئذ یحکم علیه بنفسه، فلا یکون المحکوم علیه إلّا ذلک المعنی الخارجی بلا توسط حکایة أداة الاشارة عنه کی تکون اسما، و هکذا الکلام فی بقیة المبهمات بل جمیع الألفاظ التی اشتهر أنها أسماء متضمنة لمعانی الحروف کأین و متی، فإن مثل أین موضوعة للاستفهام عن المکان لا للمکان فی مقام الاستفهام عنه، بل و هکذا الکلام فی جمیع ما یدعی بناؤه من الأسماء لجهات من الشبه الحرفی، فإن جمیع تلک الجهات راجعة إلی الشبه المعنوی، فالشبه الوضعی فی الضمائر و الشبه الافتقاری فی الموصولات و الشبه الاستعمالی فی أسماء الأفعال کلها تصویر محض، و إلّا ففی الحقیقة أن هذه کلها مشابهة للحرف فی المعنی، لتضمّن الأولین الاشارة المعنویة، و الثالث مفاد الهیئة الذی هو الطلب، فلم یبق من المبنیّات إلّا مثل سحر و أمس و قبل و بعد و المنادی و المحکیات و نحو ذلک، و هذه یمکن القول بأنّها لغة 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مثل تلک الکلمات حروفا مع أنّها تقع مدخولة لحرف الجر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حرف الجر علی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دلیلا علی اسمیته، حیث إنّ حرف الخفض إنما هو داخل فی الحقیقة علی نفس المعنی الخارجی المشار إلیه،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کان مثل لفظ فی مختصّا بالأسماء لأنّها تلاحظ تبعا للحاظ المدخول، فلا بد أن یکون المدخول ملحوظا مستقلا لیکون مفاد الحرف ملحوظا تبعا له، و المفروض</w:t>
      </w:r>
    </w:p>
    <w:p>
      <w:pPr>
        <w:pStyle w:val="BookText"/>
        <w:rPr/>
      </w:pPr>
      <w:r>
        <w:rPr>
          <w:rFonts w:ascii="IRNazanin" w:hAnsi="IRNazanin" w:eastAsia="IRNazanin"/>
          <w:color w:val="111111"/>
          <w:sz w:val="28"/>
          <w:sz w:val="28"/>
          <w:szCs w:val="28"/>
          <w:rtl w:val="true"/>
          <w:lang w:bidi="fa-IR"/>
        </w:rPr>
        <w:t>أن معنی لفظ فی إنّما یفضی إلی ذلک المعنی الخارجی، و حینئذ فلا یبقی أثر سوی المدخول اللفظی الصوری و هو لا إشکال فیه کما نشاهد فیما لو توسط بین الجار و المجرور حرف النفی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حروف الجر إنّما اختصّت بالدخول علی الأسماء من جهة أنّها تدل أو 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 فی معنی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ربطا بین الاسمین أو بین الفعل و الاسم، و حینئذ فلا بد أن یکون مدخولها مستقلا لیکون أحد طرفی هذا الربط، فإذا کان أحد طرفی هذا الربط هو ذلک المعنی الخارجی، کان هو الذی یفضی إلیه و یرتبط بما قبل ذلک الحرف أو بعده، و لمّا لم یمکن ابتداء إدخال لفظ الحرف علی نفس الذات المشار إلیها مثلا، جعل الواسطة فی حمل معنی حرف الجر إلی تلک الذات هو أداة الاشارة، فالمدخول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الذی یرتبط به 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 الشخص الخارجی المشار إلیه، و إنما کان إدخال الحرف علی أداة الاشارة لمجرد کونه واسطة فی حمل معناه إلی الذات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المطلب و ان کان مستغربا إلّا أنّه لا ینبغی الاعراض عنه لمجرّد ذلک بعد أن ساعده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وقعت هذه الشبهة فی ذهنی القاصر من زمان قدیم، و لکنی حسبتها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مخالفتها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البدیهة، و لم تزل تخالجنی حتی الآن، فلمّا لم أقدر علی دفعها إلی الآن أحببت رسمها هنا، فإن کانت حقیقة فنعم المطلوب، و إلّا ففائدة کتابتها هی أن تحلّها أنت أیها الناظر الخبیر و الناقد البصیر، و اللّه سبحانه و تعالی هو الموفق و المستعان و هو نعم المعین و نعم النصیر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بناء علی ما أفاده شیخنا قدّس سرّه </w:t>
      </w:r>
      <w:r>
        <w:rPr>
          <w:rStyle w:val="FootnoteAnchor"/>
          <w:rtl w:val="true"/>
        </w:rPr>
        <w:footnoteReference w:id="303"/>
      </w:r>
      <w:r>
        <w:rPr>
          <w:rFonts w:ascii="IRNazanin" w:hAnsi="IRNazanin" w:eastAsia="IRNazanin"/>
          <w:color w:val="111111"/>
          <w:sz w:val="28"/>
          <w:sz w:val="28"/>
          <w:szCs w:val="28"/>
          <w:rtl w:val="true"/>
          <w:lang w:bidi="fa-IR"/>
        </w:rPr>
        <w:t>من أن النسبة التی توجدها الهیئة</w:t>
      </w:r>
    </w:p>
    <w:p>
      <w:pPr>
        <w:pStyle w:val="BookText"/>
        <w:rPr/>
      </w:pPr>
      <w:r>
        <w:rPr>
          <w:rFonts w:ascii="IRNazanin" w:hAnsi="IRNazanin" w:eastAsia="IRNazanin"/>
          <w:color w:val="111111"/>
          <w:sz w:val="28"/>
          <w:sz w:val="28"/>
          <w:szCs w:val="28"/>
          <w:rtl w:val="true"/>
          <w:lang w:bidi="fa-IR"/>
        </w:rPr>
        <w:t>أو الحرف إنما هی النسبة بین مفهومی الاسمین المنتسب أحدهما إلی الآخر لا بین المحکیین بذینک الاسمین، لا یتم ما ذکرناه فی هذا المقام، کما لا یتم ما سیأتی من إلقاء اللفظ و الحکم علیه باعتبار شخص ذلک الملقی مثل زید لفظ إذا أردت به شخص ذلک اللفظ الملقی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التخلص من هذا الاشکال، بأنّ ذلک أعنی کون الحرف أو الهیئة موجدا للنسبة بین المفهومین إنما هو فی خصوص ما لو کان کل من لفظ المنسوب و المنسوب إلیه حاکیا، أما لو کان المنسوب إلیه ملقی بنفسه فالحرف أو الهیئة تکون أیضا موجدة للنسبة، غایته أن النسبة تکون بین مفهوم المنسوب و واقع المنسوب إلیه لا مفهوم المنسوب إلیه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یمکن المناقشة فیما أفاده قدّس سرّه من کون النسبة واقعة بین المفهومین الحاکیین و أنّها لا تسری إلی المحکیین، لامکان أن یقال إن ما توقعه الهیئة من نسبة الضرب إلی زید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و ما یوجد الحرف من نسبة الماء إلی الکوز علی جهة الظرفیة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فی الکوز، لا یکون مقصورا علی مفهوم الضرب و مفهوم زید أو مفهوم الماء و مفهوم الکوز، بل إنّ تلک النسبة ساریة من المفهومین إلی المحکیین، فإنّ ما فی الخارج و ان کان هو مجرّد الضرب و زید و الماء و الکوز، إلّا أنّ کون ذلک الضرب الخارجی صادرا من زید، و کون ذلک الماء الخارجی حاصلا فی الکوز، من الامور الواقعیة المتحققة واقعا فی صقعها الاعتباری، و إن لم یکن الخارج ظرفا لوجودها، بل هی من حدود ذلک الموجود الخارجی الذی طرأ علی الضرب و زید و الماء و الکوز، و 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الامور من المقولات، أعنی مقولة الفعل و مقولة الأین و متی و نحوها من المقولات، و نفس النسبة و الاضافة التی هی القدر الجامع بین المقولات</w:t>
      </w:r>
      <w:bookmarkStart w:id="282" w:name="pg19834_212143"/>
    </w:p>
    <w:p>
      <w:pPr>
        <w:pStyle w:val="BookText"/>
        <w:rPr/>
      </w:pPr>
      <w:bookmarkEnd w:id="282"/>
      <w:r>
        <w:rPr>
          <w:rFonts w:ascii="IRNazanin" w:hAnsi="IRNazanin" w:eastAsia="IRNazanin"/>
          <w:color w:val="111111"/>
          <w:sz w:val="28"/>
          <w:sz w:val="28"/>
          <w:szCs w:val="28"/>
          <w:rtl w:val="true"/>
          <w:lang w:bidi="fa-IR"/>
        </w:rPr>
        <w:t xml:space="preserve">الإضافیة لا بد أن تکون هی الجامع بین تلک المقولات الخاصة، فلا بد أن یکون لها تحقق فی وعائها الاعتباری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3493629_2314609296"/>
      <w:bookmarkStart w:id="284" w:name="_Toc107"/>
      <w:bookmarkEnd w:id="283"/>
      <w:r>
        <w:rPr>
          <w:rtl w:val="true"/>
        </w:rPr>
        <w:t>[</w:t>
      </w:r>
      <w:r>
        <w:rPr>
          <w:rtl w:val="true"/>
        </w:rPr>
        <w:t>دفع المنافاة بین إیجادیة الحروف للنسبة و اتصافها بالصدق و الکذب</w:t>
      </w:r>
      <w:bookmarkEnd w:id="28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منافاة بین کون المعانی الحرفیة إیجادیة، و أن تکون للنسبة الحقیقیة واقعیة و خارجیة، قد تطابق النسبة الکلامیة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مفاد الهیئة و نحوها من الحروف النسبیّة هو إیجاد النسبة بین المفهومین، فلا مورد فیها حینئذ للصدق و الکذب، و یکون جعل النسبة بینهما کجعل التمنی و الترجّی عاریا عن الحکایة عن الواقع التی هی أعنی الحکایة عن الواقع هی المناط فی الصدق و الکذب، فإنّ الصدق</w:t>
      </w:r>
    </w:p>
    <w:p>
      <w:pPr>
        <w:pStyle w:val="BookText"/>
        <w:rPr/>
      </w:pPr>
      <w:r>
        <w:rPr>
          <w:rFonts w:ascii="IRNazanin" w:hAnsi="IRNazanin" w:eastAsia="IRNazanin"/>
          <w:color w:val="111111"/>
          <w:sz w:val="28"/>
          <w:sz w:val="28"/>
          <w:szCs w:val="28"/>
          <w:rtl w:val="true"/>
          <w:lang w:bidi="fa-IR"/>
        </w:rPr>
        <w:t>هو مطابقة الحکایة للواقع المحکی و الکذب هو عدم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منافاة بین کون الهیئة لایجاد النسبة و بین الاتصاف بالصدق و الکذب، فإنّ المنافی لکون الهیئة إیجادیة هو کون ما تفیده مفهوما کلیا منطبقا علی الواقع انطباق الکلی علی الفرد، لیکون حاصل القضیة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کاتب، مؤلفا من ثلاثة مفاهیم، مفهوم الانسان المنطبق علی واقعه، و مفهوم الکاتب المنطبق علی واقعه، و مفهوم الهیئة المنطبق علی واقع النسبة، و هذا هو المراد من انطباق الکلی علی الفرد یعنی انطباق المفهوم الذهنی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القضیة کذلک لاحتاجت هذه المفاهیم الثلاثة إلی رابط بینها، و حینئذ ننقل الکلام إلی ذلک الرابط و یعود محذور الحکایة أو الایجاد، و إنّما قلنا إنّه لا منافاة بین کون الهیئة لایجاد النسبة و بین الاتصاف بالصدق و الکذب، لأنّ هذا الذی توجده الهیئة أعنی الربط الذهنی بین المفهومین، هو مثال للربط الواقعی بینها، و هو المعبّر عنه بالوجود الظلی لواقع النسبة، فهذا الوجود الذهنی المثالی أو الظلی إن طابق النسبة الواقعیة کانت القضیة صادقة، و إن لم یطابقها کانت القضیة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المطابقة لیست من مطابقة الکلی للفرد کما عرفت من مطابقة مفهوم الانسان لواقعه، بل هی من قبیل مطابقة أحد الفردین للآخر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الواقع و إن کان الموجود فیه هو السیر و البصرة، إلّا أنّ السیر قد وجد علی نحو خاص، و هو کون مبدئه البصرة و منتهاه الکوفة، فنحن عند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من البصرة إلی الکوفة، نکون قد خلقنا للسیر الذهنی ابتداء و انتهاء علی حذو ما فی الواقع، و إذا صحّ لنا ذلک لم یبق إلّا مجرّد صحة تسمیة هذا الخلق حاکیا عما فی الواقع و عدم</w:t>
      </w:r>
      <w:bookmarkStart w:id="285" w:name="pg19834_212145"/>
    </w:p>
    <w:p>
      <w:pPr>
        <w:pStyle w:val="BookText"/>
        <w:rPr/>
      </w:pPr>
      <w:bookmarkEnd w:id="285"/>
      <w:r>
        <w:rPr>
          <w:rFonts w:ascii="IRNazanin" w:hAnsi="IRNazanin" w:eastAsia="IRNazanin"/>
          <w:color w:val="111111"/>
          <w:sz w:val="28"/>
          <w:sz w:val="28"/>
          <w:szCs w:val="28"/>
          <w:rtl w:val="true"/>
          <w:lang w:bidi="fa-IR"/>
        </w:rPr>
        <w:t>تسمیته، و قد عرفت فی حقیقة الوضع أنّ أصله هو هذا النحو من الخلق و الایجاد، أعنی إیجاد المعنی بایجاد هذا اللفظ علی وجه یتخیّل الواضع أعنی المخترع الأول أنه أوجد المعنی بایجاد مثله و خلق مناسبه، فهل یخرج ذلک الاختراع بأول وجوده عن کون اللفظ حاکیا عن المعنی حکایة المثل عن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تتم أجزاء القضیة اللفظیة و الذهنیة و هی الموضوع و المحمول و النسبة، و یکون مجموع هذه القضیة اللفظیة أو هاتیک القضیة الذهنیة وجودا مثالیا للقضیة الواقعیة التی هی عبارة عن واقع السیر و البصرة و النسبة الابتدائیة بینهما، فإن کان إیجاد و خلق فهو منطبق علی مجموع القضیة، و إن کان حکایة و لو بالمماثل فهو أیضا منطبق علی مجموعها و لا خصوصیة لمفاد الهیئة فی ذلک، و لعلّ النزاع یعود لفظیا، فلاحظ و تأمل</w:t>
      </w:r>
      <w:r>
        <w:rPr>
          <w:rFonts w:eastAsia="IRNazanin" w:cs="IRNazanin"/>
          <w:color w:val="111111"/>
          <w:sz w:val="28"/>
          <w:szCs w:val="28"/>
          <w:rtl w:val="true"/>
          <w:lang w:bidi="fa-IR"/>
        </w:rPr>
        <w:t>.</w:t>
      </w:r>
    </w:p>
    <w:p>
      <w:pPr>
        <w:pStyle w:val="Heading4"/>
        <w:numPr>
          <w:ilvl w:val="3"/>
          <w:numId w:val="1"/>
        </w:numPr>
        <w:rPr/>
      </w:pPr>
      <w:bookmarkStart w:id="286" w:name="__RefHeading___Toc3493631_2314609296"/>
      <w:bookmarkStart w:id="287" w:name="_Toc108"/>
      <w:bookmarkEnd w:id="286"/>
      <w:r>
        <w:rPr>
          <w:rtl w:val="true"/>
        </w:rPr>
        <w:t>[</w:t>
      </w:r>
      <w:r>
        <w:rPr>
          <w:rtl w:val="true"/>
        </w:rPr>
        <w:t>الکلام فی إمکان اجتماع النقیضین فی الذهن</w:t>
      </w:r>
      <w:bookmarkEnd w:id="28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کما یمتنع حقیقة اجتماع النقیضین، کذلک یمتنع حضور مفهومه فی الذهن أیضا، بداهة عدم إمکان تصور الوجود و العدم فی آن واحد، بل ینتزع العقل مفهوم الاجتماع من اجتماع زید و عمرو مثلا، ثم یتصور کلا من الوجود و العدم و یضیف مفهوم الاجتماع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الوجود و العدم بالقیاس إلی فعل واحد کما لا یمکن اجتماعهما فی الخارج فکذلک لا یمکن اجتماعهما فی الذهن، بمعنی أنّه لا یعقل أن یکون الشی‌ء موجودا فی الذهن و معدوما فیه، و هذا واضح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الکلام فی تصور مفهوم اجتماعهما لا فی واقع اجتماعهما،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تصور مفهوم الاجتماع طارئا علی الوجود و العدم الخارجیین فذلک لا ینبغی الاشکال فی إمکانه، فإنّ باب التصور واسع، فلا مانع من أن تتصور اجتماع قیام زید فی الخارج و عدمه فی الخارج، و یکون تصور هذا المفهوم أعنی مفهوم الاجتماع حاکیا عن واقع غیر واقع بل هو محال، فإنّ تصوّر المحال لیس بمحال، و لا یتوقف ذلک علی أن یتصور الاجتماع بین زید و عمرو ثم یتصور وجود القیام و یتصور عدمه فی الخارج، ثم یضیف مفهوم الاجتماع الذی تصوره بین زید و عمرو إلی القیام و عدمه، بل إنّ ذلک محال، لأن ذلک المفهوم الموجود فی ذهنه من اقتران زید و عمرو لا یعقل أن یطرأ علی القیام و عدمه، بل هو وجود آخر فی الذهن لمفهوم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معقولیته عاد محذور اجتماع القیام و عدمه فی الذهن،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کله یظهر لک التأمل فیما نقله عن الشیخ الرئیس </w:t>
      </w:r>
      <w:r>
        <w:rPr>
          <w:rStyle w:val="FootnoteAnchor"/>
          <w:rtl w:val="true"/>
        </w:rPr>
        <w:footnoteReference w:id="307"/>
      </w:r>
      <w:r>
        <w:rPr>
          <w:rFonts w:ascii="IRNazanin" w:hAnsi="IRNazanin" w:eastAsia="IRNazanin"/>
          <w:color w:val="111111"/>
          <w:sz w:val="28"/>
          <w:sz w:val="28"/>
          <w:szCs w:val="28"/>
          <w:rtl w:val="true"/>
          <w:lang w:bidi="fa-IR"/>
        </w:rPr>
        <w:t>من أنّه کما یمتنع الممتنعات بحسب الوجود الخارجی کذلک بحسب الوجود الذهنی أیضا</w:t>
      </w:r>
      <w:r>
        <w:rPr>
          <w:rStyle w:val="FootnoteAnchor"/>
          <w:rtl w:val="true"/>
        </w:rPr>
        <w:footnoteReference w:id="308"/>
      </w:r>
      <w:r>
        <w:rPr>
          <w:rFonts w:ascii="IRNazanin" w:hAnsi="IRNazanin" w:eastAsia="IRNazanin"/>
          <w:color w:val="111111"/>
          <w:sz w:val="28"/>
          <w:sz w:val="28"/>
          <w:szCs w:val="28"/>
          <w:rtl w:val="true"/>
          <w:lang w:bidi="fa-IR"/>
        </w:rPr>
        <w:t>لما عرفت من أن الامتناع فی الخارج لا یوجب الامتناع فی الذهن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تصور مفهوم الاجتماع طارئا علی الوجود و العدم الذهنیین، بمعنی أن وجود زید فی الذهن مناقض لعدمه فیه، و نحن نتصور الاجتماع الطارئ علی هذین النقیضین، فالظاهر أنه لا مانع منه، إذ لا مانع من تصور هذا الاجتماع الطارئ علی المتناقضین ذهنا، فانّ تصور اجتماع</w:t>
      </w:r>
      <w:bookmarkStart w:id="288" w:name="pg19834_212147"/>
    </w:p>
    <w:p>
      <w:pPr>
        <w:pStyle w:val="BookText"/>
        <w:rPr/>
      </w:pPr>
      <w:bookmarkEnd w:id="288"/>
      <w:r>
        <w:rPr>
          <w:rFonts w:ascii="IRNazanin" w:hAnsi="IRNazanin" w:eastAsia="IRNazanin"/>
          <w:color w:val="111111"/>
          <w:sz w:val="28"/>
          <w:sz w:val="28"/>
          <w:szCs w:val="28"/>
          <w:rtl w:val="true"/>
          <w:lang w:bidi="fa-IR"/>
        </w:rPr>
        <w:t>المتناقضین ذهنا لیس هو عین اجتماعهما فی الذهن، و المحال إنما هو نفس اجتماعهما فی الذهن لا تصور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یکون وجوده فی الذهن محالا یستحیل تصوره، إذ لیس تصوره إلّا وجوده فی الذهن، و هل یکون اجتماع المتناقضین ذهنا من هذا القبیل، بمعنی کون وجود الاجتماع محالا فی الذهن، و حینئذ یمتنع تصوره، إذ لیس تصوره إلا وجوده فی الذهن، و المفروض أنّ وجوده فی الذهن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الأمر کذلک فلا یصلحه أخذ مفهوم الاجتماع فیما بین زید و عمرو و تصوره طارئا علی المتناقضین ذهنا، فانه لا یخرج بذلک عن وجود اجتماعهما فی الذهن المفروض کونه محالا، فتأمل</w:t>
      </w:r>
      <w:r>
        <w:rPr>
          <w:rFonts w:eastAsia="IRNazanin" w:cs="IRNazanin"/>
          <w:color w:val="111111"/>
          <w:sz w:val="28"/>
          <w:szCs w:val="28"/>
          <w:rtl w:val="true"/>
          <w:lang w:bidi="fa-IR"/>
        </w:rPr>
        <w:t>.</w:t>
      </w:r>
    </w:p>
    <w:p>
      <w:pPr>
        <w:pStyle w:val="Heading4"/>
        <w:numPr>
          <w:ilvl w:val="3"/>
          <w:numId w:val="1"/>
        </w:numPr>
        <w:rPr/>
      </w:pPr>
      <w:bookmarkStart w:id="289" w:name="__RefHeading___Toc3493633_2314609296"/>
      <w:bookmarkStart w:id="290" w:name="_Toc109"/>
      <w:bookmarkEnd w:id="289"/>
      <w:r>
        <w:rPr>
          <w:rtl w:val="true"/>
        </w:rPr>
        <w:t>[</w:t>
      </w:r>
      <w:r>
        <w:rPr>
          <w:rtl w:val="true"/>
        </w:rPr>
        <w:t>کون المعنی الحرفی غیر ملتفت إلیه حال الاستعمال بخلاف المعنی الاسمی</w:t>
      </w:r>
      <w:bookmarkEnd w:id="29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الرکن الرابع إنّ المعنی الحرفی حاله حال الألفاظ حین استعمالها، فکما أن المستعمل حین الاستعمال لا یری إلّا المعنی، و غیر ملتفت إلی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المعنی الحرفی غیر ملتفت إلیه حال الاستعمال، بل الملتفت إلیه هی المعانی الاسمیة الاستقلالیة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3493635_2314609296"/>
      <w:bookmarkStart w:id="292" w:name="_Toc110"/>
      <w:bookmarkEnd w:id="291"/>
      <w:r>
        <w:rPr>
          <w:rtl w:val="true"/>
        </w:rPr>
        <w:t>[</w:t>
      </w:r>
      <w:r>
        <w:rPr>
          <w:rtl w:val="true"/>
        </w:rPr>
        <w:t>کون النظر إلی اللفظ</w:t>
      </w:r>
      <w:r>
        <w:rPr>
          <w:rtl w:val="true"/>
        </w:rPr>
        <w:t xml:space="preserve">- </w:t>
      </w:r>
      <w:r>
        <w:rPr>
          <w:rtl w:val="true"/>
        </w:rPr>
        <w:t>حتی لفظ الحروف</w:t>
      </w:r>
      <w:r>
        <w:rPr>
          <w:rtl w:val="true"/>
        </w:rPr>
        <w:t xml:space="preserve">- </w:t>
      </w:r>
      <w:r>
        <w:rPr>
          <w:rtl w:val="true"/>
        </w:rPr>
        <w:t>آلیا</w:t>
      </w:r>
      <w:r>
        <w:rPr>
          <w:rtl w:val="true"/>
        </w:rPr>
        <w:t>]</w:t>
      </w:r>
      <w:bookmarkEnd w:id="292"/>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الی الألفاظ فی مقام استعمالها فی معانیها إنّما هو نظر آلی، و انما المنظور إلیه حقیقة هو المعانی، فکذلک المعانی الحرفیة بالنسبة إلی المعانی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هل ألفاظ الحروف کذلک؟ بمعنی أنّ المنظور إلیه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معناها و لو النسبة الایجادیة، أو أن ألفاظ الحروف خارجة عن القاعدة فی الألفاظ؟</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سبیل إلی الثانی فیتعیّن الاول، و حینئذ 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فی</w:t>
      </w:r>
      <w:bookmarkStart w:id="293" w:name="pg19834_212148"/>
    </w:p>
    <w:p>
      <w:pPr>
        <w:pStyle w:val="BookText"/>
        <w:rPr/>
      </w:pPr>
      <w:bookmarkEnd w:id="293"/>
      <w:r>
        <w:rPr>
          <w:rFonts w:ascii="IRNazanin" w:hAnsi="IRNazanin" w:eastAsia="IRNazanin"/>
          <w:color w:val="111111"/>
          <w:sz w:val="28"/>
          <w:sz w:val="28"/>
          <w:szCs w:val="28"/>
          <w:rtl w:val="true"/>
          <w:lang w:bidi="fa-IR"/>
        </w:rPr>
        <w:t xml:space="preserve">إیجاد النسبة الابتدائیة بین السیر و البصرة، و یکون المنظور إلیه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إیجاد النسبة المذکورة، و لا یکون النظر الی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نظرا آلیا، و حینئذ فلو ضممنا إلی ذلک أنّ النظر إلی المعنی الحرفی آلی بالنسبة إلی المعنی الاسمی، کان الحاصل أنّ النظر إلی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 بالنسبة إلی مفادها الذی هو إیجاد النسبة، و مع ذلک یکون النظر إلی مفادها آلیا أیضا بالنسبة إلی المعنی الاسمی، فهناک انتقال من آلة إلی آلة ثم إلی المستقل و هو المعنی الاسمی، فهل الأمر کذلک؟</w:t>
      </w:r>
    </w:p>
    <w:p>
      <w:pPr>
        <w:pStyle w:val="Heading4"/>
        <w:numPr>
          <w:ilvl w:val="3"/>
          <w:numId w:val="1"/>
        </w:numPr>
        <w:rPr/>
      </w:pPr>
      <w:bookmarkStart w:id="294" w:name="__RefHeading___Toc3493637_2314609296"/>
      <w:bookmarkStart w:id="295" w:name="_Toc111"/>
      <w:bookmarkEnd w:id="294"/>
      <w:r>
        <w:rPr>
          <w:rtl w:val="true"/>
        </w:rPr>
        <w:t>[</w:t>
      </w:r>
      <w:r>
        <w:rPr>
          <w:rtl w:val="true"/>
        </w:rPr>
        <w:t>المناقشة فی کون المعنی الحرفی آلة بالنسبة إلی معنی الاسمی</w:t>
      </w:r>
      <w:bookmarkEnd w:id="29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کون اللفظ آلة بالنسبة إلی المعنی واضح، لکونه آلة فی إحضاره فی ذهن السامع، فیکون النظر إلی اللفظ فی ذلک المقام مندکا فی النظر إلی المعنی، و یکون المنظور الحقیقی هو نفس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کون نفس المعنی الحرفی آلة بالنسبة إلی المعنی الاسمی </w:t>
      </w:r>
      <w:r>
        <w:rPr>
          <w:rStyle w:val="FootnoteAnchor"/>
          <w:rtl w:val="true"/>
        </w:rPr>
        <w:footnoteReference w:id="310"/>
      </w:r>
      <w:r>
        <w:rPr>
          <w:rFonts w:ascii="IRNazanin" w:hAnsi="IRNazanin" w:eastAsia="IRNazanin"/>
          <w:color w:val="111111"/>
          <w:sz w:val="28"/>
          <w:sz w:val="28"/>
          <w:szCs w:val="28"/>
          <w:rtl w:val="true"/>
          <w:lang w:bidi="fa-IR"/>
        </w:rPr>
        <w:t xml:space="preserve">، ففیه خفاء، إذ لیس معنی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فی احضار 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معناها و هو النسبة الایجادیة قائم فی الذهن بین مفهومی الاسمین أعنی السیر و البصرة، و هو فی الذهن من أطوارهما کما أنه فی الواقع من أطوار وجودهما، و یکون الحاصل أن معناها متقوم بین مفهومین لا أنه مفهوم مستقل، فیکون معناها بمنزلة الآلة لفهم ما بین المفهومین من النسبة، فان کان المراد من الآلیة هو هذا المعنی فلا مشاحة فی الاصطلاح، إلّا أنه لیس علی وتیرة آلیة الألفاظ بالنسبة إلی معانیها، بل هو طور آخر لا یولّد اندکاک النظر إلی الآلة فی النظر إلی ذیها، علی وجه یکون النظر إلی الآلة مغفولا عنه و غیر ملتفت إلیه فی جنب النظر إلی ذی الآلة و الالتفات إلیه</w:t>
      </w:r>
      <w:r>
        <w:rPr>
          <w:rFonts w:eastAsia="IRNazanin" w:cs="IRNazanin"/>
          <w:color w:val="111111"/>
          <w:sz w:val="28"/>
          <w:szCs w:val="28"/>
          <w:rtl w:val="true"/>
          <w:lang w:bidi="fa-IR"/>
        </w:rPr>
        <w:t>.</w:t>
      </w:r>
      <w:bookmarkStart w:id="296" w:name="pg19834_212149"/>
    </w:p>
    <w:p>
      <w:pPr>
        <w:pStyle w:val="BookText"/>
        <w:rPr/>
      </w:pPr>
      <w:bookmarkEnd w:id="296"/>
      <w:r>
        <w:rPr>
          <w:rFonts w:ascii="IRNazanin" w:hAnsi="IRNazanin" w:eastAsia="IRNazanin"/>
          <w:color w:val="111111"/>
          <w:sz w:val="28"/>
          <w:sz w:val="28"/>
          <w:szCs w:val="28"/>
          <w:rtl w:val="true"/>
          <w:lang w:bidi="fa-IR"/>
        </w:rPr>
        <w:t>و من ذلک یظهر لک التأمل فیما أضافه المرحوم الشیخ محمد علی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انه لم یکن للمعنی الحرفی موطن غیر الاستعمال، فلا بد من أن یکون غیر ملتفت إلیه و مغفولا عنه حین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سبق الالتفات إلی ما لا وجود له إلّا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لئن قال قائل إن المعنی الحرفی إذا کان إیجادیا کان ذلک أدعی لأن یکون ملتفتا إلیه، لأنه حینئذ یکون من الأفعال الاختیاریة للمستعمل، لم یکن قوله بعیدا</w:t>
      </w:r>
      <w:r>
        <w:rPr>
          <w:rFonts w:eastAsia="IRNazanin" w:cs="IRNazanin"/>
          <w:color w:val="111111"/>
          <w:sz w:val="28"/>
          <w:szCs w:val="28"/>
          <w:rtl w:val="true"/>
          <w:lang w:bidi="fa-IR"/>
        </w:rPr>
        <w:t>.</w:t>
      </w:r>
    </w:p>
    <w:p>
      <w:pPr>
        <w:pStyle w:val="Heading4"/>
        <w:numPr>
          <w:ilvl w:val="3"/>
          <w:numId w:val="1"/>
        </w:numPr>
        <w:rPr/>
      </w:pPr>
      <w:bookmarkStart w:id="297" w:name="__RefHeading___Toc3493639_2314609296"/>
      <w:bookmarkStart w:id="298" w:name="_Toc112"/>
      <w:bookmarkEnd w:id="297"/>
      <w:r>
        <w:rPr>
          <w:rtl w:val="true"/>
        </w:rPr>
        <w:t>[</w:t>
      </w:r>
      <w:r>
        <w:rPr>
          <w:rtl w:val="true"/>
        </w:rPr>
        <w:t>البرهان علی کون المعنی الحرفی منظورا إلیه استقلالا و المناقشة فیه</w:t>
      </w:r>
      <w:bookmarkEnd w:id="298"/>
    </w:p>
    <w:p>
      <w:pPr>
        <w:pStyle w:val="BookText"/>
        <w:rPr/>
      </w:pPr>
      <w:r>
        <w:rPr>
          <w:rFonts w:ascii="IRNazanin" w:hAnsi="IRNazanin" w:eastAsia="IRNazanin"/>
          <w:color w:val="111111"/>
          <w:sz w:val="28"/>
          <w:sz w:val="28"/>
          <w:szCs w:val="28"/>
          <w:rtl w:val="true"/>
          <w:lang w:bidi="fa-IR"/>
        </w:rPr>
        <w:t>نعم دعوی کون المعنی الحرفی منظورا إلیه استقلالا ببرهان أنّه یقع موردا للسؤال و الجواب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سألک عن کیفیة رکوب زید مع العلم بأصل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الدابة أو مع الأمیر، لا تخلو من مغالطة، إذ لیس السؤال و لا الجواب متعلقا بالمعنی الحرفی بما أنه معنی حرفی، بل هما متعلقان بالمعنی الاسمی و أخذ ذلک الربط ملحوظا استقلالا، فهو علی وتیرة قولک أیّ نسبة بین السیر و البصرة، فهل هی نسبة ابتداء أو هی نسبة انتهاء أو هی نسبة الظرفیة؟ و جواب الأول سار من البصرة، و جواب الثانی سار الی البصرة، و جواب الثالث سار فی البصرة، أما السؤال عن محل نزوله، فتقول فی دار زید، فلا ربط له بما نحن فیه، فان السؤال و الجواب منصبّان علی مدخول لفظة فی، و لا دخل لهما بنفس مفاد لفظة فی</w:t>
      </w:r>
      <w:r>
        <w:rPr>
          <w:rFonts w:eastAsia="IRNazanin" w:cs="IRNazanin"/>
          <w:color w:val="111111"/>
          <w:sz w:val="28"/>
          <w:szCs w:val="28"/>
          <w:rtl w:val="true"/>
          <w:lang w:bidi="fa-IR"/>
        </w:rPr>
        <w:t>.</w:t>
      </w:r>
    </w:p>
    <w:p>
      <w:pPr>
        <w:pStyle w:val="Heading4"/>
        <w:numPr>
          <w:ilvl w:val="3"/>
          <w:numId w:val="1"/>
        </w:numPr>
        <w:rPr/>
      </w:pPr>
      <w:bookmarkStart w:id="299" w:name="__RefHeading___Toc3493641_2314609296"/>
      <w:bookmarkStart w:id="300" w:name="_Toc113"/>
      <w:bookmarkEnd w:id="299"/>
      <w:r>
        <w:rPr>
          <w:rtl w:val="true"/>
        </w:rPr>
        <w:t>[</w:t>
      </w:r>
      <w:r>
        <w:rPr>
          <w:rtl w:val="true"/>
        </w:rPr>
        <w:t>نقد کلام السید الخوئی قدّس سرّه فی المعنی الحرفی</w:t>
      </w:r>
      <w:bookmarkEnd w:id="30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القول بأنّ معانی الحروف قیود المعانی الاسمیة کما فی حواشی التقریر عن شیخنا قدّس سرّه </w:t>
      </w:r>
      <w:r>
        <w:rPr>
          <w:rStyle w:val="FootnoteAnchor"/>
          <w:rtl w:val="true"/>
        </w:rPr>
        <w:footnoteReference w:id="312"/>
      </w:r>
      <w:r>
        <w:rPr>
          <w:rFonts w:ascii="IRNazanin" w:hAnsi="IRNazanin" w:eastAsia="IRNazanin"/>
          <w:color w:val="111111"/>
          <w:sz w:val="28"/>
          <w:sz w:val="28"/>
          <w:szCs w:val="28"/>
          <w:rtl w:val="true"/>
          <w:lang w:bidi="fa-IR"/>
        </w:rPr>
        <w:t xml:space="preserve">فان کان المراد بذلک أنّ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یقیّد السیر بالبصرة و یربطه بها، فیکون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النسبة التقییدیة</w:t>
      </w:r>
    </w:p>
    <w:p>
      <w:pPr>
        <w:pStyle w:val="BookText"/>
        <w:rPr/>
      </w:pPr>
      <w:r>
        <w:rPr>
          <w:rFonts w:ascii="IRNazanin" w:hAnsi="IRNazanin" w:eastAsia="IRNazanin"/>
          <w:color w:val="111111"/>
          <w:sz w:val="28"/>
          <w:sz w:val="28"/>
          <w:szCs w:val="28"/>
          <w:rtl w:val="true"/>
          <w:lang w:bidi="fa-IR"/>
        </w:rPr>
        <w:t xml:space="preserve">بینهما، لم یکن مفاد الحرف قیدا بل کان القید مدخوله، و کان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النسبة التقییدیة، فلم یخرج عما أفاده شیخنا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المراد هو کون السیر مقیدا بکونه من البصرة، بمعنی أنّه مقیّد بأنّ مبدأه البصرة و منتهاه الکوفة، عاد الحرف اسما و کنا محتاجین إلی لفظ یدل علی نسبة ذلک القید الی ذلک المقید، فتعود مشکلة الحرف المتضمّن لتلک النسبة التقییدیة بین السیر و بین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القید أعنی الابتداء</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کون مفاد الهیئات تقیید المفاهیم الاسمیة کما یظهر من الحاشیة المزبورة، لعله ممّا لا یرجع إلی محصّل خصوصا فی النسب التامة الاخباریة، و أما النسب الناقصة التقییدیة فهی إنّما تکون بین القید و المقید و هما اسمان، و مفاد الهیئة فیهما هو ربط أحدهما بالآخر علی جهة التقیید، فیکون حالها حال النسب التامة، غیر أنّ الناقصة تکون فی طی النسبة التامة، و إلّا فالکل نسب بین المفاهیم الاسمیة، و لأجل ذلک قالوا إن الأوصاف قبل العلم بها أخبار کما أنّ الأخبار بعد العلم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مثّل به لذلک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المسجد حکمها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فلیس قولک فی المسجد متعلقا بالصلاة لیکون علی نحو الظرف اللغو، بل هو متعلق بمحذوف و یکون من الظرف المستقر، و یکون الحاصل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الموجودة فی المسجد حکمها کذا، فیکون القید هو الکون فی المسجد و یکون حاله حال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العادل حکمه کذا، و بذلک تتکوّن هیئة بین الموصوف و الصفة، و هذه هی التی مفادها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الکلام فیما تفیده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بین الاستقرار و المسجد، و هی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بمنزلة</w:t>
      </w:r>
      <w:bookmarkStart w:id="301" w:name="pg19834_212151"/>
    </w:p>
    <w:p>
      <w:pPr>
        <w:pStyle w:val="BookText"/>
        <w:rPr/>
      </w:pPr>
      <w:bookmarkEnd w:id="301"/>
      <w:r>
        <w:rPr>
          <w:rFonts w:ascii="IRNazanin" w:hAnsi="IRNazanin" w:eastAsia="IRNazanin"/>
          <w:color w:val="111111"/>
          <w:sz w:val="28"/>
          <w:sz w:val="28"/>
          <w:szCs w:val="28"/>
          <w:rtl w:val="true"/>
          <w:lang w:bidi="fa-IR"/>
        </w:rPr>
        <w:t>توسطها بین القیام أو الضرب و المسجد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فی المسجد أو ضربت فی المسجد فی إفادتها الظرفیة بین الحدث و المکان، و لا یکون مفادها تقیید الضرب أو القیام بکونه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کون مفاد الهیئة و الحروف قیودا کانت هناک نسبة تقییدیة بین المقید و هو المعنی الاسمی و القید و هو مفاد الحرف أو الهیئة، و لا بد لهذه النسبة التقییدیة من دال یدل علیها، فأین هذا الدال علی هذه النسبة؟</w:t>
      </w:r>
    </w:p>
    <w:p>
      <w:pPr>
        <w:pStyle w:val="BookText"/>
        <w:rPr/>
      </w:pPr>
      <w:r>
        <w:rPr>
          <w:rFonts w:ascii="IRNazanin" w:hAnsi="IRNazanin" w:eastAsia="IRNazanin"/>
          <w:color w:val="111111"/>
          <w:sz w:val="28"/>
          <w:sz w:val="28"/>
          <w:szCs w:val="28"/>
          <w:rtl w:val="true"/>
          <w:lang w:bidi="fa-IR"/>
        </w:rPr>
        <w:t>و لو سلّم وجوده کان أیضا قیدا و مقیدا، لأن هذا الدّال أیضا یدل علی النسبة و النسبة تکون قیدا علی رأی المشکل، فتتکون نسبة تقییدیة اخری و هکذا إلی ما لا نهایة</w:t>
      </w:r>
      <w:r>
        <w:rPr>
          <w:rFonts w:eastAsia="IRNazanin" w:cs="IRNazanin"/>
          <w:color w:val="111111"/>
          <w:sz w:val="28"/>
          <w:szCs w:val="28"/>
          <w:rtl w:val="true"/>
          <w:lang w:bidi="fa-IR"/>
        </w:rPr>
        <w:t>.</w:t>
      </w:r>
    </w:p>
    <w:p>
      <w:pPr>
        <w:pStyle w:val="Heading4"/>
        <w:numPr>
          <w:ilvl w:val="3"/>
          <w:numId w:val="1"/>
        </w:numPr>
        <w:rPr/>
      </w:pPr>
      <w:bookmarkStart w:id="302" w:name="__RefHeading___Toc3493643_2314609296"/>
      <w:bookmarkStart w:id="303" w:name="_Toc114"/>
      <w:bookmarkEnd w:id="302"/>
      <w:r>
        <w:rPr>
          <w:rtl w:val="true"/>
        </w:rPr>
        <w:t>[</w:t>
      </w:r>
      <w:r>
        <w:rPr>
          <w:rtl w:val="true"/>
        </w:rPr>
        <w:t>مقالة المحقق العراقی فی حقیقة المعنی الحرفی و نقده</w:t>
      </w:r>
      <w:bookmarkEnd w:id="303"/>
    </w:p>
    <w:p>
      <w:pPr>
        <w:pStyle w:val="BookText"/>
        <w:rPr/>
      </w:pPr>
      <w:r>
        <w:rPr>
          <w:rFonts w:ascii="IRNazanin" w:hAnsi="IRNazanin" w:eastAsia="IRNazanin"/>
          <w:color w:val="111111"/>
          <w:sz w:val="28"/>
          <w:sz w:val="28"/>
          <w:szCs w:val="28"/>
          <w:rtl w:val="true"/>
          <w:lang w:bidi="fa-IR"/>
        </w:rPr>
        <w:t>قال الاستاذ العراقی فی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التحقیق فی حقیقة المعانی الحرفیة کونها عبارة عن النسب و الارتباطات القائمة بالمعانی المستقلة بالمفهومیة، علی اختلاف النسب و الارتباطات، من النسب الابتدائیة و الاستعلائیة و الظرفیّة و غیرها، فحینئذ معنی عدم استقلالها بالمفهومیة عدم استقلال ذات المفهوم المجامع مع الاستقلال فی عالم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أنّه بعد ما ظهر سنخ المعانی الحرفیة، یبقی الکلام فی أنّ الحروف هل هی دالة علی مثل هذه المعانی و منبئة عنها کانباء الأسماء عن معانیها، أو أنّها موجدة لها و کانت من قبیل الوسائط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الثبوت لها، کی تکون کیفیة استعمالها علی خلاف استعمال الأسماء؟ اختار ذلک بعض الأعاظم من المعاصرین، و لعلّ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استفدناه من بعض تقریرات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مفاهیم الأسماء بعد ما لم یوجد فیها جهة الارتباط إلی الغیر، فلا جرم کانت عاریة عن الارتباط المزبور فی عالم الذهن، و حینئذ أین الارتباط فی البین کی یکون اللفظ حاکیا عنه، فلا محیص إلا من الالتزام بکون اللفظ موجدا للارتباط بین المفهومین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افید کذلک لو کانت المعانی الاسمیة الموضوعة للماهیّة المهملة موجودة فی الذهن بوصف عرائها عن التقیید و التجرّد المساوق للاطلاق، و إلا فبناء علی التحقیق من استحالة تحقق المعنی اللابشرط المقسمی فی الذهن إلا بشکل التجرد أو بشکل التقیّد، فعند إرادة المقیّد لا بد و أن یکون المعنی الحاضر فی ذهن المتکلم واجدا للتقیید، و بعد ذا یحکی المتکلم عن ذات الماهیة المحفوظة فی المقید بالاسم و عن تقیدها بالحرف کما یحکی عن تجرّدها المساوق لاطلاقها المسمّی باللابشرط القسمی بدال آخر و لو مثل مقدمات الحکمة، و إلا فجهة الاطلاق کجهة التقیید زائدة عن ذات المعنی الاسمی، فیلزم أن تکون مقدمات الحکمة ایضا موجدة لاطلاق المعنی لا حاکیة عنه، و لا أظن أن یلتزمه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الحاکی عن التقیید کالحاکی عن الاطلاق بدال آخر لا بأسباب موجدة اخری کما لا یخفی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منه الالتزام بکون المعانی الحرفیة قیودا فی المعانی الاسمیة و مع ذلک قد صدّر کلامه بأنها للنسب، فلا بد أن یکون القید هو مدخول الحرف لا الحرف نفسه، و إلا لم یکن مفاد الحرف هو النسبة و الارتباط</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الاطلاق الثابت بمقدمات الحکمة لیس هو من</w:t>
      </w:r>
    </w:p>
    <w:p>
      <w:pPr>
        <w:pStyle w:val="BookText"/>
        <w:rPr/>
      </w:pPr>
      <w:r>
        <w:rPr>
          <w:rFonts w:ascii="IRNazanin" w:hAnsi="IRNazanin" w:eastAsia="IRNazanin"/>
          <w:color w:val="111111"/>
          <w:sz w:val="28"/>
          <w:sz w:val="28"/>
          <w:szCs w:val="28"/>
          <w:rtl w:val="true"/>
          <w:lang w:bidi="fa-IR"/>
        </w:rPr>
        <w:t>اللابشرط القسمی، بل الظاهر أنه من الماهیة بشرط شی‌ء و هو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الماهیة لا بشرط القسمی فهو ذات الماهیة غیر ملحوظ فیها الاطلاق و لا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فالظاهر أنّ إشکاله مبنی علی استحالة وجود اللابشرط المقسمی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أنّ هذا الاشکال لا ینحصر بالمعنی الحرفی و لا بکونه موجدا، بل هو جار فی جمیع أنحاء التقییدات، حتی فی مثل تقیید الرجل بالعالم فی مثل جاءنی الرجل العالم فضلا عن التقییدات الحرفیة فضلا عن کونها إیجادیة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دفع به الاشکال من أن الحاضر فی ذهن المتکلم هو المقید، و بعد ذلک یحکی المتکلم عن ذات الماهیة المحفوظة فی المقید بالاسم و عن تقیده بالحرف، لا یخلو عن تأمل، إذ السؤال باق، فانّ المتکلم و إن تصور الرجل العالم قبل النطق، إلا أنّه عند الجری فی النطق لو وصل إلی لفظة رجل هل ینطق بها بلا تصور أو أنّه تصور نفس الماهیة اللابشرط المقسمی ثم یقیدها بعالم؟ لا سبیل إلی الاول و المتعیّن هو الثانی، کما هو صریح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ذا یحکی المتکلم عن ذات الماهیة المحفوظة فی المقید بالاسم و عن تقیده بالحرف، فان حکایة الاسم لذات الماهیة المحفوظة فی المقید عبارة عن کون لفظ الاسم موجبا لاحضار نفس الماهیة التی هی لا بشرط المقسمی بناء علی ما أفاده، أو هی الماهیة اللابشرط القسمی علی ما مر تقریبه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احتمال أنه عند نطقه بالرجل لا یتصور إلا الرجل المقید بالعالم فیکون قد أعمل لفظ الرجل فی الرجل العالم و جعل لفظ العالم قرینة علی ذلک، فلا ریب فی بطلانه، و أقل ما یلزم علیه هو کون لفظ الرجل مجازا</w:t>
      </w:r>
    </w:p>
    <w:p>
      <w:pPr>
        <w:pStyle w:val="BookText"/>
        <w:rPr/>
      </w:pPr>
      <w:r>
        <w:rPr>
          <w:rFonts w:ascii="IRNazanin" w:hAnsi="IRNazanin" w:eastAsia="IRNazanin"/>
          <w:color w:val="111111"/>
          <w:sz w:val="28"/>
          <w:sz w:val="28"/>
          <w:szCs w:val="28"/>
          <w:rtl w:val="true"/>
          <w:lang w:bidi="fa-IR"/>
        </w:rPr>
        <w:t>و کون لفظة العالم خالیة من کل معنی سوی کونها علامة علی ذلک، و حاصل ذلک هو جعل القید و المقید من قبیل وحدة المدلول و تعدد الدّال، و هذا غیر معقول بالنسبة إلی الدلالة التصوریة، إذ لا یکون ذلک إلا من قبیل تعدد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صحّ ذلک فی ناحیة المتکلم فهو لا یصحّ بالنسبة إلی السامع، إذ لا ریب فی أنه عند سماعه هذه الجملة و وصول المتکلم إلی لفظة رجل قبل أن یلحقه بلفظة العالم، لا یفهم من لفظ الرجل و لا یحضر فی ذهنه إلا نفس معنی الرجل معرّی عن الاطلاق و التقیید، ثم بعد سماع لفظة العالم یطرأ التقیید علی ذلک الحاضر فی ذهنه، و هکذا الحال فی الحروف فیما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من البصرة حسن، من دون فرق فی ذلک بین کون معنی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إیجادیا أو کونه من قبیل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لک الجواب عمّا قرره عن درسه المقرّر</w:t>
      </w:r>
      <w:r>
        <w:rPr>
          <w:rStyle w:val="FootnoteAnchor"/>
          <w:rtl w:val="true"/>
        </w:rPr>
        <w:footnoteReference w:id="315"/>
      </w:r>
      <w:r>
        <w:rPr>
          <w:rFonts w:ascii="IRNazanin" w:hAnsi="IRNazanin" w:eastAsia="IRNazanin"/>
          <w:color w:val="111111"/>
          <w:sz w:val="28"/>
          <w:sz w:val="28"/>
          <w:szCs w:val="28"/>
          <w:rtl w:val="true"/>
          <w:lang w:bidi="fa-IR"/>
        </w:rPr>
        <w:t>،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إنما تتصرف فی الدلالة التصدیقیة و لا دخل لها بالدلالة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الحال </w:t>
      </w:r>
      <w:r>
        <w:rPr>
          <w:rStyle w:val="FootnoteAnchor"/>
          <w:rtl w:val="true"/>
        </w:rPr>
        <w:footnoteReference w:id="316"/>
      </w:r>
      <w:r>
        <w:rPr>
          <w:rFonts w:ascii="IRNazanin" w:hAnsi="IRNazanin" w:eastAsia="IRNazanin"/>
          <w:color w:val="111111"/>
          <w:sz w:val="28"/>
          <w:sz w:val="28"/>
          <w:szCs w:val="28"/>
          <w:rtl w:val="true"/>
          <w:lang w:bidi="fa-IR"/>
        </w:rPr>
        <w:t>فی مقدمات الحکمة فانها إنما تتصرف فی ذلک المقام أعنی مقام الدلالة التصدیقیة، و حاصل مفاد القید أو مفاد الاطلاق و مقدمات الحکمة هو أنّ الذی یریده المتکلم من هذا المعنی الذی أحضره اللفظ فی ذهن السامع هو خصوص الواجد للقید الفلانی، أو أن مراده هو المطلق الجامع بین الفاقد و الواجد، فلاحظ و تأمل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الذی حررناه من الفرق بین الدلالة التصوریة و الدلالة التصدیقیة یظهر التأمل فیما ربما یقال من أنّ الکلام اللفظی إبراز لما فی</w:t>
      </w:r>
      <w:bookmarkStart w:id="304" w:name="pg19834_212155"/>
    </w:p>
    <w:p>
      <w:pPr>
        <w:pStyle w:val="BookText"/>
        <w:rPr/>
      </w:pPr>
      <w:bookmarkEnd w:id="304"/>
      <w:r>
        <w:rPr>
          <w:rFonts w:ascii="IRNazanin" w:hAnsi="IRNazanin" w:eastAsia="IRNazanin"/>
          <w:color w:val="111111"/>
          <w:sz w:val="28"/>
          <w:sz w:val="28"/>
          <w:szCs w:val="28"/>
          <w:rtl w:val="true"/>
          <w:lang w:bidi="fa-IR"/>
        </w:rPr>
        <w:t>صقع النفس من المعانی الاسمیة و الحرفیة و ارتباط بعضها ببعض، فانّ ما فی صقع النفس لا ربط له بالدلالة التصوریة المتدرجة فی الکلام اللفظی التی هی عبارة عن کون کل لفظ یوجب تصور معناه عند سماعه، فلاحظ</w:t>
      </w:r>
      <w:r>
        <w:rPr>
          <w:rFonts w:eastAsia="IRNazanin" w:cs="IRNazanin"/>
          <w:color w:val="111111"/>
          <w:sz w:val="28"/>
          <w:szCs w:val="28"/>
          <w:rtl w:val="true"/>
          <w:lang w:bidi="fa-IR"/>
        </w:rPr>
        <w:t>.</w:t>
      </w:r>
    </w:p>
    <w:p>
      <w:pPr>
        <w:pStyle w:val="Heading4"/>
        <w:numPr>
          <w:ilvl w:val="3"/>
          <w:numId w:val="1"/>
        </w:numPr>
        <w:rPr/>
      </w:pPr>
      <w:bookmarkStart w:id="305" w:name="__RefHeading___Toc3493645_2314609296"/>
      <w:bookmarkStart w:id="306" w:name="_Toc115"/>
      <w:bookmarkEnd w:id="305"/>
      <w:r>
        <w:rPr>
          <w:rtl w:val="true"/>
        </w:rPr>
        <w:t>[</w:t>
      </w:r>
      <w:r>
        <w:rPr>
          <w:rtl w:val="true"/>
        </w:rPr>
        <w:t>نقل کلام صاحب الحاشیة قدّس سرّه فی المعنی الحرفی</w:t>
      </w:r>
      <w:bookmarkEnd w:id="306"/>
    </w:p>
    <w:p>
      <w:pPr>
        <w:pStyle w:val="BookText"/>
        <w:rPr/>
      </w:pPr>
      <w:r>
        <w:rPr>
          <w:rFonts w:ascii="IRNazanin" w:hAnsi="IRNazanin" w:eastAsia="IRNazanin"/>
          <w:color w:val="111111"/>
          <w:sz w:val="28"/>
          <w:sz w:val="28"/>
          <w:szCs w:val="28"/>
          <w:rtl w:val="true"/>
          <w:lang w:bidi="fa-IR"/>
        </w:rPr>
        <w:t>ثم إنّه فی المقالة تعرّض لما عن صاحب الحاشیة</w:t>
      </w:r>
      <w:r>
        <w:rPr>
          <w:rStyle w:val="FootnoteAnchor"/>
          <w:rtl w:val="true"/>
        </w:rPr>
        <w:footnoteReference w:id="31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 توهم آخر من التفصیل فی موجدیة المعنی الحرفی بین بعض الحروف عن بعض، نظرا إلی توهم کون بعض الحروف موجدة للنسب الخاصة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أداة النداء و التمنی و التّرجی و أمثالها فی قبال سائر الحروف الحاکیة عن نسب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فرض تسلیم إیقاعیة مفاهیم هذه الألفاظ کما سیأتی توضیحها، لا یقتضی ذلک أیضا کون اللفظ موجدا، بل اللفظ أیضا حاک عن ایقاع هذه النسب، و حینئذ لنا أن ندعی أنّ الحروف بقول مطلق حاکیات عن النسب ثبوتا أم إثباتا کما صرح به فی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تقریر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فالتحقیق أن المستعمل فیه فی التمنی هی النسبة الخاصة بین المتمنی و المتمنی، أعنی بها تشوّق المتمنی إلی حصول ما لا طمع له بحصوله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صاحب الحاشیة قدّس سرّه حسبما هو المنقول عنه لا یری أنّ هذه الحروف للنسب بل هی عنده لایجاد معنی التمنی، و إنّما جلّ همّ الاستاذ العراقی قدّس سرّه هو إبطال کونها لایجاد معناها الذی هو التمنی و الترجی و جعلها کسائر الحروف النسبیة فی دلالتها علی النسب الخاصة، و لأجل</w:t>
      </w:r>
    </w:p>
    <w:p>
      <w:pPr>
        <w:pStyle w:val="BookText"/>
        <w:rPr/>
      </w:pPr>
      <w:r>
        <w:rPr>
          <w:rFonts w:ascii="IRNazanin" w:hAnsi="IRNazanin" w:eastAsia="IRNazanin"/>
          <w:color w:val="111111"/>
          <w:sz w:val="28"/>
          <w:sz w:val="28"/>
          <w:szCs w:val="28"/>
          <w:rtl w:val="true"/>
          <w:lang w:bidi="fa-IR"/>
        </w:rPr>
        <w:t>ذلک قال فی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اللفظ أیضا حاک عن إیقاع هذه النسب، و حینئذ فلا یحسن قوله فی حکایة ما عن الحاشیة کون بعض الحروف موجدة للنسب،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النسبة مقرره بأنها عبارة عن التمنی الواقع بین المتمنی و المتمنی أعنی بها تشوق المتمنی، إلخ، فکأنه یدعی کونها للنسب بواسطة أنّ مفادها هو وقوع التمنی و هو نسبة بین المتمنی و المتمنی، و لم أتوفق للوجه فی کونه نسبة إلّا کالوجه فی کون الضرب نسبة بین الضارب و المضروب، أو کون الاعطاء نسبة بین المعطی و المعطی، و هکذا الحال فی کل فعل متعدّ إلی مفعول به فانّه یکون نسبة بین الفاعل و المفعول به، و إلّا فأیّ معنی للبرهان علی أنّ مفاد لیت هو النسبة بأنّ نفس التمنی نسبة بین المتمنی و المتمنی،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فالتمنی صفة قائمة بنفس المتمنی، لکن لیس تلک الصفة هی مفاد لیت باعتبار کونها إبرازا لها کما یدّعی ذلک فی باقی الانشائیات فی کونها إبرازا لما هو فی النفس، و الّا لعاد الانشاء إخبارا عما فی النفس</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تلک الصفة القائمة بالنفس تکون داعیة لایجاد التمنی و إیقاعه علی نسبة الحضور الی زید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زیدا حاضر،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وضعت لهذه الجهة أعنی إیجاد التمنی و ایقاعه علی النسبة بین المحمول و المحمول علیه، و لیست هی موضوعة للتمنی فی مقام إیجاده و ایقاعه علی النسبة، و إلّا لکانت اسما لا حرفا کما شرحناه فی مفاد أسماء الاشارة و نحوها من الأدوات المدعی کونها أسماء متضمّنة لمعانی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یعود الی تفصیل صاحب الحاشیة فی الجزء الثانی من تفصیله أعنی دعوی الایجاد فی بعض المعانی الحرفیة فی قبال مسلک</w:t>
      </w:r>
    </w:p>
    <w:p>
      <w:pPr>
        <w:pStyle w:val="BookText"/>
        <w:rPr/>
      </w:pPr>
      <w:r>
        <w:rPr>
          <w:rFonts w:ascii="IRNazanin" w:hAnsi="IRNazanin" w:eastAsia="IRNazanin"/>
          <w:color w:val="111111"/>
          <w:sz w:val="28"/>
          <w:sz w:val="28"/>
          <w:szCs w:val="28"/>
          <w:rtl w:val="true"/>
          <w:lang w:bidi="fa-IR"/>
        </w:rPr>
        <w:t>الاستاذ العراقی فی دعوی الحکایة فی جمیع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یعود إلی الجزء الأول من تفصیله، أعنی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w:t>
      </w:r>
      <w:r>
        <w:rPr>
          <w:rStyle w:val="FootnoteAnchor"/>
          <w:rtl w:val="true"/>
        </w:rPr>
        <w:footnoteReference w:id="320"/>
      </w:r>
      <w:r>
        <w:rPr>
          <w:rFonts w:ascii="IRNazanin" w:hAnsi="IRNazanin" w:eastAsia="IRNazanin"/>
          <w:color w:val="111111"/>
          <w:sz w:val="28"/>
          <w:sz w:val="28"/>
          <w:szCs w:val="28"/>
          <w:rtl w:val="true"/>
          <w:lang w:bidi="fa-IR"/>
        </w:rPr>
        <w:t>مفاد أدوات النسب من الهیئات و حروف الجر هو الحکایة لا الایجاد، فهو قبال مسلک شیخنا قدّس سرّه فی دعوی کونها إیجادیة کغیرها من الحروف، غایته أنها تکون لایجاد النسبة بین مفهومی الاسمین، فقد تقدم الکلام علیه فی المقدمة الثانیة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ما أفاده شیخنا قدّس سرّه فی ذلک هو کون الارتباط الذی توجده أداة النسبة بین المفهومین هو مماثل لما بینهما فی الواقع من الارتباط الواقعی، و عن هذا التماثل ینتزع الصدق و الکذب، فان کان هذا الربط الایجادی بین المفهومین علی وتیرة ذلک الارتباط الواقعی بین واقع الاسمین، کانت القضیة صادقة و إلّا کانت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الداعی من إیجاد ذلک الربط هو إیجاد مماثل ذلک الارتباط الواقعی لینتزع منه الاخبار و الاتصاف بالصدق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یکن الغرض من إیجاد ذلک الربط بین المفهومین إلّا خلق الارتباط الواقعی بینهما، لم تکن القضیة خبریة، بل کانت إنشائیة لا تتصف بالصدق و الکذب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الفرق بین بعت الاخباریة و بعت الانشائیة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الارتباط الواقعی بین مادة البیع و بین المتکلم إن کان سابقا فی الرتبة علی إیجاده الربط بین نفسه و بین مفهوم البیع، و کان الغرض من إیجاده بینهما هو إیجاد المماثل لذلک الارتباط الواقعی بینهما، لیکون هذا الربط مماثلا لذلک</w:t>
      </w:r>
      <w:bookmarkStart w:id="307" w:name="pg19834_212158"/>
    </w:p>
    <w:p>
      <w:pPr>
        <w:pStyle w:val="BookText"/>
        <w:rPr/>
      </w:pPr>
      <w:bookmarkEnd w:id="307"/>
      <w:r>
        <w:rPr>
          <w:rFonts w:ascii="IRNazanin" w:hAnsi="IRNazanin" w:eastAsia="IRNazanin"/>
          <w:color w:val="111111"/>
          <w:sz w:val="28"/>
          <w:sz w:val="28"/>
          <w:szCs w:val="28"/>
          <w:rtl w:val="true"/>
          <w:lang w:bidi="fa-IR"/>
        </w:rPr>
        <w:t>الارتباط، و یکون الغرض من إیجاده الربط بینهما هو الاخبار عن واقع الارتباط بینهما، کانت القضیة خبریة، و ان کان الأمر بالعکس، بأن کان الارتباط الواقعی بینهما فی طول إیجاد الربط بینهما، بأن یکون الباعث له علی إیجاد الربط بین المفهومین هو إیجاد الارتباط الواقعی بینهما، کانت الجملة إنشائیة، و کان إیجاده الربط بینهما خلقا و تکوینا لارتباط المادة به واقعا و هی البیع، فیکون حاصل ذلک هو أنّ الغرض من إیجاد الربط بینه و بین مفهوم البیع هو إیجاد مادة البیع فی صقعها علی وجه یتحقّق الارتباط الواقعی بینه و بین واقع البیع الذی هو عبارة اخری عن إیجاد البیع و خلقه فی صقعه الذی هو عالم الاعتبار، و هذا جار فی کل مادة قابلة للانوجاد بالایجاد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 آجرت و رهنت، إلی آخر أبواب العقود و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یجری أیضا فی مثل أترجی و أتمنی و ألتمس و أطلب و آمر، بل یجری فی مثل أستفهم و أستعلم و أستخبر، بل یجری فی مثل أدعو، کما لعله هو المراد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 یا رب بلسان أخرسه ذنبه و أوبقه جرمه</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Heading4"/>
        <w:numPr>
          <w:ilvl w:val="3"/>
          <w:numId w:val="1"/>
        </w:numPr>
        <w:rPr/>
      </w:pPr>
      <w:bookmarkStart w:id="308" w:name="__RefHeading___Toc3493647_2314609296"/>
      <w:bookmarkStart w:id="309" w:name="_Toc116"/>
      <w:bookmarkEnd w:id="308"/>
      <w:r>
        <w:rPr>
          <w:rtl w:val="true"/>
        </w:rPr>
        <w:t>[</w:t>
      </w:r>
      <w:r>
        <w:rPr>
          <w:rtl w:val="true"/>
        </w:rPr>
        <w:t>تفسیر و توضیح للروایة المنسوبة إلی علی علیه السّلام فی الحروف</w:t>
      </w:r>
      <w:bookmarkEnd w:id="30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التعریف المذکور فی الروایة الشریفة التی نسبت إلی مولی الکونین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قوله علیه السّلام فی الروایة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 ما أنبأ عن المسمی و الفعل ما أنبأ عن حرکة المسمی و الحرف ما أوجد معنی فی غیره</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علیه السّلام فی الروایة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ما انبأ عن حرکة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w:t>
      </w:r>
    </w:p>
    <w:p>
      <w:pPr>
        <w:pStyle w:val="BookText"/>
        <w:rPr/>
      </w:pPr>
      <w:r>
        <w:rPr>
          <w:rFonts w:ascii="IRNazanin" w:hAnsi="IRNazanin" w:eastAsia="IRNazanin"/>
          <w:color w:val="111111"/>
          <w:sz w:val="28"/>
          <w:sz w:val="28"/>
          <w:szCs w:val="28"/>
          <w:rtl w:val="true"/>
          <w:lang w:bidi="fa-IR"/>
        </w:rPr>
        <w:t>إنّ المراد من المسمی هو المعنی الحدثی، و المراد من حرکته خروجه من القوة إلی الفعل أو من العدم إلی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لا یلائم کون معنی الهیئة إیجادیا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القول بأنّ المراد من الانباء هنا الحکایة أعنی حکایة المثل لمثله علی ما شرحناه </w:t>
      </w:r>
      <w:r>
        <w:rPr>
          <w:rStyle w:val="FootnoteAnchor"/>
          <w:rtl w:val="true"/>
        </w:rPr>
        <w:footnoteReference w:id="325"/>
      </w:r>
      <w:r>
        <w:rPr>
          <w:rFonts w:ascii="IRNazanin" w:hAnsi="IRNazanin" w:eastAsia="IRNazanin"/>
          <w:color w:val="111111"/>
          <w:sz w:val="28"/>
          <w:sz w:val="28"/>
          <w:szCs w:val="28"/>
          <w:rtl w:val="true"/>
          <w:lang w:bidi="fa-IR"/>
        </w:rPr>
        <w:t>فی مفاد الحرف و الهیئة، فهیئة الفعل توجد نسبة إیقاعیة بین مفهوم الحدث و مفهوم الفاعل، و هذه النسبة الایقاعیة باعتبار کونها مماثلة لما فی الواقع من حرکة الحدث و خروجه من العدم إلی الوجود تکون حاکیة لما فی الواقع، و قد عبّر علیه السّلام عن هذه الحکایة المماثلیة بالانباء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شیخنا قدّس سرّه </w:t>
      </w:r>
      <w:r>
        <w:rPr>
          <w:rStyle w:val="FootnoteAnchor"/>
          <w:rtl w:val="true"/>
        </w:rPr>
        <w:footnoteReference w:id="326"/>
      </w:r>
      <w:r>
        <w:rPr>
          <w:rFonts w:ascii="IRNazanin" w:hAnsi="IRNazanin" w:eastAsia="IRNazanin"/>
          <w:color w:val="111111"/>
          <w:sz w:val="28"/>
          <w:sz w:val="28"/>
          <w:szCs w:val="28"/>
          <w:rtl w:val="true"/>
          <w:lang w:bidi="fa-IR"/>
        </w:rPr>
        <w:t>من کون الحرکة هی عبارة عن التحصل للمعنی الحدثی لفظا و معنی، حیث إنه قبل التلبّس بالهیئة لا تحصّل له فی عالم المعانی و لا فی عالم الألفاظ، و هذه الهیئة تخرجه عن ذلک و تجعله متحصلا معنی و لفظا، و حینئذ فیصح أن یقال إنها تنبئ عن الحرکة أعنی خروجه من عدم التحصل إلی التحصّل، و ذلک لا ینافی کونها إیجادیة، فلا یخفی أنّه و ان کان دقیقا إلّا أنّه بعید الارادة فی ذلک الخطاب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بالمسمی هو الفاعل، و حرکته عبارة عن نفس الحدث، أیّ حدث کان، سواء کان من قبیل الحرکات الخارجیة مثل الضرب و القیام و القعود، أو کان من الصفات النفسانیة مثل العلم و الادراک و نحوهما ممّا لا حرکة فیها، لکن اطلق الحرکة هنا بالنظر إلی الغالب تسهیلا</w:t>
      </w:r>
    </w:p>
    <w:p>
      <w:pPr>
        <w:pStyle w:val="BookText"/>
        <w:rPr/>
      </w:pPr>
      <w:r>
        <w:rPr>
          <w:rFonts w:ascii="IRNazanin" w:hAnsi="IRNazanin" w:eastAsia="IRNazanin"/>
          <w:color w:val="111111"/>
          <w:sz w:val="28"/>
          <w:sz w:val="28"/>
          <w:szCs w:val="28"/>
          <w:rtl w:val="true"/>
          <w:lang w:bidi="fa-IR"/>
        </w:rPr>
        <w:t xml:space="preserve">علی السامع، و لیس المراد من الحرکة معناها الاسم المصدری، بل المراد معناها المصدری أعنی التحرک، فهیئة الفعل مثل ضرب زید تربط مفهوم الضرب بمفهوم زید، و هذا الربط یحاکی الربط الخارجی أعنی صدور الضرب من زید المعبّر عنه بحرکته، و بذلک تکون هذه الجملة منبئة عن مماثلها فی الخارج و حاکیة له حکایة المماثل لمماثله، و بهذه العنایة نقول إنّ قوله علیه السّلام فی تعریف الحرف علی الروایة الاخری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أنبأ عن معنی لیس باسم و لا فعل</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یتخرج علی هذه العنایة، بمعنی أنّه یوجد النسبة فیکون حاکیا لما فی الخارج، و ذلک الخارج لیس باسم و لا بفعل، و حینئذ لا یکون منافیا لما ذکرناه من کون معناه إیجادیا،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ذلک یکون الانباء فی هذین أعنی الفعل و الحرف مخالفا له فی الاسم، فانّه فیه إنباء اللفظ عن معناه، و فیهما إنباء المماثل عن مماثله، و لا بأس بذلک، و لعل النکتة هی الجناس الذی ربما رعاه البلیغ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کتاب تاسیس الشیعة لعلوم الاسلام للمرحوم السید حسن الصدر عن الکفعمی فی کتاب مختصر نزهة الالبّاء لابن الانباری، 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علیه السّلام و فی یده رقعة،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الرقعة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تأملت کلام الناس فوجدته قد فسد بمخالطة هذه الحمراء یعنی العجم، فأردت أن أضع لهم شیئا یرجعون إلیه و یعتمدون علیه، ثم ألقی الرقعة و فیها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کله ثلاثة أشیاء</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فالاسم ما أنبأ عن المسمی و الفعل ما انبئ به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الحرف ما جاء 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یا أبا الأسود أنّ الأسماء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مضمر و اسم لا ظاهر و لا مضمر، و إنّما یتفاضل الناس فیما لیس بظاهر و لا مضمر، و أراد بذلک الاسم العلم المبهم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ما وقع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 أخواتها، ما خلا لکن، فلما عرضتها علی علی علیه السّلام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حسبتها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منها فألحقها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هذا انح نحوه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إلیّ صحیفة فیها الکلام کله اسم و فعل و حرف، فالاسم ما دل علی المسمی و الفعل ما دلّ علی حرکة المسمی، و الحرف ما أنبأ عن معنی و لیس باسم و لا فعل، و جعل یزید علی ذلک زیادات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الفرق بین الاسم و الفعل و الحرف ما أشار إلیه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التی رواها فی العوالم عن ابن سلام عن أبی الاسود الدئلی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إلیه رقعة و کان فی الرقعة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فعل و حرف جاء 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ما أنبأ عن المسمی، و الفعل ما أنبأ عن حرکة المسمی، و الحرف ما أوجد معنی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 ما أنبأ عن معنی لیس باسم و لا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نقل بالمعنی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310" w:name="pg19834_212162"/>
    </w:p>
    <w:p>
      <w:pPr>
        <w:pStyle w:val="BookText"/>
        <w:rPr/>
      </w:pPr>
      <w:bookmarkEnd w:id="310"/>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الربط المزبور إنّما هو من جهة دلالتها علی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یرجع إلی 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القائل بکون معانی الحروف إیجادیّة إنّما یقول إنّها موضوعة لإیجاد ذلک المعنی الذی هو النسبة بین المفهومین، لا أنّها موضوعة لمعنی من المعانی و ذلک المعنی الذی تحکیه یکون رابطا بین المفهومین، بل لو کانت کذلک لکان معناها أیضا محتاجا إلی رابط یربطه بذینک المفهومین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فلیس الربط عند القائلین بالإیجاد حاصلا من المعنی الذی یحکیه الحرف، بل الربط إنّما هو مخلوق بایجاد الحرف الذی هو آلة فی إیجاد الربط بینهما</w:t>
      </w:r>
      <w:r>
        <w:rPr>
          <w:rFonts w:eastAsia="IRNazanin" w:cs="IRNazanin"/>
          <w:color w:val="111111"/>
          <w:sz w:val="28"/>
          <w:szCs w:val="28"/>
          <w:rtl w:val="true"/>
          <w:lang w:bidi="fa-IR"/>
        </w:rPr>
        <w:t>.</w:t>
      </w:r>
    </w:p>
    <w:p>
      <w:pPr>
        <w:pStyle w:val="Heading4"/>
        <w:numPr>
          <w:ilvl w:val="3"/>
          <w:numId w:val="1"/>
        </w:numPr>
        <w:rPr/>
      </w:pPr>
      <w:bookmarkStart w:id="311" w:name="__RefHeading___Toc3493649_2314609296"/>
      <w:bookmarkStart w:id="312" w:name="_Toc117"/>
      <w:bookmarkEnd w:id="311"/>
      <w:r>
        <w:rPr>
          <w:rtl w:val="true"/>
        </w:rPr>
        <w:t>[</w:t>
      </w:r>
      <w:r>
        <w:rPr>
          <w:rtl w:val="true"/>
        </w:rPr>
        <w:t>مناقشة السید الخوئی قدّس سرّه فی المعنی الحرفی</w:t>
      </w:r>
      <w:bookmarkEnd w:id="31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الحروف بأجمعها وضعت لتضییقات المعانی الاسمیة و تقییداتها بقیود خارجة عن حقائقها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إنّما هی موضوعة للتضییق، لکن لا من جهة أنّ معناها یضیق، بل من جهة أنّها توجد النسبة التضییقیة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توجد النسبة التقییدیة بین السیر و البصرة، و أن السیر یکون مقیدا بالبصرة علی جهة الابتداء حتی علی القول بأنّها حاکیة عن النسبة، فلیس القید هو نفس مفاد الحرف الذی هو النسبة، و کیف یعقل کون النسبة منسوبة نسبة تقییدیة، بل القید هو مدخول الحرف و ما هو مفاد الحرف هو نفس التقیید، و لأجل ذلک صح أن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فمفاهیمها فی حد ذاتها متعلقات بغیرها</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لأنّ معناها هو النسبة و هی متعلقة بغیر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قلنا إنّ المعنی الحرفی بنفسه یکون قیدا فلا بد أن یکون له مفهوم فی حد نفسه مقابل للمقید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قولک الصلاة فی المسجد حکمها کذا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القید للصلاة لیس هو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لیس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التقیید، أعنی النسبة التقییدیة، و لیس القید إلّا المسجد، فیکون محصله الصلاة المقیدة بالمسجد علی جهة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 أخذنا الظرف لغوا متعلّقا بالصلاة، و أمّا لو أخذناه مستقرا فلیس القید إلّا ثبوتها فی المسجد، و لا بدّ حینئذ من نسبة تقیید بین الصلاة و بین ثبوتها فی المسجد، و المتکفّل لإیجاد تلک النسبة هو الهیئة المتکونة بین الموصوف أعنی لفظ الصلاة و بین الصفة أعنی الثابتة فی المسجد، و یکون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کافلة للنسبة بین الثبوت و المسجد، و من ذلک یظهر الحال فی قوله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القیام لزید ممکن إلخ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المخبر عنه هو الثبوت لا مفاد اللام، و اللام إن علّقناها بالثبوت فهی إنّما توجد أو تحکی النسبة بین الثبوت و بین زید، و هکذا الحال إن علّقناها بالقیام، فانّها توجد أو تحکی النسبة بین القیام و بین زید، و علی أیّ حال لا یکون مفادها القید، و انّما یکون مفادها هو التقیید و یکون القید هو مدخولها، و هکذا الحال لو قلنا بأنّ الجار و المجرور صفة للقیام لیکون ظرفا مستقرا، فإنّ الهیئة المؤلّفة بین قولنا القیام و بین قولنا لزید هی الموجدة أو الحاکیة للنسبة التقییدیة بینهما، و یکون القید هو الاستقرار، و یکون الحاصل القیام الثابت لزید أو المستقر أو الحاصل لزید، و من ذلک یظهر لک الکلام فی باقی الحاشیة</w:t>
      </w:r>
      <w:r>
        <w:rPr>
          <w:rFonts w:eastAsia="IRNazanin" w:cs="IRNazanin"/>
          <w:color w:val="111111"/>
          <w:sz w:val="28"/>
          <w:szCs w:val="28"/>
          <w:rtl w:val="true"/>
          <w:lang w:bidi="fa-IR"/>
        </w:rPr>
        <w:t>.</w:t>
      </w:r>
      <w:bookmarkStart w:id="313" w:name="pg19834_212164"/>
    </w:p>
    <w:p>
      <w:pPr>
        <w:pStyle w:val="BookText"/>
        <w:rPr/>
      </w:pPr>
      <w:bookmarkEnd w:id="313"/>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عرفت </w:t>
      </w:r>
      <w:r>
        <w:rPr>
          <w:rStyle w:val="FootnoteAnchor"/>
          <w:rtl w:val="true"/>
        </w:rPr>
        <w:footnoteReference w:id="337"/>
      </w:r>
      <w:r>
        <w:rPr>
          <w:rFonts w:ascii="IRNazanin" w:hAnsi="IRNazanin" w:eastAsia="IRNazanin"/>
          <w:color w:val="111111"/>
          <w:sz w:val="28"/>
          <w:sz w:val="28"/>
          <w:szCs w:val="28"/>
          <w:rtl w:val="true"/>
          <w:lang w:bidi="fa-IR"/>
        </w:rPr>
        <w:t>الکلام علیه، و أنّه من قبیل الخلط بین مفاد نفس الحرف بما أنّه حرف الذی هو النسبة، و بین لحاظ ذلک المفاد لحاظا مستقلا، کما تقول الابتداء من البصرة حسن،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القبیل هیئات المشتقات و الإضافة و التوصیف و ما یلحق به، فإنّه لا یستفاد منها إلّا التضییق فی عالم المفاهیم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لکن القید لیس هو معنی الهیئة بل مدخولها، و لیس مفاد الهیئة إلا النسبة التقییدیة إیجادا أو حکایة</w:t>
      </w:r>
      <w:r>
        <w:rPr>
          <w:rFonts w:eastAsia="IRNazanin" w:cs="IRNazanin"/>
          <w:color w:val="111111"/>
          <w:sz w:val="28"/>
          <w:szCs w:val="28"/>
          <w:rtl w:val="true"/>
          <w:lang w:bidi="fa-IR"/>
        </w:rPr>
        <w:t>.</w:t>
      </w:r>
    </w:p>
    <w:p>
      <w:pPr>
        <w:pStyle w:val="Heading4"/>
        <w:numPr>
          <w:ilvl w:val="3"/>
          <w:numId w:val="1"/>
        </w:numPr>
        <w:rPr/>
      </w:pPr>
      <w:bookmarkStart w:id="314" w:name="__RefHeading___Toc3493651_2314609296"/>
      <w:bookmarkStart w:id="315" w:name="_Toc118"/>
      <w:bookmarkEnd w:id="314"/>
      <w:r>
        <w:rPr>
          <w:rtl w:val="true"/>
        </w:rPr>
        <w:t>[</w:t>
      </w:r>
      <w:r>
        <w:rPr>
          <w:rtl w:val="true"/>
        </w:rPr>
        <w:t>مناقشة السید الخوئی قدّس سرّه فی وضع هیئة الجملة الاسمیة</w:t>
      </w:r>
      <w:r>
        <w:rPr>
          <w:rtl w:val="true"/>
        </w:rPr>
        <w:t>]</w:t>
      </w:r>
      <w:bookmarkEnd w:id="31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هیئة الجملة الاسمیّة، فهی غیر موضوعة للنسبة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وجود النسبة فی کثیر من الجمل الاسمیة،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ممکن أو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الجملة الخبریّة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کاشفیّة لها عن تحقّق النسبة فی الخارج و لو 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الإیراد لا یتوجّه علی القول بأنّ الهیئة لإیجاد النسبة بین المفهومین، و أمّا القول بأنّها موضوعة للنسبة بینهما و أنّها حاکیة عنها، فلیس المراد بذلک أنّها أمارة علی النسبة، بل المراد أنّها تحکی عن مفهوم النسبة کما یحکی الإسم عن معناه و مفهومه، و من الواضح أنّ ذلک لا ربط له</w:t>
      </w:r>
    </w:p>
    <w:p>
      <w:pPr>
        <w:pStyle w:val="BookText"/>
        <w:rPr/>
      </w:pPr>
      <w:r>
        <w:rPr>
          <w:rFonts w:ascii="IRNazanin" w:hAnsi="IRNazanin" w:eastAsia="IRNazanin"/>
          <w:color w:val="111111"/>
          <w:sz w:val="28"/>
          <w:sz w:val="28"/>
          <w:szCs w:val="28"/>
          <w:rtl w:val="true"/>
          <w:lang w:bidi="fa-IR"/>
        </w:rPr>
        <w:t>بتحقّق المحکی عنه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ممکن إذا لم یکن متضمّنا للنسبة فأیّ شی‌ء یتضمّنه الکلام المذکور، حتی لو قلنا إنّ مفاد الهیئة هو التقیید للمعانی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الجملة الاسمیّة توجب الانتقال إلی ثبوت المحمول للموضوع بنحو التصوّر، لکنّه لا یستفاد من الهیئة؛ فإنّ الجملة تصدیقیّة لا تصوّریّة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کون الهیئة موجبة لتصوّر النسبة هو مراد القائلین بکونها حاکیة عنها؛ فانّ القضیّة التصوریّة مؤلفة عندهم من تصوّر الموضوع و تصوّر المحمول و تصوّر النسبة، و الدّال علی الموضوع هو لفظه، و الدّال علی المحمول هو، و الدال علی النسبة هو مفاد الهیئة،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الدال علی النسبة رابطة و قد استعیر لها لفظة هو، و إنّما قیل و قد استعیر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غفلة عن عدم الاحتیاج إلی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کفایة الهیئة فی الدلالة علی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التصوّر، و أمّا التصدیق فهو الإذعان بتلک النسبة، علی کلام لهم فی تألیف القضیة من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المحمول و النسبة، أو هی مع رابع و هو الحکم المعبّر عنه بالوقوع و اللّاوقوع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علی الأقل مراجعة حاشیة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أنّ مدلول الهیئة فی الجمل الاسمیّة إنّما هو إبراز قصد الحکایة عن ثبوت المحمول للموضوع، أو نفیه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أنّ حاصل الهیئة هو إبراز ما فی النفس من قصد الحکایة، إلّا أنّه ما لم تکن الهیئة موجدة للنسبة التی هی عبارة عن ثبوت المحمول للموضوع، أو تکن حاکیة عنها کحکایة لفظ الموضوع عن ذاته، کیف</w:t>
      </w:r>
    </w:p>
    <w:p>
      <w:pPr>
        <w:pStyle w:val="BookText"/>
        <w:rPr/>
      </w:pPr>
      <w:r>
        <w:rPr>
          <w:rFonts w:ascii="IRNazanin" w:hAnsi="IRNazanin" w:eastAsia="IRNazanin"/>
          <w:color w:val="111111"/>
          <w:sz w:val="28"/>
          <w:sz w:val="28"/>
          <w:szCs w:val="28"/>
          <w:rtl w:val="true"/>
          <w:lang w:bidi="fa-IR"/>
        </w:rPr>
        <w:t>تکون الجملة مبرزة لقصد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أنّ مدلول الهیئة فی الجمل الاسمیة إنّما هو إبراز قصد الحکایة عن ثبوت المحمول للموضوع، أو نفیه عنه، فهو مصداق للمبرز خارجا بالجعل و المواضعة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یکون إبراز قصد الحکایة مدلولا للهیئة، فهل أنّ من جملة معانی الهیئة هو إبراز قصد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الهیئة موضوعة للنسبة أعنی ثبوت المحمول للموضوع، أو أنّها موضوعة لإیجاد النسبة المذکورة بین المفهومین، و یکون فائدة إعمال المتکلم لها فی النسبة أو إلقائها إلی السامعین هو إبراز الحکایة عن تلک النسبة و أنّه قاصد لها، کما أنّ الغرض من وضعها للنسبة أو لإیجاد النسبة هو أنّ التابعین للواضع یعملونها فی معناها، أو أنّهم یوجدون بها النسبة فی مقام إرادة إظهار ما فی ضمائرهم أو ما فی نفوسهم من قصد الحکایة عن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أنّ اللفظ بما أنّه فعل اختیاری صادر من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الجملة بنفسها مصداقا للحکایة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مسلّم، و لکن المعنی الذی وضعت له هیئة الجملة الاسمیّة ما هو؟ هل هو نفس النسبة الواقعیة، أو أنّه وضعها لأن توجد بها النسبة بین المفهومین لتکون وجودا مثالیا عن النسبة الواقعیّة، و علی أیّ یکون الغرض من التکلّم بها هو قصد الحکایة عمّا فی الواقع أو إظهار ما فی النفس من قصد الحکایة عن الواقع، أو أنّها موضوعة لنفس إبراز قصد الحکایة عن الواقع کما فی مواضعة الإشارات، کما یقول الشخص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رفعت</w:t>
      </w:r>
      <w:bookmarkStart w:id="316" w:name="pg19834_212167"/>
    </w:p>
    <w:p>
      <w:pPr>
        <w:pStyle w:val="BookText"/>
        <w:rPr/>
      </w:pPr>
      <w:bookmarkEnd w:id="316"/>
      <w:r>
        <w:rPr>
          <w:rFonts w:ascii="IRNazanin" w:hAnsi="IRNazanin" w:eastAsia="IRNazanin"/>
          <w:color w:val="111111"/>
          <w:sz w:val="28"/>
          <w:sz w:val="28"/>
          <w:szCs w:val="28"/>
          <w:rtl w:val="true"/>
          <w:lang w:bidi="fa-IR"/>
        </w:rPr>
        <w:t>عمامتی فأخرج زیدا من الدار، من دون صلة بین رفع العمامة و الأمر بإخراج زید، فهل تری من نفسک أنّ واضع هیئة الجملة الاسمیّة یقول جعلت هذه الهیئة علامة علی أنّ المتکلّم بها یرید إبراز قصد الحکایة عن ثبوت المحمول للموضوع، من دون أن یضعها للنسبة أو لإیجاد النسبة أو لثبوت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لا یجعل لها معنی أصلا و لا یجعل لها تأثیرا فی ناحیة إیجاد النسبة بین المفهومین، و یقتصر من الجعل علی جعل التکلّم بها علامة علی أنّ الداعی للتکلّم بها هو أنّه قد أبرز قصده الحکایة عن ثبوت النسبة، فیلزمه أن یکون الداعی علی التکلّم باللفظ هو المعنی الموضوع له ذلک اللفظ کما صرّح به فی قوله فیما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من تقدیری الصدق و الکذب یکون دلالة اللفظ علی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الداعی إلی إیجاده هو قصد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نسق واحد، إلخ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مرحلة الداعی إلی الکلام و إثبات أنّ داعیه علی إیجاد الکلام هو إبراز مقصده، و أنّه قاصد للحکایة عن ثبوت النسبة، راجع إلی إثبات الدلالة التصدیقیّة و لا ربط له بما هو محلّ الکلام فی الموضوع له الذی هو المدلول اللفظی الذی هو مرکز الدلالة التصوّریّة</w:t>
      </w:r>
      <w:r>
        <w:rPr>
          <w:rFonts w:eastAsia="IRNazanin" w:cs="IRNazanin"/>
          <w:color w:val="111111"/>
          <w:sz w:val="28"/>
          <w:szCs w:val="28"/>
          <w:rtl w:val="true"/>
          <w:lang w:bidi="fa-IR"/>
        </w:rPr>
        <w:t>.</w:t>
      </w:r>
    </w:p>
    <w:p>
      <w:pPr>
        <w:pStyle w:val="Heading4"/>
        <w:numPr>
          <w:ilvl w:val="3"/>
          <w:numId w:val="1"/>
        </w:numPr>
        <w:rPr/>
      </w:pPr>
      <w:bookmarkStart w:id="317" w:name="__RefHeading___Toc3493653_2314609296"/>
      <w:bookmarkStart w:id="318" w:name="_Toc119"/>
      <w:bookmarkEnd w:id="317"/>
      <w:r>
        <w:rPr>
          <w:rtl w:val="true"/>
        </w:rPr>
        <w:t>[</w:t>
      </w:r>
      <w:r>
        <w:rPr>
          <w:rtl w:val="true"/>
        </w:rPr>
        <w:t>مناقشة السید الخوئی قدّس سرّه فی وضع هیئة الأفعال</w:t>
      </w:r>
      <w:bookmarkEnd w:id="31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الأفعال، فهیئة الفعل الماضی تدلّ علی قصد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هیئة الفعل المضارع تدلّ علی تلبّس الذات بالمبدإ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هیئة المضارع تدلّ علی قصد تلبّس الذات بالمبدإ، و علی أی حال أنّ المدلول </w:t>
      </w:r>
      <w:r>
        <w:rPr>
          <w:rStyle w:val="FootnoteAnchor"/>
          <w:rtl w:val="true"/>
        </w:rPr>
        <w:footnoteReference w:id="346"/>
      </w:r>
      <w:r>
        <w:rPr>
          <w:rFonts w:ascii="IRNazanin" w:hAnsi="IRNazanin" w:eastAsia="IRNazanin"/>
          <w:color w:val="111111"/>
          <w:sz w:val="28"/>
          <w:sz w:val="28"/>
          <w:szCs w:val="28"/>
          <w:rtl w:val="true"/>
          <w:lang w:bidi="fa-IR"/>
        </w:rPr>
        <w:t>التصوّری فی الماضی هو تحقّق</w:t>
      </w:r>
      <w:bookmarkStart w:id="319" w:name="pg19834_212168"/>
    </w:p>
    <w:p>
      <w:pPr>
        <w:pStyle w:val="BookText"/>
        <w:rPr/>
      </w:pPr>
      <w:bookmarkEnd w:id="319"/>
      <w:r>
        <w:rPr>
          <w:rFonts w:ascii="IRNazanin" w:hAnsi="IRNazanin" w:eastAsia="IRNazanin"/>
          <w:color w:val="111111"/>
          <w:sz w:val="28"/>
          <w:sz w:val="28"/>
          <w:szCs w:val="28"/>
          <w:rtl w:val="true"/>
          <w:lang w:bidi="fa-IR"/>
        </w:rPr>
        <w:t>المبدأ، و فی المضارع هو تلبّس الذات بالمبدإ، و أما إثبات قصد المتکلّم لذلک المعنی فلیس براجع إلی هذه المرحلة، بل هو راجع إلی إثبات قصد المتکلّم، و هو مرحلة الدلالة التصدیقیة، و هی بعد الفراغ عن الدلالة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إلی الإنشائیات و جعل مرکز الانشاء هو ما فی النفس بعد إبرازه بالألفاظ، فلازمه أنّ کل ما یکون مظهرا لأن المتکلّم قد أوقع البیع فی نفسه یکون بیعا، و لازمه أن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أوقعت البیع فی نفسی کان بیعا و هلمّ جرّا</w:t>
      </w:r>
      <w:r>
        <w:rPr>
          <w:rFonts w:eastAsia="IRNazanin" w:cs="IRNazanin"/>
          <w:color w:val="111111"/>
          <w:sz w:val="28"/>
          <w:szCs w:val="28"/>
          <w:rtl w:val="true"/>
          <w:lang w:bidi="fa-IR"/>
        </w:rPr>
        <w:t>.</w:t>
      </w:r>
    </w:p>
    <w:p>
      <w:pPr>
        <w:pStyle w:val="Heading4"/>
        <w:numPr>
          <w:ilvl w:val="3"/>
          <w:numId w:val="1"/>
        </w:numPr>
        <w:rPr/>
      </w:pPr>
      <w:bookmarkStart w:id="320" w:name="__RefHeading___Toc3493655_2314609296"/>
      <w:bookmarkStart w:id="321" w:name="_Toc120"/>
      <w:bookmarkEnd w:id="320"/>
      <w:r>
        <w:rPr>
          <w:rtl w:val="true"/>
        </w:rPr>
        <w:t>[</w:t>
      </w:r>
      <w:r>
        <w:rPr>
          <w:rtl w:val="true"/>
        </w:rPr>
        <w:t>مناقشة السید الخوئی قدّس سرّه فی الفرق بین الانشاء و الاخبار</w:t>
      </w:r>
      <w:r>
        <w:rPr>
          <w:rtl w:val="true"/>
        </w:rPr>
        <w:t>]</w:t>
      </w:r>
      <w:bookmarkEnd w:id="32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کان الأمر کذلک لصحّ استعمال الجملة الاسمیّة فی مقام الطلب کالجملة الفعلیّة مع أنّه لا یصحّ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یصحّ ذلک بمثل قولک لعبدک أنت مأمور بکذا، و نظیره فی الانشاءات فی غیر الطلب قولک أنت حر و هند طالق و أنا مستفهم و متمن و مترج، و نحو ذلک من الجمل الاسمیّة فی مقام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استعمال المضارع فی مقام طلب مادته فکثیر، لکنّه محتاج إلی نحو من العنایة، کما لعلّه یمکن استعمال الجملة الاسمیّة فی مقام طلب مادّة المحمول بذلک النحو من العنایة کقولک فی الدعاء فی مقام طلب الغفران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الغفور الرحیم، و لعلّ من هذا القبیل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المکارم لا ترحل لبغیتهاو اقعد فإنّک أنت الطاعم الکاسی</w:t>
      </w:r>
    </w:p>
    <w:p>
      <w:pPr>
        <w:pStyle w:val="BookText"/>
        <w:rPr/>
      </w:pPr>
      <w:r>
        <w:rPr>
          <w:rFonts w:ascii="IRNazanin" w:hAnsi="IRNazanin" w:eastAsia="IRNazanin"/>
          <w:color w:val="111111"/>
          <w:sz w:val="28"/>
          <w:sz w:val="28"/>
          <w:szCs w:val="28"/>
          <w:rtl w:val="true"/>
          <w:lang w:bidi="fa-IR"/>
        </w:rPr>
        <w:t>علی معنی تبکیت المخاطب بأمره بالأکل و اللباس</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فإنّ هذا الذی نقله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المعروف من کون المستعمل فیه فیهما واحدا و إنّما یفترقان من ناحیة الدواعی للاستعمال</w:t>
      </w:r>
    </w:p>
    <w:p>
      <w:pPr>
        <w:pStyle w:val="BookText"/>
        <w:rPr/>
      </w:pPr>
      <w:r>
        <w:rPr>
          <w:rFonts w:ascii="IRNazanin" w:hAnsi="IRNazanin" w:eastAsia="IRNazanin"/>
          <w:color w:val="111111"/>
          <w:sz w:val="28"/>
          <w:sz w:val="28"/>
          <w:szCs w:val="28"/>
          <w:rtl w:val="true"/>
          <w:lang w:bidi="fa-IR"/>
        </w:rPr>
        <w:t>إلی آخره، لیس بناظر إلی جمیع الإنشائیات التی یمکن تأدیتها بصور الجمل الخبریة، بل إنّما هو ناظر إلی ما لو اشترک الإنشاء و الاخبار بهیئة واحدة مثل بعت، و مثل أنت حر، و مثل هند طالق، و مثل تقوم فی مقام الإخبار و الإنشاء، و کذلک أستفهم و أترجی و أتمنی، بل و کذلک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 یا ربّ بلسان قد أخرسه ذنبه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إلی غیر ذلک ممّا کانت الجملة الواحدة فیه تستعمل فی مقام الإخبار و الإنشاء، فالقول بأنّ ذلک من اختلاف الدواعی مع وحدة الموضوع له صحیح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تعدّد الوضع، و أنّ الاختلاف فی مثل بعت الخبریة و الإنشائیة و غیر ذلک من الجمل المذکورة إنّما هو من ناحیة الوضع کما هو المستفاد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یترتب علی ما ذکرناه فی بیان الفرق بین الإنشاء و الإخبار أنّ الاختلاف بینهما من ناحیة الوضع، إلخ </w:t>
      </w:r>
      <w:r>
        <w:rPr>
          <w:rStyle w:val="FootnoteAnchor"/>
          <w:rtl w:val="true"/>
        </w:rPr>
        <w:footnoteReference w:id="349"/>
      </w:r>
      <w:r>
        <w:rPr>
          <w:rFonts w:ascii="IRNazanin" w:hAnsi="IRNazanin" w:eastAsia="IRNazanin"/>
          <w:color w:val="111111"/>
          <w:sz w:val="28"/>
          <w:sz w:val="28"/>
          <w:szCs w:val="28"/>
          <w:rtl w:val="true"/>
          <w:lang w:bidi="fa-IR"/>
        </w:rPr>
        <w:t>و لازمه تعدّد الوضع فی بعت و نحوها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لا وجه لها و لا دلیل علیها، سواء ضم إلی ذلک الاختلاف فی الموضوع له أو اقتصر فیه علی الاختلاف فی الوضع، و لکن ظاهره بل صریحه تحقق الاختلاف فی الموضوع له کما تضمّنه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فالإخبار و الإنشاء یشترکان فی تحقّق الإبراز بهما، و الفرق بینهما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المبرز فی الإخبار حیث إنّه عبارة عن قصد الحکایة و هو متّصف بالصدق أو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المبرز فی الإنشاء، فإنّه اعتبار خاص لا تعلّق له بوقوع شی‌ء و لا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صریح فی أنّ الفرق بینهما فی مقام الوضع</w:t>
      </w:r>
      <w:bookmarkStart w:id="322" w:name="pg19834_212170"/>
    </w:p>
    <w:p>
      <w:pPr>
        <w:pStyle w:val="BookText"/>
        <w:rPr/>
      </w:pPr>
      <w:bookmarkEnd w:id="322"/>
      <w:r>
        <w:rPr>
          <w:rFonts w:ascii="IRNazanin" w:hAnsi="IRNazanin" w:eastAsia="IRNazanin"/>
          <w:color w:val="111111"/>
          <w:sz w:val="28"/>
          <w:sz w:val="28"/>
          <w:szCs w:val="28"/>
          <w:rtl w:val="true"/>
          <w:lang w:bidi="fa-IR"/>
        </w:rPr>
        <w:t>و الموضوع له، بل أساس الفرق الوضعی هو الفرق بینهما فی الموضوع له</w:t>
      </w:r>
      <w:r>
        <w:rPr>
          <w:rFonts w:eastAsia="IRNazanin" w:cs="IRNazanin"/>
          <w:color w:val="111111"/>
          <w:sz w:val="28"/>
          <w:szCs w:val="28"/>
          <w:rtl w:val="true"/>
          <w:lang w:bidi="fa-IR"/>
        </w:rPr>
        <w:t>.</w:t>
      </w:r>
    </w:p>
    <w:p>
      <w:pPr>
        <w:pStyle w:val="Heading4"/>
        <w:numPr>
          <w:ilvl w:val="3"/>
          <w:numId w:val="1"/>
        </w:numPr>
        <w:rPr/>
      </w:pPr>
      <w:bookmarkStart w:id="323" w:name="__RefHeading___Toc3493657_2314609296"/>
      <w:bookmarkStart w:id="324" w:name="_Toc121"/>
      <w:bookmarkEnd w:id="323"/>
      <w:r>
        <w:rPr>
          <w:rtl w:val="true"/>
        </w:rPr>
        <w:t>تنبیه</w:t>
      </w:r>
      <w:bookmarkEnd w:id="324"/>
    </w:p>
    <w:p>
      <w:pPr>
        <w:pStyle w:val="BookText"/>
        <w:rPr/>
      </w:pPr>
      <w:r>
        <w:rPr>
          <w:rFonts w:ascii="IRNazanin" w:hAnsi="IRNazanin" w:eastAsia="IRNazanin"/>
          <w:color w:val="111111"/>
          <w:sz w:val="28"/>
          <w:sz w:val="28"/>
          <w:szCs w:val="28"/>
          <w:rtl w:val="true"/>
          <w:lang w:bidi="fa-IR"/>
        </w:rPr>
        <w:t>قد عرفت ما ذکرناه فی المعنی الحرفی و المعنی الاسمی من التباین بینهما بالهویة، و أنّ معنی الحرف من مقولة الإیجاد لا الحکایة، و من ذلک یظهر لک امور</w:t>
      </w:r>
      <w:r>
        <w:rPr>
          <w:rFonts w:eastAsia="IRNazanin" w:cs="IRNazanin"/>
          <w:color w:val="111111"/>
          <w:sz w:val="28"/>
          <w:szCs w:val="28"/>
          <w:rtl w:val="true"/>
          <w:lang w:bidi="fa-IR"/>
        </w:rPr>
        <w:t>:</w:t>
      </w:r>
    </w:p>
    <w:p>
      <w:pPr>
        <w:pStyle w:val="Heading4"/>
        <w:numPr>
          <w:ilvl w:val="3"/>
          <w:numId w:val="1"/>
        </w:numPr>
        <w:rPr/>
      </w:pPr>
      <w:bookmarkStart w:id="325" w:name="__RefHeading___Toc3493659_2314609296"/>
      <w:bookmarkStart w:id="326" w:name="_Toc122"/>
      <w:bookmarkEnd w:id="325"/>
      <w:r>
        <w:rPr>
          <w:rtl w:val="true"/>
        </w:rPr>
        <w:t>[</w:t>
      </w:r>
      <w:r>
        <w:rPr/>
        <w:t>1</w:t>
      </w:r>
      <w:r>
        <w:rPr>
          <w:rtl w:val="true"/>
        </w:rPr>
        <w:t xml:space="preserve">- </w:t>
      </w:r>
      <w:r>
        <w:rPr>
          <w:rtl w:val="true"/>
        </w:rPr>
        <w:t>عدم تضمن أسماء الاشارة و أسماء الأفعال لمعنی الحرف</w:t>
      </w:r>
      <w:bookmarkEnd w:id="32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محصّل لما یذکرونه من کون بعض الأسماء کأسماء الإشارة و أسماء الأفعال متضمّنا لمعنی الحرف بل لعل ذلک غیر معقول، سواء کانت الإشارة قیدا فی الذات، بأن کان الموضوع له هو الذات المشار إلیها، أو کان علی نحو التضمّن، أمّا الأوّل فواضح؛ لأنّ الإشارة الحرفیة لا تکون قیدا، و منه یتّضح الثانی لعدم معقولیّة تضمّن الإسم المستقل لمعنی الحرف غیر المستقل، بل لعلّنا نمنع ذلک أعنی تضمین لفظ لمعنی لفظ آخر حتی مع کونهما معا من سنخ المستقلات، و ما ذکروه من تضمّن الفعل اللازم معنی المتعدی کلّه من باب التجوّز باللفظ الأوّل و أخذه استعارة فی المعنی الثانی، لا أنّ أحد اللفظین علی ما هو علیه من المعنی یتضمّن معنی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المعنی الاسمی قابل لأن یطرأ علیه المعنی الحرفی المادوی </w:t>
      </w:r>
      <w:r>
        <w:rPr>
          <w:rStyle w:val="FootnoteAnchor"/>
          <w:rtl w:val="true"/>
        </w:rPr>
        <w:footnoteReference w:id="350"/>
      </w:r>
      <w:r>
        <w:rPr>
          <w:rFonts w:ascii="IRNazanin" w:hAnsi="IRNazanin" w:eastAsia="IRNazanin"/>
          <w:color w:val="111111"/>
          <w:sz w:val="28"/>
          <w:sz w:val="28"/>
          <w:szCs w:val="28"/>
          <w:rtl w:val="true"/>
          <w:lang w:bidi="fa-IR"/>
        </w:rPr>
        <w:t>کما هو الشأن فی الأسماء التی تدخلها الحروف مثل من البصرة و نحوه، کما أنّه یکون مطروّا للمعنی الحرفی الهیئوی کما هو الشأن فی المشتقات، لکنّه مبنی علی کون المادة موضوعة بوضع مستقل، کما أنّ الهیئة موضوعة أیضا بوضع مستقل یسمّونه بالوضع النوعی، و هو ما لو کان</w:t>
      </w:r>
    </w:p>
    <w:p>
      <w:pPr>
        <w:pStyle w:val="BookText"/>
        <w:rPr/>
      </w:pPr>
      <w:r>
        <w:rPr>
          <w:rFonts w:ascii="IRNazanin" w:hAnsi="IRNazanin" w:eastAsia="IRNazanin"/>
          <w:color w:val="111111"/>
          <w:sz w:val="28"/>
          <w:sz w:val="28"/>
          <w:szCs w:val="28"/>
          <w:rtl w:val="true"/>
          <w:lang w:bidi="fa-IR"/>
        </w:rPr>
        <w:t>الموضوع کلیا تحته أنواع، و یمکن القول بأنّ المادة أیضا کذلک، نظرا إلی أنّ الموضوع هو مادة الضرب بأیّ صورة تلبست، کما أنّ الهیئة هو نفس الصورة علی أیّ مادة طرأت، لکن ذلک کلّه مبنی علی تعدّد الوضع، و أنّ المادة موضوعة بوضع مستقل کما أنّ الهیئة کذلک، و یمکن تطرق المنع إلیه؛ فإنّ الواضع لا بدّ أن یأخذ اللفظ و یتصوّره و یضعه للمعنی خصوصا بناء علی ما ذکرناه فی شرح حقیقة الوضع أعنی الاختراع، و من الواضح أنّ لفظ المادّة لا یمکن أن یکون عاریا عن الهیئة، کما أنّ لفظ الهیئة لا یمکن أن یکون عاریا عن المادّة، فلا بدّ للواضع حین وضعه المادّة من إلباسها بهیئة ما، و کذلک فی حال وضعه للهیئة لا بدّ له من إلباس مادّة بها، و ذلک محتاج إلی التفکیک فی الموضوع، یعنی أنّه ینظر إلی لفظ الضرب و یقول وضعت هذا النحو من المادّة الموجودة فیه بأی صورة تلبست، و ینظر إلی لفظ الضارب أو الفاعل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هذا النحو من الهیئة الموجودة فی هذه المادّة علی أیّ مادة وقعت لمن تلبس بالمبدإ، و یکون المنظور إلیه فی الأوّل کلّی المادّة و فی الثانی کلّی الهیئة أینما وجدا، و فی ذلک من التکلّف ما لا یخفی، سیّما علی وتیرة ما ذکرناه من مبدأ الوضع و کیفیة الاختراع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هو المجموع المرکب من المادة و الهیئة، کل بوضع علی حدة، غایته أنّ فلاسفة اللغة فی مقام الضبط و التحریر انتزعوا من هذه الطائفة مادّة أعنی طائفة المشتقات التسعة من مادّة واحدة، و قالوا هی اسم الحدث، و انتزعوا من تلک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تلبس بهیئة فاعل من جمیع المواد مثل ضارب و قائم و قاعد إلی آخر المواد</w:t>
      </w:r>
      <w:r>
        <w:rPr>
          <w:rFonts w:eastAsia="IRNazanin" w:cs="IRNazanin"/>
          <w:color w:val="111111"/>
          <w:sz w:val="28"/>
          <w:szCs w:val="28"/>
          <w:rtl w:val="true"/>
          <w:lang w:bidi="fa-IR"/>
        </w:rPr>
        <w:t>-</w:t>
      </w:r>
      <w:r>
        <w:rPr>
          <w:rStyle w:val="FootnoteAnchor"/>
          <w:rtl w:val="true"/>
        </w:rPr>
        <w:footnoteReference w:id="351"/>
      </w:r>
      <w:bookmarkStart w:id="327" w:name="pg19834_212172"/>
    </w:p>
    <w:p>
      <w:pPr>
        <w:pStyle w:val="BookText"/>
        <w:rPr/>
      </w:pPr>
      <w:bookmarkEnd w:id="327"/>
      <w:r>
        <w:rPr>
          <w:rFonts w:ascii="IRNazanin" w:hAnsi="IRNazanin" w:eastAsia="IRNazanin"/>
          <w:color w:val="111111"/>
          <w:sz w:val="28"/>
          <w:sz w:val="28"/>
          <w:szCs w:val="28"/>
          <w:rtl w:val="true"/>
          <w:lang w:bidi="fa-IR"/>
        </w:rPr>
        <w:t>تلک الهیئة، و قالوا إنّها موضوعة لمن تلبس بالمبدإ، و فی الحقیقة لا یکون الموضوع إلّا مجموع لفظ ضرب مادة و هیئة لوقوع الضرب من فاعله، و هکذا فی باقی الأفعال و باقی المشتقات، و حینئذ لا یکون ذلک من الاسم المطرو للهیئة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ذلک فی مثل هیئة الجملة الاسمیّة و هیئة الإضافة فإنّها بین الاسمین لکن لا علی اسم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لو سلّمنا ذلک فهو لا ربط له بالمدعی فی أسماء الإشارة من کونها أسماء متضمّنة لمعانی الحروف، بل هی إمّا أن تکون اسما للذات المشار إلیها، و إمّا أن تکون حرفا و آلة فی الإشارة إلی الذات، و الثانی هو المتعین کما شرحناه فیما تقدم، و لو صح الأول لصح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نقول هی للابتداء فی مقام کونه جهة للنسبة بین السیر و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الحال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نقول هی موضوعة للترجی فی مقام إیجاده و إیقاعه علی نسبة المحمول إلی الموضوع أو علی نفس المحمول إلی غیر ذلک من الخیالات التی لا یمکن الالتزام بها، و ما الفرق بین الاشارة إلی الذات فی قولک هذا الرجل، و بین نداء الذات فی قولک یا رجل أو یا أیها الرجل،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معقولیة تضمن الاسم لمعنی الحرف، أما بناء علی ما ذکرناه فلما عرفت من کون المعنی الحرفی إیجادیا، فهو فی صقع و المعنی الاسمی فی صقع آخر، فکیف یکون المعنی الاسمی متضمنا للمعنی الحرفی، و کذلک الحال بناء علی اتحادهما، و الفرق بینهما بالآلیة و الاستقلالیة، و لا یعقل أن یکون المعنی الاستقلالی متضمنا للمعنی الآلی</w:t>
      </w:r>
      <w:r>
        <w:rPr>
          <w:rFonts w:eastAsia="IRNazanin" w:cs="IRNazanin"/>
          <w:color w:val="111111"/>
          <w:sz w:val="28"/>
          <w:szCs w:val="28"/>
          <w:rtl w:val="true"/>
          <w:lang w:bidi="fa-IR"/>
        </w:rPr>
        <w:t>.</w:t>
      </w:r>
    </w:p>
    <w:p>
      <w:pPr>
        <w:pStyle w:val="Heading4"/>
        <w:numPr>
          <w:ilvl w:val="3"/>
          <w:numId w:val="1"/>
        </w:numPr>
        <w:rPr/>
      </w:pPr>
      <w:bookmarkStart w:id="328" w:name="__RefHeading___Toc3493661_2314609296"/>
      <w:bookmarkStart w:id="329" w:name="_Toc123"/>
      <w:bookmarkEnd w:id="328"/>
      <w:r>
        <w:rPr>
          <w:rtl w:val="true"/>
        </w:rPr>
        <w:t>[</w:t>
      </w:r>
      <w:r>
        <w:rPr/>
        <w:t>2</w:t>
      </w:r>
      <w:r>
        <w:rPr>
          <w:rtl w:val="true"/>
        </w:rPr>
        <w:t xml:space="preserve">- </w:t>
      </w:r>
      <w:r>
        <w:rPr>
          <w:rtl w:val="true"/>
        </w:rPr>
        <w:t>عدم اتصاف معانی الحروف بالکلیة و الجزئیة</w:t>
      </w:r>
      <w:r>
        <w:rPr>
          <w:rtl w:val="true"/>
        </w:rPr>
        <w:t>]</w:t>
      </w:r>
      <w:bookmarkEnd w:id="32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أن ظهرت لک المباینة بین المعنی الاسمی و المعنی الحرفی فی کون الأول قالبا لمعناه و حاکیا عنه و محضرا له فی ذهن</w:t>
      </w:r>
      <w:bookmarkStart w:id="330" w:name="pg19834_212173"/>
    </w:p>
    <w:p>
      <w:pPr>
        <w:pStyle w:val="BookText"/>
        <w:rPr/>
      </w:pPr>
      <w:bookmarkEnd w:id="330"/>
      <w:r>
        <w:rPr>
          <w:rFonts w:ascii="IRNazanin" w:hAnsi="IRNazanin" w:eastAsia="IRNazanin"/>
          <w:color w:val="111111"/>
          <w:sz w:val="28"/>
          <w:sz w:val="28"/>
          <w:szCs w:val="28"/>
          <w:rtl w:val="true"/>
          <w:lang w:bidi="fa-IR"/>
        </w:rPr>
        <w:t>السامع، و عدم کون الثانی کذلک بل هو خلقی إیجادی یوجده المتکلم بین مفهومی الاسمین بواسطة الحرف، فالحرف آلة فی إیجاد ذلک الربط الذی یوجده المتکلم بواسطة تلک الآلة التی هی الحرف، و حینئذ لا یکون ذلک الذی یوجده المتکلم متصفا بالکلیة و الجزئیة، و لک وصفه بالجزئیة باعتبار کونه منوجدا بین مفهومی الاسمین، کما أنّ لک أن تقول إن هذه الآلة لم تجعل لهذا الربط الخاص الموجود، بل هی آلة فی إیجاد هذا النحو من الربط عند ما تدعو الحاجة إلی إیجاده، و بهذا الاعتبار تقول إن الآلة المذکورة لم توضع لایجاد هذا الربط الخاص بخصوصه، بل إنما وضعت لایجاد کلی هذا النحو من الربط، و إن کان بعد وجوده لا یکون إلا جزئیا، و لکن کل ذلک من باب التسامح و التساهل فی معنی الجزئیة و الکلیة، و إلا فحقیقة الکلیة و الجزئیة إنما تلحق المفهوم الذی یکون محکیا باللفظ، و ذلک من خصائص الأسماء</w:t>
      </w:r>
      <w:r>
        <w:rPr>
          <w:rFonts w:eastAsia="IRNazanin" w:cs="IRNazanin"/>
          <w:color w:val="111111"/>
          <w:sz w:val="28"/>
          <w:szCs w:val="28"/>
          <w:rtl w:val="true"/>
          <w:lang w:bidi="fa-IR"/>
        </w:rPr>
        <w:t>.</w:t>
      </w:r>
    </w:p>
    <w:p>
      <w:pPr>
        <w:pStyle w:val="Heading4"/>
        <w:numPr>
          <w:ilvl w:val="3"/>
          <w:numId w:val="1"/>
        </w:numPr>
        <w:rPr/>
      </w:pPr>
      <w:bookmarkStart w:id="331" w:name="__RefHeading___Toc3493663_2314609296"/>
      <w:bookmarkStart w:id="332" w:name="_Toc124"/>
      <w:bookmarkEnd w:id="331"/>
      <w:r>
        <w:rPr>
          <w:rtl w:val="true"/>
        </w:rPr>
        <w:t>[</w:t>
      </w:r>
      <w:r>
        <w:rPr/>
        <w:t>3</w:t>
      </w:r>
      <w:r>
        <w:rPr>
          <w:rtl w:val="true"/>
        </w:rPr>
        <w:t xml:space="preserve">- </w:t>
      </w:r>
      <w:r>
        <w:rPr>
          <w:rtl w:val="true"/>
        </w:rPr>
        <w:t>عدم قابلیة المعانی الحرفیة للتقیید</w:t>
      </w:r>
      <w:r>
        <w:rPr>
          <w:rtl w:val="true"/>
        </w:rPr>
        <w:t>]</w:t>
      </w:r>
      <w:bookmarkEnd w:id="332"/>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اتضح لک أن مفاد الحروف إیجاد النسبة بین المفهومین تعرف أنه غیر قابل للتقیید، فان محصل تقیید الشی‌ء بشی‌ء هو إحداث النسبة التقییدیة بین الأول و الثانی، و نفس النسبة لا تکون طرفا للنسبة إلا إذا لوحظت الاولی فی نفسها، فتخرج حینئذ عن الحرفیة و الایجادیة إلی الاسمیة و الاخطاریة، و تکون مفهوما مستقلا فی عرض سائر المفهومات، فیقال إن نسبة القیام إلی زید فی النهار أقرب من نسبته إلیه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تعرف الوجه فی عدم قابلیة مثل الدعاء و التمنی و الترجی فی مرتبة إیجادها بأدواتها للتقیید، و أنها فی تلک المرحلة یستحیل أن تکون طرفا للنسبة التقییدیة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القابل لأن یکون طرفا فی النسبة، سواء کانت</w:t>
      </w:r>
      <w:bookmarkStart w:id="333" w:name="pg19834_212174"/>
    </w:p>
    <w:p>
      <w:pPr>
        <w:pStyle w:val="BookText"/>
        <w:rPr/>
      </w:pPr>
      <w:bookmarkEnd w:id="333"/>
      <w:r>
        <w:rPr>
          <w:rFonts w:ascii="IRNazanin" w:hAnsi="IRNazanin" w:eastAsia="IRNazanin"/>
          <w:color w:val="111111"/>
          <w:sz w:val="28"/>
          <w:sz w:val="28"/>
          <w:szCs w:val="28"/>
          <w:rtl w:val="true"/>
          <w:lang w:bidi="fa-IR"/>
        </w:rPr>
        <w:t xml:space="preserve">التی تقع محکیة باللفظ الاسمی الحاکی عنها الموجب لاخطارها فی الذهن، دون المعانی الخلقیة التی تنوجد بآلة إیجادها، سواء کانت هی النسب بین المفهومین الاسمیین، أو کانت من الامور الاعتباریة التی تنوجد فی صقعها بآلة إیجادها، و لا ینتقض ذلک بمادة البیع فی بعت الانشائیة، لما عرفت من أن هیئة بعت لیست لایجاد البیع، بل هی لایجاد النسبة بین مفهوم البیع و المتکلم لا بداعی المماثلة للنسبة الواقعیة، بل بداعی انوجاد تلک النسبة الواقعیة، و عن ذلک ینتزع وجود البیع فی صقعه الانشائی، و ذلک لا یخرج مادة البیع التی هی تحت لفظ البیع فی بعت عن قابلیة التقیید، و هذا بخلاف الترجی المنوجد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یکون فی البین إلا إیجاده ابتداء بآلته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تلک المرحلة لا یکون طرفا للنسبة، و سیأتی إن شاء اللّه فی مبحث الواجب المشروط</w:t>
      </w:r>
      <w:r>
        <w:rPr>
          <w:rStyle w:val="FootnoteAnchor"/>
          <w:rtl w:val="true"/>
        </w:rPr>
        <w:footnoteReference w:id="352"/>
      </w:r>
      <w:r>
        <w:rPr>
          <w:rFonts w:ascii="IRNazanin" w:hAnsi="IRNazanin" w:eastAsia="IRNazanin"/>
          <w:color w:val="111111"/>
          <w:sz w:val="28"/>
          <w:sz w:val="28"/>
          <w:szCs w:val="28"/>
          <w:rtl w:val="true"/>
          <w:lang w:bidi="fa-IR"/>
        </w:rPr>
        <w:t>توضیح ذلک بما هو أوسع من ذلک إن شاء اللّه تعالی</w:t>
      </w:r>
      <w:r>
        <w:rPr>
          <w:rFonts w:eastAsia="IRNazanin" w:cs="IRNazanin"/>
          <w:color w:val="111111"/>
          <w:sz w:val="28"/>
          <w:szCs w:val="28"/>
          <w:rtl w:val="true"/>
          <w:lang w:bidi="fa-IR"/>
        </w:rPr>
        <w:t>.</w:t>
      </w:r>
    </w:p>
    <w:p>
      <w:pPr>
        <w:pStyle w:val="Heading3"/>
        <w:numPr>
          <w:ilvl w:val="2"/>
          <w:numId w:val="1"/>
        </w:numPr>
        <w:rPr/>
      </w:pPr>
      <w:bookmarkStart w:id="334" w:name="__RefHeading___Toc3493665_2314609296"/>
      <w:bookmarkStart w:id="335" w:name="_Toc125"/>
      <w:bookmarkEnd w:id="334"/>
      <w:r>
        <w:rPr>
          <w:rtl w:val="true"/>
        </w:rPr>
        <w:t>[</w:t>
      </w:r>
      <w:r>
        <w:rPr>
          <w:rtl w:val="true"/>
        </w:rPr>
        <w:t>استعمال اللفظ فی نوعه أو صنفه أو مثله</w:t>
      </w:r>
      <w:bookmarkEnd w:id="33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استعمال اللفظ فی نوعه أو صنفه أو مثله من هذا القبیل أیضا، بمعنی أنّ حسنه بالطبع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مصحّح الفناء فی الاستعمال الحقیقی جعل الواضع، و فی الاستعمال المجازی شدّة مناسبة المعنی المجازی مع الحقیقی، و فیما نحن فیه کون اللفظ الملقی بنفسه متّحدا مع المفنیّ فیه خارجا، و الارتباط بینهما أشدّ من الارتباط الجعلی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کانت المناسبة ذاتیة، و أنّ الدلالة إنّما نشأت من تلک</w:t>
      </w:r>
    </w:p>
    <w:p>
      <w:pPr>
        <w:pStyle w:val="BookText"/>
        <w:rPr/>
      </w:pPr>
      <w:r>
        <w:rPr>
          <w:rFonts w:ascii="IRNazanin" w:hAnsi="IRNazanin" w:eastAsia="IRNazanin"/>
          <w:color w:val="111111"/>
          <w:sz w:val="28"/>
          <w:sz w:val="28"/>
          <w:szCs w:val="28"/>
          <w:rtl w:val="true"/>
          <w:lang w:bidi="fa-IR"/>
        </w:rPr>
        <w:t>المناسبة، لم یعقل أن یقصد باللفظ النوع تارة و المثل اخری، لأنّ المناسبة إذا کانت بین اللفظ و نوعه فکیف یدلّ علی مثله، و إن کانت بینه و بین مثله فکیف یدلّ علی نوعه، و إذا کان اللفظ مناسبا لهما معا، فمع أنّه غیر معقول یلزمه أن یکون دالا علیهما معا فی استعمال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المناسبة إنّما هی بین اللفظ و بین النوع لکن یکون إرادة خصوص صنف خاص أو خصوص مثال و لفظ خاص إنّما هی بالقرینة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ما ارید به نوعه أو صنفه لا بد فیه أن یکون ذلک اللفظ الملقی من أفراد ذلک النوع أو ذلک الصنف، و ذلک و إن کان ممکنا فی النوع کما إذا کان المحمول شاملا لذلک اللفظ الملقی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ثلاثی، دون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فعل ماض، أمّا الصنف فانه لا یمکن فیه ذلک، إذ لا بد فی کونه صنفا من کونه محدودا بحد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بعد ضرب فاعل، و من الواضح أنّ ذلک لا ینطبق علی اللفظ الملقی؛ لأنّ ذلک اللفظ الملقی لیس بفاعل، و حینئذ فلا بد أن یکون المراد من القسم الثانی هو إطلاق لفظ مثل زید و إرادة صنف خاص و هو خصوص ما وقع بعد ضرب، فلا یکون من قبیل استعمال اللفظ الملقی فی صنفه الشامل له، بل من باب إعماله فی صنف خاص لا یشمله، و من الواضح أنّ ذلک یتعیّن فیه کونه من باب الاستعمال لا من باب الالقاء کما صنعه فی الکفایة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فرده و مصداقه حقیقة، لا لفظه و ذاک معناه، إلخ </w:t>
      </w:r>
      <w:r>
        <w:rPr>
          <w:rStyle w:val="FootnoteAnchor"/>
          <w:rtl w:val="true"/>
        </w:rPr>
        <w:footnoteReference w:id="354"/>
      </w:r>
      <w:r>
        <w:rPr>
          <w:rFonts w:ascii="IRNazanin" w:hAnsi="IRNazanin" w:eastAsia="IRNazanin"/>
          <w:color w:val="111111"/>
          <w:sz w:val="28"/>
          <w:sz w:val="28"/>
          <w:szCs w:val="28"/>
          <w:rtl w:val="true"/>
          <w:lang w:bidi="fa-IR"/>
        </w:rPr>
        <w:t>إذ بعد فرض عدم کون هذا الملقی فردا من ذلک الصنف، کیف یکون هذا فرده و 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یمکن ذلک فی النوع، لکن فی خصوص ما کان الحکم فیه شاملا للفظ الملقی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ثلاثی، دون ما إذا لم یکن شاملا مثل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فعل ماض حیث إنّ ذلک اللفظ الملقی حینئذ لا یکون فعلا ماضیا، فمثل هذا لا یکون من باب الإلقاء، بل لا بدّ أن یکون من باب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حال الصنف و حال النوع الذی لا یکون الحکم فیه شاملا للفظ الملقی حال المثل فی عدم کونه من باب الإلقاء و تعیّن کونه من باب الاستعمال، فإنّ ملاک کونه من باب الإلقاء هو کون ذلک اللفظ الملقی فردا و مصداقا من ذلک النوع أو الصنف، فمع عدم کونه فردا منه لا یعقل أن یکون إلقاؤه إلقاء لذلک النوع أو 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النوع الذی یکون اللفظ الملقی فردا منه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ثلاثی، مع قطع النظر عن الإشکال الذی ذکره شیخنا قدّس سرّه فی استعمال اللفظ و إرادة شخصه، یمکن أن یکون من باب إلقاء الفرد و الحکم علی النوع الموجود فیه، فیکون حینئذ من باب الإلقاء لا من باب الاستعمال، لکن إشکال شیخنا قدّس سرّه علی إرادة شخص اللفظ جار فیه، فیکون امتناع کونه من باب الإلقاء من جهة ذلک الإشکال لا من جهة عدم کونه فردا للنوع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الذی ذکرناه فی الصنف، و أنّه لا یعقل فیه کونه شاملا للفظ الملقی إنّما هو بالنظر إلی غالب الأمثلة و إن أمکن کونه شاملا له فی بعضها،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المبتدا مرفوع، 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 المقصود بها لفظها لا تحتاج إلی فاعل، فان المراد من الأول و الثانی هو صنف خاص من لفظ زید و لفظ ضرب، و ذلک الصنف شامل للفظ زید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المبتدأ مرفوع فی المثال الأول، کما أنه شامل للفظ ضرب فی المثال الثانی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یظهر من شیخنا قدّس سرّه أنّ إعمال اللفظ فی نوعه</w:t>
      </w:r>
    </w:p>
    <w:p>
      <w:pPr>
        <w:pStyle w:val="BookText"/>
        <w:rPr/>
      </w:pPr>
      <w:r>
        <w:rPr>
          <w:rFonts w:ascii="IRNazanin" w:hAnsi="IRNazanin" w:eastAsia="IRNazanin"/>
          <w:color w:val="111111"/>
          <w:sz w:val="28"/>
          <w:sz w:val="28"/>
          <w:szCs w:val="28"/>
          <w:rtl w:val="true"/>
          <w:lang w:bidi="fa-IR"/>
        </w:rPr>
        <w:t>و إعماله فی صنفه کلّه من باب الاستعمال لا من باب الإلقاء، و أنّ ذلک النوع أو الصنف یکون نوعا أو صنفا لذلک اللفظ الملقی، و حینئذ یتوجه علیه أن ذلک إنما یمکن فیما لو کان ذلک النوع أو ذلک الصنف شاملا لذلک اللفظ، بحیث یکون ذلک اللفظ محکوما بذلک الحکم المذکور فی تلک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کان الحکم فیه شاملا للفظ الملقی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ثلاثی الذی تعین عند شیخنا کونه من باب الاستعمال، فیه إشکال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اللفظ الملقی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کونه من جملة أفراد النوع المحکی به، و أنّ الحکم بأنّه ثلاثی شامل لنفس ذلک اللفظ الملقی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فیه اللحاظ الآلی و الاستقلالی، فمن جهة أنّه لفظ حاک عن النوع یکون منظورا إلیه بالنظر الآلی، لکونه حینئذ مرآة لما یحکیه من النوع، و من جهة أنّ النوع المحکی به شامل له و أنّه أیضا یکون محکوما علیه بأنّه ثلاثی، یکون النظر إلیه نظرا استقلالیا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کونه منظورا بالنظر الاستقلالی و إن کان الحکم شاملا له و ساریا إلیه، لأنّ النظر من هذا اللفظ إلی نوعه الشامل له لا یستلزم النظر إلی أفراده التی هو منها، و أمّا سرایة الحکم إلیه فهی من جهة الحکم علی طبیعة ذلک النوع الشامل له سرایة قهریة أو من جهة تنقیح المناط، فتأمّل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تلخّص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إعمال اللفظ فی مثله أو الصنف أو النوع الذی لا یشمله الحکم کلّها من باب الاستعمال، أمّا إعماله فی إرادة شخص نفسه فلا یکون إلّا من باب الإلقاء لا من باب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منعه شیخنا قدّس سرّه و بیّن محالیّته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لک أنّه لا بد من القول بأنّ إعمال اللفظ فی نوعه الشامل له لیس من باب الإلقاء، و أنه لا بد أن نقول بأنّه من باب الاستعمال، و المنشأ فی هذه المحالیة التی أفادها قدّس سرّه هو ما تقدّمت </w:t>
      </w:r>
      <w:r>
        <w:rPr>
          <w:rStyle w:val="FootnoteAnchor"/>
          <w:rtl w:val="true"/>
        </w:rPr>
        <w:footnoteReference w:id="355"/>
      </w:r>
      <w:r>
        <w:rPr>
          <w:rFonts w:ascii="IRNazanin" w:hAnsi="IRNazanin" w:eastAsia="IRNazanin"/>
          <w:color w:val="111111"/>
          <w:sz w:val="28"/>
          <w:sz w:val="28"/>
          <w:szCs w:val="28"/>
          <w:rtl w:val="true"/>
          <w:lang w:bidi="fa-IR"/>
        </w:rPr>
        <w:t>الإشارة إلیه فی المعنی الحرفی و أنّ مفادها إیجاد النسبة بین المفهومین، و قد تقدّم الکلام فیه فراجع و تأمّل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قد تبیّن لک صحّة تحقق النسبة بین واقع المنسوب إلیه و بین مفهوم المنسوب، تعرف إمکان کون النوع الشامل و الصنف الشامل من باب الإلقاء لا الاستعمال،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النوع و الصنف و إن لم یکونا شاملین بل المثل أیضا کله من باب الإلقاء لا الاستعمال، فإنّ جمیع ذلک لا یکون إلّا من قبیل تکرار الوجود، بمعنی أنّ المحکوم علیه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لفظ، أو ضرب فعل ماض، هو ذلک اللفظ الموجود فی جملة ضرب زید سواء لوحظ نوع ضرب الموجود فرد منها فی جملة ضرب زید أو صنفها أو شخصها، و لیس لفظ ضرب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ثلاثی، أو ضرب فعل ماض إلّا عبارة عن تکرار وجود ذلک اللفظ الموجود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و هو و إن کان وجودا ثانیا غیر الوجود الأوّل، إلّا أنّه لمّا کان متّحدا معه من جمیع الجهات صار بحسب نظر الذوق و الطبع هو هو، فکأنه بنفسه هو الملقی المحضر أمام السامع لا أنّه لفظ آخر، و نظیر ذلک الوجود الکتبی مثلا لو کتبت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 سعاد إلی آخره، فتارة ترسم علی سعاد فی ضمن البیت لفظ فاعل، فیکون المخبر عنه هو تلک اللفظة المرسومة فی ضمن البیت، و اخری ترسم تحت ذلک البیت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فسعاد المرسومة ثانیا و إن کانت غیر تلک الصورة المرسومة فی ضمن البیت، إلّا أنّها لمّا کانت متحدة معها من جمیع الجهات کانت هی هی، و کان کتبها و رسمها کتبا و رسما لتلک الکلمة المرسومة فی ضمن البیت، و هذا الاتحاد الاعتباری هو مرکز ذلک الاستحسان الطبعی المذکور فی هذه المسألة، و إلّا فإنّ استعمال اللفظ فی لفظ آخر لا وجه له أصلا، و لا محصل لاستحسان الطبع و الذوق فی الامور التوقیفیة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المقوّم للفعلیة إنّما هو قصد دلالة اللفظ علی نسبة الحدث إلی الذات، و فی مثل ضرب فعل ماض لم یقصد ذلک، لعدم کون الغرض من إلقائه حکایة معناه الفعلی به، و حینئذ فلا بدّ أن لا یکون ذلک اللفظ فعلا فی ذلک الحال، فکیف صح الإخبار عنه بأنّه فعل ماض، فلا بدّ من القول بأنّ هذا اللفظ فی هذه الجملة حاک عن تلک الألفاظ الواقعة فی ألسنة المستعملین التی قصد به فیها نسبة الحدث إلی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الفعل إنّما تتقوّم بنفسه لا بقصد الدلالة به علی النسبة المذکورة، و إنّما المتقوّم بذلک القصد هو الدلالة التصدیقیة، و حینئذ فیکون ذلک اللفظ فعلا قصد به الحکایة عن نسبة الحدث إلی الذات أو لم یقصد، و لذا یصحّ لنا أن نشیر إلی لفظة ضرب الموجودة فی کلام الساهی أو السکران بقوله ضرب زید، و نحکم علیها بأنّها فعل ماض، مع أنّه لم یقصد منها الدلالة علی المعنی الفعلی أعنی نسبة الضرب إلی زید، و هذه الاجمالات هی مجمل مما حرّرناه علی الکفایة فی هذا المقام، فراجعه فإنّ فیه الکفایة إن شاء اللّه تعالی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أمثال هذه القضایا لا بدّ فیها من النظر إلی نفس المحمول المذکور فیها، و هل هو صالح للانطباق علی اللفظ الملقی فیها أو</w:t>
      </w:r>
    </w:p>
    <w:p>
      <w:pPr>
        <w:pStyle w:val="BookText"/>
        <w:rPr/>
      </w:pPr>
      <w:r>
        <w:rPr>
          <w:rFonts w:ascii="IRNazanin" w:hAnsi="IRNazanin" w:eastAsia="IRNazanin"/>
          <w:color w:val="111111"/>
          <w:sz w:val="28"/>
          <w:sz w:val="28"/>
          <w:szCs w:val="28"/>
          <w:rtl w:val="true"/>
          <w:lang w:bidi="fa-IR"/>
        </w:rPr>
        <w:t>أنّه غیر صالح لذلک،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فاعل، تعنی به الواقع فی ضرب زید، أو مضاف إلیه و تعنی به الواقع بعد غلام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زید، فإن کان المحمول من هذا القبیل امتنع کونه من باب الإلقاء، و امتنع کونه من باب إرادة الشخص، بل لا بدّ أن یکون من باب الاستعمال فی النوع أو الصنف أو المثل،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فاعل و تقصد به نوع ما یقع بعد الفعل، أو تقصد به صنفا خاصا و هو ما وقع بعد ضرب، أو تقصد به مثله بأن یقول القائل ضرب زید و أنت تقول زید فاعل تعنی به لفظة زید التی وقعت فی شخص الجملة التی ألقاها ذلک القائل، و حینئذ یبقی الکلام فی وجه صحّة هذا الاستعمال، و نحتاج إلی دعوی کون المصحّح له و الموجب لاستحسانه هو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الحکم فی القضیّة صالحا لأن یکون لاحقا للفظ الملقی فیها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ثلاثی، فتارة یقصد به النوع، بأن یکون المحکوم علیه بأنّه ثلاثی هو هذا اللفظ لکن بما أنّه مصداق للنوع أو بما أنّه مصداق للصنف أو بما أنّه عبارة عن مثله أو أنّه بنفس شخصه، و یکون الحاصل هو أنّه تارة یقصد به النوع و اخری یقصد به الصنف و ثالثة یقصد به المثل و رابعة یقصد به الشخص الملقی، و یکون الجمیع من باب الإلقاء لا الحکایة و الاستعمال، علی إشکال فی إرادة المثل، فإنّه لا یمکن فیه أن یکون من باب الإلقاء إلّا بنحو من تکرار الوجود، و لکن ربما لا یکون القصد هو الإلقاء، بل کان القصد هو الحکایة عن النوع أو عن الصنف أو عن المثل، و لا یتأتی فیه الحکایة عن الشخص، و حینئذ یکون الحال فیه هو الحال فیما لم یکن الحکم فیه لاحقا للشخص الملقی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أنّ کون المسألة من باب الإلقاء إنّما یتأتی فیما لو</w:t>
      </w:r>
    </w:p>
    <w:p>
      <w:pPr>
        <w:pStyle w:val="BookText"/>
        <w:rPr/>
      </w:pPr>
      <w:r>
        <w:rPr>
          <w:rFonts w:ascii="IRNazanin" w:hAnsi="IRNazanin" w:eastAsia="IRNazanin"/>
          <w:color w:val="111111"/>
          <w:sz w:val="28"/>
          <w:sz w:val="28"/>
          <w:szCs w:val="28"/>
          <w:rtl w:val="true"/>
          <w:lang w:bidi="fa-IR"/>
        </w:rPr>
        <w:t>کان الحکم المحمول صالحا لأن یکون لاحقا للفظ الملقی، و یتأتی فیه حینئذ قصد النوع و قصد الصنف و قصد الشخص و لا یتأتی فیه قصد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یقع الإشکال فی هذه القضیّة، و أنّ الهیئة فیها لیست لإیقاع الربط بین اللفظین علی حذو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بل یکون الربط بین مفهوم المحمول و واقع الموضوع، و یکون حاله من هذه الجهة حال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قائم بناء علی ما ذکرناه من تمحض لفظ الإشارة للحرفیة، و أنّ المحکوم بقائم هو الذات الواقعیة التی وقعت إلیها الإشارة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تحقق کون أمثال هذه الجمل أعنی زید ثلاثی من قبیل الإلقاء، بل لا یبعد دعوی کونها من قبیل الاستعمال، و أنّ ما ادعی فیها من إرادة الشخص الملقی قابل للمنع، فإنّ الذوق لا یساعد علی أنّ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لفظ، أنّ الحکم بقولک لفظ علی خصوص زید الذی ألقیته فی هذه الجملة، فلاحظ و تدبّر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إنّا یمکننا المناقشة فی کون ذلک من قبیل استعمال زید فی لفظ زید، و لا یبعد أن یکون الجمیع من باب تقدیر المضاف، بأن یکون المراد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ثلاثی، هو أنّ لفظ زید ثلاثی و الإضافة بیانیّة، إذ لا شکّ فی أنّ لفظة زید لفظ و أنّها صوت من الأصوات، و هذا معنی ما یقال إنّ دلالة الألفاظ علی معانیها وضعیّة لکن دلالتها علی أنفسها طبیعیة حتی المهملات فی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 مقلوب زید، و هو من باب حذف المضاف، و أنّ الأصل هو أنّ لفظة دیز هی مقلوب لفظة زید</w:t>
      </w:r>
      <w:r>
        <w:rPr>
          <w:rFonts w:eastAsia="IRNazanin" w:cs="IRNazanin"/>
          <w:color w:val="111111"/>
          <w:sz w:val="28"/>
          <w:szCs w:val="28"/>
          <w:rtl w:val="true"/>
          <w:lang w:bidi="fa-IR"/>
        </w:rPr>
        <w:t>.</w:t>
      </w:r>
      <w:bookmarkStart w:id="336" w:name="pg19834_212182"/>
    </w:p>
    <w:p>
      <w:pPr>
        <w:pStyle w:val="Heading3"/>
        <w:numPr>
          <w:ilvl w:val="2"/>
          <w:numId w:val="1"/>
        </w:numPr>
        <w:rPr/>
      </w:pPr>
      <w:bookmarkStart w:id="337" w:name="__RefHeading___Toc3493667_2314609296"/>
      <w:bookmarkStart w:id="338" w:name="_Toc126"/>
      <w:bookmarkEnd w:id="336"/>
      <w:bookmarkEnd w:id="337"/>
      <w:r>
        <w:rPr>
          <w:rtl w:val="true"/>
        </w:rPr>
        <w:t>[</w:t>
      </w:r>
      <w:r>
        <w:rPr>
          <w:rtl w:val="true"/>
        </w:rPr>
        <w:t>الحقیقة الشرعیة</w:t>
      </w:r>
      <w:r>
        <w:rPr>
          <w:rtl w:val="true"/>
        </w:rPr>
        <w:t>]</w:t>
      </w:r>
      <w:bookmarkEnd w:id="338"/>
    </w:p>
    <w:p>
      <w:pPr>
        <w:pStyle w:val="Heading4"/>
        <w:numPr>
          <w:ilvl w:val="3"/>
          <w:numId w:val="1"/>
        </w:numPr>
        <w:rPr/>
      </w:pPr>
      <w:bookmarkStart w:id="339" w:name="__RefHeading___Toc3493669_2314609296"/>
      <w:bookmarkStart w:id="340" w:name="_Toc127"/>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الرابع فی الحقیقة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3493671_2314609296"/>
      <w:bookmarkStart w:id="342" w:name="_Toc128"/>
      <w:bookmarkEnd w:id="341"/>
      <w:r>
        <w:rPr>
          <w:rtl w:val="true"/>
        </w:rPr>
        <w:t>الکلام فی هذا المقام یستدعی تقدیم مقدّمات</w:t>
      </w:r>
      <w:r>
        <w:rPr>
          <w:rtl w:val="true"/>
        </w:rPr>
        <w:t>:</w:t>
      </w:r>
      <w:bookmarkEnd w:id="342"/>
    </w:p>
    <w:p>
      <w:pPr>
        <w:pStyle w:val="Heading4"/>
        <w:numPr>
          <w:ilvl w:val="3"/>
          <w:numId w:val="1"/>
        </w:numPr>
        <w:rPr/>
      </w:pPr>
      <w:bookmarkStart w:id="343" w:name="__RefHeading___Toc3493673_2314609296"/>
      <w:bookmarkStart w:id="344" w:name="_Toc129"/>
      <w:bookmarkEnd w:id="343"/>
      <w:r>
        <w:rPr>
          <w:rtl w:val="true"/>
        </w:rPr>
        <w:t>[</w:t>
      </w:r>
      <w:r>
        <w:rPr/>
        <w:t>1</w:t>
      </w:r>
      <w:r>
        <w:rPr>
          <w:rtl w:val="true"/>
        </w:rPr>
        <w:t xml:space="preserve">- </w:t>
      </w:r>
      <w:r>
        <w:rPr>
          <w:rtl w:val="true"/>
        </w:rPr>
        <w:t>توقف الحقیقة الشرعیة علی الاختراع و التسمیة و ذکر صور فی المقام</w:t>
      </w:r>
      <w:bookmarkEnd w:id="344"/>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الحقیقة الشرعیّة تتوقّف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الاختراع و التسمیة، و یتحصّل من ذلک عقلا صور أربع،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الاختراع و التسمیة من جانب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شی‌ء منهما من جانبه بل یکون کلّ من الاختراع و التسمیة ممن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الاختراع ممن سبقه و تکون التسمیة من جانب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الاختراع من جانب الشارع و لا یحدث منه التسمیة، بل لا یحدث منه إلّا استعمال اللفظ الموضوع للجزء فی الکل، أو استعمال اللفظ الموضوع للجزء فی الجزء نفسه، و یکون هناک قرینة متصلة علی اعتبار ضمّ باقی الأجزاء إلی ذلک الجزء علی حذو استعمال اللفظ الموضوع للمطلق فی المقید نظیر قوله رقبة مؤمنة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الصورة الاولی و الثالثة أیضا من الحقیقة الشرعیة، و الثانیة و الرابعة خارجتان عن 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قوام الحقیقة الشرعیة بالتسمیة من جانب الشارع، سواء کان هو المخترع کما فی الصورة الاولی أو کان الاختراع ممن سبقه کما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بکون التسمیة من جانب</w:t>
      </w:r>
      <w:bookmarkStart w:id="345" w:name="pg19834_212183"/>
    </w:p>
    <w:p>
      <w:pPr>
        <w:pStyle w:val="BookText"/>
        <w:rPr/>
      </w:pPr>
      <w:bookmarkEnd w:id="345"/>
      <w:r>
        <w:rPr>
          <w:rFonts w:ascii="IRNazanin" w:hAnsi="IRNazanin" w:eastAsia="IRNazanin"/>
          <w:color w:val="111111"/>
          <w:sz w:val="28"/>
          <w:sz w:val="28"/>
          <w:szCs w:val="28"/>
          <w:rtl w:val="true"/>
          <w:lang w:bidi="fa-IR"/>
        </w:rPr>
        <w:t>الشارع هو أنّ صیرورة هذا اللفظ حقیقة فی هذا المعنی من جانبه، سواء کان ذلک بالوضع التعیینی أو کان بالوضع التعینی الناشئ ببرکة استعماله اللفظ فی المعنی المجازی حتی صار یفیده بلا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الصورة الثانیة فهی خارجة عن الحقیقة الشرعیة کالرابعة، نعم علی تقدیر کلّ منهما یکون تصرّف الشارع منحصرا بالحکم إمضاء أو تأسیسا أو ردعا أو نسخا</w:t>
      </w:r>
      <w:r>
        <w:rPr>
          <w:rFonts w:eastAsia="IRNazanin" w:cs="IRNazanin"/>
          <w:color w:val="111111"/>
          <w:sz w:val="28"/>
          <w:szCs w:val="28"/>
          <w:rtl w:val="true"/>
          <w:lang w:bidi="fa-IR"/>
        </w:rPr>
        <w:t>.</w:t>
      </w:r>
    </w:p>
    <w:p>
      <w:pPr>
        <w:pStyle w:val="Heading4"/>
        <w:numPr>
          <w:ilvl w:val="3"/>
          <w:numId w:val="1"/>
        </w:numPr>
        <w:rPr/>
      </w:pPr>
      <w:bookmarkStart w:id="346" w:name="__RefHeading___Toc3493675_2314609296"/>
      <w:bookmarkStart w:id="347" w:name="_Toc130"/>
      <w:bookmarkEnd w:id="346"/>
      <w:r>
        <w:rPr>
          <w:rtl w:val="true"/>
        </w:rPr>
        <w:t>[</w:t>
      </w:r>
      <w:r>
        <w:rPr/>
        <w:t>2</w:t>
      </w:r>
      <w:r>
        <w:rPr>
          <w:rtl w:val="true"/>
        </w:rPr>
        <w:t xml:space="preserve">- </w:t>
      </w:r>
      <w:r>
        <w:rPr>
          <w:rtl w:val="true"/>
        </w:rPr>
        <w:t>صور الحقیقة الشرعیة من الوضع التعیینی و التعینی</w:t>
      </w:r>
      <w:bookmarkEnd w:id="347"/>
    </w:p>
    <w:p>
      <w:pPr>
        <w:pStyle w:val="Heading5"/>
        <w:numPr>
          <w:ilvl w:val="4"/>
          <w:numId w:val="1"/>
        </w:numPr>
        <w:rPr/>
      </w:pPr>
      <w:bookmarkStart w:id="348" w:name="__RefHeading___Toc3493677_2314609296"/>
      <w:bookmarkStart w:id="349" w:name="_Toc131"/>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التسمیة الشرعیة أعنی مجرد صیرورة اللفظ حقیقة فی المعنی الجدید التی بها قوام الحقیقة الشرعیة یمکن فی عالم الثبوت أن تکون علی صور أربع،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الابتدائی بأن یعمد إلی تلک الماهیة التی اخترعها هو أو اخترعها من کان قبله، و یقول جعلت هذه اللفظة أعنی لفظة الصلاة مثلا اسما لهذه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الاستعمالی بأن یستعمل فیها لفظة الصلاة علی أنّها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یستعمل فیها اللفظ الموضوع لجزئها الذی هو الدعاء أو المیل و الانعطاف مجازا، فیکثر ذلک فی لسانه حتی یکون ذلک موجبا لکونها حقیقة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یستعمل اللفظ المذکور فی معناه الأصلی أعنی الدعاء أو المیل و الانعطاف و یضمّ إلیه باقی الأجزاء و الشرائط بدالّ متصل لیکون علی حذو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 و یکثر ذلک حتی یکون موجبا لکونه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الصورتان الأولیتان من سنخ الوضع التعیینی، و الأخیرتان من سنخ الوضع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علیها بأنّه لو کان لبان لنا و نقل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صدوره منه صلّی اللّه علیه و آله لکنّه قد اخفی علینا و لم ینقل ذلک لنا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اعترضه بأنّه لا داعی للإخفاء، إذ لیس ذلک مثل نصوص الخلافة</w:t>
      </w:r>
      <w:bookmarkStart w:id="350" w:name="pg19834_212184"/>
    </w:p>
    <w:p>
      <w:pPr>
        <w:pStyle w:val="BookText"/>
        <w:rPr/>
      </w:pPr>
      <w:bookmarkEnd w:id="350"/>
      <w:r>
        <w:rPr>
          <w:rFonts w:ascii="IRNazanin" w:hAnsi="IRNazanin" w:eastAsia="IRNazanin"/>
          <w:color w:val="111111"/>
          <w:sz w:val="28"/>
          <w:sz w:val="28"/>
          <w:szCs w:val="28"/>
          <w:rtl w:val="true"/>
          <w:lang w:bidi="fa-IR"/>
        </w:rPr>
        <w:t>و ما یرجع إلیها ممّا توفّرت الدواعی لإخفائه</w:t>
      </w:r>
      <w:r>
        <w:rPr>
          <w:rFonts w:eastAsia="IRNazanin" w:cs="IRNazanin"/>
          <w:color w:val="111111"/>
          <w:sz w:val="28"/>
          <w:szCs w:val="28"/>
          <w:rtl w:val="true"/>
          <w:lang w:bidi="fa-IR"/>
        </w:rPr>
        <w:t>.</w:t>
      </w:r>
    </w:p>
    <w:p>
      <w:pPr>
        <w:pStyle w:val="Heading5"/>
        <w:numPr>
          <w:ilvl w:val="4"/>
          <w:numId w:val="1"/>
        </w:numPr>
        <w:rPr/>
      </w:pPr>
      <w:bookmarkStart w:id="351" w:name="__RefHeading___Toc3493679_2314609296"/>
      <w:bookmarkStart w:id="352" w:name="_Toc132"/>
      <w:bookmarkEnd w:id="351"/>
      <w:r>
        <w:rPr>
          <w:rtl w:val="true"/>
        </w:rPr>
        <w:t>[</w:t>
      </w:r>
      <w:r>
        <w:rPr>
          <w:rtl w:val="true"/>
        </w:rPr>
        <w:t>استبعاد حصول الوضع الابتدائی</w:t>
      </w:r>
      <w:bookmarkEnd w:id="352"/>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النقل و عدم الوصول إلینا لا ینحصر بدواعی الإخفاء، بل إنّ الکثیر من أفعاله صلّی اللّه علیه و آله و أقواله لم تنقل إلینا لأجل عدم الضبط و عدم العنایة کما فی وضوئه صلّی اللّه علیه و آله و کیفیّة قراءته فی صلاته، و هل کان یبدأ فی الحمد بالتسمیة، إلی غیر ذلک ممّا لم یضبطه لنا الصحابة و عرّفنا به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أصل الوضع بمعنی الإعلان و الإخبار بأنی وضعت هذا اللفظ لهذا المعنی ممّا یستبعد کما مرّ مشروحا فی الوضع و حقیقته، فراجع</w:t>
      </w:r>
      <w:r>
        <w:rPr>
          <w:rFonts w:eastAsia="IRNazanin" w:cs="IRNazanin"/>
          <w:color w:val="111111"/>
          <w:sz w:val="28"/>
          <w:szCs w:val="28"/>
          <w:rtl w:val="true"/>
          <w:lang w:bidi="fa-IR"/>
        </w:rPr>
        <w:t>.</w:t>
      </w:r>
    </w:p>
    <w:p>
      <w:pPr>
        <w:pStyle w:val="Heading5"/>
        <w:numPr>
          <w:ilvl w:val="4"/>
          <w:numId w:val="1"/>
        </w:numPr>
        <w:rPr/>
      </w:pPr>
      <w:bookmarkStart w:id="353" w:name="__RefHeading___Toc3493681_2314609296"/>
      <w:bookmarkStart w:id="354" w:name="_Toc133"/>
      <w:bookmarkEnd w:id="353"/>
      <w:r>
        <w:rPr>
          <w:rtl w:val="true"/>
        </w:rPr>
        <w:t>[</w:t>
      </w:r>
      <w:r>
        <w:rPr>
          <w:rtl w:val="true"/>
        </w:rPr>
        <w:t>حصول الوضع بکثرة الاستعمال مجازا و المناقشة فیه</w:t>
      </w:r>
      <w:bookmarkEnd w:id="354"/>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استبعدها فی الکفایة</w:t>
      </w:r>
      <w:r>
        <w:rPr>
          <w:rStyle w:val="FootnoteAnchor"/>
          <w:rtl w:val="true"/>
        </w:rPr>
        <w:footnoteReference w:id="357"/>
      </w:r>
      <w:r>
        <w:rPr>
          <w:rFonts w:ascii="IRNazanin" w:hAnsi="IRNazanin" w:eastAsia="IRNazanin"/>
          <w:color w:val="111111"/>
          <w:sz w:val="28"/>
          <w:sz w:val="28"/>
          <w:szCs w:val="28"/>
          <w:rtl w:val="true"/>
          <w:lang w:bidi="fa-IR"/>
        </w:rPr>
        <w:t xml:space="preserve">باعتبار عدم العلاقة المصححة للتجوّز، من جهة أنّ الجزء و هو الدعاء ممّا لا ینتفی الکل بانتفائه، لکنّه لو کان الجزء هو الدعاء، أمّا لو کان الجزء هو المیل و الانعطاف نحو الرّب مأخوذا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العود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لینته و عطفته الذی هو روح الصلاة، فلا یرد علیه عدم انتفاء الکل عند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البین ترکّب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یمکن القول بأنّه لا یعتبر فی علاقة الکل و الجزء الترکب الحقیقی بل یکفی فیه الترکّب الاعتباری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یرد علی هذه الطریقة، أعنی حصول الحقیقة من کثرة الاستعمال مجازا، ما حررناه </w:t>
      </w:r>
      <w:r>
        <w:rPr>
          <w:rStyle w:val="FootnoteAnchor"/>
          <w:rtl w:val="true"/>
        </w:rPr>
        <w:footnoteReference w:id="358"/>
      </w:r>
      <w:r>
        <w:rPr>
          <w:rFonts w:ascii="IRNazanin" w:hAnsi="IRNazanin" w:eastAsia="IRNazanin"/>
          <w:color w:val="111111"/>
          <w:sz w:val="28"/>
          <w:sz w:val="28"/>
          <w:szCs w:val="28"/>
          <w:rtl w:val="true"/>
          <w:lang w:bidi="fa-IR"/>
        </w:rPr>
        <w:t>فی الوضع التعینی، من أنّ الاستعمال بالعنایة و إن کثر لا ینقلب الی الاستعمال بلا عنایة، و علی کلّ حال أنّ هذه الاشکالات إنّما تتوجّه علی الصورة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ورود لها علیها، أمّا إشکال عدم العلاقة فواضح، لما عرفت من عدم التجوّز فی استعمال المطلق فی المقید بالقرینة المتصلة،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مؤمنة، فلفظ الرقبة یحضر نفس الرقبة فی الذهن و هو الدلالة التصوریة، ثم بإلحاق لفظة مؤمنة یستکشف أنّ ما هو المراد من مطلق الرقبة هو خصوص المؤمنة و هو الدلالة التصدیقیة،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کثر الاستعمال بهذه الطریقة لربما أوجب أنّ السامع یفهم بأوّل سماعه لفظة الرقبة من المتکلّم أنّه اراد بها خصوص المؤمنة، بل یخطر فی ذهنه خصوص المؤمنة بمجرّد سماع اللفظ و هو الدلالة التصوّریة، ثم إنّ المتکلّم بعد تلک الکثرة و بعد اطّلاعه علی مسبّبها الذی هو أنّ اللفظة صارت تخطر خصوص المؤمنة فی الذهن، یعود فیتکلّم بلفظ الرقبة عاریة عن إلحاق قید الإیمان و یعتمد فی بیان إرادته الخصوصیة علی نفس اللفظ و لا یتوقّف ذلک علی انقلاب من الاستعمال مع العنایة إلی الاستعمال بلا عنایة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الإنصاف أنّه یمکن تأتّی هذا البیان فی طریقة التجوّز، فإنّ من سمع قول القائل رأیت أسدا یرمی، عند ما سمع لفظ الأسد یحضر فی ذهنه الحیوان المفترس، ثم بعد سماعه قوله یرمی ینقلب ذلک الخطور الذهنی إلی الرجل الشجاع، و الحکم بأنّ مراد المتکلّم من قوله رأیت أسدا هو الرجل الشجاع، و أمّا المتکلّم فهو لا یرید أن یحضر الحیوان المفترس فی ذهن السامع، بل لا یرید إلّا أن یحضر فی ذهنه الرجل الشجاع و قد استعان فی ذلک بأن ضمّ إلی لفظ الأسد قوله یرمی، فیکون من قبیل تعدّد الدال و وحدة المدلول بالنسبة إلی الدلالة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الدلالة التصوریّة للفظ الأسد علی الحیوان المفترس، أعنی کون اللفظ موجبا إحضار الحیوان</w:t>
      </w:r>
    </w:p>
    <w:p>
      <w:pPr>
        <w:pStyle w:val="BookText"/>
        <w:rPr/>
      </w:pPr>
      <w:r>
        <w:rPr>
          <w:rFonts w:ascii="IRNazanin" w:hAnsi="IRNazanin" w:eastAsia="IRNazanin"/>
          <w:color w:val="111111"/>
          <w:sz w:val="28"/>
          <w:sz w:val="28"/>
          <w:szCs w:val="28"/>
          <w:rtl w:val="true"/>
          <w:lang w:bidi="fa-IR"/>
        </w:rPr>
        <w:t>المفترس فی ذهن السامع، فذلک قهری علی المتکلّم لا یمکنه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أوائل الاستعمالات، و أما بعد الکثرة علی السامع فلربّما انقلب تصوّره من مجرّد سماع لفظ الأسد الحیوان المفترس إلی تصور الرجل الشجاع، و أمّا المتکلّم فهو بعد تلک الکثرة و اطلاعه علی ما صار إلیه الحال فی ناحیة السامع من ذلک الخطور الذهنی لا یحتاج إلی الاستعانة فی إفهام مراده من لفظ أسد إلی إلحاق قوله یرمی، بل یکون صدور نفس ذلک اللفظ منه کافیا فی إحضار الرجل الشجاع فی ذهن السامع و إفهام السامع أنّه یرید الرجل الشجاع لا الحیوان المفترس</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ینحصر الإشکال فی الصورة الثالثة بما فی الکفایة من إنکار العلاقة، و لا یتوجّه علیها إشکال الانقلاب کما لا یتوجّه علی الصورة الرابعة، و علی کلّ حال أنّ حصول الحقیقة فی الصورة الرابعة لا غبار علیه لا من ناحیة عدم العلاقة و لا من ناحیة إشکال عدم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الصورة الثالثة فهی مع قطع النظر عن إشکال الکفایة من ناحیة عدم العلاقة، و مع قطع النظر عن الوضع الاستعمالی أعنی الصورة الثانیة، بمعنی أنّا نبنی علی عدم حصول الوضع الابتدائی </w:t>
      </w:r>
      <w:r>
        <w:rPr>
          <w:rStyle w:val="FootnoteAnchor"/>
          <w:rtl w:val="true"/>
        </w:rPr>
        <w:footnoteReference w:id="359"/>
      </w:r>
      <w:r>
        <w:rPr>
          <w:rFonts w:ascii="IRNazanin" w:hAnsi="IRNazanin" w:eastAsia="IRNazanin"/>
          <w:color w:val="111111"/>
          <w:sz w:val="28"/>
          <w:sz w:val="28"/>
          <w:szCs w:val="28"/>
          <w:rtl w:val="true"/>
          <w:lang w:bidi="fa-IR"/>
        </w:rPr>
        <w:t xml:space="preserve">و عدم حصول الوضع الاستعمالی </w:t>
      </w:r>
      <w:r>
        <w:rPr>
          <w:rStyle w:val="FootnoteAnchor"/>
          <w:rtl w:val="true"/>
        </w:rPr>
        <w:footnoteReference w:id="360"/>
      </w:r>
      <w:r>
        <w:rPr>
          <w:rFonts w:ascii="IRNazanin" w:hAnsi="IRNazanin" w:eastAsia="IRNazanin"/>
          <w:color w:val="111111"/>
          <w:sz w:val="28"/>
          <w:sz w:val="28"/>
          <w:szCs w:val="28"/>
          <w:rtl w:val="true"/>
          <w:lang w:bidi="fa-IR"/>
        </w:rPr>
        <w:t>، و مع ذلک نری الشارع قد استعمل هذه الألفاظ، و حینئذ یکاد یحصل لنا القطع بأنّ الشارع لم یکن استعماله مبنیّا علی العنایة و التجوّز، بل هو علی تقدیر کونه غیر مسبوق بوضعها و لو بأول استعمال، لا یکون إلّا من باب استعمال المطلق أعنی الدعاء أو الانعطاف فی معناه الأصلی مع الدلالة علی تقییده بباقی الأجزاء و الشرائط بدال آخر، و یکون 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 فی</w:t>
      </w:r>
      <w:bookmarkStart w:id="355" w:name="pg19834_212187"/>
    </w:p>
    <w:p>
      <w:pPr>
        <w:pStyle w:val="BookText"/>
        <w:rPr/>
      </w:pPr>
      <w:bookmarkEnd w:id="355"/>
      <w:r>
        <w:rPr>
          <w:rFonts w:ascii="IRNazanin" w:hAnsi="IRNazanin" w:eastAsia="IRNazanin"/>
          <w:color w:val="111111"/>
          <w:sz w:val="28"/>
          <w:sz w:val="28"/>
          <w:szCs w:val="28"/>
          <w:rtl w:val="true"/>
          <w:lang w:bidi="fa-IR"/>
        </w:rPr>
        <w:t>عدم 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الشأن کل الشأن فی</w:t>
      </w:r>
      <w:r>
        <w:rPr>
          <w:rFonts w:eastAsia="IRNazanin" w:cs="IRNazanin"/>
          <w:color w:val="111111"/>
          <w:sz w:val="28"/>
          <w:szCs w:val="28"/>
          <w:rtl w:val="true"/>
          <w:lang w:bidi="fa-IR"/>
        </w:rPr>
        <w:t>:</w:t>
      </w:r>
    </w:p>
    <w:p>
      <w:pPr>
        <w:pStyle w:val="Heading5"/>
        <w:numPr>
          <w:ilvl w:val="4"/>
          <w:numId w:val="1"/>
        </w:numPr>
        <w:rPr/>
      </w:pPr>
      <w:bookmarkStart w:id="356" w:name="__RefHeading___Toc3493683_2314609296"/>
      <w:bookmarkStart w:id="357" w:name="_Toc134"/>
      <w:bookmarkEnd w:id="356"/>
      <w:r>
        <w:rPr>
          <w:rtl w:val="true"/>
        </w:rPr>
        <w:t>[</w:t>
      </w:r>
      <w:r>
        <w:rPr>
          <w:rtl w:val="true"/>
        </w:rPr>
        <w:t>حصول الوضع بالاستعمال و بیان کلمات الأعلام قدّس سرّهم فیه</w:t>
      </w:r>
      <w:bookmarkEnd w:id="357"/>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الوضع بالاستعمال، فقد أشکل علیها شیخنا قدّس سرّه </w:t>
      </w:r>
      <w:r>
        <w:rPr>
          <w:rStyle w:val="FootnoteAnchor"/>
          <w:rtl w:val="true"/>
        </w:rPr>
        <w:footnoteReference w:id="361"/>
      </w:r>
      <w:r>
        <w:rPr>
          <w:rFonts w:ascii="IRNazanin" w:hAnsi="IRNazanin" w:eastAsia="IRNazanin"/>
          <w:color w:val="111111"/>
          <w:sz w:val="28"/>
          <w:sz w:val="28"/>
          <w:szCs w:val="28"/>
          <w:rtl w:val="true"/>
          <w:lang w:bidi="fa-IR"/>
        </w:rPr>
        <w:t>بلزوم تعدد اللحاظ فی اللفظ آلیا من ناحیة الاستعمال و استقلالیا من ناحیة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عنه الاستاذ العراقی فی مقالته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بحث حقیقة الوضع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الحقیقة الشرعیة</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أوله إلی اجتماع اللحاظین غلط، إذ النظر المرآتی متوجه الی شخص اللفظ و المعنی حال الاستعمال و هما غیر ملحوظین استقلالا حین الوضع، و ما هو ملحوظ کذلک فهو طبیعة اللفظ و طبیعة المعنی حین وضعه، و أحدهما غیر الآخر فی مقام اللحاظ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من صدور هذا الإشکال من بعض أعاظم المعاصرین علی ما فی تقریر بعض تلامذته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الجواب عجیب، لأنّ الملحوظ آلة فی مرتبة الاستعمال و إن کان هو شخص اللفظ الملقی الی السامع و</w:t>
      </w:r>
      <w:r>
        <w:rPr>
          <w:rStyle w:val="FootnoteAnchor"/>
          <w:rtl w:val="true"/>
        </w:rPr>
        <w:footnoteReference w:id="365"/>
      </w:r>
      <w:r>
        <w:rPr>
          <w:rFonts w:ascii="IRNazanin" w:hAnsi="IRNazanin" w:eastAsia="IRNazanin"/>
          <w:color w:val="111111"/>
          <w:sz w:val="28"/>
          <w:sz w:val="28"/>
          <w:szCs w:val="28"/>
          <w:rtl w:val="true"/>
          <w:lang w:bidi="fa-IR"/>
        </w:rPr>
        <w:t>المقصود فی مرتبة الوضع و إن کان هو طبیعة اللفظ، إلّا أنّ المنظور للمتکلّم فی مقام الوضع و مرتبته هو هذا اللفظ، لکن لا بشخصه بل بما أنّه مصداق لطبیعة من ذلک اللفظ، فالنظر الی ذلک اللفظ فی مرتبة الوضع بما أنّه مصداق لطبیعة اللفظ یکون استقلالیا من ناحیتین، ناحیة کونه مصداقا لطبیعة ذلک اللفظ، و ناحیة کونه مقصودا وضعه و لو بما أنّه مصداق للطبیعة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اللفظ فی حال الاستعمال لا یکون حاله إلّا حاله حین الوضع و لو بالوضع الابتدائی </w:t>
      </w:r>
      <w:r>
        <w:rPr>
          <w:rStyle w:val="FootnoteAnchor"/>
          <w:rtl w:val="true"/>
        </w:rPr>
        <w:footnoteReference w:id="366"/>
      </w:r>
      <w:r>
        <w:rPr>
          <w:rFonts w:ascii="IRNazanin" w:hAnsi="IRNazanin" w:eastAsia="IRNazanin"/>
          <w:color w:val="111111"/>
          <w:sz w:val="28"/>
          <w:sz w:val="28"/>
          <w:szCs w:val="28"/>
          <w:rtl w:val="true"/>
          <w:lang w:bidi="fa-IR"/>
        </w:rPr>
        <w:t>الجعلی، فکما أنّ الموضوع لیس هو شخص لفظ الإنسان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لفظ الإنسان للحیوان الناطق، و إنّما الکلّی المتحقّق فی ذلک اللفظ المشتمل علیه هذا القول، فکذلک اللفظ حین الاستعمال فإنّه إعمال اللفظ فیما وضع له، و المفروض أنّ الموضوع هو الکلّی، و أنّ إرادة المستعمل إنّما تتعلّق بإیجاد الکلّی الموضوع، و إنما یوجد الکلّی، غایته أنّه بعد وجوده یکون شخصیّا، و النظر الآلی إنّما هو فی مرتبة وجوده لا ما یکون بعد وجوده، و المفروض أنّ تشخصه إنّما یکون بعد الوجود، فلا فرق بین النظر فی مقام الاستعمال و النظر فی مقام الوضع فی کون تعلقهما بالفرد بما أنّه کلّی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القول بأن العکس أقرب، و إن کان کالأصل بعیدا من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یزیدنی إشکالا آخر و هو لزوم کون اللفظ منظورا إلیه بشخصه و کونه منظورا إلیه بما أنه مصداق للطبیعة، و النظران متنافیان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إشکال تعدّد اللحاظ إنّما هو فی استعمال اللفظ فی المعنی بقصده وضعه له لیکون الوضع حاصلا بالاستعمال، أمّا لو قلنا بأنّ الوضع هو التعهد، أو أنّه من فعل النفس و أنّ مظهره هو الاستعمال، فلا موقع حینئذ للإشکال بتعدد اللحاظ فی اللفظ، إذ لا یکون الوضع حاصلا بالاستعمال، و إنّما هو حاصل بالتعهّد أو بفعل النفس و ذلک سابق علی الاستعمال، و لا یکون ذلک الاستعمال إلّا کاشفا عنه کشف المعلول عن علّته، لکن ذلک إنّما هو لو أخذنا الوضع من مقولة التعهّد و البناء، أمّا لو</w:t>
      </w:r>
    </w:p>
    <w:p>
      <w:pPr>
        <w:pStyle w:val="BookText"/>
        <w:rPr/>
      </w:pPr>
      <w:r>
        <w:rPr>
          <w:rFonts w:ascii="IRNazanin" w:hAnsi="IRNazanin" w:eastAsia="IRNazanin"/>
          <w:color w:val="111111"/>
          <w:sz w:val="28"/>
          <w:sz w:val="28"/>
          <w:szCs w:val="28"/>
          <w:rtl w:val="true"/>
          <w:lang w:bidi="fa-IR"/>
        </w:rPr>
        <w:t>أخذناه من مقولة فعل النفس و أنّه یحتاج الی کاشف و مبرز و ذلک الکاشف و المبرز هو الجعل، فلا ریب أنّ ذلک الجعل الکاشف و المبرز یکون لازمه النظر الاستقلالی الی اللفظ، فلو أبرزنا ذلک الفعل النفسانی بالاستعمال توجّه فیه إشکال تعدّد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ذلک کلّه خلاف الفرض، لأنّ الفرض هو حصول الوضع بالاستعمال، و أنّه من مقولة القصد و الإنشاء، لیکون ما نحن فیه نظیر التملیک فإنّه بناء علیه لا محیص من توجه الإشکال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إنّ الوضع حاصل قهرا بذلک الاستعمال و إن لم یکن المستعمل قاصدا بذلک الاستعمال فی المعنی وضع اللفظ لذلک المعنی، لم یتوجّه الاشکال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دعوی إمکان اجتماع اللحاظ الآلی و الاستقلالی بالنسبة إلی اللفظ المستعمل فی المعنی، ببرهان أنّه ربما انضم إلی قصد المستعمل الذی جعل اللفظ آلة فی إحضار المعنی قصد آخر، بأن کان غرضه من أمر عبده بإحضار الماء هو إسماع من فی خارج الحجرة صوته أو إفهام السامع أنّه حیّ لا میت أو مستیقظ لا نائم أو أنّه مفیق لا مغمی علیه، إلی غیر ذلک من الغایات المترتبة علی صدور الکلام من المتکلّم، و منه إفهام الحاضر أو إفهام نفس المأمور بأنّه عارف بهذه اللغة التی تکلّم بها، و حینئذ فیجتمع فی ذلک اللفظ اللحاظان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ما لا یخفی؛ للفرق الواضح بین المقامین، فإنّ هذه الغایات مترتبة علی إعمال اللفظ فی معناه، فلا یکون ترتبها علی ذلک الاعمال موجبا لکون اللفظ منظورا إلیه مستقلا، فإن فهم السامع أنّ المتکلّم مستیقظ، أو أنّ المتکلّم عارف باللغة العربیّة لکونه قد أعمل اللفظ العربی</w:t>
      </w:r>
    </w:p>
    <w:p>
      <w:pPr>
        <w:pStyle w:val="BookText"/>
        <w:rPr/>
      </w:pPr>
      <w:r>
        <w:rPr>
          <w:rFonts w:ascii="IRNazanin" w:hAnsi="IRNazanin" w:eastAsia="IRNazanin"/>
          <w:color w:val="111111"/>
          <w:sz w:val="28"/>
          <w:sz w:val="28"/>
          <w:szCs w:val="28"/>
          <w:rtl w:val="true"/>
          <w:lang w:bidi="fa-IR"/>
        </w:rPr>
        <w:t>فی معناه، إنّما یترتب علی إعمال المتکلّم اللفظ آلة فی معناه و قد أعمله فیه، غایته أنّه أوجد اللفظ لیکون حاکیا عن المعنی، و غرضه من هذه الحکایة أن یفهم السامع أنّه عارف باللغة، فکان هناک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اللفظ فی حکایته عن المعنی و هو آلی، و نظر إلی حکایة المعنی بهذا اللفظ و جعل هذه الحکایة تفهیمها للسامع أنّه عارف باللغة، و هذا النظر الثانی و إن کان استقلالیا إلّا أنّه متعلّق بحکایة المعنی باللفظ لا أنّه متعلّق باللفظ نفسه، و هذا بخلاف مقام الوضع فإنّ إعمال اللفظ فی المعنی یوجب فعلا آخر للمتکلّم و هو وضعه له و هو أعنی المتکلّم فی هذا الفعل ناظر إلی اللفظ استقلالا لا 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فی مقام تفهیم السامع أنّه عارف باللغة یکون قد قصد اللفظ لیحکی به المعنی، و قصد من حکایة المعنی باللفظ إفهام السامع أنّه عارف باللغة، فیکون هذا القصد الثانی مثل أن یقصد من حکایة المعنی باللفظ إفهام السامع إرادته المعنی فی عدم تعلّق القصد الثانی باللفظ، و إنّما هو أعنی القصد متعلّق بنفس الحکایة، بخلاف المتکلّم فی مقام الوضع فإنه یقصد من اللفظ حکایة المعنی و یقصد من حکایته به وضعه له، و هو أعنی وضعه له فعل من أفعال المتکلّم یحتاج فیه إلی النظر إلی اللفظ نظرا ثانیا استقلالیا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المقام تحقیق آخر ینبغی أن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اللفظ و إن کان آلة فی حکایة المعنی 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آلة فی تفهیم السامع إرادة المعنی، و الآلة لا تکون منظورا إلیها استقلالا، إلّا أنّ ذلک إذا لم تکن تلک الآلة من الأفعال الاختیاریة کما فی إعمال المنشار فی القطع، أمّا إذا کانت الآلة بنفسها فعلا اختیاریا مثل القیام الذی آلة فی التعظیم، فهی لا بد أن</w:t>
      </w:r>
    </w:p>
    <w:p>
      <w:pPr>
        <w:pStyle w:val="BookText"/>
        <w:rPr/>
      </w:pPr>
      <w:r>
        <w:rPr>
          <w:rFonts w:ascii="IRNazanin" w:hAnsi="IRNazanin" w:eastAsia="IRNazanin"/>
          <w:color w:val="111111"/>
          <w:sz w:val="28"/>
          <w:sz w:val="28"/>
          <w:szCs w:val="28"/>
          <w:rtl w:val="true"/>
          <w:lang w:bidi="fa-IR"/>
        </w:rPr>
        <w:t>تکون منظورا إلیها بنفسها و إلّا لم تکن فعلا 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النظر إلیها بما أنّها فعل اختیاری یکون استقلالیا، و بما أنّها موجدة للتعظیم یکون النظر إلیها آلیا، و هما و إن اتحدا فی الزمان إلّا أنّهما مختلفان فی الرتبة، فالنظر إلیه بما أنّه فعل من أفعاله سابق فی الرتبة علی النظر إلیه بما أنّه آلة فی تحقق التعظیم، و من ذلک إلباسک الثوب لزید بقصد تملیکک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اللفظ الحاکی للمعنی، فإنّه بما أنّه فعل اختیاری یکون النظر إلیه استقلالیا، و بما أنّه حاک عن المعنی یکون النظر إلیه آلیا، فهو فی مرتبة حکایة المعنی باللفظ لا یکون ناظرا إلی اللفظ إلّا آلیا، لکن فی مرتبة صدور ذلک اللفظ عنه الذی هو فعل اختیاری له یکون ذلک اللفظ منظورا إلیه استقلالیا و هما مختلفان فی الرتبة، فاللفظ بما أنّه فعل اختیاری سابق فی الرتبة علی حکایة المعنی به، و لکن هذا لا دخل له بقصد الوضع، فإنّه فی مرتبة حکایته عن المعنی یقصد وضعه ذلک اللفظ لذلک المعنی، و هو قاض بالنظر الاستقلالی إلی اللفظ، فقد اجتمع النظران فی رتبة واحدة و هی مرتبة حکایة المعنی باللفظ فلاحظ و تأمّل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بالباسک الثوب لزید بعنوان التملیک و إن کنت ناظرا إلی الثوب استقلالا لأنّک ملّکته لزید، إلّا أنّه لیس فی البین ما یوجب کون نظرک إلی الثوب آلیا حتی فی مرتبة إلباسک ایّاه، بخلاف اللفظ فانّک فی مرتبة حکایتک المعنی به تکون ناظرا إلیه آلیا، فلا یصحّ منک فی هذه المرتبة قصد وضعه له، لأنّه یوجب کون نظرک إلیه استقلالیا، فیجتمع النظر الآلی و الاستقلالی فی مرتبة واحدة و هی مرتبة الحکایة التی تجعل تلک الحکایة وضعا، فلاحظ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الإشکال الذی وجّهه شیخنا قدّس سرّه و هو لزوم اجتماع اللحاظ الآلی و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الثانی الذی ذکره فی الکفایة</w:t>
      </w:r>
      <w:r>
        <w:rPr>
          <w:rStyle w:val="FootnoteAnchor"/>
          <w:rtl w:val="true"/>
        </w:rPr>
        <w:footnoteReference w:id="367"/>
      </w:r>
      <w:r>
        <w:rPr>
          <w:rFonts w:ascii="IRNazanin" w:hAnsi="IRNazanin" w:eastAsia="IRNazanin"/>
          <w:color w:val="111111"/>
          <w:sz w:val="28"/>
          <w:sz w:val="28"/>
          <w:szCs w:val="28"/>
          <w:rtl w:val="true"/>
          <w:lang w:bidi="fa-IR"/>
        </w:rPr>
        <w:t>و التزم به، و هو لزوم کون هذا الاستعمال خارجا عن الحقیقة و المجاز، فهو أیضا لا یتوجّه علی القول بکون الوضع تعهّدا أو کونه من أفعال النفس، و إنّما یتوجّه علی القول بکونه حاصلا بنفس الاستعمال قصدا أو قهرا، لأنّ الوضع علی کلّ من هذین الوجهین یکون متأخّرا عن الاستعمال، و یکون حال الاستعمال المقصود به الوضع أو الذی یتحقّق به الوضع قهرا حال الفسخ من ذی الخیار بوطء الجاریة المنتقلة عنه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مدفع له إلّا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الفسخ من أفعال النفس و هو سابق علی الوطء، و حینئذ لا یحتاج إلی أن یقصد به الفسخ، أو القول بأنّ الشارع قد سوّغ له الوطء الذی یقصد به إنشاء الفسخ، و الأوّل ممنوع و الثانی محتاج إلی الدلیل القوی الدال علی جواز الوطء لغیر المالک إذا کان بقصد الفسخ، و أمّا وطء المطلقة الرجعیة بعنوان الرجوع أو لا بعنوان الرجوع، فهو خارج عن ذلک، بناء علی کون المطلقة الرجعیة زوجة، و أنّها لا تبین إلّا بانقضاء العدّة، و عدم الأخذ فیها بآثار الزوجیة، و حینئذ لا یکون الفسخ رجوعا و رفعا للطلاق، بل هو دفع للبینونة التی ترتب علی ذلک الطلاق بعد انقضاء العدّة و عدم الأخذ بأذیال الزوجیة، و ما قصده عدم الرجوع بذلک الوطء الّا من قبیل قصد الزنا بوطء الزوجة غیر المطلقة فی أنّه لا أثر له إلّا ما هو من سنخ التجری و إن لم یکن منه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نقل بکون المطلقة الرجعیة زوجة، بل قلنا إنّها بحکم الزوجة، کان جواز وطئها بعنوان الرجوع محتاجا إلی الدلیل علی جوازه و علی تحقق الرجوع به، و أما وطؤها لا بعنوان</w:t>
      </w:r>
      <w:bookmarkStart w:id="358" w:name="pg19834_212193"/>
    </w:p>
    <w:p>
      <w:pPr>
        <w:pStyle w:val="BookText"/>
        <w:rPr/>
      </w:pPr>
      <w:bookmarkEnd w:id="358"/>
      <w:r>
        <w:rPr>
          <w:rFonts w:ascii="IRNazanin" w:hAnsi="IRNazanin" w:eastAsia="IRNazanin"/>
          <w:color w:val="111111"/>
          <w:sz w:val="28"/>
          <w:sz w:val="28"/>
          <w:szCs w:val="28"/>
          <w:rtl w:val="true"/>
          <w:lang w:bidi="fa-IR"/>
        </w:rPr>
        <w:t xml:space="preserve">الرجوع فهو و إن کان محرما إلّا أنه محتاج إلی الدلیل فی تحقق الرجوع به، فراجع ذلک البحث و ما حررناه فیه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3493685_2314609296"/>
      <w:bookmarkStart w:id="360" w:name="_Toc135"/>
      <w:bookmarkEnd w:id="359"/>
      <w:r>
        <w:rPr>
          <w:rtl w:val="true"/>
        </w:rPr>
        <w:t>[</w:t>
      </w:r>
      <w:r>
        <w:rPr/>
        <w:t>3</w:t>
      </w:r>
      <w:r>
        <w:rPr>
          <w:rtl w:val="true"/>
        </w:rPr>
        <w:t xml:space="preserve">- </w:t>
      </w:r>
      <w:r>
        <w:rPr>
          <w:rtl w:val="true"/>
        </w:rPr>
        <w:t>ثمرة النزاع</w:t>
      </w:r>
      <w:bookmarkEnd w:id="360"/>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قدّس سرّه فی التحریر فی بیان ثمرة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حمل الألفاظ المستعملة بلا قرینة علی المعنی اللغوی بناء علی عدمها، و علی المعنی الشرعی بناء علی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التحقیق أنّه لیس لنا مورد نشک فیه فی المراد الاستعمالی اصلا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فی هذه الثمرة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تضمنته الجملة الاولی و هی الحمل علی المعانی اللغویة بناء علی عدم الثبوت، و قد عرفت إشکال شیخنا قدّس سرّه فی هذا المقام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التحقیق،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قد یدعی بأنّه ما من مورد من موارد استعمال هذه الألفاظ الّا و هی مستعملة فی المعانی المستحدثة و لو بالقرینة، و حینئذ یلغو فی البین نتیجة البحث، و العهدة علی المدعی، کیف و نری استعمال لفظ الصلاة فی معناه العرفی کثیرا، فلم لا ینتج مثل هذا البحث فی مثله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بذلک استعمالها فی الصلاة علی المیت فإنّها دعاء محض، فتأمّل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أنّ شیخنا قدّس سرّه لم یدّع انحصار الاستعمال بالقرینة الدالة علی إرادة خصوص المعانی المستحدثة، و إنّما ادّعی أنّ المراد الاستعمالی لا شک فیه لکونه معلوما بالقرینة فی جمیع الاستعمالات</w:t>
      </w:r>
    </w:p>
    <w:p>
      <w:pPr>
        <w:pStyle w:val="BookText"/>
        <w:rPr/>
      </w:pPr>
      <w:r>
        <w:rPr>
          <w:rFonts w:ascii="IRNazanin" w:hAnsi="IRNazanin" w:eastAsia="IRNazanin"/>
          <w:color w:val="111111"/>
          <w:sz w:val="28"/>
          <w:sz w:val="28"/>
          <w:szCs w:val="28"/>
          <w:rtl w:val="true"/>
          <w:lang w:bidi="fa-IR"/>
        </w:rPr>
        <w:t>الصادرة منه صلّی اللّه علیه و آله سواء کان المراد هو المعنی الأصلی أو کان المراد هو المعانی المستحدثة، و لم یدّع أن جمیع استعمالاته صلّی اللّه علیه و آله کان المراد بها هو المعانی المستحدثة بواسطة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هذه الثمرة تتوقف علی ورود استعمال من الشارع لهذه الالفاظ مع التردد فی کون مراده من ذلک الاستعمال هو المعنی الاصلی أو المعنی الجدید، و لیس لدینا من استعمالاته ما یکون من هذا القبیل، بل إنّ جمیع ما ورد عنه معلوم المراد، فلا تکون الثمرة حینئذ الّا فرضیة،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هذه الدعوی تحتاج إلی تتبع، و هی و إن وردت فی القرآن الکریم معراة عن القرائن المتصلة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لدلوک الشمس </w:t>
      </w:r>
      <w:r>
        <w:rPr>
          <w:rStyle w:val="FootnoteAnchor"/>
          <w:rtl w:val="true"/>
        </w:rPr>
        <w:footnoteReference w:id="371"/>
      </w:r>
      <w:r>
        <w:rPr>
          <w:rFonts w:ascii="IRNazanin" w:hAnsi="IRNazanin" w:eastAsia="IRNazanin"/>
          <w:color w:val="111111"/>
          <w:sz w:val="28"/>
          <w:sz w:val="28"/>
          <w:szCs w:val="28"/>
          <w:rtl w:val="true"/>
          <w:lang w:bidi="fa-IR"/>
        </w:rPr>
        <w:t>و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Style w:val="FootnoteAnchor"/>
          <w:rtl w:val="true"/>
        </w:rPr>
        <w:footnoteReference w:id="372"/>
      </w:r>
      <w:r>
        <w:rPr>
          <w:rFonts w:ascii="IRNazanin" w:hAnsi="IRNazanin" w:eastAsia="IRNazanin"/>
          <w:color w:val="111111"/>
          <w:sz w:val="28"/>
          <w:sz w:val="28"/>
          <w:szCs w:val="28"/>
          <w:rtl w:val="true"/>
          <w:lang w:bidi="fa-IR"/>
        </w:rPr>
        <w:t>و ربما وردت فی الحدیث أیضا کذلک، لکن المراد بذلک و هو المعانی المستحدثة معلوم لنا و لو من جهة التفسیر الواصل إلینا و نحو ذلک من القرائن و لو مثل الإجماع، و هکذا الحال فیما لو استعملت و ارید منها المعنی السابق کما فی صلاة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حاصل الجملة الثانیة، و هی أنّه علی الثبوت تحمل علی المعانی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أشکلوا علی ذلک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الحقیقة الشرعیة لا یوجب هجر المعنی الأول، و أقصی ما فیه أنّه یوجب الاشتراک اللفظی فلا یکون أثرها إلّا الإجمال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التتبع شاهد فی أنّ أرباب الاختراع</w:t>
      </w:r>
    </w:p>
    <w:p>
      <w:pPr>
        <w:pStyle w:val="BookText"/>
        <w:rPr/>
      </w:pPr>
      <w:r>
        <w:rPr>
          <w:rFonts w:ascii="IRNazanin" w:hAnsi="IRNazanin" w:eastAsia="IRNazanin"/>
          <w:color w:val="111111"/>
          <w:sz w:val="28"/>
          <w:sz w:val="28"/>
          <w:szCs w:val="28"/>
          <w:rtl w:val="true"/>
          <w:lang w:bidi="fa-IR"/>
        </w:rPr>
        <w:t>عند ما یضعون لفظا لما یخترعونه، یکون غرضهم سلخ اللفظ عن معناه الأول و جعله للمعنی الذی اخترعوه، و لو بأن یستقرّ بناؤهم علی عدم استعماله فیه إلّا مع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هذه الجهة من القرائن العامة علی إرادة المعنی الشرعی عند استعماله حتی مع فرض عدم هجر الوضع السابق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عرفت أنّ الوضع الجدید یوجب بناءهم علی سلخ اللفظ عن المعنی السابق، فلا بد أن یکون مع هجر الاستعمال فیه إلا مع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یعود اللفظ عندهم مجازا فیه علی وجه لو صدر اللفظ منهم لا یحمل علی المعنی القدیم إلّا بالقرینة، و من ذلک تعرف التأمل فیما أفاده بعد ذلک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ذکرنا من طریقة أهل الصنائع إنّما هو فی الألفاظ المستحدثة غیر المسبوقة بوضع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فرض لا واقعیة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الألفاظ المتداولة بین العرف لا نسلّم کون طریقتهم فی التسمیة بها تفهیم المعنی بنفس اللفظ، بل من الممکن کون الغرض إحداث الاشتراک فی اللفظ بحیث یصیر عند عدم القرینة مجملا إلخ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مثل هذه الغایة ممّا یقطع بعدمها، فانّ الغرض من نقلهم اللفظ من معناه الأصلی إلی المعنی الجدید لیس إلّا لیکون اللفظ فی لسانهم ظاهرا فی الجدید، و لا یکون ظاهرا فیه الّا مع سلخه عن معناه الاول، و أنّ بناءهم قد استقر علی عدم استعماله فیه إلّا 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الفارق بین الاشتراک و النقل، فإنّ الوضع الثانی فی الاشتراک لا یکون إلّا من</w:t>
      </w:r>
      <w:bookmarkStart w:id="361" w:name="pg19834_212196"/>
    </w:p>
    <w:p>
      <w:pPr>
        <w:pStyle w:val="BookText"/>
        <w:rPr/>
      </w:pPr>
      <w:bookmarkEnd w:id="361"/>
      <w:r>
        <w:rPr>
          <w:rFonts w:ascii="IRNazanin" w:hAnsi="IRNazanin" w:eastAsia="IRNazanin"/>
          <w:color w:val="111111"/>
          <w:sz w:val="28"/>
          <w:sz w:val="28"/>
          <w:szCs w:val="28"/>
          <w:rtl w:val="true"/>
          <w:lang w:bidi="fa-IR"/>
        </w:rPr>
        <w:t>جهة عدم اطلاع الواضع الثانی علی الوضع الأول أو غفلته عنه أو نسیانه له، بخلاف النقل فانّه عبارة عن نقل اللفظ عن معناه الاول إلی المعنی الجدید، و لا یکون ذلک إلّا عبارة عن سلخه عن المعنی الأوّل، و لو بأن یلتزم هذا الواضع الجدید بعدم استعماله فی المعنی الأول إلّا بنحو عنایة و تجوز عن المعنی الجدید و نصب قرینة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لک أنّ النقل إلی المعنی الجدید لا یجتمع مع عدم هجر الوضع السابق، بل إنّ أساس النقل هو هجر المعنی السابق و عدم استعماله فیه إلّا مع القرینة</w:t>
      </w:r>
      <w:r>
        <w:rPr>
          <w:rFonts w:eastAsia="IRNazanin" w:cs="IRNazanin"/>
          <w:color w:val="111111"/>
          <w:sz w:val="28"/>
          <w:szCs w:val="28"/>
          <w:rtl w:val="true"/>
          <w:lang w:bidi="fa-IR"/>
        </w:rPr>
        <w:t>.</w:t>
      </w:r>
    </w:p>
    <w:p>
      <w:pPr>
        <w:pStyle w:val="Heading4"/>
        <w:numPr>
          <w:ilvl w:val="3"/>
          <w:numId w:val="1"/>
        </w:numPr>
        <w:rPr/>
      </w:pPr>
      <w:bookmarkStart w:id="362" w:name="__RefHeading___Toc3493687_2314609296"/>
      <w:bookmarkStart w:id="363" w:name="_Toc136"/>
      <w:bookmarkEnd w:id="362"/>
      <w:r>
        <w:rPr>
          <w:rtl w:val="true"/>
        </w:rPr>
        <w:t>[</w:t>
      </w:r>
      <w:r>
        <w:rPr>
          <w:rtl w:val="true"/>
        </w:rPr>
        <w:t>نقد کلام صاحب الکفایة قدّس سرّه فی المقام</w:t>
      </w:r>
      <w:bookmarkEnd w:id="36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یقال کما عن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فیردّه أنّ جملة من المعانی و إن کانت ثابتة فی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لم تکن یعبّر عنها بهذه الألفاظ بل بألفاظ أخر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الماهیّات و إن کانت موجودة فی الشرائع السابقة و کانت مخترعة قبل شرعنا، إلّا أنّ ذلک لا ینافی الحقیقة الشرعیة، لما عرفت فی المقدمة الاولی من أنّ المدار فی الحقیقة الشرعیة علی کون التسمیة منه صلّی اللّه علیه و آله و إن کان الاختراع من السابق، لکن لا یخفی أنّ کون التسمیة منه صلّی اللّه علیه و آله بهذه الأسماء یتوقف علی أنّ لا یجد فی لغته صلّی اللّه علیه و آله أسماء لهذه الماهیات، و حینئذ هو صلّی اللّه علیه و آله إمّا أن یخترع لها اسما ابتدائیا أو ینقل لها لفظا من لغته، بأن ینقل لفظ الصلاة من معنی الدعاء فی لغته صلّی اللّه علیه و آله إلی هذه الماهیة، و حینئذ فمن الممکن أن یجد لهذه الماهیّات أسماء خاصة فی لغته فلا یحتاج إلی النقل و لا إلی الاختراع، بل هو صلّی اللّه علیه و آله فی مقام بیان مراده یجری علی الأسماء التی وجدها لتلک الماهیات فی لغته صلّی اللّه علیه و آله الّا أنّا مع</w:t>
      </w:r>
    </w:p>
    <w:p>
      <w:pPr>
        <w:pStyle w:val="BookText"/>
        <w:rPr/>
      </w:pPr>
      <w:r>
        <w:rPr>
          <w:rFonts w:ascii="IRNazanin" w:hAnsi="IRNazanin" w:eastAsia="IRNazanin"/>
          <w:color w:val="111111"/>
          <w:sz w:val="28"/>
          <w:sz w:val="28"/>
          <w:szCs w:val="28"/>
          <w:rtl w:val="true"/>
          <w:lang w:bidi="fa-IR"/>
        </w:rPr>
        <w:t>ذلک ننقل الکلام إلی نفس أهل لغته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بعد أن اطلعوا علی تلک الحقائق اضطروا إلی بیانها بالألفاظ، فهم إمّا أن یخترعوا لها ألفاظا خاصة بها، أو ینقلوا لها لفظا ممّا فی لغتهم کما فی الصلاة من الدعاء، أو أنّهم لا یخترعون و لا ینقلون بل یتابعون، أعنی أنّهم یجرون فی تسمیتها علی ما کانت تسمی به، فیدخلونه فی لغتهم، فإن کان من قبلهم عربا مثلهم فهو و إلّا کان ذلک اللفظ الذی یجرون علیه کسائر الألفاظ التی جروا علیها و أدخلوها فی لغتهم من اللغات الاجنبیة کما یدعی فی القسطاس و نحوه، ثم بعد أن جاء صاحب شریعتنا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فی تلک الماهیات علی ما وجده من ألفاظها فی لغته، و هذا و إن لم یکن من الحقیقة الشرعیّة اصطلاحا، بمعنی أنّ جاعل الوضع هو صاحب شریعتنا، الّا أنّها لا تخرج عن کونها حقیقة شرعیة و لو بالنسبة إلی الشریعة السابقة، و لو فرضنا أنّها لغویة کما لو کان الذین سمّوها هم أهل اللغة العربیة فیما قبل زمانه، إلّا أنّه مع ذلک یترتب علیها الثمرة المترتبة علی الحقیقة الشرعیة الخاصة، و هو لزوم حملها علی هذه الماهیات عند ورودها فی لسانه صلّی اللّه علیه و آله مجردة عن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ذلک کلّه لا یخرج عن الاحتمال، إلّا أنّه نافع فی قبال الاستدلال علی عدم ثبوت الحقیقة الشرعیة بمجرد وجود هذه الماهیات قبل زمان الشارع</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الانصاف أنّه لیس لنا دلیل علی الثبوت، و إن کان الاعتبار یساعد علیه، إلّا أنّ مجرد مساعدة الاعتبار لا تکون دلیلا علی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الاعتبار فیما لو کان الشارع هو المخترع لهذه الماهیات، حیث إنّ اختراعه لها یناسب اختراع اسم لها، أمّا إذا کان المخترع لها من سبقه فلا یتأتی فیه</w:t>
      </w:r>
    </w:p>
    <w:p>
      <w:pPr>
        <w:pStyle w:val="BookText"/>
        <w:rPr/>
      </w:pPr>
      <w:r>
        <w:rPr>
          <w:rFonts w:ascii="IRNazanin" w:hAnsi="IRNazanin" w:eastAsia="IRNazanin"/>
          <w:color w:val="111111"/>
          <w:sz w:val="28"/>
          <w:sz w:val="28"/>
          <w:szCs w:val="28"/>
          <w:rtl w:val="true"/>
          <w:lang w:bidi="fa-IR"/>
        </w:rPr>
        <w:t>الاعتبار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أمره بها لا یوجب اختراع اسم لها، مع أنّ باب المجاز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فلو وصلت النوبة إلی الشک فالأصل مع المنکرین حتی بالنسبة إلی الاستعمالات العربیة قبل الشارع، لإمکان أنّهم لم یستعملوا هذه الالفاظ فی هذه الماهیات إلّا بالعنایة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هذا الأصل المعبّر عنه بأصالة عدم الوضع أو عدم النقل أنّه لو وردت مجردة عن القرینة فی کلام الشارع، و لم یکن المراد معلوما لنا، یکون اللازم هو حملها علی المعانی الأصلیّة، و یکون ترتب هذا الأثر أعنی لزوم حملها علی المعانی الأصلیة علی ذلک الاستعمال المقارن لعدم النقل، من قبیل الترتب علی الموضوع المرکب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 هو الاستعمال محرز بالوجدان و الآخر و هو عدم النقل محرز بالأصل، سواء قلنا إنّ الترکب من قبیل الاقتران فی وعاء الزمان أو قلنا إنّه تقییدی، أمّا الأول فواضح، و أمّا علی الثانی، فلأنّ عدم النقل و إن أخذناه فی المستعمل علی نحو مفاد لیس الناقصة، فهو أعنی مفاد لیس الناقصة ثابت باستصحاب حال ذلک المستعمل و أنّه لم یصدر عنه النقل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الحال فیما لو علم کلّ من النقل و الاستعمال و لم یعلم المقدّم منهما، فإنّ استصحاب عدم النقل إلی حین الاستعمال قاض بالحمل علی المعانی الأصلیة، و لا تعارضه أصالة عدم الاستعمال قبل النقل، إذ لا یترتب علیها الأثر إلّا بلازمها و هو وقوع الاستعمال بعد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التأمل فیما أفاده فی الکفایة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أصالة عدم النقل إنّما کانت معتبرة فیما إذا شک فی أصل النقل لا فی تأخره، فتأمل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الشک فیما نحن فیه و إن کان فی تأخّر النقل، إلّا أنّه لمّا کان مشکوک</w:t>
      </w:r>
    </w:p>
    <w:p>
      <w:pPr>
        <w:pStyle w:val="BookText"/>
        <w:rPr/>
      </w:pPr>
      <w:r>
        <w:rPr>
          <w:rFonts w:ascii="IRNazanin" w:hAnsi="IRNazanin" w:eastAsia="IRNazanin"/>
          <w:color w:val="111111"/>
          <w:sz w:val="28"/>
          <w:sz w:val="28"/>
          <w:szCs w:val="28"/>
          <w:rtl w:val="true"/>
          <w:lang w:bidi="fa-IR"/>
        </w:rPr>
        <w:t>الوجود قبل الاستعمال، کان الشک من هذه الجهة بالنسبة إلی تلک القطعة من الزمان شکا فی حدوث النقل فتجری فیه أصالة العدم، و هی بضمیمة الاستعمال کافیة فی الحکم بإرادة المعنی الأصلی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یثبت بناء من العقلاء علی التأخر مع الشک فکأنّه تکملة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اعتبارها تعبدا إلّا علی القول بالأصل المثبت، فإنّ أصالة تأخّر الاستعمال إلی ما بعد النقل لا بد من إرجاعها إلی أصالة عدم الاستعمال قبل النقل، و حینئذ لا یترتب علیها الأثر المطلوب و هو الحکم بأنّ المراد هو المعانی الجدیدة إلّا بلازمه و هو تأخّر ذلک الاستعمال عن النقل، و لیس التأخّر بنفسه من الاصول العقلائیة کی یدفع به إشکال المثبتیة، إذ لم یثبت بناء من العقلاء علی التأخر مع الشک، و إنّما جل ما عندهم هو أصالة العدم، و قد عرفت أنّها فی طرف الاستعمال قبل النقل مثبتة، و مقتضی ذلک أنّ الجاری هو أصالة العدم فی طرف النقل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عدمه إلی ما بعد الاستعمال، و هذا الأصل لا غبار علیه، و قد عرفت أنّه یترتب علیه الحکم بأنّ المتکلّم أراد المعانی القدیمة، إلّا أنّه قدّس سرّه أشکل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عدم النقل،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اندفاع هذا الاشکال، و لعلّه إلیه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أو لعلّه إشارة إلی عدم جریان الاصول و لو العدمیة فی موارد العلم الإجمالی بانتقاض الحالة السابقة فی أحدهما، لعدم اتصال زمان الشک بزمان الیقین، نظیر الاستصحاب فی موت المتوارثین، و نظیره فی تعاقب الحالتین من الطهارة و الحدث أو الطهارة و الخبث کما شرحه فی مباحث الاستصحاب فی موارد الشک فی التقدم و التأخر</w:t>
      </w:r>
      <w:r>
        <w:rPr>
          <w:rStyle w:val="FootnoteAnchor"/>
          <w:rtl w:val="true"/>
        </w:rPr>
        <w:footnoteReference w:id="377"/>
      </w:r>
      <w:r>
        <w:rPr>
          <w:rFonts w:ascii="IRNazanin" w:hAnsi="IRNazanin" w:eastAsia="IRNazanin"/>
          <w:color w:val="111111"/>
          <w:sz w:val="28"/>
          <w:sz w:val="28"/>
          <w:szCs w:val="28"/>
          <w:rtl w:val="true"/>
          <w:lang w:bidi="fa-IR"/>
        </w:rPr>
        <w:t>، و لعلّ هذا هو الأولی فی تفسیر وجه التأمل فی کلامه قدّس سرّه</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لو جهل التاریخان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الحال فیما لو کان تاریخ الاستعمال معلوما و کان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النقل </w:t>
      </w:r>
      <w:r>
        <w:rPr>
          <w:rStyle w:val="FootnoteAnchor"/>
          <w:rtl w:val="true"/>
        </w:rPr>
        <w:footnoteReference w:id="378"/>
      </w:r>
      <w:r>
        <w:rPr>
          <w:rFonts w:ascii="IRNazanin" w:hAnsi="IRNazanin" w:eastAsia="IRNazanin"/>
          <w:color w:val="111111"/>
          <w:sz w:val="28"/>
          <w:sz w:val="28"/>
          <w:szCs w:val="28"/>
          <w:rtl w:val="true"/>
          <w:lang w:bidi="fa-IR"/>
        </w:rPr>
        <w:t>مجهولا، فإنّ الجاری فیه هو أصالة عدم النقل إلی حین الاستعمال، أما عکسه بأن فرض العلم بتاریخ النقل و الشک فی تاریخ الاستعمال، فلا یجری فیه أصالة عدم النقل للعلم بتاریخه، کما لا یجری فیه أصالة عدم الاستعمال إلی حین النقل لکونه مثبتا، و حینئذ یکون المتعین فیه هی الاصول العملیة، و مقتضی ذلک هو الاحتیاط، لتردد الواجب بین المتباینین، أو تکون الشبهة من قبیل الأقل و الأکثر لو کان المعنی الأصلی جزءا من المعنی الجدید، فلاحظ و تأمّل</w:t>
      </w:r>
      <w:r>
        <w:rPr>
          <w:rFonts w:eastAsia="IRNazanin" w:cs="IRNazanin"/>
          <w:color w:val="111111"/>
          <w:sz w:val="28"/>
          <w:szCs w:val="28"/>
          <w:rtl w:val="true"/>
          <w:lang w:bidi="fa-IR"/>
        </w:rPr>
        <w:t>.</w:t>
      </w:r>
      <w:bookmarkStart w:id="364" w:name="pg19834_212201"/>
    </w:p>
    <w:p>
      <w:pPr>
        <w:pStyle w:val="Heading3"/>
        <w:numPr>
          <w:ilvl w:val="2"/>
          <w:numId w:val="1"/>
        </w:numPr>
        <w:rPr/>
      </w:pPr>
      <w:bookmarkStart w:id="365" w:name="__RefHeading___Toc3493689_2314609296"/>
      <w:bookmarkStart w:id="366" w:name="_Toc137"/>
      <w:bookmarkEnd w:id="364"/>
      <w:bookmarkEnd w:id="365"/>
      <w:r>
        <w:rPr>
          <w:rtl w:val="true"/>
        </w:rPr>
        <w:t>[</w:t>
      </w:r>
      <w:r>
        <w:rPr>
          <w:rtl w:val="true"/>
        </w:rPr>
        <w:t>الصحیح و الأعم</w:t>
      </w:r>
      <w:bookmarkEnd w:id="366"/>
    </w:p>
    <w:p>
      <w:pPr>
        <w:pStyle w:val="Heading4"/>
        <w:numPr>
          <w:ilvl w:val="3"/>
          <w:numId w:val="1"/>
        </w:numPr>
        <w:rPr/>
      </w:pPr>
      <w:bookmarkStart w:id="367" w:name="__RefHeading___Toc3493691_2314609296"/>
      <w:bookmarkStart w:id="368" w:name="_Toc138"/>
      <w:bookmarkEnd w:id="367"/>
      <w:r>
        <w:rPr>
          <w:rtl w:val="true"/>
        </w:rPr>
        <w:t>[</w:t>
      </w:r>
      <w:r>
        <w:rPr>
          <w:rtl w:val="true"/>
        </w:rPr>
        <w:t>توجیه جریان النزاع مع إنکار الحقیقة الشرعیة</w:t>
      </w:r>
      <w:r>
        <w:rPr>
          <w:rtl w:val="true"/>
        </w:rPr>
        <w:t>]</w:t>
      </w:r>
      <w:bookmarkEnd w:id="36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الثانی فإنّه یقع الکلام فی أنّ المعانی الشرعیة التی استعمل فیها الألفاظ مجازا، و لوحظ العلاقة بینها و بین المعانی اللغویة، هل هی المعانی الصحیحة أو الأعم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یکون هذا التوجیه موافقا لما أفاده صاحب الکفایة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یمکن أن یقال فی تصویره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النزاع وقع علی هذا فی أنّ الأصل فی هذه الألفاظ المستعملة مجازا فی کلام الشارع، هو استعمالها فی خصوص الصحیحة أو الأعم، بمعنی أنّ أیّهما قد اعتبرت العلاقة بینه و بین المعانی اللغویة ابتداء و قد استعمل فی الآخر بتبعه و مناسبته، کی ینزّل علیه کلامه مع القرینة الصارفة عن المعانی اللغویة، و عدم قرینة اخری معیّنة للآخر، إلخ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یتوهم من قول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بتبعه و مناسبته، أنّه یلزم علیه سبک مجاز عن مجاز، فإنّ لفظ الصلاة مثلا إذا کانت موضوعة فی اللغة للدعاء، ثم استعملها الشارع فی خصوص الصحیح مثلا لمناسبته لذلک المعنی اللغوی، کان الصحیح مجازا عن المعنی اللغوی حینئذ، فإذا استعملها فی الفاسد أو الأعم لأجل مناسبته للصحیح کان استعمالها فیه مجازا عن مجاز</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هذا التوهم بأنّ سبک المجاز عن المجاز إنّما هو فیما إذا کان</w:t>
      </w:r>
    </w:p>
    <w:p>
      <w:pPr>
        <w:pStyle w:val="BookText"/>
        <w:rPr/>
      </w:pPr>
      <w:r>
        <w:rPr>
          <w:rFonts w:ascii="IRNazanin" w:hAnsi="IRNazanin" w:eastAsia="IRNazanin"/>
          <w:color w:val="111111"/>
          <w:sz w:val="28"/>
          <w:sz w:val="28"/>
          <w:szCs w:val="28"/>
          <w:rtl w:val="true"/>
          <w:lang w:bidi="fa-IR"/>
        </w:rPr>
        <w:t>المعنی الأخیر غیر مناسب للمعنی الحقیقی و کان مناسبا للمعنی المجازی فقط، فحینئذ نحتاج إلی جعله مجازا عن المجاز، و أمّا إذا کان المعنی الأخیر مع کونه مناسبا للمعنی المجازی مناسبا أیضا للمعنی الحقیقی فلا حاجة إلی جعله مجازا عن المجاز بل نجعله مجازا عن المعنی الحقیقی، غایة الأمر أنّه یکون مجازا ثانیا لا ینتقل إلیه إلّا مع القرینة علی عدم إرادة المعنی الحقیقی و المعنی المجازی الأول، و قد أشار فی الکفایة إلی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أیهما قد اعتبرت العلاقة بینه و بین المعانی اللغویة ابتداء، إلخ، فإنّ الظاهر منه أنّ العلاقة موجودة بین المعانی اللغویة و بین کلا المعنیین لکنّها قد اعتبرت فی أحدهما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المعنی المجازی الأخیر مناسبا للمعنی اللغوی و هو مجاز عنه کالمجاز الأوّل، فلم یکون الانتقال بمجرّد وجود القرینة الصارفة عن المعنی اللغوی إلی المجاز الأوّل، و لا ینتقل إلی الثانی إلّا مع وجود قرینة تدلّ علی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ذلک لکون المجاز الثانی تابعا للأوّل و إن کانت مجازیته عن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المجاز الثانی تابعا للأول و متفرعا علیه أوجب ذلک الانتقال، و کون مجازیته عن المعنی الحقیقی یوجب عدم کونه من سبک المجاز عن مجاز، و لا تنافی بین المطلبین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أنّه إذا کان المجاز الثانی کالمجاز الأوّل مناسبا للمعنی الحقیقی، فلا وجه لجعل أحدهما أوّلا و الآخر ثانیا، و إلی ذلک أشار فی الکفایة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81"/>
      </w:r>
      <w:r>
        <w:rPr>
          <w:rFonts w:ascii="Amiri" w:hAnsi="Amiri" w:eastAsia="Amiri" w:cs="Amiri"/>
          <w:color w:val="111111"/>
          <w:sz w:val="28"/>
          <w:sz w:val="28"/>
          <w:szCs w:val="28"/>
          <w:rtl w:val="true"/>
          <w:lang w:bidi="ar-SA"/>
        </w:rPr>
        <w:t>، مع أنّ مجرّد کون أحدهما أوّلا</w:t>
      </w:r>
    </w:p>
    <w:p>
      <w:pPr>
        <w:pStyle w:val="BookText"/>
        <w:rPr/>
      </w:pPr>
      <w:r>
        <w:rPr>
          <w:rFonts w:ascii="IRNazanin" w:hAnsi="IRNazanin" w:eastAsia="IRNazanin"/>
          <w:color w:val="111111"/>
          <w:sz w:val="28"/>
          <w:sz w:val="28"/>
          <w:szCs w:val="28"/>
          <w:rtl w:val="true"/>
          <w:lang w:bidi="fa-IR"/>
        </w:rPr>
        <w:t>و الآخر ثانیا لا یوجب الانتقال إلی الأوّل بمجرد وجود القرینة الصارفة عن المعنی الحقیقی، و إلی ذلک أشار فی الکفایة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بناء الشارع، إلخ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 لمّا کان هو المطلوب و المراد، ففی مقام الاستعمال یکون هو المعتبر أوّلا، فبعد العلم بعدم إرادة المعنی الحقیقی یحکم بکونه هو المراد ما لم یکن قرینة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إنّما یتمّ علی القول بالصحیح فانّه هو مطلوب الشارع دون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یدّعی أنّ المنشأ فی کون أحد المجازین مجازا أوّلا و الآخر ثانیا هو کون الأوّل أقرب إلی المعنی الحقیقی، فالنزاع فی الحقیقة یکون فی أنّ أیّهما هو الأقرب إلی المعنی الحقیقی و الأنسب به کی ینتقل إلیه بمجرد وجود القرینة الصارفة عن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أنّ کلا من القائل بالصحیح و القائل بالأعم لا یمکنه إثبات القرب فیما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حاصل ما یرد علی التوجیه المذکور فی الکفایة، و هو الذی اختاره فی تقریرات الشیخ قدّس سرّه </w:t>
      </w:r>
      <w:r>
        <w:rPr>
          <w:rStyle w:val="FootnoteAnchor"/>
          <w:rtl w:val="true"/>
        </w:rPr>
        <w:footnoteReference w:id="383"/>
      </w:r>
      <w:r>
        <w:rPr>
          <w:rFonts w:ascii="IRNazanin" w:hAnsi="IRNazanin" w:eastAsia="IRNazanin"/>
          <w:color w:val="111111"/>
          <w:sz w:val="28"/>
          <w:sz w:val="28"/>
          <w:szCs w:val="28"/>
          <w:rtl w:val="true"/>
          <w:lang w:bidi="fa-IR"/>
        </w:rPr>
        <w:t>و أجاب عما یلزم ذلک من سبک المجاز عن المجاز، بأنه لیس من هذا القبیل، بل غایة ما فی ذلک أن المعنی المجازی الأول هل هو خصوص الصحیح ثم توسّع فی تعمیمه أو هو الأعم ثم توسع فی تخصیصه، کذا نقل عنه بعض أساتذتنا علی ما فی تقریراتی عنه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هذا الجواب لا یدفع الاشکال المزبور، حیث إنّ المجاز هو عین التوسع، فاذا فرض أنّه وقع التوسع فی المجاز فقد فرض</w:t>
      </w:r>
      <w:bookmarkStart w:id="369" w:name="pg19834_212204"/>
    </w:p>
    <w:p>
      <w:pPr>
        <w:pStyle w:val="BookText"/>
        <w:rPr/>
      </w:pPr>
      <w:bookmarkEnd w:id="369"/>
      <w:r>
        <w:rPr>
          <w:rFonts w:ascii="IRNazanin" w:hAnsi="IRNazanin" w:eastAsia="IRNazanin"/>
          <w:color w:val="111111"/>
          <w:sz w:val="28"/>
          <w:sz w:val="28"/>
          <w:szCs w:val="28"/>
          <w:rtl w:val="true"/>
          <w:lang w:bidi="fa-IR"/>
        </w:rPr>
        <w:t>التجوز فی المجاز و هو عبارة اخری عن سبک المجاز عن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فی الجواب هو ما ذکرناه، و لکن قد عرفت ما یتوجه علیه</w:t>
      </w:r>
      <w:r>
        <w:rPr>
          <w:rFonts w:eastAsia="IRNazanin" w:cs="IRNazanin"/>
          <w:color w:val="111111"/>
          <w:sz w:val="28"/>
          <w:szCs w:val="28"/>
          <w:rtl w:val="true"/>
          <w:lang w:bidi="fa-IR"/>
        </w:rPr>
        <w:t>.</w:t>
      </w:r>
    </w:p>
    <w:p>
      <w:pPr>
        <w:pStyle w:val="Heading4"/>
        <w:numPr>
          <w:ilvl w:val="3"/>
          <w:numId w:val="1"/>
        </w:numPr>
        <w:rPr/>
      </w:pPr>
      <w:bookmarkStart w:id="370" w:name="__RefHeading___Toc3493693_2314609296"/>
      <w:bookmarkStart w:id="371" w:name="_Toc139"/>
      <w:bookmarkEnd w:id="370"/>
      <w:r>
        <w:rPr>
          <w:rtl w:val="true"/>
        </w:rPr>
        <w:t>[</w:t>
      </w:r>
      <w:r>
        <w:rPr>
          <w:rtl w:val="true"/>
        </w:rPr>
        <w:t>توجیه آخر فی المقام و الاشکال علیه</w:t>
      </w:r>
      <w:bookmarkEnd w:id="371"/>
    </w:p>
    <w:p>
      <w:pPr>
        <w:pStyle w:val="BookText"/>
        <w:rPr/>
      </w:pPr>
      <w:r>
        <w:rPr>
          <w:rFonts w:ascii="IRNazanin" w:hAnsi="IRNazanin" w:eastAsia="IRNazanin"/>
          <w:color w:val="111111"/>
          <w:sz w:val="28"/>
          <w:sz w:val="28"/>
          <w:szCs w:val="28"/>
          <w:rtl w:val="true"/>
          <w:lang w:bidi="fa-IR"/>
        </w:rPr>
        <w:t>ثم لا یخفی أنه قد ذکر فی التقریرات المذکورة علی ما نقله بعض أساتذتنا وجها آخر، و لعلّ ما أفاده شیخنا قدّس سرّه هنا راجع إلیه بقرینة ما افید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و حاصل هذا الوجه هو جعل النزاع فیما شاع فی لسان الشارع و اشتهر التجوز عنه بهذه الألفاظ فی لسان المتشرعة حتی صارت تفیده بلا قرینة، هل هو خصوص الصحیح أو الاعم، و علیه فیمکن تنزیل العنوان علیه بأن یکون المراد من قولهم هل هذه الألفاظ موضوعة فی لسان المتشرعة للصحیح أو الأعم، و بذلک یستکشف ما یکون مشهورا فی لسان الشارع، حیث إنّ هذا الوضع عند المتشرعة ناش عن تلک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أفاده بعض اساتذتنا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یکون حینئذ هذا العنوان غیر ملائم للقول بثبوت الحقیقة الشرعیة کما لا یخفی، اللهم إلّا أن یقال إنّهم أیضا یستکشفون الموضوع له فی لسان الشارع بالموضوع له فی لسان المتشرعة، حیث إنّ هذه الحقیقة مناشئها ذلک الوضع الشرعی أو ذلک التجوز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اشکل علی هذا التوجیه بمنع الملازمة، إذ لا ملازمة بین کون المعنی موضوعا له فی لسان المتشرعة و بین کونه هو المشهور فی لسان الشارع، لجواز حدوث الشهرة بعد الشارع إن لم تکن الشهرة فی لسانه علی خلاف الوضع عند المتشرعة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الحقیقة المتشرعیة الناشئة عن کثرة المجاز المتشرعی الناشئ عن المجاز الشرعی الواقع فی لسان الشارع لا بد أن تکون مطابقة لذلک المجاز الشرعی الواقع فی لسانه، و حینئذ ینحل</w:t>
      </w:r>
      <w:bookmarkStart w:id="372" w:name="pg19834_212205"/>
    </w:p>
    <w:p>
      <w:pPr>
        <w:pStyle w:val="BookText"/>
        <w:rPr/>
      </w:pPr>
      <w:bookmarkEnd w:id="372"/>
      <w:r>
        <w:rPr>
          <w:rFonts w:ascii="IRNazanin" w:hAnsi="IRNazanin" w:eastAsia="IRNazanin"/>
          <w:color w:val="111111"/>
          <w:sz w:val="28"/>
          <w:sz w:val="28"/>
          <w:szCs w:val="28"/>
          <w:rtl w:val="true"/>
          <w:lang w:bidi="fa-IR"/>
        </w:rPr>
        <w:t>النزاع إلی أنّ المعنی الحقیقی المتشرعی هل خصوص الصحیح أو هو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الطریقة إنّما تأتی لو کان استعمال الشارع، أما لو کان من باب الاطلاق و التقیید فلا یمکن تأتّی الطریقة المذکورة، لأن التقیید تصرف فی متعلق الأمر، فلا تکون الحقیقة المتشرعیة إلّا کاشفة عن متعلق الأمر و هو لا یتّصف بالفساد</w:t>
      </w:r>
      <w:r>
        <w:rPr>
          <w:rFonts w:eastAsia="IRNazanin" w:cs="IRNazanin"/>
          <w:color w:val="111111"/>
          <w:sz w:val="28"/>
          <w:szCs w:val="28"/>
          <w:rtl w:val="true"/>
          <w:lang w:bidi="fa-IR"/>
        </w:rPr>
        <w:t>.</w:t>
      </w:r>
    </w:p>
    <w:p>
      <w:pPr>
        <w:pStyle w:val="Heading4"/>
        <w:numPr>
          <w:ilvl w:val="3"/>
          <w:numId w:val="1"/>
        </w:numPr>
        <w:rPr/>
      </w:pPr>
      <w:bookmarkStart w:id="373" w:name="__RefHeading___Toc3493695_2314609296"/>
      <w:bookmarkStart w:id="374" w:name="_Toc140"/>
      <w:bookmarkEnd w:id="373"/>
      <w:r>
        <w:rPr>
          <w:rtl w:val="true"/>
        </w:rPr>
        <w:t>[</w:t>
      </w:r>
      <w:r>
        <w:rPr>
          <w:rtl w:val="true"/>
        </w:rPr>
        <w:t>إشکال بعض محشی الکفایة علی هذه التوجیهات</w:t>
      </w:r>
      <w:bookmarkEnd w:id="374"/>
    </w:p>
    <w:p>
      <w:pPr>
        <w:pStyle w:val="BookText"/>
        <w:rPr/>
      </w:pPr>
      <w:r>
        <w:rPr>
          <w:rFonts w:ascii="Amiri" w:hAnsi="Amiri" w:eastAsia="Amiri" w:cs="Amiri"/>
          <w:color w:val="111111"/>
          <w:sz w:val="28"/>
          <w:sz w:val="28"/>
          <w:szCs w:val="28"/>
          <w:rtl w:val="true"/>
          <w:lang w:bidi="ar-SA"/>
        </w:rPr>
        <w:t xml:space="preserve">ثم إنّ بعض </w:t>
      </w:r>
      <w:r>
        <w:rPr>
          <w:rStyle w:val="FootnoteAnchor"/>
          <w:rtl w:val="true"/>
        </w:rPr>
        <w:footnoteReference w:id="384"/>
      </w:r>
      <w:r>
        <w:rPr>
          <w:rFonts w:ascii="IRNazanin" w:hAnsi="IRNazanin" w:eastAsia="IRNazanin"/>
          <w:color w:val="111111"/>
          <w:sz w:val="28"/>
          <w:sz w:val="28"/>
          <w:szCs w:val="28"/>
          <w:rtl w:val="true"/>
          <w:lang w:bidi="fa-IR"/>
        </w:rPr>
        <w:t>من کتب علی الکفایة قد زعم عدم الاحتیاج إلی هذه التوجیهات، لامکان کون الاتصاف بالصحیح و الفاسد من توابع المعنی اللغوی، و لم یکن المعنی الجدید زائدا علی المعنی اللغوی إلّا بأجزاء و 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موقوف علی اتصاف المعنی اللغوی بالصحة و الفساد، و الظاهر عدمه، فانّ الدعاء المطلق لا یتصف بکونه تاما و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اتصاف الدعاء بذلک لا یستلزم أن تکون الصحة و الفساد فی المعنی الشرعی هی نفس ما فی اللغوی، لجواز أن یکون الشرعی صحیحا و فاسدا من جهة اخری هی غیر جهة تمامیة الدعاء و عدم تمامیته، بل من جهة تمامیة بقیة الأجزاء و عدم تمامیتها، فان ما یکون فاسدا عند الشارع لا یلزمه أن یکون فاسدا لغة، و کلامنا إنّما هو فی الصحة و الفساد عند الشارع</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الفساد الشرعی قد یکون من جهة فساد ما اشتمل علیه من الدعاء الذی هو المدار فی اللغوی، و قد یکون لأجل فساد بقیة الأجزاء الأخر، و کذلک الصحة، فصحة الدعاء و فساده علی تقدیر تسلیم اتصافه</w:t>
      </w:r>
      <w:bookmarkStart w:id="375" w:name="pg19834_212206"/>
    </w:p>
    <w:p>
      <w:pPr>
        <w:pStyle w:val="BookText"/>
        <w:rPr/>
      </w:pPr>
      <w:bookmarkEnd w:id="375"/>
      <w:r>
        <w:rPr>
          <w:rFonts w:ascii="IRNazanin" w:hAnsi="IRNazanin" w:eastAsia="IRNazanin"/>
          <w:color w:val="111111"/>
          <w:sz w:val="28"/>
          <w:sz w:val="28"/>
          <w:szCs w:val="28"/>
          <w:rtl w:val="true"/>
          <w:lang w:bidi="fa-IR"/>
        </w:rPr>
        <w:t>بهما لا یغنیان عن الصحة و الفساد الشرعیین، فتأمل، هذا</w:t>
      </w:r>
      <w:r>
        <w:rPr>
          <w:rFonts w:eastAsia="IRNazanin" w:cs="IRNazanin"/>
          <w:color w:val="111111"/>
          <w:sz w:val="28"/>
          <w:szCs w:val="28"/>
          <w:rtl w:val="true"/>
          <w:lang w:bidi="fa-IR"/>
        </w:rPr>
        <w:t>.</w:t>
      </w:r>
    </w:p>
    <w:p>
      <w:pPr>
        <w:pStyle w:val="Heading4"/>
        <w:numPr>
          <w:ilvl w:val="3"/>
          <w:numId w:val="1"/>
        </w:numPr>
        <w:rPr/>
      </w:pPr>
      <w:bookmarkStart w:id="376" w:name="__RefHeading___Toc3493697_2314609296"/>
      <w:bookmarkStart w:id="377" w:name="_Toc141"/>
      <w:bookmarkEnd w:id="376"/>
      <w:r>
        <w:rPr>
          <w:rtl w:val="true"/>
        </w:rPr>
        <w:t>[</w:t>
      </w:r>
      <w:r>
        <w:rPr>
          <w:rtl w:val="true"/>
        </w:rPr>
        <w:t>اختلاف ثمرة النزاع فی مسألة الحقیقة الشرعیة عن مسألة الصحیح و الأعم</w:t>
      </w:r>
      <w:bookmarkEnd w:id="377"/>
    </w:p>
    <w:p>
      <w:pPr>
        <w:pStyle w:val="BookText"/>
        <w:rPr/>
      </w:pPr>
      <w:r>
        <w:rPr>
          <w:rFonts w:ascii="IRNazanin" w:hAnsi="IRNazanin" w:eastAsia="IRNazanin"/>
          <w:color w:val="111111"/>
          <w:sz w:val="28"/>
          <w:sz w:val="28"/>
          <w:szCs w:val="28"/>
          <w:rtl w:val="true"/>
          <w:lang w:bidi="fa-IR"/>
        </w:rPr>
        <w:t>و لکن لا یخفی أنّ ثمرة النزاع فی مسألة الحقیقة الشرعیة تختلف عنها فی مسألة الصحیح و الأعم، فانّ ثمرة النزاع فی الحقیقة الشرعیة تتوقّف علی تشخیص المجاز و الحقیقة لیحمل اللفظ عند التجرد عن القرائن علی المعنی الحقیقی، و حینئذ فهل المعنی الحقیقی هو المعنی الأصلی أو هو المعنی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ثمرة النزاع فی مسألة الصحیح و الأعم فلیست هی الحمل علی المعنی الحقیقی عند التجرد عن القرائن لیتوقف علی تشخیص المجاز و الحقیقة، بل هی إجمال الخطاب علی القول بالصحیح و عدم إجماله علی القول بالأعم، حتی لو قلنا بالحقیقة الشرعیة، فانه لو قلنا بأن الموضوع له هو خصوص الصحیح لم نحتج فی ترتیب ثمرة الصحیح علیه علی کونه مجازا فی الأعم، و کذلک العکس، لما هو واضح من أنّ هذه الثمرة لا تتوقف علی أن یکون فی البین معنی حقیقی و آخر مجازی، بل أقصی ما فی البین هو أن یقال إنّ المراد الاستعمالی سواء کان حقیقیا أو کان مجازیا، إن کان هو خصوص الصحیح کان الخطاب مجملا، و إن کان هو الأعم لم یکن الخطاب مجملا، و صحّ التمسک به لو تمت شرائطه من کونه واردا فی مقام البیان إلی آخر مقدمات الحکمة، سواء کان ذلک الاستعمال حقیقیا أو کان مجازیا، و کأنّ شیخنا قدّس سرّه فی عبارته الاولی ناظر إلی هذه الجهة، أما عبارته الثانیة اعنی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385"/>
      </w:r>
      <w:r>
        <w:rPr>
          <w:rFonts w:ascii="IRNazanin" w:hAnsi="IRNazanin" w:eastAsia="IRNazanin"/>
          <w:color w:val="111111"/>
          <w:sz w:val="28"/>
          <w:sz w:val="28"/>
          <w:szCs w:val="28"/>
          <w:rtl w:val="true"/>
          <w:lang w:bidi="fa-IR"/>
        </w:rPr>
        <w:t>فلعلّ النظر فیها إلی جهة اخری و هی أنه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طریق لنا إلی تحصیل المراد الاستعمالی فی کلام</w:t>
      </w:r>
    </w:p>
    <w:p>
      <w:pPr>
        <w:pStyle w:val="BookText"/>
        <w:rPr/>
      </w:pPr>
      <w:r>
        <w:rPr>
          <w:rFonts w:ascii="IRNazanin" w:hAnsi="IRNazanin" w:eastAsia="IRNazanin"/>
          <w:color w:val="111111"/>
          <w:sz w:val="28"/>
          <w:sz w:val="28"/>
          <w:szCs w:val="28"/>
          <w:rtl w:val="true"/>
          <w:lang w:bidi="fa-IR"/>
        </w:rPr>
        <w:t>الشارع، و حینئذ فعلینا استکشاف مراده الاستعمالی من الحقیقة المتشرعیة لکونها تابعة لما هو المراد الاستعمالی فی کلام الشارع، و حینئذ فعلینا أن ننظر فی أنّ هذه الحقیقة المتشرعیة هل هی خصوص الصحیح أو هی الأعم، و إذا أثبتنا أحد هذین الوجهین استکشفنا أنه هو المراد الاستعمالی فی کلام الشارع، فان کان هو الأول کان الکلام الشرعی مجملا، و ان کان هو الثانی أمکننا التمسک باطلاقه، و من الواضح أنّ ذلک کله لا یتوقف علی وجود مجاز للقول بالصحیح و للقول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صاحب الکفایة قد أخذ ذلک، أعنی وجود المجاز لکل من القولین علی عاتقه، فالتزم بما التزم به ممّا لا یخرج عن سبک المجاز عن مجاز، بناء علی عدم ثبوت الحقیقة الشرعیة،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النزاع وقع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القول بعدم ثبوت الحقیقة الشرعیة و أن الشارع لم یستعملها فی المعانی الجدیدة إلّا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الأصل فی هذه الألفاظ المستعملة مجازا فی کلام الشارع، هو استعمالها فی خصوص الصحیحة أو الأعم، بمعنی أنّ أیهما قد اعتبرت العلاقة بینه و بین المعانی اللغویة ابتداء و قد استعمل فی الآخر بتبعه و مناسبته، کی ینزّل کلامه علیه مع القرینة الصارفة عن المعانی اللغویة، و عدم قرینة اخری معیّنة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ما فی ذلک من لزوم سبک مجاز عن مجاز أو لزوم الابتدائیة و الأولیة لأحدهما بلا موجب، و قد عرفت أنّ صدر عبارته و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اعتبرت العلاقة بینه و بین المعانی اللغویة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یلائم کون المقام من باب أقرب المجازات، و ذیلها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یلائم سبک مجاز</w:t>
      </w:r>
    </w:p>
    <w:p>
      <w:pPr>
        <w:pStyle w:val="BookText"/>
        <w:rPr/>
      </w:pPr>
      <w:r>
        <w:rPr>
          <w:rFonts w:ascii="IRNazanin" w:hAnsi="IRNazanin" w:eastAsia="IRNazanin"/>
          <w:color w:val="111111"/>
          <w:sz w:val="28"/>
          <w:sz w:val="28"/>
          <w:szCs w:val="28"/>
          <w:rtl w:val="true"/>
          <w:lang w:bidi="fa-IR"/>
        </w:rPr>
        <w:t>عن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أنّا لو قلنا بثبوت الحقیقة الشرعیة، و قلنا بأن الموضوع له هو خصوص الصحیح مثلا، لا یلزمنا القول بأنه مجاز فی الأعم کی نحتاج فی طرد احتمال إرادته إلی أصالة الحقیقة أو أصالة عدم القرینة، ثم بعد إثبات أن المراد هو الصحیح نقول إنه یکون الدلیل مجملا لا یمکن التمسک باطلاقه علی نفی ما شک فی مدخلیته، و هکذا الحال لو قلنا بأن الحقیقة الشرعیة هی الأعم، لا یلزمنا القول بأنّه مجاز فی خصوص الصحیح کی نحتاج فی طرد احتمال إرادته الصحیح إلی أصالة الحقیقة أو أصالة عدم القرینة، ثم بعد إثبات أن المراد هو المعنی الحقیقی أعنی الأعم، نقول إن الدلیل یکون قابلا للتمسک باطلاقه علی نفی ما شک فی مدخلیته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بعد فرض قولنا بأحد الأمرین، نعلم بأن الشارع قد استعملها مجازا فی مقابله، و یکون الحاصل هو أن الشارع قد استعملها فی کل من الصحیح و الأعم، غایته أنه حقیقة فی أحدهما مجاز فی الآخر، و حینئذ نقول إنها لو وردت مجردة عن القرینة لا بد لنا من طرد احتمال الطرف المقابل إلی أصالة الحقیقة أو أصالة عدم القرینة، ثم بعد ثبوت أن المراد هو المعنی الحقیقی نقول إنه مجمل إذا کنا قائلین بالوضع لخصوص الصحیح، و أنه یمکن التمسک باطلاقه إذا کنا قائلین بالوضع للأعم، هذا لو قلنا بثبوت الحقیقة الشرعیة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لک الحال فیما لو قلنا بعدم الثبوت، و أنّ الشارع استعملها فی ذات الأرکان مجازا، کان الأمر فیه کما ذکرناه علی القول بثبوت الحقیقة الشرعیة، و ذلک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ثبت أنّ الشارع قد استعملها مع القرینة فی خصوص الصحیح تارة و فی الأعم اخری، ثم ورد منه استعمال لها فی ذات</w:t>
      </w:r>
    </w:p>
    <w:p>
      <w:pPr>
        <w:pStyle w:val="BookText"/>
        <w:rPr/>
      </w:pPr>
      <w:r>
        <w:rPr>
          <w:rFonts w:ascii="IRNazanin" w:hAnsi="IRNazanin" w:eastAsia="IRNazanin"/>
          <w:color w:val="111111"/>
          <w:sz w:val="28"/>
          <w:sz w:val="28"/>
          <w:szCs w:val="28"/>
          <w:rtl w:val="true"/>
          <w:lang w:bidi="fa-IR"/>
        </w:rPr>
        <w:t>الأرکان مجردة عن قرینة کونه صحیحا أو کونه هو الأعم، فحینئذ لو کنا قائلین بخصوص الصحیح یلزمنا أوّلا إثبات أنه مجاز أول یحکم بارادته بمجرد القرینة الصارفة، و هذه الطریقة أعنی کونه مجازا أول بمنزلة أصالة الحقیقة تثبت لنا أنّ مراده المجازی هو خصوص الصحیح، فنرتب علیه أثره و هو إجمال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کنا قائلین بالأعم لزمنا أیضا أوّلا إثبات أنه مجاز أول یحکم بارادته بمجرد القرینة الصارفة، ثم بعد إثبات ذلک نرتّب علیه أثره و هو إمکان التمسک باطلاق الخطاب علی نفی ما شک فی مدخلیته، و لعلّ هذا التفصیل هو مراد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إثبات کون ما یدعیه هو مجاز أول من دون سبک مجاز عن مجاز فی غایة الصعوبة، و لعله لأجل ذلک عدل شیخنا قدّس سرّه عن العبارة الاولی إلی العبارة الثانیة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ننتقل من هذه الحقیقة المتشرعیة إلی أنها هی ما استعمله الشارع فیه، و لا یخفی أنّ لازم ذلک هو أنّ الشارع لم یستعملها إلّا فی هذه الحقیقة المتشرعیة، و إلّا فمع العلم بأنّه استعملها فی الموردین لا مجال للاستکشاف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مع العلم بأن الشارع استعملها فی الموردین لا تتم طریقة الکفایة، لتوقفها علی دعوی المجاز الأول، کما لا تتم الطریقة الثانیة التی أفادها شیخنا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یکن لدینا إلّا أنّ الشارع قد استعملها فی ذات الأرکان مجازا، و لم یعلم أنه أراد الصحیح منها أو أراد الأعم، کانت هذه الحقیقة المتشرعیة کاشفة عن ذلک المستعمل فیه، إمّا هو خصوص الصحیح أو هو الأعم، و تمّت الطریقة الثانیة لشیخنا قدّس سرّه و لا مورد فیه لطریقة الکفایة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قطع النظر عن طریقة شیخنا قدّس سرّه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ممّن یدّعی</w:t>
      </w:r>
    </w:p>
    <w:p>
      <w:pPr>
        <w:pStyle w:val="BookText"/>
        <w:rPr/>
      </w:pPr>
      <w:r>
        <w:rPr>
          <w:rFonts w:ascii="IRNazanin" w:hAnsi="IRNazanin" w:eastAsia="IRNazanin"/>
          <w:color w:val="111111"/>
          <w:sz w:val="28"/>
          <w:sz w:val="28"/>
          <w:szCs w:val="28"/>
          <w:rtl w:val="true"/>
          <w:lang w:bidi="fa-IR"/>
        </w:rPr>
        <w:t>الصحیح و من یدّعی الأعم یحتاج فی إثبات دعواه إلی إقامة الدلیل علیها، و هذا أمر آخر لا دخل له بامکان تأتّی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لنضرب لذلک مثالا خارجیا، و هو أن نقول قد علمنا أن الشارع قد استعمل هذه الألفاظ مائة مرة فی خصوص الصحیح من هذه الماهیات، کما أنا نعلم أنه استعملها مائة مرة اخری فی الأعم، ثم عثرنا علی استعمال واحد لم نعلم أنه أراد به خصوص الصحیح أو أراد به الأعم، فهذه الصورة لا تاتی فیها طریقة شیخنا قدّس سرّه أعنی استکشاف المراد من ذلک الاستعمال الواحد من الحقیقة المتشرعیة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تأتی فیها طریقة الکفایة من دعوی الأولیة، لکنک قد عرفت منعها فی المقام، سواء کان المنشأ فیها هو الأقربیة إلی المعانی الأصلیة، أو کان المنشأ فیها هو سبک مجاز عن مجاز، أما إذا لم یکن لنا علم بحال تلک الاستعمالات أعنی المائتین و الواحد، و لم نعلم إلّا أنّه أراد بها المعانی الجدیدة مجازا، و لم نعلم أنها کلا للصحیح أو کلا للأعم أو هی مبعّضة، کانت طریقة شیخنا قدّس سرّه جاریة فیها، بل لعلّه یمکن إجراء طریقة الکفایة فیها، بدعوی أن المتعیّن مثلا هو کون المراد فی جمیع تلک الاستعمالات هو الأعم، أو کون المراد بها هو الصحیح، بدعوی کون ذلک هو المجاز الأول، لکنک قد عرفت المنع من هذه الأولیة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لو تمت طریقة صاحب الکفایة فی إجراء النزاع بین الصحیح و الأعم علی تقدیر عدم ثبوت الحقیقة الشرعیة، یکون جریان هذا النزاع علی تقدیر عدم الثبوت أوضح منه علی تقدیر الثبوت، إذ علی تقدیر عدم الثبوت یکون مدرک القول بالصحیح و مدرک القول بالأعم هو دعوی أولیة المجاز، و هی لو صحت یکون الأمر فیها سهلا، بخلاف ما لو قلنا بثبوت الحقیقة الشرعیة فانه یصعب إثبات القول بأنّه 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w:t>
      </w:r>
      <w:r>
        <w:rPr>
          <w:rStyle w:val="FootnoteAnchor"/>
          <w:rtl w:val="true"/>
        </w:rPr>
        <w:footnoteReference w:id="387"/>
      </w:r>
      <w:r>
        <w:rPr>
          <w:rFonts w:ascii="IRNazanin" w:hAnsi="IRNazanin" w:eastAsia="IRNazanin"/>
          <w:color w:val="111111"/>
          <w:sz w:val="28"/>
          <w:sz w:val="28"/>
          <w:szCs w:val="28"/>
          <w:rtl w:val="true"/>
          <w:lang w:bidi="fa-IR"/>
        </w:rPr>
        <w:t xml:space="preserve">أو أنّه هو الأعم، إذ لا مدرک للقولین حینئذ إلّا دعوی التبادر و صحة السلب، و هما فی غایة الصعوبة کما سیأتی ان شاء اللّه تعالی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ذکر أدلة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یسهل الأمر علی طریقة شیخنا قدّس سرّه </w:t>
      </w:r>
      <w:r>
        <w:rPr>
          <w:rStyle w:val="FootnoteAnchor"/>
          <w:rtl w:val="true"/>
        </w:rPr>
        <w:footnoteReference w:id="389"/>
      </w:r>
      <w:r>
        <w:rPr>
          <w:rFonts w:ascii="IRNazanin" w:hAnsi="IRNazanin" w:eastAsia="IRNazanin"/>
          <w:color w:val="111111"/>
          <w:sz w:val="28"/>
          <w:sz w:val="28"/>
          <w:szCs w:val="28"/>
          <w:rtl w:val="true"/>
          <w:lang w:bidi="fa-IR"/>
        </w:rPr>
        <w:t>و هو استکشاف حال الحقیقة الشرعیة بحال الحقیقة المتشرعیة، إلّا إذا کانت الحال فی الحقیقة المتشرعیة موقع شک من حیث الصحیح و الأعم، فنحتاج حینئذ إلی دعوی التبادر فی نفس الحقیقة المتشرعیة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طریقة التجوّز أو علی ثبوت الحقیقة الشرعیة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طریقة الاطلاق و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المنسوبة إلی الباقلانی</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فالظاهر أنّ طریقة الکفایة غیر نافعة فیها، و لأجل ذلک صوّر تأتّی النزاع علی هذا القول بصورة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تأتیها علی طریقة شیخنا قدّس سرّه فإنّا لو رجعنا إلی حقیقتنا المتشرعیة و وجدنا لفظ الصلاة فی عرفنا حقیقة فی الصحیح من ذات الأرکان، و إن أمکننا استکشاف أن الشارع استعملها فی الدعاء و قیّده بجمیع الأجزاء و الشرائط، إلّا أنّه لا یبقی لنا شی‌ء نشک فی قیدیته کی نقول إنه بناء علی الصحیح لا یکون لفظ الشارع مطلقا و حاکما بنفیه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إنّا لو وجدنا لفظ الصلاة فی عرفنا حقیقة فی الأعم، لم یمکننا أن نستکشف أن الشارع استعملها فی الدعاء و قیّده ببعض القیود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أن نفس هذا القول و هو أن الشارع لم یستعملها إلّا فی الدعاء و قیّده بقیود و أجزاء، هو موافق للقول بالأعم فی النتیجة، و هی صحة التمسک باطلاق کلام الشارع عند الشک فی اعتبار قید أو جزء، فلا معنی للقول بأنه بناء علیه یمکن تأتّی النزاع فی الصحیح و الأعم، و توجیهه بامکان النزاع فی القرینة المضبوطة التی لا یمکن رفع الید عنها إلّا بقرینة اخری، و أنّ مفاد تلک القرینة هو الصحیح الجامع أو أنّ مفادها هو الأعم کما فی الکفایة، ممّا لم یتضح وجهه، فانّ القرینة المضبوطة هی القرینة العامة مثل وقوع الأمر عقیب الحظر، و من الواضح أن ذلک إنما یتأتّی فی المجازات دون ما نحن فیه ممّا یکون اللفظ مستعملا فی أصل معناه و قد قیّد بقیود و قد شک فی اعتبار قید آخر، إذ لا یتصور حینئذ صحیح و أعم، بل کل دلیل اشتمل علی تقیید ینبغی لنا الأخذ به و ننفی الزائد بالبراءة، و حینئذ یکون الصحیح هو الواجد لذلک القید الذی دلّ الدلیل علی التقیید به، ثم لو جاء دلیل آخر بقید آخر فوق ذلک القید، ضممناه إلیه و کان الصحیح هو الواجد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کل دلیل یثبت لنا قیدا من القیود، و حینئذ فهذا القول إن شئت فسمّه قولا بالصحیح لهذه الجهة التی ذکرناها، و إن شئت فسمّه قولا بالأعم نظرا إلی إمکان التمسّک بالاطلاق فی نفی قیدیة المشکوک، هذا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الأولی فی توجیه النزاع هو ما أفاده الشیخ قدّس سرّه فی أول تحریر المسألة</w:t>
      </w:r>
      <w:r>
        <w:rPr>
          <w:rStyle w:val="FootnoteAnchor"/>
          <w:rtl w:val="true"/>
        </w:rPr>
        <w:footnoteReference w:id="391"/>
      </w:r>
      <w:r>
        <w:rPr>
          <w:rFonts w:ascii="IRNazanin" w:hAnsi="IRNazanin" w:eastAsia="IRNazanin"/>
          <w:color w:val="111111"/>
          <w:sz w:val="28"/>
          <w:sz w:val="28"/>
          <w:szCs w:val="28"/>
          <w:rtl w:val="true"/>
          <w:lang w:bidi="fa-IR"/>
        </w:rPr>
        <w:t xml:space="preserve">و تبعه علیه شیخنا قدّس سرّه </w:t>
      </w:r>
      <w:r>
        <w:rPr>
          <w:rStyle w:val="FootnoteAnchor"/>
          <w:rtl w:val="true"/>
        </w:rPr>
        <w:footnoteReference w:id="392"/>
      </w:r>
      <w:r>
        <w:rPr>
          <w:rFonts w:ascii="IRNazanin" w:hAnsi="IRNazanin" w:eastAsia="IRNazanin"/>
          <w:color w:val="111111"/>
          <w:sz w:val="28"/>
          <w:sz w:val="28"/>
          <w:szCs w:val="28"/>
          <w:rtl w:val="true"/>
          <w:lang w:bidi="fa-IR"/>
        </w:rPr>
        <w:t>فی صدر عبارته و حاصل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الشارع قد استعمل هذه الألفاظ فی هذه الماهیات، سواء کان بنحو الحقیقة</w:t>
      </w:r>
      <w:bookmarkStart w:id="378" w:name="pg19834_212213"/>
    </w:p>
    <w:p>
      <w:pPr>
        <w:pStyle w:val="BookText"/>
        <w:rPr/>
      </w:pPr>
      <w:bookmarkEnd w:id="378"/>
      <w:r>
        <w:rPr>
          <w:rFonts w:ascii="IRNazanin" w:hAnsi="IRNazanin" w:eastAsia="IRNazanin"/>
          <w:color w:val="111111"/>
          <w:sz w:val="28"/>
          <w:sz w:val="28"/>
          <w:szCs w:val="28"/>
          <w:rtl w:val="true"/>
          <w:lang w:bidi="fa-IR"/>
        </w:rPr>
        <w:t>أو کان بنحو التجوّز عن المعانی الأصلیة، فهل المراد من ذلک الذی استعملها الشارع فیه هو خصوص الصحیح أو هو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کونه مجازا أول کما هی طریقة الکفایة، أو کونه مستکشفا من الحقیقة المتشرعیة کما هی طریقة شیخنا قدّس سرّه فلا دخل له فی أصل النزاع، و إنما هو تصحیح لدعوی من یدعی الصحیح و دعوی من یدعی الأعم، و لا دخل لها فی تصویر النزاع، و إنّما تصلح لبیان الوجه فی کل من القولین، و لیس المقام مقام الاستدلال للقولین، بل المقام هو مقام بیان نفس القولین، و علی کل حال أنّ هذین الوجهین موجودان فی التقریرات </w:t>
      </w:r>
      <w:r>
        <w:rPr>
          <w:rStyle w:val="FootnoteAnchor"/>
          <w:rtl w:val="true"/>
        </w:rPr>
        <w:footnoteReference w:id="393"/>
      </w:r>
      <w:r>
        <w:rPr>
          <w:rFonts w:ascii="IRNazanin" w:hAnsi="IRNazanin" w:eastAsia="IRNazanin"/>
          <w:color w:val="111111"/>
          <w:sz w:val="28"/>
          <w:sz w:val="28"/>
          <w:szCs w:val="28"/>
          <w:rtl w:val="true"/>
          <w:lang w:bidi="fa-IR"/>
        </w:rPr>
        <w:t>عن الشیخ مضافین إلی الوجه الأول، فراجع</w:t>
      </w:r>
      <w:r>
        <w:rPr>
          <w:rFonts w:eastAsia="IRNazanin" w:cs="IRNazanin"/>
          <w:color w:val="111111"/>
          <w:sz w:val="28"/>
          <w:szCs w:val="28"/>
          <w:rtl w:val="true"/>
          <w:lang w:bidi="fa-IR"/>
        </w:rPr>
        <w:t>.</w:t>
      </w:r>
    </w:p>
    <w:p>
      <w:pPr>
        <w:pStyle w:val="Heading4"/>
        <w:numPr>
          <w:ilvl w:val="3"/>
          <w:numId w:val="1"/>
        </w:numPr>
        <w:rPr/>
      </w:pPr>
      <w:bookmarkStart w:id="379" w:name="__RefHeading___Toc3493699_2314609296"/>
      <w:bookmarkStart w:id="380" w:name="_Toc142"/>
      <w:bookmarkEnd w:id="379"/>
      <w:r>
        <w:rPr>
          <w:rtl w:val="true"/>
        </w:rPr>
        <w:t>[</w:t>
      </w:r>
      <w:r>
        <w:rPr>
          <w:rtl w:val="true"/>
        </w:rPr>
        <w:t>نقل ما فی الکفایة من تأتّی النزاع علی القول بالحقیقة الشرعیة و إنکارها</w:t>
      </w:r>
      <w:r>
        <w:rPr>
          <w:rtl w:val="true"/>
        </w:rPr>
        <w:t>]</w:t>
      </w:r>
      <w:bookmarkEnd w:id="380"/>
    </w:p>
    <w:p>
      <w:pPr>
        <w:pStyle w:val="BookText"/>
        <w:rPr/>
      </w:pPr>
      <w:r>
        <w:rPr>
          <w:rFonts w:ascii="IRNazanin" w:hAnsi="IRNazanin" w:eastAsia="IRNazanin"/>
          <w:color w:val="111111"/>
          <w:sz w:val="28"/>
          <w:sz w:val="28"/>
          <w:szCs w:val="28"/>
          <w:rtl w:val="true"/>
          <w:lang w:bidi="fa-IR"/>
        </w:rPr>
        <w:t>قوله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 لا شبهة فی تأتّی الخلاف علی القول بثبوت الحقیقة الشرعیة، و فی جریانه علی القول بالعدم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القول بالثبوت لم یکن بنحو الایجاب الکلی، و إنما هو بنحو الایجاب الجزئی، فحق العبارة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تأتّی الخلاف فیما ثبت کونه من الحقیقة الشرعیة، و أما علی القول بعدم الثبوت علی نحو السلب الکلی فقد عرفت أن القول بذلک یکون علی 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کون هذه الألفاظ حقائق فی هذه المعانی قبل شریعتنا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کون استعمال الشارع لها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الشارع المقدس لم یستعملها إلّا فی المعنی اللغوی أعنی الدعاء لکن بزیادة قیود و أجزاء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علی الأول من هذه الوجوه یجری النزاع فی الصحیح</w:t>
      </w:r>
    </w:p>
    <w:p>
      <w:pPr>
        <w:pStyle w:val="BookText"/>
        <w:rPr/>
      </w:pPr>
      <w:r>
        <w:rPr>
          <w:rFonts w:ascii="IRNazanin" w:hAnsi="IRNazanin" w:eastAsia="IRNazanin"/>
          <w:color w:val="111111"/>
          <w:sz w:val="28"/>
          <w:sz w:val="28"/>
          <w:szCs w:val="28"/>
          <w:rtl w:val="true"/>
          <w:lang w:bidi="fa-IR"/>
        </w:rPr>
        <w:t>و الاعم بلا شبهة کما لو قلنا بالحقیقة الشرعیة، نعم إنما یتأتّی الاشکال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الثالث فالاشکال فیه أقوی، و قد عرفت اندفاع الاشکال علی القول الثانی و عدم اندفاعه علی القول الثالث،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قضیة القرینة المضبوطة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مثال القرینة العامة المضبوطة هی کون الأمر عقیب الحظر أو فی مقام توهمه، یکون قرینة عامة علی عدم إرادة الالزام بالفعل، و بعد ثبوت هذه القرینة العامة یقال هل مقتضاها الحکم بارادة تساوی الطرفین علی وجه لا یحمل علی رجحان الترک و هو الکراهة إلّا بقرینة اخری، أو أنّ مقتضاها هو مجرد عدم إرادة الالزام بالفعل الشامل لتساوی الطرفین، أو رجحان الترک أو رجحان الفعل إلّا بقرینة اخری، و ما نحن فیه من هذا القبیل، فانّ لنا قرینة عامة دالة علی عدم إرادة الدعاء الخالص و أنّه قد قیّده الشارع بقیود، فهل مقتضی تلک القرینة العامة الدالة علی التقیید هو التقیید بجمیع الأجزاء و الشرائط، و لا یحمل علی مجرد التقیید فی الجملة إلّا بقرینة اخری و هو القول بالصحیح، أو أنّ مقتضی تلک القرینة العامة هو مجرد التقیید فی الجملة، و لا یحمل علی خصوص الجامع إلّا بقرینة اخری و هو القول بالأعم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قد عرفت أن القرینة العامة إنّما تتصور فی المجازات، أما بعد أن فرضنا أنّ لفظ الصلاة لم یستعمل إلّا فی الدعاء، و أن الشارع زاد علیه أجزاء و قیودا فلا حاجة فیه إلی هذا التطویل، بل الذی ینبغی هو الأخذ باطلاق الدعاء فی کل قید مشکوک، و لو فرضنا بعیدا أنه أمر بالدعاء و قال</w:t>
      </w:r>
      <w:bookmarkStart w:id="381" w:name="pg19834_212215"/>
    </w:p>
    <w:p>
      <w:pPr>
        <w:pStyle w:val="BookText"/>
        <w:rPr/>
      </w:pPr>
      <w:bookmarkEnd w:id="381"/>
      <w:r>
        <w:rPr>
          <w:rFonts w:ascii="IRNazanin" w:hAnsi="IRNazanin" w:eastAsia="IRNazanin"/>
          <w:color w:val="111111"/>
          <w:sz w:val="28"/>
          <w:sz w:val="28"/>
          <w:szCs w:val="28"/>
          <w:rtl w:val="true"/>
          <w:lang w:bidi="fa-IR"/>
        </w:rPr>
        <w:t>إنّه مقید بقیود فی الجملة، کان اللفظ مجملا، سواء کان الدال علی التقیید الاجمالی متصلا أو منفصلا، و لا دخل فی ذلک للقول بالصحیح و لا للقول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 الصحیح و الأعم إنّما هو مقام التسمیة أو مقام الاستعمال، فانّه یقع الکلام فی ان الموضوع له أو المستعمل فیه هل هو الصحیح أو هو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المقامان سابقان علی رتبة الأمر 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القیود التی زادها الشارع فی الدعاء بناء علی رأی الباقلانی </w:t>
      </w:r>
      <w:r>
        <w:rPr>
          <w:rStyle w:val="FootnoteAnchor"/>
          <w:rtl w:val="true"/>
        </w:rPr>
        <w:footnoteReference w:id="396"/>
      </w:r>
      <w:r>
        <w:rPr>
          <w:rFonts w:ascii="IRNazanin" w:hAnsi="IRNazanin" w:eastAsia="IRNazanin"/>
          <w:color w:val="111111"/>
          <w:sz w:val="28"/>
          <w:sz w:val="28"/>
          <w:szCs w:val="28"/>
          <w:rtl w:val="true"/>
          <w:lang w:bidi="fa-IR"/>
        </w:rPr>
        <w:t>إنما هی فی مقام الأمر و المأمور به، بمعنی أن الشارع عند تعلق أمره بالدعاء زاد فیه قیودا و أجزاء، و أین ذلک من مقام التسمیة أو مقام المستعمل فیه</w:t>
      </w:r>
      <w:r>
        <w:rPr>
          <w:rFonts w:eastAsia="IRNazanin" w:cs="IRNazanin"/>
          <w:color w:val="111111"/>
          <w:sz w:val="28"/>
          <w:szCs w:val="28"/>
          <w:rtl w:val="true"/>
          <w:lang w:bidi="fa-IR"/>
        </w:rPr>
        <w:t>.</w:t>
      </w:r>
    </w:p>
    <w:p>
      <w:pPr>
        <w:pStyle w:val="Heading4"/>
        <w:numPr>
          <w:ilvl w:val="3"/>
          <w:numId w:val="1"/>
        </w:numPr>
        <w:rPr/>
      </w:pPr>
      <w:bookmarkStart w:id="382" w:name="__RefHeading___Toc3493701_2314609296"/>
      <w:bookmarkStart w:id="383" w:name="_Toc143"/>
      <w:bookmarkEnd w:id="382"/>
      <w:r>
        <w:rPr>
          <w:rtl w:val="true"/>
        </w:rPr>
        <w:t>[</w:t>
      </w:r>
      <w:r>
        <w:rPr>
          <w:rtl w:val="true"/>
        </w:rPr>
        <w:t>تفسیر الصحة بالتمامیة و المناقشة فیه</w:t>
      </w:r>
      <w:bookmarkEnd w:id="38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الصحة واحد و هی التمامیة التی یعبّر عنها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أنّه قدّس سرّه یقول بأنّ الجزئیة و الشرطیة من الامور الانتزاعیة لعدم تأصلها بالجعل، و انّما المجعول للشارع ابتداء هو الأمر المتعلق بالمرکب المشتمل علی الشرائط الخاصة، و عن ذلک الأمر ینتزع الجزئیة و الشرطیة لکل واحد من أجزاء ذلک المرکب و شرائطه، و بناء علی ذلک لا یکون جزئیة الجزء و شرطیة الشرط إلّا متأخرة عن تعلق الأمر بالمرکب، و هو أعنی تعلق الأمر بالمرکب متأخر عن مقام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التمامیة التی هی عبارة عن تمامیة أجزاء المأمور به و شرائطه لا تکون إلّا متأخرة عن مقام تعلق الأمر، فکیف یعقل القول بأنّ الصلاة اسم للتام الذی هو الجامع لتمام أجزاء المأمور به و شرائطه، و حینئذ لا یکون القول بالوضع للصحیح بمعنی</w:t>
      </w:r>
    </w:p>
    <w:p>
      <w:pPr>
        <w:pStyle w:val="BookText"/>
        <w:rPr/>
      </w:pPr>
      <w:r>
        <w:rPr>
          <w:rFonts w:ascii="IRNazanin" w:hAnsi="IRNazanin" w:eastAsia="IRNazanin"/>
          <w:color w:val="111111"/>
          <w:sz w:val="28"/>
          <w:sz w:val="28"/>
          <w:szCs w:val="28"/>
          <w:rtl w:val="true"/>
          <w:lang w:bidi="fa-IR"/>
        </w:rPr>
        <w:t>التام معقولا فضلا عن عدم وجود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معقولا من هذه الناحیة أعنی ناحیة أخذ تمام أجزاء المأمور به فی المسمی لم یتوجه علیه إشکال الجامع، لأن کل واحد من المراتب المختلفة یکون مأمورا به و لو فی ذلک الحال من الاضطرار أو النسیان، و الجامع هو التام الجامع للأجزاء و الشرائط المأخوذة فی 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هذا الاشکال أعنی إشکال عدم معقولیة أخذ ما ینتزع عن الأمر فی المسمی الذی هو متعلق الأمر لا یختصّ بالقول بالصحیح، بل هو متأتّ علی القول بالأعم أیضا، لأنه عبارة عن دعوی عدم کون الموضوع له هو خصوص التام من تلک الأجزاء، بل إنّ الموضوع له هو الأعم من التام و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یکون الموضوع له هو الأجزاء التی لا تتحقق جزئیّتها إلّا بعد تعلق الأمر، سواء قلنا إن الموضوع له هو التام کما هو معنی القول بالصحیح، أو الأعم منه و من الناقص کما هو معنی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المتأخر عن الأمر إنما هو جزئیة أجزاء المأمور به لا أجزاء المسمی، بمعنی أنّ جزئیة جزء المسمی هی غیر جزئیة جزء المأمور به، و المتأخر فی الرتبة عن الأمر إنما هو الثانی، و السابق فی الرتبة علی الأمر إنما هو الأول، و مقام التسمیة إنما هو الأول دون الثانی، فتأمل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جزء المسمی بلفظ الصلاة أو شرطه مثلا إنما هو باعتبار کونه دخیلا فی الملاک الباعث علی الأمر بها، و ان کان حصول ذلک الملاک متوقفا علی الأمر بها و الاتیان بها بداعیه، و من الواضح أن کون الجزء أو الشرط دخیلا فی الملاک الباعث علی الأمر لا یکون إلّا سابقا فی الرتبة</w:t>
      </w:r>
    </w:p>
    <w:p>
      <w:pPr>
        <w:pStyle w:val="BookText"/>
        <w:rPr/>
      </w:pPr>
      <w:r>
        <w:rPr>
          <w:rFonts w:ascii="IRNazanin" w:hAnsi="IRNazanin" w:eastAsia="IRNazanin"/>
          <w:color w:val="111111"/>
          <w:sz w:val="28"/>
          <w:sz w:val="28"/>
          <w:szCs w:val="28"/>
          <w:rtl w:val="true"/>
          <w:lang w:bidi="fa-IR"/>
        </w:rPr>
        <w:t>علی الأمر، و هذا أعنی کون الجزء أو الشرط دخیلا فی الملاک المذکور هو مقام التسمیة، ثم بعد الفراغ عن ذلک المقام و بعد تعلق الأمر بذلک المرکب ینتزع عن ذلک الأمر جزئیة الجزء للمأمور به، فجزئیة الجزء بمعنی دخله فی ملاک الأمر لا تکون إلّا واقعیة منتزعة من مدخلیته فی الملاک، و جزئیته للمأمور به لا تکون إلّا شرعیة منتزعة من تعلق الأمر بالمرکب منه و من غیره، و حیث إنّ الامور الانتزاعیة لا واقعیة لها إلّا بمنشإ انتزاعها، فلا واقعیة لهذه الجزئیة، و لا تحقق لها إلّا باعتبار تحقق منشأ انتزاعها و هو تعلق الأمر بذلک الجزء فی ضمن تعلقه بالکل، أما الجزئیة السابقة فی الرتبة علی تعلق الأمر التی قلنا إنها عبارة عن مدخلیة ذلک الجزء فی الملاک الباعث علی الأمر، فهی و ان کانت واقعیة بمعنی کون ذلک الجزء جزءا من مجموع ما یترتب علیه الملاک، إلّا أنها لیست بشرعیة بل هی واقعیة تکوینیة ناشئة عن المدخلیة فی الملاک، بل لو لم نقل بالملاک و بالمدخلیة کانت تلک الجزئیة سابقة فی الرتبة علی الأمر، لأن مرتبة ما هو متعلق الأمر سابقة فی الرتبة علی نفس الأمر، فلا بد أن یکون اعتبار الجزئیة و الترکیب سابقا علی 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اتصاف ذلک الجزء من ذلک المرکب الاعتباری بکونه جزءا من المأمور به یکون متأخرا عن تعلق الأمر بذلک المرکب الاعتباری، فیصح لک أن تقول إن جزئیة الرکوع مثلا لذلک المرکب الاعتباری سابقة فی الرتبة علی تعلق الأمر، و إن کانت جزئیته لما هو المأمور به متأخرة عن الأمر، و الاولی غیر منتزعة من الأمر بخلاف الثانیة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جزء الملاحظ حال تعلق الأمر لا یکون منتزعا من الأمر لیکون متأخرا فی الرتبة عنه، بل هو سابق فی الرتبة علی تعلق الأمر أو مقارن له فی الرتبة، و لکن الجزئیة المنتزعة من تعلق الأمر تکون متأخرة فی</w:t>
      </w:r>
      <w:bookmarkStart w:id="384" w:name="pg19834_212218"/>
    </w:p>
    <w:p>
      <w:pPr>
        <w:pStyle w:val="BookText"/>
        <w:rPr/>
      </w:pPr>
      <w:bookmarkEnd w:id="384"/>
      <w:r>
        <w:rPr>
          <w:rFonts w:ascii="IRNazanin" w:hAnsi="IRNazanin" w:eastAsia="IRNazanin"/>
          <w:color w:val="111111"/>
          <w:sz w:val="28"/>
          <w:sz w:val="28"/>
          <w:szCs w:val="28"/>
          <w:rtl w:val="true"/>
          <w:lang w:bidi="fa-IR"/>
        </w:rPr>
        <w:t>الرتبة عن تعلق الأمر، و هذه الرتبة أعنی رتبة تعلق الأمر هی التی تجری فیها البراءة عند الشک فی الجزئیة، لا الجزئیة السابقة علی الأمر أو المقارنة له و لا المتأخرة عنه، و إن کان لازم نفی الأمر بذلک الجزء هو نفی الجزئیة فی کلا الرتبتین أعنی السابقة علی الأمر و اللاحقة له، فتأمل</w:t>
      </w:r>
      <w:r>
        <w:rPr>
          <w:rFonts w:eastAsia="IRNazanin" w:cs="IRNazanin"/>
          <w:color w:val="111111"/>
          <w:sz w:val="28"/>
          <w:szCs w:val="28"/>
          <w:rtl w:val="true"/>
          <w:lang w:bidi="fa-IR"/>
        </w:rPr>
        <w:t>.</w:t>
      </w:r>
    </w:p>
    <w:p>
      <w:pPr>
        <w:pStyle w:val="Heading4"/>
        <w:numPr>
          <w:ilvl w:val="3"/>
          <w:numId w:val="1"/>
        </w:numPr>
        <w:rPr/>
      </w:pPr>
      <w:bookmarkStart w:id="385" w:name="__RefHeading___Toc3493703_2314609296"/>
      <w:bookmarkStart w:id="386" w:name="_Toc144"/>
      <w:bookmarkEnd w:id="385"/>
      <w:r>
        <w:rPr>
          <w:rtl w:val="true"/>
        </w:rPr>
        <w:t>[</w:t>
      </w:r>
      <w:r>
        <w:rPr>
          <w:rtl w:val="true"/>
        </w:rPr>
        <w:t>تصویر الجامع علی القول بالوضع للصحیح</w:t>
      </w:r>
      <w:bookmarkEnd w:id="38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یکون الجامع هو الذی یترتب علیه النهی عن الفحشاء الذی هو علة التشریع و غرض من المأمور به، فان وحدة الغرض تکشف عن وحدة المؤثر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هذا الوجه و کذا ما بعده راجع إلی ما فی الکفایة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إشکال فی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الأفراد الصحیحة، و إمکان الاشارة إلیه بخواصه و آثاره، فان الاشتراک فی الأثر کاشف عن الاشتراک فی جامع واحد یؤثر الکل فیه بذلک الجامع، فیصح تصویر المسمی بلفظ الصلاة مثلا بالناهیة عن الفحشاء و ما هو معراج المؤمن 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 الکفایة هو أن الجامع المسمی بلفظ الصلاة هو المؤثر الذی تترتب علیه تلک الآثار لا الآثار نفسها، و لا العنوان المشتق منها کی یتوجه علیه الاشکالات التی أفادها شیخنا قدّس سرّه بل إنّ عبارته الأخیرة القائلة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الجامع إنما هو مفهوم واحد منتزع عن هذه المرکبات المختلفة زیادة و نقیصة بحسب اختلاف الحالات، متحد معها نحو اتحاد، و فی مثله تجری البراءة، و إنما لا تجری فیما إذا کان المأمور به أمرا واحدا خارجیا مسببا عن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00"/>
      </w:r>
      <w:r>
        <w:rPr>
          <w:rFonts w:ascii="IRNazanin" w:hAnsi="IRNazanin" w:eastAsia="IRNazanin"/>
          <w:color w:val="111111"/>
          <w:sz w:val="28"/>
          <w:sz w:val="28"/>
          <w:szCs w:val="28"/>
          <w:rtl w:val="true"/>
          <w:lang w:bidi="fa-IR"/>
        </w:rPr>
        <w:t>صریحة فی أنّ الجامع المسمی بلفظ الصلاة لیس هو تلک</w:t>
      </w:r>
    </w:p>
    <w:p>
      <w:pPr>
        <w:pStyle w:val="BookText"/>
        <w:rPr/>
      </w:pPr>
      <w:r>
        <w:rPr>
          <w:rFonts w:ascii="IRNazanin" w:hAnsi="IRNazanin" w:eastAsia="IRNazanin"/>
          <w:color w:val="111111"/>
          <w:sz w:val="28"/>
          <w:sz w:val="28"/>
          <w:szCs w:val="28"/>
          <w:rtl w:val="true"/>
          <w:lang w:bidi="fa-IR"/>
        </w:rPr>
        <w:t>الآثار أعنی النهی عن الفحشاء، بل الجامع إنما هو المؤثر لا بقید کونه مؤثرا و انما اخذ المؤثر معرّفا له، فالجامع المأمور به المسمی بلفظ الصلاة هو ذات المؤثر، و هو و إن کان بسیطا إلّا أنه لمّا کان عنوانا لتلک المرکبات، و کان متحدا معها اتحاد الکلی و مصادیقه و الطبیعی و أفراده، کان الأمر المتعلق به أمرا بتلک المرکبات و فی مثله تجری البراءة، نعم لو کان المسمی و المأمور به هو تلک الآثار، أو کان هو المؤثر بقید کونه مؤثرا لم یصح إجراء البراءة عند الشک فی تحققه، و ذلک واضح کما شرحناه فیما علقناه علی الکفایة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فی البین ماهیات مخترعة، و إن وقع الکلام فی أنّ هذه الألفاظ قد وضعها لها صاحب شریعتنا صلّی اللّه علیه و آله فتکون من الحقائق الشرعیة، أو أنها موضوعة لها قبله فتکون من الحقائق اللغویة، أو أنها لم توضع لها لا فی لسانه صلّی اللّه علیه و آله و لا فیما قبله و إنما استعملها هو صلّی اللّه علیه و آله فی تلک الماهیات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الخلاف إنما هو فی دلالة اللفظ علی تلک الماهیة، فهو لا یضر بما ذکرناه من کونها ماهیة من الماهیات غایته أنها من الماهیات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ریب أیضا فی انقسام تلک الماهیات إلی ما هو الصحیح و الفاسد، و انما وقع الکلام فی أن الموضوع له اللفظ بناء علی الحقیقة الشرعیة أو اللغویة، أو المستعمل فیه اللفظ بناء علی عدم ذلک، هل هو الشامل لکل من الصحیح و الفاسد أو أنه مختص بخصوص الصحیح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هناک معنی وضع اللفظ له أو استعمل فیه، و ذلک المعنی لو کان له لفظ آخر یؤدیه و یحکی عنه غیر لفظ الصلاة لعرفناه به، کما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الغضنفر أسد، لکن هذا المعنی سواء کان هو خصوص الصحیح</w:t>
      </w:r>
    </w:p>
    <w:p>
      <w:pPr>
        <w:pStyle w:val="BookText"/>
        <w:rPr/>
      </w:pPr>
      <w:r>
        <w:rPr>
          <w:rFonts w:ascii="IRNazanin" w:hAnsi="IRNazanin" w:eastAsia="IRNazanin"/>
          <w:color w:val="111111"/>
          <w:sz w:val="28"/>
          <w:sz w:val="28"/>
          <w:szCs w:val="28"/>
          <w:rtl w:val="true"/>
          <w:lang w:bidi="fa-IR"/>
        </w:rPr>
        <w:t>من تلک الماهیة أو کان هو الأعم من الصحیح و الفاسد لیس له لفظ آخر فاذا سألنا السائل عنه بأنه ما هو، لزمنا فی الجواب عنه تعریفه بآثاره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القول بالصحیح نقول إنه هو المؤثر فی النهی عن الفحشاء مثلا کما هو الشأن فی کل ماهیة لیس لها من الألفاظ ما هو موضوع لها إلّا لفظ واحد، فانا إذا أردنا أن نبیّن ما وضع له ذلک اللفظ لا مندوحة لنا إلّا بأن نبیّنه بآثاره و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الجامع لیس هو إلّا معنی الصلاة، و أنّ الموضوع له ذلک اللفظ لیس هو إلّا ذلک المعنی، لکن لو سألنا سائل عن حقیقة ذلک المعنی لم یکن لنا مندوحة إلّا أن نعرّفه بآثاره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کله تعرف الجواب عما أفاده شیخنا قدّس سرّه </w:t>
      </w:r>
      <w:r>
        <w:rPr>
          <w:rStyle w:val="FootnoteAnchor"/>
          <w:rtl w:val="true"/>
        </w:rPr>
        <w:footnoteReference w:id="401"/>
      </w:r>
      <w:r>
        <w:rPr>
          <w:rFonts w:ascii="IRNazanin" w:hAnsi="IRNazanin" w:eastAsia="IRNazanin"/>
          <w:color w:val="111111"/>
          <w:sz w:val="28"/>
          <w:sz w:val="28"/>
          <w:szCs w:val="28"/>
          <w:rtl w:val="true"/>
          <w:lang w:bidi="fa-IR"/>
        </w:rPr>
        <w:t>من الاشکال علی ما فی الکفایة، بأنّ الجامع لا بد أن یکون قریبا عرفیا یعرفه العرف، فلا یصح أن یکون ملاکیا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عرفت من وجود الجامع العرفی القریب و هو معنی الصلاة، غایته أنّ ذلک المعنی لیس له لفظ آخر غیر لفظ الصلاة، فاذا سألنا عن حقیقته نعرّفه للسائل بآثاره و لوازمه کما هو الشأن فی کل لفظ وضع لماهیة خاصة و لم یکن لتلک الماهیة لفظ آخر یدل علیها، فانّ تلک الماهیة التی وضع لها ذلک اللفظ تکون هی الجامعة بین أفراده، و لو سألنا سائل عن تلک الماهیة بأنها ما هی، لم یکن لنا بد من الجواب عن هذا السؤال بتعریفها بآثارها و لوازمها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السؤال عن منشأ هذه الملازمة بین هذه الأفعال و بین</w:t>
      </w:r>
    </w:p>
    <w:p>
      <w:pPr>
        <w:pStyle w:val="BookText"/>
        <w:rPr/>
      </w:pPr>
      <w:r>
        <w:rPr>
          <w:rFonts w:ascii="IRNazanin" w:hAnsi="IRNazanin" w:eastAsia="IRNazanin"/>
          <w:color w:val="111111"/>
          <w:sz w:val="28"/>
          <w:sz w:val="28"/>
          <w:szCs w:val="28"/>
          <w:rtl w:val="true"/>
          <w:lang w:bidi="fa-IR"/>
        </w:rPr>
        <w:t>النهی عن الفحشاء، فان کان هی العلیة التامة کانت من الأسباب التولیدیة و إلّا کانت من المعدّات، فلا ملازمة حینئذ، اللهم إلّا أن یدّعی أنّ ترتب ذلک علیها نظیر ترتب الثواب بوعد من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أنّ ذلک اشکال آخر، و حاصله أنه لا تلازم بین الصلاة و النهی إلّا اقتضائیا، فیخرج عن کونه من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تقریرات درس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بعد نقله عبارة الکفایة فی تصویر الجامع علی القول بالصحیح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تصویر الجامع الذاتی بین أفراد الصلاة مثلا فغیر معقول، فإنّ الصلاة لیست من الحقائق الخارجیة، بل هی عنوان اعتباری ینتزع عن امور متباینة کل واحد منها من نوع خاص و داخل تحت مقولة خاصة، و لیس صدق عنوان الصلاة علی هذه الامور المتباینة صدقا ذاتیا بحیث تکون ماهیة هذه المتکثرات عبارة عن الحیثیة الصلاتیة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تختلف أجزاؤها و شرائطها باختلاف حالات المکلفین من السفر و الحضر و الصحة و السقم و الاختیار و الاضطرار و نحو ذلک، و علی هذا فلا یعقل تصویر جامع ذاتی بین أجزائها فی مرتبة واحدة فکیف بین مراتبها المتفاوتة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الجامع العرضی فتصویره معقول، حیث إنّ جمیع مراتب الصلاة مثلا بما لها من الاختلاف فی الأجزاء و الشرائط تشترک فی کونها نحو توجه خاص و تخشّع مخصوص من العبد لساحة مولاه، یوجد هذا التوجه الخاص بایجاد أول جزء منها و یبقی إلی أن تتم، فیکون هذا التوجه بمنزلة الصورة لتلک الأجزاء المتباینة بحسب الذات، و تختلف کمالا</w:t>
      </w:r>
    </w:p>
    <w:p>
      <w:pPr>
        <w:pStyle w:val="BookText"/>
        <w:rPr/>
      </w:pPr>
      <w:r>
        <w:rPr>
          <w:rFonts w:ascii="IRNazanin" w:hAnsi="IRNazanin" w:eastAsia="IRNazanin"/>
          <w:color w:val="111111"/>
          <w:sz w:val="28"/>
          <w:sz w:val="28"/>
          <w:szCs w:val="28"/>
          <w:rtl w:val="true"/>
          <w:lang w:bidi="fa-IR"/>
        </w:rPr>
        <w:t xml:space="preserve">و نقصا باختلاف المراتب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ما تضمّنته الحاشیة</w:t>
      </w:r>
      <w:r>
        <w:rPr>
          <w:rStyle w:val="FootnoteAnchor"/>
          <w:rtl w:val="true"/>
        </w:rPr>
        <w:footnoteReference w:id="404"/>
      </w:r>
      <w:r>
        <w:rPr>
          <w:rFonts w:ascii="IRNazanin" w:hAnsi="IRNazanin" w:eastAsia="IRNazanin"/>
          <w:color w:val="111111"/>
          <w:sz w:val="28"/>
          <w:sz w:val="28"/>
          <w:szCs w:val="28"/>
          <w:rtl w:val="true"/>
          <w:lang w:bidi="fa-IR"/>
        </w:rPr>
        <w:t>راجع إلی هذا الاشکال أعنی استحالة الجامع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ذلک الاشکال جری الآملی </w:t>
      </w:r>
      <w:r>
        <w:rPr>
          <w:rStyle w:val="FootnoteAnchor"/>
          <w:rtl w:val="true"/>
        </w:rPr>
        <w:footnoteReference w:id="405"/>
      </w:r>
      <w:r>
        <w:rPr>
          <w:rFonts w:ascii="IRNazanin" w:hAnsi="IRNazanin" w:eastAsia="IRNazanin"/>
          <w:color w:val="111111"/>
          <w:sz w:val="28"/>
          <w:sz w:val="28"/>
          <w:szCs w:val="28"/>
          <w:rtl w:val="true"/>
          <w:lang w:bidi="fa-IR"/>
        </w:rPr>
        <w:t>فی تقریره درس الاستاذ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الاستاذ العراقی قدّس سرّه فی مقالته، فراجعه من صفحة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فلا قصور أیضا فی تشبیه الصلاة بالکلمة و الکلام من حیث الجامع الوجودی لا الذاتی الماهوی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أنّ أجزاء الصلاة و ان کانت مختلفة، فبعضها من مقولة الوضع و بعضها من مقولة الفعل، إلّا أنّ الاسم المجعول لذلک المرکب من الحقائق المختلفة لا یکون قدرا جامعا بین تلک الأجزاء، أ لا تری أنّ السکنجبین لیس قدرا جامعا بین الخل و السکر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الذی نتطلبه لیس هو الجامع بین أجزائها کی یقال إن المقولات المختلفة لا جامع بینها لکون المقولات من الأجناس العالیة، بل الجامع الذی نتطلبه إنما هو بین هذه الصلاة و بین الصلاة الاخری المخالفة لها فی الجملة فی الأجزاء و الشرائط، و من الواضح أن المجموع المرکب لیس من الماهیات الحقیقیة، بل هو من الماهیات الاعتباریة الناشئ عن لحاظ الوحدة الاعتباریة بین تلک الأجزاء، و حینئذ نقول إنّ الاسم المجعول لتلک الماهیة الاعتباریة أعنی لفظ الصلاة مثلا هو الجامع الذاتی بین أفرادها، أعنی هذه الصلاة و تلک الصلاة بالنسبة إلی تمام</w:t>
      </w:r>
    </w:p>
    <w:p>
      <w:pPr>
        <w:pStyle w:val="BookText"/>
        <w:rPr/>
      </w:pPr>
      <w:r>
        <w:rPr>
          <w:rFonts w:ascii="IRNazanin" w:hAnsi="IRNazanin" w:eastAsia="IRNazanin"/>
          <w:color w:val="111111"/>
          <w:sz w:val="28"/>
          <w:sz w:val="28"/>
          <w:szCs w:val="28"/>
          <w:rtl w:val="true"/>
          <w:lang w:bidi="fa-IR"/>
        </w:rPr>
        <w:t>الأفراد المتوافقة فی الأجزاء و الشرائط أو المختلفة فیها فی الجملة، حتی ما کان منها مشتملا علی الرکعتین و ما کان منها مشتملا علی أربع رکعات، و لا یکون إلّا من قبیل الماهیة لا بشرط الجامع بین الماهیة بشرط لا و الماهیة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المانع من الجامع الذاتی هو اختلاف أجزاء الصلاة بالمقولة فکیف یعقل أن یکون لها جامع عرضی، فانّ المقولات هی الأجناس العالیة للأعراض، فکیف یعقل أن تکون معروضة لعارض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فرض الجامع بین هذه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ذاتیا أو کان عرضیا، و سواء کانت تلک الأجزاء متحدة الهویة أو کانت مختلفة الهویة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 المسألة من ناحیة اخری، لأن مقتضی استناد الأثر إلی الجامع خروج الأجزاء عن کونها أجزاء فی العلة علی وجه یکون ترتب الأثر متوقفا علی اجتماعها، بل یوجب کون المسألة من باب اجتماع العلل التامة المتعددة علی وجه یکون کل واحد منها کافیا فی ترتب ذلک الأثر لو انفرد عن غیره، و أین هذا مما نحن فیه ممّا تکون العلة مرکبة من أجزاء متعددة علی وجه یکون ترتب الأثر متوقفا علی اجتماعها بحیث إنه لو انتفی جزء واحد منها ینتفی الأثر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ثلاث مسائل،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التامة المتباینة المتبادلة بحسب الوجود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تلک المسألة لکن اتفق اجتماع تلک العلل التامة المتباینة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هاتین المسألتین لا بد من وجود الجامع بین تلک العلل المتباینة بحسب الصورة، و یکون المؤثر هو ذلک القدر الجامع و هو واحد لا تعدد فیه، سواء کانت أفراده متبادلة الوجود أو اتفق اجتماعها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w:t>
      </w:r>
    </w:p>
    <w:p>
      <w:pPr>
        <w:pStyle w:val="BookText"/>
        <w:rPr/>
      </w:pPr>
      <w:r>
        <w:rPr>
          <w:rFonts w:ascii="IRNazanin" w:hAnsi="IRNazanin" w:eastAsia="IRNazanin"/>
          <w:color w:val="111111"/>
          <w:sz w:val="28"/>
          <w:sz w:val="28"/>
          <w:szCs w:val="28"/>
          <w:rtl w:val="true"/>
          <w:lang w:bidi="fa-IR"/>
        </w:rPr>
        <w:t>یکون ذلک القدر الجامع ذاتیا، إذ لو کان عارضا خرجت ذوات تلک الأفراد عن العلیة، و کانت العلة هی ذلک العارض، و هو خلاف الفرض من کون العلل هی ذوات تلک الأفراد، غایته أن نسبة القدر الجامع إلی تلک العلل کنسبة الجنس إلی الأنواع التی هی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العلة المرکبة من أجزاء متباینة، سواء کانت متحدة الهویة أو کانت مختلفة الهویة، و هی لا تتوقف علی الجامع الذاتی أو العرضی، بل إن فرض الجامع بینها یخرجها عن أجزاء العلة و یجعلها من قبیل أفراد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لا تکون العلة إلا تمام ذلک المرکب من تلک الأجزاء، أعنی أن العلة هو اجتماع تلک الأجزاء کما هو الشأن فی جمیع الآثار المترتبة علی المرکبات، سواء کانت الآثار شرعیة أو کانت تکوینیة، و سواء کان الترکب حقیقیا أو کان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تحریر هذه الکلمات راجعت حاشیة العلّامة الاصفهانی قدّس سرّه علی الکفایة مراجعة سطحیة إذ لم تکن حاضرة عندی، و الذی أظن أنّ المأخذ لهذه الاشکالات فی هذه التحریرات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الأفراد المرکبة من مقولات متباینة لا یعقل أن یکون لها جامع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 إن الأفراد المؤلفة من العوارض المختلفة لا یعقل الجامع الذاتی البسیط بینها، لأن الأعراض بأسرها بسائط فلا جنس لها کی یکون هو الجامع الذاتی بین تلک الأفراد المؤلفة من تلک الأعراض المختلفة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أن یکون الجامع من الأعراض، إذ لا أعراض للأعراض، و حینئذ ینحصر الأمر فی الجامع بکونه انتزاعیا لا حقیقیا سواء کان ذاتیا أو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حینئذ فی أنّ العلة فی ذلک الأثر الواحد لیس هو ذلک الجامع الانتزاعی، إذ الانتزاعی لا واقعیة له، و لا بد حینئذ من الالتزام بکون العلة فی ذلک الأثر الواحد هو نفس ذلک المرکب، ففی الأفراد من الصلاة المتحدة أجزاء و شرائط لا إشکال، لأن العلة هو ذلک المرکب الجامع لجمیع الأجزاء و الشرائط، فکلما وجد ذلک المرکب بتمامه ترتب علیه معلوله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الاشکال فی الأفراد الصحیحة المتفاوتة فی الأجزاء و الشرائط، و لا بد حینئذ من الالتزام بأنّ ذلک التفاوت مع فرض صحة الجمیع یکون موجبا لاختلاف تلک الأفراد المتفاوتة بحسب المرتبة، و حینئذ لا بد من الالتزام باختلاف المرتبة فی الأثر علی حذو تفاوت درجة الحرارة المعلولة للنار مثلا المفروض اختلافها فی المرتبة من حیث القلة و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المرکبات الخارجیة، سواء کانت من جواهر کما فی المعاجین و کما فی السکنجبین، أو کانت مرکبة من أعراض متحدة بحسب الهویة و المقولة، أو کانت مختلفة بحسب المقولة، یکون الکلام فیها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نفس الأجزاء، و هذه لا یعقل أخذ الجامع فیها و إلّا لخرجت عن کونها أجزاء و عادت أفرادا لذلک الجامع علی وجه لو کان فی البین أثر لم یکن متوقفا علی اجتماعها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أفراد ذلک المرکب مثل هذا المعجون و ذلک المعجون الآخر، و هذا السکنجبین و ذلک السکنجبین الآخر، و هذه الصلاة و تلک الصلاة الاخری، و لو کانتا متوافقتین من حیث الأجزاء و الشرائط،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یعقل وجود الجامع الذاتی البسیط بین تلک الأفراد، لأنّه</w:t>
      </w:r>
    </w:p>
    <w:p>
      <w:pPr>
        <w:pStyle w:val="BookText"/>
        <w:rPr/>
      </w:pPr>
      <w:r>
        <w:rPr>
          <w:rFonts w:ascii="IRNazanin" w:hAnsi="IRNazanin" w:eastAsia="IRNazanin"/>
          <w:color w:val="111111"/>
          <w:sz w:val="28"/>
          <w:sz w:val="28"/>
          <w:szCs w:val="28"/>
          <w:rtl w:val="true"/>
          <w:lang w:bidi="fa-IR"/>
        </w:rPr>
        <w:t>منحصر بالجنس أو النوع لهاتیک الأفراد، و لا بد أن یکون أوسع من تلک الأفراد، إلّا إذا کانت أجزاء ذلک المرکب عبارة عن جمیع ما هو مندرج تحت ذلک الجنس أو ذلک النوع، و إلّا لم یکن هو الجامع المطلوب فی المقام، لأنّه لا بد من کونه مانعا مضافا إلی کونه جامعا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الجامع البسیط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الجامع العرضی، فهو مضافا إلی عدم معقولیته فی المرکب من الأعراض و إنما یمکن فی المرکب من الجوهر، لا یکون نفسه هو المؤثر ذلک الأثر المترتب علی ذلک المرکب، بل إنّ المؤثر هو المرکب نفسه لا الجامع العرضی المنطبق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فیما لو فرضناه انتزاعیا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انسد علینا باب الجامع البسیط کان المتعین هو الجامع المرکب، لکنه إنما یجدی فی المرکبات من الأجزاء المحدودة المعدودة مثل السکنجبین و المعاجین، فان الجامع فیها ما یکون من أجزائه المحدودة المعدودة، فیصح أن ینظر المخترع إلی ما ألّفه من تلک الأجزاء الخاصة و یجعل له اسما خاصا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لم تکن الأجزاء مضبوطة و محدودة، بل کانت متبادلة و مختلفة من حیث العدد و الکیفیة، فلا یمکن الجامع المرکب بین أفراده کما فی الصلاة الصحیحة لیضع له لفظا مخصوصا حتی بطریق الاشارة إلیه بما لو أمر به لکان مسقطا للأمر، أو بعنوان المطلوب أو المؤثر الأثر الکذائی، فانّ المشار إلیه بهذه العناوین لمّا کان یختلف حاله من حیث الکیفیة و القلة و الکثرة، لم یصح وضع اللفظ لکل واحد من تلک المرکبات المختلفة إلّا بنحو الوضع العام و الموضوع له الخاص، و هو أیضا متوقف علی وجود الجامع البسیط لیکون حاکیا عن تلک المرکبات المختلفة، هذا کله علی</w:t>
      </w:r>
    </w:p>
    <w:p>
      <w:pPr>
        <w:pStyle w:val="BookText"/>
        <w:rPr/>
      </w:pPr>
      <w:r>
        <w:rPr>
          <w:rFonts w:ascii="IRNazanin" w:hAnsi="IRNazanin" w:eastAsia="IRNazanin"/>
          <w:color w:val="111111"/>
          <w:sz w:val="28"/>
          <w:sz w:val="28"/>
          <w:szCs w:val="28"/>
          <w:rtl w:val="true"/>
          <w:lang w:bidi="fa-IR"/>
        </w:rPr>
        <w:t>القول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بالأعم فلا مانع منه، بأن یکون الموضوع له هو ما یتألف من هذه الأجزاء، قلیلا کان أو کثیرا، صحیحا کان أو فاسدا، و یکون حال لفظ الصلاة بالنسبة إلی تلک الأجزاء التی تتألف منها حال لفظ القوم و الرهط و الرکب و العشیرة و القبیلة، بل حال الکلام أو الکلم بالنسبة إلی الأجزاء التی یترکب و یتألف من مجموعها لا من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الآثار مثل النهی عن الفحشاء و مثل قربان کل تقی و عمود الدین و نحو ذلک، فالظاهر أنها لا تترتب علی المسمی، و إنّما تترتب علی ما یکون متعلقا للأمر و یکون مسقطا و مبرئا للذمة و مقرّبا منه تعالی بالاتیان بها بداعی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بنیّة القربة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بعد إسقاطکم هذه الآثار عن المسمی و إلحاقها بما هو المأمور به، أعنی ما یؤتی به من تلک الأفعال بداعی الأمر و القربة منه تعالی فلا مانع لکم من الالتزام بوجود جامع بسیط انتزاعی بین هذه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الجامع الذاتی لا یعقل فی جمیع المرکبات الخارجیة، و العرضی لا یعقل فی خصوص ما نحن فیه ممّا هو مرکب من الأعراض، أمّا الجامع الانتزاعی فلا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لا مانع منه عقلا و لکن أین هو و ما هو، و لو تصورناه لم یکن هو الموضوع له لفظ الصلاة، إذ لا ریب فی أن الموضوع له لفظ الصلاة فی عرفنا و فی عرف الشارع أیضا لیس إلّا نفس تلک الأفعال دون ما یتخیل انتزاعه عنها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لک أنّ المتعین هو القول بالأعم، و أنّه هو الصحیح من القولین دون القول بالصحیح، فلا حاجة فی الاستدلال علیه</w:t>
      </w:r>
      <w:bookmarkStart w:id="387" w:name="pg19834_212228"/>
    </w:p>
    <w:p>
      <w:pPr>
        <w:pStyle w:val="BookText"/>
        <w:rPr/>
      </w:pPr>
      <w:bookmarkEnd w:id="387"/>
      <w:r>
        <w:rPr>
          <w:rFonts w:ascii="IRNazanin" w:hAnsi="IRNazanin" w:eastAsia="IRNazanin"/>
          <w:color w:val="111111"/>
          <w:sz w:val="28"/>
          <w:sz w:val="28"/>
          <w:szCs w:val="28"/>
          <w:rtl w:val="true"/>
          <w:lang w:bidi="fa-IR"/>
        </w:rPr>
        <w:t xml:space="preserve">بالتبادر و نحوه، لما عرفت من عدم معقولیة القول بالصحیح، فیتعین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بالأعم </w:t>
      </w:r>
      <w:r>
        <w:rPr>
          <w:rStyle w:val="FootnoteAnchor"/>
          <w:rtl w:val="true"/>
        </w:rPr>
        <w:footnoteReference w:id="407"/>
      </w:r>
      <w:r>
        <w:rPr>
          <w:rFonts w:ascii="IRNazanin" w:hAnsi="IRNazanin" w:eastAsia="IRNazanin"/>
          <w:color w:val="111111"/>
          <w:sz w:val="28"/>
          <w:sz w:val="28"/>
          <w:szCs w:val="28"/>
          <w:rtl w:val="true"/>
          <w:lang w:bidi="fa-IR"/>
        </w:rPr>
        <w:t xml:space="preserve">هذا لو کان فی البین وضع أو استعمال فی معنی جدید، أما علی قول الباقلانی </w:t>
      </w:r>
      <w:r>
        <w:rPr>
          <w:rStyle w:val="FootnoteAnchor"/>
          <w:rtl w:val="true"/>
        </w:rPr>
        <w:footnoteReference w:id="408"/>
      </w:r>
      <w:r>
        <w:rPr>
          <w:rFonts w:ascii="IRNazanin" w:hAnsi="IRNazanin" w:eastAsia="IRNazanin"/>
          <w:color w:val="111111"/>
          <w:sz w:val="28"/>
          <w:sz w:val="28"/>
          <w:szCs w:val="28"/>
          <w:rtl w:val="true"/>
          <w:lang w:bidi="fa-IR"/>
        </w:rPr>
        <w:t>و ما هو أعلی منه من کون الموضوع له و المستعمل فیه هو الخشوع و الحضور و نحو ذلک فلا ریب أنه یسقط القولان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أفاده فی التقریر المشار إلیه من کون الجامع العرضی هو التوجه الخاص، فکأنه مبنی علی ما أفاده فی مبحث الحقیقة الشرعیة و أنّ الصلاة لیست إلّا ذلک التوجه الخاص الذی کان علیه أهل الأدیان السابقة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کل واحد من الأدیان الصحیحة و الباطلة یوجد فیه عمل مخصوص وضع مثلا لأن یتوجه به العبد إلی مولاه و یتخضّع لدیه بنحو یلیق بساحة من یعتقده مولی له، و لا محالة کان لهذا السنخ من العمل فی کل لغة لفظ یخصه، و کان فی لغة العرب و عرفهم یسمی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صلاتهم عند البیت إلّا مکاء و تصدیقة</w:t>
      </w:r>
      <w:r>
        <w:rPr>
          <w:rStyle w:val="FootnoteAnchor"/>
          <w:rtl w:val="true"/>
        </w:rPr>
        <w:footnoteReference w:id="409"/>
      </w:r>
      <w:r>
        <w:rPr>
          <w:rFonts w:ascii="IRNazanin" w:hAnsi="IRNazanin" w:eastAsia="IRNazanin"/>
          <w:color w:val="111111"/>
          <w:sz w:val="28"/>
          <w:sz w:val="28"/>
          <w:szCs w:val="28"/>
          <w:rtl w:val="true"/>
          <w:lang w:bidi="fa-IR"/>
        </w:rPr>
        <w:t xml:space="preserve">حیث سمی ما کان یصدر عنهم بقصد التوجه المخصوص إلی المولی صلاة، غایة الأمر أنّه تعالی خطّأهم فی إتیان ما یشبه اللهو بعنوان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3493705_2314609296"/>
      <w:bookmarkStart w:id="389" w:name="_Toc145"/>
      <w:bookmarkEnd w:id="388"/>
      <w:r>
        <w:rPr>
          <w:rtl w:val="true"/>
        </w:rPr>
        <w:t>[</w:t>
      </w:r>
      <w:r>
        <w:rPr>
          <w:rtl w:val="true"/>
        </w:rPr>
        <w:t>انتفاء النزاع بناء علی ما ذکره السید البروجردی قدّس سرّه</w:t>
      </w:r>
      <w:bookmarkEnd w:id="38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هذه الطریقة هی أوسع من طریقة الباقلانی، لأنّه یخصّها بالدعاء، و هذه الطریقة أوسع من ذلک، لأن المدار فیها علی الحضور و الخشوع و الخضوع، و قد عرفت أنه بناء علیها لا یکون لنا حقیقة</w:t>
      </w:r>
    </w:p>
    <w:p>
      <w:pPr>
        <w:pStyle w:val="BookText"/>
        <w:rPr/>
      </w:pPr>
      <w:r>
        <w:rPr>
          <w:rFonts w:ascii="IRNazanin" w:hAnsi="IRNazanin" w:eastAsia="IRNazanin"/>
          <w:color w:val="111111"/>
          <w:sz w:val="28"/>
          <w:sz w:val="28"/>
          <w:szCs w:val="28"/>
          <w:rtl w:val="true"/>
          <w:lang w:bidi="fa-IR"/>
        </w:rPr>
        <w:t>شرعیة بل و لا مجاز فی ماهیات جدیدة، و حینئذ ینعدم النزاع فی الصحیح و الأعم، بل یکون المستعمل فیه هو ذلک الدعاء أو ذلک المیل و الانعطاف نحو الرب، غایته بزیادة أجزاء و شرائط کما عرفت توضیح ذلک فیما مرّ علیک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هو أن تکون الصلاة عبارة عن نفس ذلک الخضوع و الخشوع، سواء کان ذلک بالتصفیق و الصفیر، أو کان بالقیام و القراءة و الذکر و السجود و الرکوع، و علیه فلا تکون الصلاة مرکبة من أجزاء و شرائط مختلفة فی المقولة أو متحدة بحسبها، و هذا خروج من الفرض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أشکل علی ما فی الکفایة</w:t>
      </w:r>
      <w:r>
        <w:rPr>
          <w:rStyle w:val="FootnoteAnchor"/>
          <w:rtl w:val="true"/>
        </w:rPr>
        <w:footnoteReference w:id="411"/>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فی الکفایة من تصویر المسمی بلفظ الصلاة مثلا بالناهیة عن الفحشاء و ما هو معراج المؤمن و نحوهما،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لفظ الصلاة لیس هذا السنخ من المعانی و الآثار، کیف و لو کان لفظ الصلاة موضوعا لعنوان الناهی عن الفحشاء مثلا لصار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تنهی عن الفحشاء و المنکر</w:t>
      </w:r>
      <w:r>
        <w:rPr>
          <w:rStyle w:val="FootnoteAnchor"/>
          <w:rtl w:val="true"/>
        </w:rPr>
        <w:footnoteReference w:id="412"/>
      </w:r>
      <w:r>
        <w:rPr>
          <w:rFonts w:ascii="IRNazanin" w:hAnsi="IRNazanin" w:eastAsia="IRNazanin"/>
          <w:color w:val="111111"/>
          <w:sz w:val="28"/>
          <w:sz w:val="28"/>
          <w:szCs w:val="28"/>
          <w:rtl w:val="true"/>
          <w:lang w:bidi="fa-IR"/>
        </w:rPr>
        <w:t>بمنزلة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ینهی عن الفحشاء و المنکر ینهی عن الفحشاء و المنکر، و هذا واضح الفساد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أنه لیس مراد صاحب الکفایة قدّس سرّه هو أخذ هذه العناوین و الآثار فی الموضوع له، بل هی معرّفات لما هو الموضوع أو المستعمل علی ما عرفت توضیحه، و حینئذ لا یلزمه کون الصلاة مرادفة للنهی عن</w:t>
      </w:r>
      <w:bookmarkStart w:id="390" w:name="pg19834_212230"/>
    </w:p>
    <w:p>
      <w:pPr>
        <w:pStyle w:val="BookText"/>
        <w:rPr/>
      </w:pPr>
      <w:bookmarkEnd w:id="390"/>
      <w:r>
        <w:rPr>
          <w:rFonts w:ascii="IRNazanin" w:hAnsi="IRNazanin" w:eastAsia="IRNazanin"/>
          <w:color w:val="111111"/>
          <w:sz w:val="28"/>
          <w:sz w:val="28"/>
          <w:szCs w:val="28"/>
          <w:rtl w:val="true"/>
          <w:lang w:bidi="fa-IR"/>
        </w:rPr>
        <w:t>الفحشاء أو الناهی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أن صاحب الکفایة یدّعی الترادف فلا یرد علیه الاشکال المزبور، لأنّ مفاد الآیة الشریفة حینئذ بمنزلة قولنا إنّ الأسد غضنفر، فتأمل</w:t>
      </w:r>
      <w:r>
        <w:rPr>
          <w:rFonts w:eastAsia="IRNazanin" w:cs="IRNazanin"/>
          <w:color w:val="111111"/>
          <w:sz w:val="28"/>
          <w:szCs w:val="28"/>
          <w:rtl w:val="true"/>
          <w:lang w:bidi="fa-IR"/>
        </w:rPr>
        <w:t>.</w:t>
      </w:r>
    </w:p>
    <w:p>
      <w:pPr>
        <w:pStyle w:val="Heading4"/>
        <w:numPr>
          <w:ilvl w:val="3"/>
          <w:numId w:val="1"/>
        </w:numPr>
        <w:rPr/>
      </w:pPr>
      <w:bookmarkStart w:id="391" w:name="__RefHeading___Toc3493707_2314609296"/>
      <w:bookmarkStart w:id="392" w:name="_Toc146"/>
      <w:bookmarkEnd w:id="391"/>
      <w:r>
        <w:rPr>
          <w:rtl w:val="true"/>
        </w:rPr>
        <w:t>[</w:t>
      </w:r>
      <w:r>
        <w:rPr>
          <w:rtl w:val="true"/>
        </w:rPr>
        <w:t>مناقشة السید الخوئی قدّس سرّه فی تصویر الجامع علی الأعم</w:t>
      </w:r>
      <w:bookmarkEnd w:id="392"/>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من الروایات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القول بأنّ ما دل علی کون افتتاحها التکبیر و ختامها التسلیم </w:t>
      </w:r>
      <w:r>
        <w:rPr>
          <w:rStyle w:val="FootnoteAnchor"/>
          <w:rtl w:val="true"/>
        </w:rPr>
        <w:footnoteReference w:id="415"/>
      </w:r>
      <w:r>
        <w:rPr>
          <w:rFonts w:ascii="IRNazanin" w:hAnsi="IRNazanin" w:eastAsia="IRNazanin"/>
          <w:color w:val="111111"/>
          <w:sz w:val="28"/>
          <w:sz w:val="28"/>
          <w:szCs w:val="28"/>
          <w:rtl w:val="true"/>
          <w:lang w:bidi="fa-IR"/>
        </w:rPr>
        <w:t>مسوق لبیان الصلاة المأمور بها لا لبیان ما هو المسمی، و کذلک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حال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لو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کأنّه ناظر إلی الجامع علی الصحیح، و المفروض هو تصویر الجامع علی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ما أخذ مقوّما للمرکب مأخوذا فیه 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أخذه لا بشرط فی مقام التسمیة، أنّ وجود غیره و عدم وجوده أجنبی عن التسمیة، لا أنّه علی تقدیر وجوده یکون دخیلا فی المسمی، لأن معنی کون الأرکان لا بشرط هی المسمی هو أنّه لو انضم إلیها الأجزاء الأخر لا یکون مخلا بالتسمیة بالنسبة إلی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کون الأرکان هی المسمی لا بشرط، أنّ الأرکان التی وضعت لها لفظ الصلاة غیر مقیدة بوجود باقی الأجزاء و لا بعدمها، فلا یشترط فی کون الأرکان مسماة</w:t>
      </w:r>
      <w:bookmarkStart w:id="393" w:name="pg19834_212231"/>
    </w:p>
    <w:p>
      <w:pPr>
        <w:pStyle w:val="BookText"/>
        <w:rPr/>
      </w:pPr>
      <w:bookmarkEnd w:id="393"/>
      <w:r>
        <w:rPr>
          <w:rFonts w:ascii="IRNazanin" w:hAnsi="IRNazanin" w:eastAsia="IRNazanin"/>
          <w:color w:val="111111"/>
          <w:sz w:val="28"/>
          <w:sz w:val="28"/>
          <w:szCs w:val="28"/>
          <w:rtl w:val="true"/>
          <w:lang w:bidi="fa-IR"/>
        </w:rPr>
        <w:t>بالصلاة وجود هذه الأجزاء و، فاللابشرط بشرط فی قبال أخذها بالنسبة إلی باقی الأجزاء بشرط شی‌ء أو أخذها بالنسبة إلیها بشرط لا، فکیف یعقل حینئذ أن تکون الأجزاء عند وجودها دخیلا فی المسمی، بل أقصی ما فی البین هو أنّ وجودها و کذلک عدمها لا یخل فی تحقق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یتّضح لک الحال فی لفظ الدار لو قلنا بأنها موضوعة لما ترکّب من الساحة و الغرفة و الحیطان، فانّه بناء علی ذلک لا یکون وجود السرداب فیها لو اتفق وجوده فیها دخیلا بالمسمی، بل لا یکون إلّا أجنبیا، غایته أنّ وجوده لا یخل بتحقق مسمی الدار، کما أنّ عدمه لا یخل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هذا التوجیه للجامع علی القول بالأعم ممّا لا یرضی به القائل بالأعم، لأنّه لو اختل أحد هذه الامور لا یکون اختلالها مضرا بالتسمیة عند الأعمی، نعم لو تم هذا الوجه لکان ذلک الجامع أوسع من القول بالصحیح و أضیق منه علی القول بالأعم، و هکذا الحال فی بقیة الجوامع، فلاحظ و تدبر</w:t>
      </w:r>
      <w:r>
        <w:rPr>
          <w:rFonts w:eastAsia="IRNazanin" w:cs="IRNazanin"/>
          <w:color w:val="111111"/>
          <w:sz w:val="28"/>
          <w:szCs w:val="28"/>
          <w:rtl w:val="true"/>
          <w:lang w:bidi="fa-IR"/>
        </w:rPr>
        <w:t>.</w:t>
      </w:r>
    </w:p>
    <w:p>
      <w:pPr>
        <w:pStyle w:val="Heading4"/>
        <w:numPr>
          <w:ilvl w:val="3"/>
          <w:numId w:val="1"/>
        </w:numPr>
        <w:rPr/>
      </w:pPr>
      <w:bookmarkStart w:id="394" w:name="__RefHeading___Toc3493709_2314609296"/>
      <w:bookmarkStart w:id="395" w:name="_Toc147"/>
      <w:bookmarkEnd w:id="394"/>
      <w:r>
        <w:rPr>
          <w:rtl w:val="true"/>
        </w:rPr>
        <w:t>[</w:t>
      </w:r>
      <w:r>
        <w:rPr>
          <w:rtl w:val="true"/>
        </w:rPr>
        <w:t>التعرض لکلام المحقق القمی قدّس سرّه فی تصویر الجامع</w:t>
      </w:r>
      <w:bookmarkEnd w:id="39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بأنّ الموضوع له هو الأرکان بحسب الجعل الأوّلی و البقیة أبدال لها فاسد، إذ الالتزام بالبدلیة إنما یمکن فی مقام الإجزاء کما علی الصحیح لا فی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الجواب من قبل المحقق </w:t>
      </w:r>
      <w:r>
        <w:rPr>
          <w:rStyle w:val="FootnoteAnchor"/>
          <w:rtl w:val="true"/>
        </w:rPr>
        <w:footnoteReference w:id="420"/>
      </w:r>
      <w:r>
        <w:rPr>
          <w:rFonts w:ascii="IRNazanin" w:hAnsi="IRNazanin" w:eastAsia="IRNazanin"/>
          <w:color w:val="111111"/>
          <w:sz w:val="28"/>
          <w:sz w:val="28"/>
          <w:szCs w:val="28"/>
          <w:rtl w:val="true"/>
          <w:lang w:bidi="fa-IR"/>
        </w:rPr>
        <w:t>بأنّ مقام التسمیة لا بد فیه من جهة لاحظها المسمی الذی هو الواضع من الدخل فی المصلحة و نحو ذلک من الأغراض المترتبة علی ذلک الترتیب و هاتیک التسمیة، و من الممکن أن</w:t>
      </w:r>
    </w:p>
    <w:p>
      <w:pPr>
        <w:pStyle w:val="BookText"/>
        <w:rPr/>
      </w:pPr>
      <w:r>
        <w:rPr>
          <w:rFonts w:ascii="IRNazanin" w:hAnsi="IRNazanin" w:eastAsia="IRNazanin"/>
          <w:color w:val="111111"/>
          <w:sz w:val="28"/>
          <w:sz w:val="28"/>
          <w:szCs w:val="28"/>
          <w:rtl w:val="true"/>
          <w:lang w:bidi="fa-IR"/>
        </w:rPr>
        <w:t>تکون مراتب الرکوع دخیلة فی حصول ذلک الغرض، بأن یکون الأصل فی الرکوع هو الأصل فی حصول ذلک الغرض، لکنه لو تعذر یقوم مقامه غیره فی حصول ذلک الغرض و یکون حال التسمیة حال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الدعوی الثانیة، فان التزم قدّس سرّه بأنّ بقیة الأجزاء خارجة دائما فهو ینافی الوضع للأعم، فان المفروض صدقها علی الصحیحة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الجواب من قبل المحقّق باختیار هذا الشق الأول، و لا یرد علیه صدقها علی الصحیح بتمام أجزائه، بل للمحقق أن یلتزم بأنّ المدار فی الصدق علی الأرکان، و أنّ انضمام التشهد مثلا إلیها لا یدخله فی المسمی بل یکون من المقارنات الاتفاقیة التی لا یکون وجودها دخیلا و لا عدمها معتبرا، لما عرفت من أنّ الأرکان مأخوذة بالقیاس إلی باقی الأجزاء لا بشرط، فی قبال أخذها بالقیاس إلیها بشرط شی‌ء أو بشرط لا کما شرحنا فیما علقناه علی الحاشیة للمقرر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أنه یرد علی المحقق قدّس سرّه ما أفاده فی الکفایة</w:t>
      </w:r>
      <w:r>
        <w:rPr>
          <w:rStyle w:val="FootnoteAnchor"/>
          <w:rtl w:val="true"/>
        </w:rPr>
        <w:footnoteReference w:id="422"/>
      </w:r>
      <w:r>
        <w:rPr>
          <w:rFonts w:ascii="IRNazanin" w:hAnsi="IRNazanin" w:eastAsia="IRNazanin"/>
          <w:color w:val="111111"/>
          <w:sz w:val="28"/>
          <w:sz w:val="28"/>
          <w:szCs w:val="28"/>
          <w:rtl w:val="true"/>
          <w:lang w:bidi="fa-IR"/>
        </w:rPr>
        <w:t>من الایراد علی کون الجامع هو الأرکان، بأنّ التسمیة عند القائلین بالأعم لا تدور مدار الأرکان، فانّ الصلاة الجامعة لجمیع الأجزاء الفاقدة لبعض الأرکان یصدق علیها الصلاة عند الأعمی، کما أنها لو کانت فاقدة لجمیع الأجزاء ما عدا الأرکان لا یصدق علیها الصلاة عند الأعمّی، و مقتضی کون الجامع هو الأرکان هو عدم صدق الصلاة علی الأول و صدقها علی الثانی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صاحب الکفایة قدّس سرّه أورد علی المحقق قدّس سرّه ثانیا بغیر ما</w:t>
      </w:r>
    </w:p>
    <w:p>
      <w:pPr>
        <w:pStyle w:val="BookText"/>
        <w:rPr/>
      </w:pPr>
      <w:r>
        <w:rPr>
          <w:rFonts w:ascii="IRNazanin" w:hAnsi="IRNazanin" w:eastAsia="IRNazanin"/>
          <w:color w:val="111111"/>
          <w:sz w:val="28"/>
          <w:sz w:val="28"/>
          <w:szCs w:val="28"/>
          <w:rtl w:val="true"/>
          <w:lang w:bidi="fa-IR"/>
        </w:rPr>
        <w:t>أورده علیه الاستاذ قدّس سرّه لکنه من سنخه، و ذلک هو لزوم التجوز فی الاستعمال بالصحیح لکونه من قبیل استعمال اللفظ الموضوع للجزء الذی هو الأرکان فی الکل الذی هو الأرکان مع باقی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بنظیر ما أجبنا به الإیراد الثانی لشیخنا قدّس سرّه، لامکان القول بأنّ الصلاة بعد فرض کون معناها هو الأرکان لا یستعمل إلّا فی الأرکان نفسها، و إن قارنها باقی الأجزاء، فانّها أعنی باقی الأجزاء لا تکون داخلة فی المستعمل فیه کما لا تکون داخلة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أعنی صاحب الکفایة</w:t>
      </w:r>
      <w:r>
        <w:rPr>
          <w:rStyle w:val="FootnoteAnchor"/>
          <w:rtl w:val="true"/>
        </w:rPr>
        <w:footnoteReference w:id="423"/>
      </w:r>
      <w:r>
        <w:rPr>
          <w:rFonts w:ascii="IRNazanin" w:hAnsi="IRNazanin" w:eastAsia="IRNazanin"/>
          <w:color w:val="111111"/>
          <w:sz w:val="28"/>
          <w:sz w:val="28"/>
          <w:szCs w:val="28"/>
          <w:rtl w:val="true"/>
          <w:lang w:bidi="fa-IR"/>
        </w:rPr>
        <w:t>ذکر الجامع الثانی علی القول بالأعم و هو معظم الاجزاء التی یدور علیها التسمیة، فقد جعل الأمرین أعنی المعظم و الذی یدور علیه التسمیة أمرا واحدا، و لکن شیخنا قدّس سرّه جعلهما أمرین، و إن قال فی الأخیر بامکان رجوعه إلی الأول، و ملخص ما أورده صاحب الکفایة علی هذا الجامع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المجازیة لو استعمل اللفظ فی الصحیح الجامع لجمیع الأجزاء، المعظم منها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التبادل بمعنی کون مثل التشهد داخلا فی المسمی لو وجد مع الباقی و خارجا عنه لو کان مفقودا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التردد فی المعظم عند الاستعمال فی الصحیح الجامع لجمیع الأجزاء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الایرادات مبنیة علی أنّ المراد بالمعظم هو المعظم من الأجزاء من هذه الصلاة، فان کل صلاة لها معظم و غیر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الایراد الأول</w:t>
      </w:r>
    </w:p>
    <w:p>
      <w:pPr>
        <w:pStyle w:val="BookText"/>
        <w:rPr/>
      </w:pPr>
      <w:r>
        <w:rPr>
          <w:rFonts w:ascii="IRNazanin" w:hAnsi="IRNazanin" w:eastAsia="IRNazanin"/>
          <w:color w:val="111111"/>
          <w:sz w:val="28"/>
          <w:sz w:val="28"/>
          <w:szCs w:val="28"/>
          <w:rtl w:val="true"/>
          <w:lang w:bidi="fa-IR"/>
        </w:rPr>
        <w:t>و الایراد الثانی، فقد عرفت الجواب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الایراد الثالث، فقد تخلص منه شیخنا بجعل المعظم من قبیل الکلی فی المعیّن نظیر الصاع من الصبرة، و نظّر ذلک بالکلام المؤلّف من حروف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تنظیره بالکلم، فانهم ذکروا أن تقسیم الکلمة إلی اسم و فعل و حرف من تقسیم الکلی إلی أفراده و جزئیاته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الکلم إلی هذه الثلاثة کما قاله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و فعل ثمّ حرف الکلم </w:t>
      </w:r>
      <w:r>
        <w:rPr>
          <w:rStyle w:val="FootnoteAnchor"/>
          <w:rtl w:val="true"/>
        </w:rPr>
        <w:footnoteReference w:id="424"/>
      </w:r>
      <w:r>
        <w:rPr>
          <w:rFonts w:ascii="IRNazanin" w:hAnsi="IRNazanin" w:eastAsia="IRNazanin"/>
          <w:color w:val="111111"/>
          <w:sz w:val="28"/>
          <w:sz w:val="28"/>
          <w:szCs w:val="28"/>
          <w:rtl w:val="true"/>
          <w:lang w:bidi="fa-IR"/>
        </w:rPr>
        <w:t>، من تقسیم الکل إلی أجزائه التی یترکب من مجموعها لا من جمیعها، بمعنی أن الکلم یتکون من هذه الثلاثة، سواء کان مرکبا من الثلاثة أو من الاثنین أو من الواحد، بأن یکون مؤلفا من ثلاثة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ذلک یرجع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الکلم اسم جنس جمعی، بمعنی أن اسم الجنس یصدق علی الواحد و الکثیر، لکن خصوص هذا الجنس و هو الکلم لا یکون إلّا عند اجتماع ثلاثة من هذه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فقس الصلاة علی الکلم، و قل إنّ لنا أجزاء متعددة و هی التکبیر و القراءة و الرکوع و السجود إلی آخر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تتکون من هذه الأجزاء سواء کانت واجدة للجمیع أو کانت واجدة للبعض، لکن بشرط أن یکون ذلک البعض ذا أهمیة و یکون هناک ترکیب معتنی به، و عبّروا عن ذلک بمعظم الأجزاء أو بما یکون مصحّحا للتسمیة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فلا بدّ فی الصلاة من اجتماع مقدار من تلک الأجزاء و یکون هناک ترکیب منها، و إن لم یکن الحاصل فی ذلک المرکب هو معظم تلک الأجزاء أو أغلبها، و إنما المدار فی ذلک علی صحة التسمیة، و هی منوطة بالترکیب علی وجه یکون فیه روح تلک العبادة الذی هو الخضوع</w:t>
      </w:r>
      <w:bookmarkStart w:id="396" w:name="pg19834_212235"/>
    </w:p>
    <w:p>
      <w:pPr>
        <w:pStyle w:val="BookText"/>
        <w:rPr/>
      </w:pPr>
      <w:bookmarkEnd w:id="396"/>
      <w:r>
        <w:rPr>
          <w:rFonts w:ascii="IRNazanin" w:hAnsi="IRNazanin" w:eastAsia="IRNazanin"/>
          <w:color w:val="111111"/>
          <w:sz w:val="28"/>
          <w:sz w:val="28"/>
          <w:szCs w:val="28"/>
          <w:rtl w:val="true"/>
          <w:lang w:bidi="fa-IR"/>
        </w:rPr>
        <w:t xml:space="preserve">و الحضور عند الرب، و بالأخرة یکون ذلک شعبة مما ذهب إلیه الباقلانی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المعظم بالقیاس إلی کل فرد من أفراد الصلاة، و أن کل فرد فیه معظم أجزائه، و فیه ما یزید علی المعظم، لیترتب علی ذلک إیرادات صاحب الکفایة، فلاحظ و تأمل</w:t>
      </w:r>
      <w:r>
        <w:rPr>
          <w:rFonts w:eastAsia="IRNazanin" w:cs="IRNazanin"/>
          <w:color w:val="111111"/>
          <w:sz w:val="28"/>
          <w:szCs w:val="28"/>
          <w:rtl w:val="true"/>
          <w:lang w:bidi="fa-IR"/>
        </w:rPr>
        <w:t>.</w:t>
      </w:r>
    </w:p>
    <w:p>
      <w:pPr>
        <w:pStyle w:val="Heading4"/>
        <w:numPr>
          <w:ilvl w:val="3"/>
          <w:numId w:val="1"/>
        </w:numPr>
        <w:rPr/>
      </w:pPr>
      <w:bookmarkStart w:id="397" w:name="__RefHeading___Toc3493711_2314609296"/>
      <w:bookmarkStart w:id="398" w:name="_Toc148"/>
      <w:bookmarkEnd w:id="397"/>
      <w:r>
        <w:rPr>
          <w:rtl w:val="true"/>
        </w:rPr>
        <w:t>[</w:t>
      </w:r>
      <w:r>
        <w:rPr>
          <w:rtl w:val="true"/>
        </w:rPr>
        <w:t>دخول الشرائط فی محل النزاع</w:t>
      </w:r>
      <w:bookmarkEnd w:id="3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باضافة الشرائط المأخوذة فی المأمور به إلی أجزاء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باضافة عدم المزاحم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الریب فی دخول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کونها مع الطهارة أو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النزاع، و کون مرتبة الشرط متأخرة عن مرتبة الجزء لا یکون مانعا عن أخذه فی المسمی کما سیصرح به فی التذییل الذی ذکره فی آخر المقام الأول </w:t>
      </w:r>
      <w:r>
        <w:rPr>
          <w:rStyle w:val="FootnoteAnchor"/>
          <w:rtl w:val="true"/>
        </w:rPr>
        <w:footnoteReference w:id="427"/>
      </w:r>
      <w:r>
        <w:rPr>
          <w:rFonts w:ascii="IRNazanin" w:hAnsi="IRNazanin" w:eastAsia="IRNazanin"/>
          <w:color w:val="111111"/>
          <w:sz w:val="28"/>
          <w:sz w:val="28"/>
          <w:szCs w:val="28"/>
          <w:rtl w:val="true"/>
          <w:lang w:bidi="fa-IR"/>
        </w:rPr>
        <w:t>، و کذلک کون بعض هذه غیر متوقف علی القصد لا ینافی کونه معتبرا فی الصلاة المعتبر فیها القصد، فانّ اعتبار القصد فیها لا ینافی کون شرطها غیر قصدی لکونه تابعا لدلیل شرطیته، و لا دلیل علی أنّ الصلاة بجمیع أجزائها و شرائطها قصدیة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الشرط هو التقیّد لا القید، فلا یتوقف دخوله فی محل النزاع علی التوأمیة التی افادها الاستاذ العراقی قدّس سرّه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3493713_2314609296"/>
      <w:bookmarkStart w:id="400" w:name="_Toc149"/>
      <w:bookmarkEnd w:id="399"/>
      <w:r>
        <w:rPr>
          <w:rtl w:val="true"/>
        </w:rPr>
        <w:t>[</w:t>
      </w:r>
      <w:r>
        <w:rPr>
          <w:rtl w:val="true"/>
        </w:rPr>
        <w:t>اعتبار قصد التقرب و عدم النهی و عدم المزاحم</w:t>
      </w:r>
      <w:bookmarkEnd w:id="40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کونها منهیا عنها، أو عدم مزاحمتها لواجب أو لمحرّم، أو کونها مقیدة بداعی الأمر المتعلق بها، ففیه إشکال الطولیة بین هذه القیود و بین أصل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فی هذا المقام تقدیم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الطولیة تارة تکون فی مقام أفراد الطبیعة الواحدة، بأن تکون الطبیعة الواحدة شاملة لأفرادها الطولیّة کما هی شاملة لأفرادها العرضیة، سواء کانت الطولیة بین الأفراد من ناحیة الزمان کما فی شمول الصلاة للفرد الواقع فی الزمان الأول و الواقع فی الزمان الثانی و هکذا، أو کانت الطولیة ذاتیة لما بین الأفراد من نسبة العلیة و المعلولیة کما فی الانسان الجامع بین الآباء و الأبناء، و کما فی الموجود الشامل للعلة و المعلول، هذا حال الطولیة بین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لک الحال فی الطولیة بین أجزاء الطبیعة الواحدة، فکما یمکن الترکیب بین أجزاء عرضیة بمعنی عدم العلیة و المعلولیة بین الأجزاء، سواء تقدم بعضها علی الآخر زمانا کما فی الرکوع و السجود، أو کان أحدها مقارنا للآخر زمانا کما فی الرکوع و الاستقبال و الاستقرار و نحو ذلک، فکذلک یمکن ترکب الماهیة من أجزاء طولیة یکون بعضها سابقا فی الرتبة علی الآخر کما فی ترکب ماهیة الصلاة من أجزاء و شرائط و عدم الموانع، فانّ مرتبة الجزء سابقة علی مرتبة الشرط و مرتبة الشرط سابقة علی مرتبة عدم المانع، و لم یکن هذا الترتب الطولی بین هذه الامور بمانع من أخذ الماهیة مرکبة منها، سواء کان ذلک فی ناحیة الوضع و المسمی أو کان فی ناحیة المستعمل فیه أو کان فی ناحیة متعلق الأمر، و منه ما یقولون من أن العلة التامة هی المرکبة من المقتضی و الشرط و عدم المانع</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 الاشکال فی دخول هذه القیود فی محل النزاع فی الصحیح و الأعم لو کان هو مجرد الطولیة بینها و بین أصل مادة الصلاة، و أن هذه الطولیة مانعة من أخذ الصلاة مرکبة من أصل المادة و هذه</w:t>
      </w:r>
    </w:p>
    <w:p>
      <w:pPr>
        <w:pStyle w:val="BookText"/>
        <w:rPr/>
      </w:pPr>
      <w:r>
        <w:rPr>
          <w:rFonts w:ascii="IRNazanin" w:hAnsi="IRNazanin" w:eastAsia="IRNazanin"/>
          <w:color w:val="111111"/>
          <w:sz w:val="28"/>
          <w:sz w:val="28"/>
          <w:szCs w:val="28"/>
          <w:rtl w:val="true"/>
          <w:lang w:bidi="fa-IR"/>
        </w:rPr>
        <w:t>القیود، لأمکن الجواب عنه بأنه لا مانع من ترکیب الماهیة الجعلیة من أجزاء و قیود طولیة حتی و لو کان بعض الأجزاء علة للبعض الآخر، فلک أن ترکّب ماهیة واحدة من أجزاء کثیرة یکون کل واحد منها علة لما بعده و تسمّی المجموع باسم واحد، بل منشأ الاشکال فی أخذ هذه القیود فی الماهیة أمر آخر کما سیأتی توضیحه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دخول هذه القیود فی محل النزاع فی الصحیح و الأعم یتوقف علی إمکان تقیید الماهیة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تقیید الماهیة بقید تارة یکون فی مقام التسمیة و الوضع، و اخری یکون فی مقام المستعمل فیه و إن لم یکن قیدا فی مقام الوضع و التسمیة، و ثالثة یکون فی مقام تعلق الأمر و النهی بها، و إن لم یکن قیدا فی المسمی و الموضوع له و لا قیدا فی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هاتین المقدمتین فنقول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ینبغی هو التکلم فی کل واحدة من هذه القیود علی حدة، فنقول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تقییدها بعدم کونها منهیا عنها، فانّ النهی عنها و إن أوجب فسادها، إلّا أن عدم النهی عنها لا یمکن أخذه فی تلک العبادة المتعلقة لذلک النهی، سواء اخذ علی نحو القیدیة فی الموضوع له أو المستعمل فیه أو فی تعلق النهی بها، لا لأنّ تقیید الموضوع له أو المستعمل فیه بذلک القید محال، بل لأنّ تعلق النهی بما هو مقید بعدم ذلک النهی محال، و هو مساو فی المحالیة لأخذ متعلق النهی مقیدا بوجود ذلک النهی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الحکم لا یعقل أن یقید بعدم ذلک الحکم کما لا یعقل أن یقید بوجوده، لأن مرتبة الحکم متأخرة عن موضوعه فلا یعقل أخذه وجودا أو عدما فی موضوع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کون الماهیة</w:t>
      </w:r>
    </w:p>
    <w:p>
      <w:pPr>
        <w:pStyle w:val="BookText"/>
        <w:rPr/>
      </w:pPr>
      <w:r>
        <w:rPr>
          <w:rFonts w:ascii="IRNazanin" w:hAnsi="IRNazanin" w:eastAsia="IRNazanin"/>
          <w:color w:val="111111"/>
          <w:sz w:val="28"/>
          <w:sz w:val="28"/>
          <w:szCs w:val="28"/>
          <w:rtl w:val="true"/>
          <w:lang w:bidi="fa-IR"/>
        </w:rPr>
        <w:t>من العبادات أو من المعاملات، لأن منشأ المحالیة إنّما هو فی تعلق النهی بما یکون عدمه مأخوذا فیه، سواء کان أخذه فیه فی مرتبة الموضوع له أو فی مرتبة المستعمل فیه أو فی مرتبة تعلق النهی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تعلق الأمر بما یکون مقیدا بعدم کونه منهیا عنه، فالظاهر أنه لا مانع منه إذا کان فی مرحلة تعلق الأمر، دون ما لو کان فی المسمی فانه محال، لا من جهة الأمر بل من جهة عدم تصور تعلق النهی بذلک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الاشکال فی أخذه قیدا فی المستعمل فیه فی کل من مورد الأمر و مورد النهی، إلّا إذا أخذناه فی المستعمل فیه فی الأمر دون النهی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تعلق النهی باحدی هذه الماهیات المخترعة لا بد أن یکون لخصوصیة اشتملت علیها تلک الماهیة عبادة کانت أو معاملة، و حینئذ فلنا فی مقام التسمیة أو فی مقام الاستعمال أو فی مقام تعلق النهی بها أو الأمر أن نأخذها مقیدة بعدم تلک الخصوصیة الموجبة للنهی عنها، فیسلم من الاشکال بحذافیره المتوجه علی أخذ قید عدم النهی فی الماهیة فی هذه المراحل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أنّ روح الاشکال إنما هی فی تعلق النهی بالماهیة المقیدة بعدم ذلک النهی، فانّ ذلک محال کما عرفته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التقیید فی مقام التسمیة و کذلک فی مقام الاستعمال، فان کان علی هذا النحو بأن یجعل لفظ الصلاة مثلا اسما للماهیة المقیدة بعدم النهی المتعلق بها بما أنّها مقیدة بعدمه، کان التقیید المذکور محالا، لأنک فی مقام التقیید سواء کان فی مقام الوضع أو فی مقام الاستعمال لا بد أن تنظر المقید</w:t>
      </w:r>
    </w:p>
    <w:p>
      <w:pPr>
        <w:pStyle w:val="BookText"/>
        <w:rPr/>
      </w:pPr>
      <w:r>
        <w:rPr>
          <w:rFonts w:ascii="IRNazanin" w:hAnsi="IRNazanin" w:eastAsia="IRNazanin"/>
          <w:color w:val="111111"/>
          <w:sz w:val="28"/>
          <w:sz w:val="28"/>
          <w:szCs w:val="28"/>
          <w:rtl w:val="true"/>
          <w:lang w:bidi="fa-IR"/>
        </w:rPr>
        <w:t>بذاته و تنظر إلی قیده و تأخذ ذلک القید قیدا فی تلک الذات باعتبار وضعک اللفظ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تکن حالتک فی مقام الوضع أو الاستعمال کذلک، بل إنک نظرت إلی ماهیة الصلاة و نظرت إلی تعلق النهی بها و جعلت لفظ الصلاة اسما لتلک الماهیة المقیدة بعدم ذلک النهی، فالظاهر أنه لا مانع منه لا فی مقام الوضع و لا فی مقام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مقام تعلق النهی لا یعقل أخذ ذلک القید فیها، بل یلزم فی مقام تعلق النهی النظر إلی ذات الصلاة غیر ملحوظ فیها القید المذکور، و لا یصح تعلق النهی بها مقیدة بالقید المذکور فانه محال کما عرفت، سواء کان القید هو عدم تعلق هذا النهی بها أو کان هو عدم تعلق طبیعة النهی بها التی یکون أحد مصادیقها هو هذا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القید هو عدم النهی السابق الذی هو غیر هذا النهی فلا مانع منه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من هذه المحالیة یتّضح لک الوجه فی محالیة الصورة الخامسة، و هی أخذ داعی الأمر فی متعلقه فانه محال، سواء أخذناه فی الموضوع له أو المستعمل فیه أو فی مرحلة 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محالیته من جهة أخذ ما لا یتأتی إلّا بعد مرتبة الأمر فی متعلق ذلک الأمر، و هذه المحالیة لا یرفعها إلّا تعدد الأمر کما هو رأی الشیخ قدّس سرّه </w:t>
      </w:r>
      <w:r>
        <w:rPr>
          <w:rStyle w:val="FootnoteAnchor"/>
          <w:rtl w:val="true"/>
        </w:rPr>
        <w:footnoteReference w:id="429"/>
      </w:r>
      <w:r>
        <w:rPr>
          <w:rFonts w:ascii="Amiri" w:hAnsi="Amiri" w:eastAsia="Amiri" w:cs="Amiri"/>
          <w:color w:val="111111"/>
          <w:sz w:val="28"/>
          <w:sz w:val="28"/>
          <w:szCs w:val="28"/>
          <w:rtl w:val="true"/>
          <w:lang w:bidi="ar-SA"/>
        </w:rPr>
        <w:t xml:space="preserve">و شیخنا قدّس سرّه </w:t>
      </w:r>
      <w:r>
        <w:rPr>
          <w:rStyle w:val="FootnoteAnchor"/>
          <w:rtl w:val="true"/>
        </w:rPr>
        <w:footnoteReference w:id="430"/>
      </w:r>
      <w:r>
        <w:rPr>
          <w:rFonts w:ascii="IRNazanin" w:hAnsi="IRNazanin" w:eastAsia="IRNazanin"/>
          <w:color w:val="111111"/>
          <w:sz w:val="28"/>
          <w:sz w:val="28"/>
          <w:szCs w:val="28"/>
          <w:rtl w:val="true"/>
          <w:lang w:bidi="fa-IR"/>
        </w:rPr>
        <w:t xml:space="preserve">أو التوأمیة کما هو رأی الاستاذ العراقی قدّس سرّه </w:t>
      </w:r>
      <w:r>
        <w:rPr>
          <w:rStyle w:val="FootnoteAnchor"/>
          <w:rtl w:val="true"/>
        </w:rPr>
        <w:footnoteReference w:id="431"/>
      </w:r>
      <w:r>
        <w:rPr>
          <w:rFonts w:ascii="IRNazanin" w:hAnsi="IRNazanin" w:eastAsia="IRNazanin"/>
          <w:color w:val="111111"/>
          <w:sz w:val="28"/>
          <w:sz w:val="28"/>
          <w:szCs w:val="28"/>
          <w:rtl w:val="true"/>
          <w:lang w:bidi="fa-IR"/>
        </w:rPr>
        <w:t>کما سیأتی فی مبحث التعبدی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قطع النظر عن هذه المحالیة المقصورة علی تعلق الأمر، لا مانع من أخذ الداعی المذکور فی المسمی أو فی المستعمل فیه لو کان الشخص المسمی لها بذلک الاسم أو المستعمل فیها ذلک اللفظ هو غیر ذلک الآمر الذی أراد أخذ داعی أمره فی متعلق أمره، سواء کان ذلک الشخص قد أمر بها أو کان بصدد الإخبار عنها، من دون فرق فی ذلک بین اخذه داعی الأمر الشرعی فی تلک العبادة فی المسمی أو فی المستعمل فیه أو فی متعلق أمره بأن یقول الوالد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أوقع الصلاة بداعی أمرها الشرعی، بل إنّ ذلک جار حتی لو کان الآمر هو الشارع نفسه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بداعی أمری الذی تعلق بذات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حاصل دفع الاشکال بتعدد الأمر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تقییده بعدم مزاحمة أمر آخر فهو فی حد نفسه و ان لم یکن موجبا للفساد بناء علی الملاکیة أو الترتب، إلّا أنه لا مانع من أخذه فی المسمی و المستعمل فیه و مرتبة تعلق الأمر، لو کان المراد من المزاحمة هو أن یکون وجود الصلاة مزاحما لأمر آخر، بأن نقیّد ذات الصلاة فی هذه المراحل الثلاث، بأن لا تکون مفوّتة لواجب، و أما لو کان المراد بالمزاحمة المعتبر عدمها هو أن لا یکون الأمر بها مزاحما لأمر آخر، فلا شبهة فی محالیته، لکن لا من جهة التسمیة أو الاستعمال، بل من جهة استحالة تقید متعلق الأمر بأن لا یکون ذلک الأمر مزاحما لأمر آخر، فانّ مزاحمة الأمر لغیره من أطوار نفس الأمر، فلا یعقل أخذه فی نفس متعلق ذلک، و یکون حال هذا القید من هذه الجهة حال قید داعی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 المحالیة فی هذا القید لا تندفع بالتوأمیة التی أفادها الاستاذ العراقی قدّس سرّه فی قید داعی الأمر، و لا التعدد الذی أفاده شیخنا قدّس سرّه إلّا بان یتعلق الأمر بنفس الصلاة ثم یقول لا تزاحم بذلک الأمر غیره من الأوامر</w:t>
      </w:r>
      <w:r>
        <w:rPr>
          <w:rFonts w:eastAsia="IRNazanin" w:cs="IRNazanin"/>
          <w:color w:val="111111"/>
          <w:sz w:val="28"/>
          <w:szCs w:val="28"/>
          <w:rtl w:val="true"/>
          <w:lang w:bidi="fa-IR"/>
        </w:rPr>
        <w:t>.</w:t>
      </w:r>
      <w:bookmarkStart w:id="401" w:name="pg19834_212241"/>
    </w:p>
    <w:p>
      <w:pPr>
        <w:pStyle w:val="BookText"/>
        <w:rPr/>
      </w:pPr>
      <w:bookmarkEnd w:id="401"/>
      <w:r>
        <w:rPr>
          <w:rFonts w:ascii="IRNazanin" w:hAnsi="IRNazanin" w:eastAsia="IRNazanin"/>
          <w:color w:val="111111"/>
          <w:sz w:val="28"/>
          <w:sz w:val="28"/>
          <w:szCs w:val="28"/>
          <w:rtl w:val="true"/>
          <w:lang w:bidi="fa-IR"/>
        </w:rPr>
        <w:t>و من ذلک یظهر لک الکلام فی مزاحمة العبادة للنهی، کما لو کانت متوقفة علی مخالفة النهی أو کانت مقرونة بذلک کما فی مسألة الاجتماع علی القول بالجواز من الجهة الاولی</w:t>
      </w:r>
      <w:r>
        <w:rPr>
          <w:rFonts w:eastAsia="IRNazanin" w:cs="IRNazanin"/>
          <w:color w:val="111111"/>
          <w:sz w:val="28"/>
          <w:szCs w:val="28"/>
          <w:rtl w:val="true"/>
          <w:lang w:bidi="fa-IR"/>
        </w:rPr>
        <w:t>.</w:t>
      </w:r>
    </w:p>
    <w:p>
      <w:pPr>
        <w:pStyle w:val="Heading4"/>
        <w:numPr>
          <w:ilvl w:val="3"/>
          <w:numId w:val="1"/>
        </w:numPr>
        <w:rPr/>
      </w:pPr>
      <w:bookmarkStart w:id="402" w:name="__RefHeading___Toc3493715_2314609296"/>
      <w:bookmarkStart w:id="403" w:name="_Toc150"/>
      <w:bookmarkEnd w:id="402"/>
      <w:r>
        <w:rPr>
          <w:rtl w:val="true"/>
        </w:rPr>
        <w:t>[</w:t>
      </w:r>
      <w:r>
        <w:rPr>
          <w:rtl w:val="true"/>
        </w:rPr>
        <w:t>القول بوضع لفظ الصلاة لمفهوم الصحیح أو فریضة الوقت و نقده</w:t>
      </w:r>
      <w:bookmarkEnd w:id="40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بأنّ لفظ الصلاة موضوع لمفهوم الصحیح أو فریضة الوقت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الترادف هو عبارة عن اتحاد اللفظین فی المعنی، بأن یکون کلّ من اللفظین موضوعا لنفس المعنی الذی وضع له اللفظ الآخر، و لازم ذلک هو کون المفهوم من أحدهما عین المفهوم من الآخر، فإنّ اتحاد الموضوع له یلزمه أن یکون ما یحضره أحدهما فی ذهن السامع هو عین ما یحضره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عبارة اخری عن أنّ المفهوم من أحد اللفظین عین المفهوم من اللفظ الآخر، و علی کلّ حال لیس حقیقة الترادف هو کون کلّ من اللفظین موضوعا لما هو المفهوم من الآخر، بل حقیقته هی ما عرفت من کون کل منهما موضوعا للمعنی الواقعی الذی وضع له اللفظ الآخر، و لازم هذا الاتحاد بحسب المعنی الموضوع له الاتحاد بحسب المفهوم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هذا الذی ذکرناه من اعتبار وحدة المعنی فی الترادف، یظهر لک أنه لو اخذت فی المعنی فی أحد اللفظین جهة زائدة علی أصل المعنی، لم یکن ذلک من الترادف کما فی مثل السیف و الصارم حیث إنه قد اخذت فی معنی الصارم جهة زائدة علی أصل المعنی المشترک بینهما و هی جهة الصرم و القطع، فلا یکون اللفظان مترادفین بل یکونان من قبیل</w:t>
      </w:r>
    </w:p>
    <w:p>
      <w:pPr>
        <w:pStyle w:val="BookText"/>
        <w:rPr/>
      </w:pPr>
      <w:r>
        <w:rPr>
          <w:rFonts w:ascii="Amiri" w:hAnsi="Amiri" w:eastAsia="Amiri" w:cs="Amiri"/>
          <w:color w:val="111111"/>
          <w:sz w:val="28"/>
          <w:sz w:val="28"/>
          <w:szCs w:val="28"/>
          <w:rtl w:val="true"/>
          <w:lang w:bidi="ar-SA"/>
        </w:rPr>
        <w:t>الموصوف و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هذا الأساس قد أنکر الترادف بعض المحقّقین </w:t>
      </w:r>
      <w:r>
        <w:rPr>
          <w:rStyle w:val="FootnoteAnchor"/>
          <w:rtl w:val="true"/>
        </w:rPr>
        <w:footnoteReference w:id="433"/>
      </w:r>
      <w:r>
        <w:rPr>
          <w:rFonts w:ascii="IRNazanin" w:hAnsi="IRNazanin" w:eastAsia="IRNazanin"/>
          <w:color w:val="111111"/>
          <w:sz w:val="28"/>
          <w:sz w:val="28"/>
          <w:szCs w:val="28"/>
          <w:rtl w:val="true"/>
          <w:lang w:bidi="fa-IR"/>
        </w:rPr>
        <w:t>بدعوی اختلاف الجهة حتی فی مثل الانسان و البشر و الرقبة و الجید، و مع اختلاف الجهة المأخوذة فی المعنی فی أحد اللفظین عن الجهة المأخوذة فی اللفظ الآخر لا یکونان مترادفین، بل یکون اللفظان متباینین، و علی هذا الأساس زعم هذا البعض استحالة اتحاد المفهوم فی کل من اللفظین، نظرا إلی تلک الدعوی الاولی، أعنی اختلاف الجهة فی أحد المعنیین عن الجهة فی المعنی الآخر، و مع اختلاف الجهة یستحیل ما هو لازم الترادف أعنی الاتحاد بین اللفظین فی المفهوم، بأن یکون ما یحضره أحد اللفظین فی ذهن السامع عین ما یحضره فیه اللفظ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لعل الوجه فی الدعوی الاولی أعنی اختلاف الجهة فی أحد الوضعین عن الجهة فی الوضع الآخر هو کون الواضع حکیما، و مع وجود اللفظ الأول لا داعی له لوضع لفظ ثان إلّا باعتبار لحاظه جهة اخری فی المعنی هی غیر الجهة التی لاحظها فی وضع اللفظ الأول، و لکنّک قد عرفت إمکان الترادف باعتبار تعدد الواضعین، و أن الواضع الثانی لم یکن مسبوقا بالوضع الأول، فیضع اللفظ الآخر لنفس المعنی الذی وضع له الواضع الأول اللفظ الأول، هذا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إمکان کون الحکمة فی تعدد اللفظ مع فرض وحدة المعنی من جمیع الجهات هو تکثیر الألفاظ و توسعة اللغة، لیتسنی للمتکلم بها أن یعبّر عن المعنی الواحد بأیّ عبارة شاء و لا یتضیق بخصوص لفظ</w:t>
      </w:r>
    </w:p>
    <w:p>
      <w:pPr>
        <w:pStyle w:val="BookText"/>
        <w:rPr/>
      </w:pPr>
      <w:r>
        <w:rPr>
          <w:rFonts w:ascii="IRNazanin" w:hAnsi="IRNazanin" w:eastAsia="IRNazanin"/>
          <w:color w:val="111111"/>
          <w:sz w:val="28"/>
          <w:sz w:val="28"/>
          <w:szCs w:val="28"/>
          <w:rtl w:val="true"/>
          <w:lang w:bidi="fa-IR"/>
        </w:rPr>
        <w:t>واحد، إذ ربما لا یکون ذلک اللفظ الواحد ملائما للسجع أو الوزن أو القافیة أو غیر ذلک مما یدعو إلی تغییر العبارة و التفنن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کله فاعلم أنه لا ریب فی أن لفظ وظیفة الوقت أو المطلوب من هذه الطبیعة إنّما هو موضوع لنفس تلک الماهیة الواقعیة، و حینئذ لو کان لفظ الصلاة موضوعا لذلک المعنی الواقعی الذی وضع له لفظ وظیفة الوقت أو لفظ المطلوب، صح الترادف بین اللفظین المذکورین و کان الموضوع له فی کل منهما جامعا بین مصادیق ذلک المعنی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دعوی کون لفظ الصلاة موضوعا للصورة الذهنیة للماهیة التی هی وظیفة الوقت، ففیها أنّ ذلک لیس من الترادف، بل إنّ لفظة وظیفة الوقت موضوعة للمعنی الواقعی من تلک الماهیة، و لفظة الصلاة موضوعة للصورة الذهنیة من تلک الماهیة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لک أنّا لو قیّدنا الصورة الذهنیة بما یحضره فی الذهن لفظة وظیفة الوقت کانت الحالة أردأ، لأنّ حاصله أنّ لفظة الصلاة موضوعة للمعنی الذهنی الذی تحضره لفظة وظیفة الوقت و هو المعبّر عنه بالمفهوم من لفظة وظیفة الوقت، و لفظة وظیفة الوقت موضوعة للمعنی الواقعی من تلک الماهیة، فأین الترادف الذی هو عبارة عن کون الموضوع له واحدا فی کل من اللفظین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هاتین الدعویین هو امتناع تعلّق الأمر بالصلاة، لأنّها حینئذ عبارة عن الوجود الذهنی مطلقا أو مقیدا بما تحضره لفظة وظیفة الوقت، و لا ریب أنّ ذلک الوجود الذهنی غیر قابل لتعلّق الطلب به، هذا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امتناع الدعوی الثانیة الراجعة إلی ما یشبه الطولیة بین اللفظین، فلفظة وظیفة الوقت موضوعة للماهیة الواقعیة، و هی بواسطة هذا</w:t>
      </w:r>
    </w:p>
    <w:p>
      <w:pPr>
        <w:pStyle w:val="BookText"/>
        <w:rPr/>
      </w:pPr>
      <w:r>
        <w:rPr>
          <w:rFonts w:ascii="IRNazanin" w:hAnsi="IRNazanin" w:eastAsia="IRNazanin"/>
          <w:color w:val="111111"/>
          <w:sz w:val="28"/>
          <w:sz w:val="28"/>
          <w:szCs w:val="28"/>
          <w:rtl w:val="true"/>
          <w:lang w:bidi="fa-IR"/>
        </w:rPr>
        <w:t>الوضع تکون آلة فی إحضار تلک الماهیة فی ذهن السامع، و لفظة الصلاة موضوعة لذلک الذی تحضره لفظة الوظیفة فی ذهن السامع، و علی ذلک فتکون لفظة الصلاة آلة فی إحضار ما تحضره لفظة الوظیفة فی ذهن السامع، بمعنی أنّها تحضر فی ذهن السامع ما تحضره فیه لفظة الوظیفة، فیکون هناک حضوران فی ذهن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هو الذی وضعت له لفظة الصلاة، و الآخر هو المستعمل فیه لفظة الصلاة، و هذا جار فی کلّ لفظ یدعی أنّه موضوع لما هو المفهوم من اللفظ الآخر، و لعلّه هو المحالیة التی أشار إلیها شیخنا قدّس سرّه،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فیما حررته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حقیقة الاستعمال من قبیل قوس الصعود و النزول، فالمعنی الموضوع له اللفظ هو الحقیقة الواقعیة بمادتها و صورتها، و بعد هذه المرتبة مرتبة وجوده فی الحس المشترک مجردا عن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علی ما هو علیه من الصورة التی هو علیها، ثم مرتبة وجوده فی الذاکرة مجردا عن المادة و الصورة الخارجیة، ثم وجوده العقلانی و هو أبسط من مرتبة وجوده فی الذاکرة و هو المعبّر عنه بالمعنی 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ذلک المفهوم البسیط الذی هو فی أقصی درجات البساطة هو الذی یحضره المتکلم فی ذهن السامع بواسطة الألفاظ فینطبق علی 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أنه لا یعقل أن یکون الموضوع له هو نفس مفهوم الصحیح أو ما هو لازمه من کونه وظیفة الوقت، لعدم صحة کون الموضوع له اللفظ و المراد الواقعی هو نفس مفهوم لفظ آخر، انتهی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لک الوجه فی عدم معقولیة کون لفظ موضوعا لما هو المفهوم من لفظ آخر، و لو اغضی النظر عن عدم معقولیته و سلّمنا إمکانه فلیس ذلک من الترادف، لما عرفت من أن حقیقة الترادف هو</w:t>
      </w:r>
    </w:p>
    <w:p>
      <w:pPr>
        <w:pStyle w:val="BookText"/>
        <w:rPr/>
      </w:pPr>
      <w:r>
        <w:rPr>
          <w:rFonts w:ascii="IRNazanin" w:hAnsi="IRNazanin" w:eastAsia="IRNazanin"/>
          <w:color w:val="111111"/>
          <w:sz w:val="28"/>
          <w:sz w:val="28"/>
          <w:szCs w:val="28"/>
          <w:rtl w:val="true"/>
          <w:lang w:bidi="fa-IR"/>
        </w:rPr>
        <w:t>الاتحاد بحسب المعنی الموضوع له اللازم للاتحاد بینهما مفهوما، و لیس هو عبارة عن کون أحد اللفظین موضوعا لما هو المفهوم من اللفظ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لک ما فی الحاشیة علی ما فی المتن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و ذلک هو 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الریب فی إمکان وضع لفظ الصلاة مثلا لمفهوم الصحیح حتی یکون اللفظان مترادفین، و لا استحالة فی ذلک أصلا، غایة الأمر عدم وقوع ذلک خارجا، و أین ذلک من الاستحالة و عدم الامکان </w:t>
      </w:r>
      <w:r>
        <w:rPr>
          <w:rStyle w:val="FootnoteAnchor"/>
          <w:rtl w:val="true"/>
        </w:rPr>
        <w:footnoteReference w:id="434"/>
      </w:r>
      <w:r>
        <w:rPr>
          <w:rFonts w:ascii="IRNazanin" w:hAnsi="IRNazanin" w:eastAsia="IRNazanin"/>
          <w:color w:val="111111"/>
          <w:sz w:val="28"/>
          <w:sz w:val="28"/>
          <w:szCs w:val="28"/>
          <w:rtl w:val="true"/>
          <w:lang w:bidi="fa-IR"/>
        </w:rPr>
        <w:t>، فإنک قد عرفت محالیة کون لفظ موضوعا لما هو المفهوم من لفظ آخر، و لو سلّم إمکان ذلک فلیس هو من الترادف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الکفایة</w:t>
      </w:r>
      <w:r>
        <w:rPr>
          <w:rStyle w:val="FootnoteAnchor"/>
          <w:rtl w:val="true"/>
        </w:rPr>
        <w:footnoteReference w:id="435"/>
      </w:r>
      <w:r>
        <w:rPr>
          <w:rFonts w:ascii="IRNazanin" w:hAnsi="IRNazanin" w:eastAsia="IRNazanin"/>
          <w:color w:val="111111"/>
          <w:sz w:val="28"/>
          <w:sz w:val="28"/>
          <w:szCs w:val="28"/>
          <w:rtl w:val="true"/>
          <w:lang w:bidi="fa-IR"/>
        </w:rPr>
        <w:t>من الاشکال علی کون الجامع هو عنوان المطلوب من لزوم الترادف بین لفظ الصلاة و المطلوب، فلیس هو مبنیا علی کون لفظ الصلاة موضوعا لنفس مفهوم المطلوب، بل هو مبنی علی کون لفظ الصلاة موضوعا لما قد وضع له لفظ المطلوب، فیکونان من قبیل تعدد اللفظ و وحدة المعنی الموضوع له فی کل منهما، و یکون لازمه الاتحاد بینهما بحسب المفهوم کما عرفت تفصیل ذلک،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لفظ الصلاة لمفهوم الصحیح أو لمفهوم المطلوب أو لمفهوم لفظ الوظیفة کل ذلک غیر معقول، هذا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لفظة الوظیفة لو کانت جامعة بین الأفراد المندرجة تحت تلک الماهیة فهی کافیة فی الجامع، و أیّ داع لدعوی کون الجامع هو لفظة الصلاة، ثمّ لو قلنا بأنّها هی جامعة أیضا فأیّ داع إلی ارتکاب دعوی کون لفظة الصلاة موضوعة لمفهوم لفظة الوظیفة أعنی الصورة الذهنیة، و لم</w:t>
      </w:r>
    </w:p>
    <w:p>
      <w:pPr>
        <w:pStyle w:val="BookText"/>
        <w:rPr/>
      </w:pPr>
      <w:r>
        <w:rPr>
          <w:rFonts w:ascii="IRNazanin" w:hAnsi="IRNazanin" w:eastAsia="IRNazanin"/>
          <w:color w:val="111111"/>
          <w:sz w:val="28"/>
          <w:sz w:val="28"/>
          <w:szCs w:val="28"/>
          <w:rtl w:val="true"/>
          <w:lang w:bidi="fa-IR"/>
        </w:rPr>
        <w:t>لا نقول إنّ لفظة الصلاة موضوعة لنفس الماهیة الواقعیة التی وضعت لها لفظة الوظیفة و یتحقق الترادف بینهما حینئذ، و هذا کلّه مما یکشف عن أنّ الجامع المسمی لیس هو الوظیفة و لا عنوان المطلوب، لأنهما متأخران عن عالم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أن تدّعی أنّه قبل الطلب أو قبل الطلب فی الوقت لیس لنا عالم تسمیة و إنّما التسمیة بعد ذلک، بمعنی أنّ الشارع بعد تعلق طلبه بتلک الماهیة و تحقق کونها مطلوبة أو کونها وظیفة الوقت، نقول إنّا نجعل لفظة الصلاة لتلک الماهیة التی طرأ علیها الطلب فی الوقت الکذائی و صارت بذلک وظیفة الوقت، و لکن یبقی السؤال فی اللفظ الذی استعمله الشارع فیها عند تعلق أمره بها و ما هو ذلک اللفظ، ثم بعد طی مرحلة الطلب أیّ فائدة فی تلک التسمیة التی لا یکون المسمی به فیها و لا المستعمل فیه إلّا ما هو بعد مرتبة الطلب، فلاحظ لتعرف أنّ هذه الطرق کلّها خیالات صرفة لا واقعیة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متن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لفظ فهو بالنسبة إلی لفظ آخر مرادف له إن توافقا فی المعنی و مباین له إن اختلفا فیه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بعد أن عرّف الترادف بما أشار إلیه فی المتن و هو الاتحاد فی المعنی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ظن أنّ مثل الناطق و الفصیح و مثل السیف و الصارم من الألفاظ المترادفة لصدقهما علی ذات واحدة، و هو فاسد لأنّ الترادف هو الاتحاد فی المفهوم لا الاتحاد فی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الاتحاد فی الذات من لوازم الاتحاد فی المفهوم دون العکس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الترادف هو الاتحاد فی المفهوم، تعریف له بلازم تعریفه الأوّل و هو الاتحاد بحسب المعنی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الاتحاد فی الذات، فلیس المراد بالمنفی هو الاتحاد فی المعنی، بل المراد به هو الاتحاد بحسب المصداق الخارجی مع فرض الاختلاف فی الجهة المأخوذة فی المعنی الموضوع له کما فی مثل السیف و الصارم علی ما عرفته من الاختلاف بینهما بحسب الجهة، و أنّهما من قبیل الموصوف و الصفة و إن کان المصداق فیهما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یتضح لک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الاتحاد فی الذات من لوازم الاتحاد فی المفهوم دون العکس، لأنّ الاتحاد بحسب المفهوم اللازم للاتحاد بحسب المعنی الموضوع له الذی هو حقیقة الترادف تلزمه الوحدة بحسب الذات أعنی المصداق، بخلاف مجرد الاتحاد بحسب الذات أعنی المصداق، فانّه لا یلزمه الترادف الذی هو الاتحاد بحسب الموضوع له الذی یلزمه الاتحاد بحسب المفهوم، إذ ربما اتحدت الذات و المصداق و لم یحصل الترادف کما عرفت من مثال السیف و الصارم، فلاحظ</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دفع الإشکال عن کلا القولین بالتزام أنّ الموضوع له أوّلا هی المرتبة العلیا الواجدة لتمام الأجزاء و الشرائط، و الاستعمال فی غیرها من المراتب الصحیحة علی قول الصحیحی أو الأعم منها علی الأعم من باب الادّعاء و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 له علی کلا القولین هی المرتبة العلیا، و بقیة المراتب الصحیحة أو الأعم یستعمل فیها الألفاظ ادّعاء و من باب تنزیل الفاقد منزلة الواجد مسامحة، کما فی جملة من الاستعمالات، أو من باب اکتفاء الشارع به کما فی صلاة الغرقی؛ فإنّه لا یمکن فیه الالتزام بالتنزیل المذکور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الاستعمال فی فاسد صلاة الغرقی أیضا بتنزیل الفاقد منزلة الواجد المنزّل منزلة تام الأجزاء و الشرائط من باب الإجزاء و الاکتفاء، فبعد البناء علی کون الصحیح فردا للطبیعة من جهة الإجزاء یصحّ تنزیل الفاقد منزلته أیضا، و لا یلزم سبک مجاز عن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القصر و الإتمام فهما و إن کانتا فی عرض واحد بالقیاس إلی المرتبة العلیا إلّا أنّه یمکن تصویر الجامع بینهما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ما ذکرناه فیبطل نزاع الأعمی و الصحیحی رأسا، فإنّ ثمرة النزاع کما سیجی‌ء إن شاء اللّه تعالی هو التمسک بالإطلاق علی تقدیر تمامیة مقدمات الحکمة علی الأعمی، و إجمال الخطاب علی الصحیحی، و هذا لا یصحّ علی ما ذکرناه، لأنّه لو بنینا علی أنّ الصلاة موضوعة لخصوص المرتبة العلیا و إطلاقها علی غیرها من باب المسامحة و التنزیل، فعلی تقدیر وجود المطلق فی العبادات أیضا فحیث إنّ اللفظ لم یوضع للجهة الجامعة المشترکة حتی تکون الأجزاء و الشرائط المأخوذة فی المأمور به من قبیل القیود، فلا یمکن التمسّک بالإطلاق، بل اللفظ یکون مجملا لعدم العلم بالتنزیل و المسامحة فی مقام استعمال اللفظ حتی یتمسّک بإطلاقه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ربما کان الفاقد مباینا فی النظر للواجد کما فی صلاة الغرقی، فکیف یصح جعله فردا ادعائیا، و کیف یمکن القول بالتنزیل فی أمثال ذلک، و أین المناسبة بین الصلاة التامّة و بین الصلاة التی هی عبارة عن أربع تکبیرات، بل عبارة عن إیماء محض، و لو التزمنا بتصحیحه</w:t>
      </w:r>
    </w:p>
    <w:p>
      <w:pPr>
        <w:pStyle w:val="BookText"/>
        <w:rPr/>
      </w:pPr>
      <w:r>
        <w:rPr>
          <w:rFonts w:ascii="IRNazanin" w:hAnsi="IRNazanin" w:eastAsia="IRNazanin"/>
          <w:color w:val="111111"/>
          <w:sz w:val="28"/>
          <w:sz w:val="28"/>
          <w:szCs w:val="28"/>
          <w:rtl w:val="true"/>
          <w:lang w:bidi="fa-IR"/>
        </w:rPr>
        <w:t>بالتنزیل الشرعی لکان ذلک مختصا بالفاقد الصحیح دون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المسامحة من باب تنزیل الفاقد منزلة الواجد أو من باب اکتفاء الشارع بالفاقد لا تخرج الاستعمال عن کونه مجازا، غایته أنّه مجاز علی رأی السکاکی </w:t>
      </w:r>
      <w:r>
        <w:rPr>
          <w:rStyle w:val="FootnoteAnchor"/>
          <w:rtl w:val="true"/>
        </w:rPr>
        <w:footnoteReference w:id="438"/>
      </w:r>
      <w:r>
        <w:rPr>
          <w:rFonts w:ascii="IRNazanin" w:hAnsi="IRNazanin" w:eastAsia="IRNazanin"/>
          <w:color w:val="111111"/>
          <w:sz w:val="28"/>
          <w:sz w:val="28"/>
          <w:szCs w:val="28"/>
          <w:rtl w:val="true"/>
          <w:lang w:bidi="fa-IR"/>
        </w:rPr>
        <w:t>، و ذلک لا یجعل استعمال اللفظ فی ذلک المقام استعمالا حقیقیا علی وجه یکون توجیها للأعم أو توجیها للجامع بین الأفراد الصحیحة، بل إنّ محصّل ذلک هو تضییق دائرة القول بالصحیح، و أنّ الصلاة لیست حقیقة إلّا فی الصحیح الأعلائی، و أنّ الاستعمال فی غیره لا یکون إلّا من باب التنزیل و العنایة، سواء کان ذلک الغیر صحیحا أو کان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کیف لا یلزم منه سبک المجاز عن المجاز فی فاسد صلاة الغرقی مع أنّ صحیحها لا یکون صلاة إلّا بتنزیل من الشارع، و مجرد أنّ هذا التنزیل کان بجعل من الشارع من جهة الإجزاء أو الاکتفاء الشرعی لا یخرجه عن المجازیة، غایته أنّه من قبیل الاستعارة علی رأی السکاکی، و أنّ المصحّح لذلک التنزیل الشرعی هو الاجتزاء و الاکتفاء، و ذلک لا یخرجه عن کونه مجازا، غایته أنّه لا یکون مجازا فی الکلمة کما هو الشأن فی کل مجاز بناء علی هذا القول، کما أنّ استعمال اللفظ فی فاسد صلاة الغرقی لکونه منزّلا منزلة صحیحها لا یکون إلّا من هذا القبیل أیضا لکونه استعمالا مبنیا علی التنزیل المذکور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الذی حررته عنه قدّس سرّه فی هذا المقام هو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الصلاة هی الجامعة لجمیع الأجزاء و الشرائط، و أمّا الفاقد فإن کان هناک ما</w:t>
      </w:r>
    </w:p>
    <w:p>
      <w:pPr>
        <w:pStyle w:val="BookText"/>
        <w:rPr/>
      </w:pPr>
      <w:r>
        <w:rPr>
          <w:rFonts w:ascii="IRNazanin" w:hAnsi="IRNazanin" w:eastAsia="IRNazanin"/>
          <w:color w:val="111111"/>
          <w:sz w:val="28"/>
          <w:sz w:val="28"/>
          <w:szCs w:val="28"/>
          <w:rtl w:val="true"/>
          <w:lang w:bidi="fa-IR"/>
        </w:rPr>
        <w:t>یدل علی صحته عند الشارع کان فردا تنزیلیا، و إن لم یکن فی البین ذلک الدلیل، و قلنا بصحة الاستعمال فیه و لو من جهة کونه مناسبا لذلک الفاقد فهو و إلّا کان الاستعمال مقصورا علی ما دلّ الدلیل الشرعی علی الاکتفاء به، و الثانی عبارة اخری عن القول بالصحیح و الأول عبارة عن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الفرد الحقیقی هو التام، و أمّا الفاقد لبعض الأجزاء فإن کان لنسیان أو عجز و دلّ الدلیل الشرعی علی الاکتفاء به فهو فرد تنزیلی و إن کان باطلا، فإن قلنا بصحة الاستعمال فیه و لو من جهة مناسبته لذلک الفرد التنزیلی کان محصل ذلک هو القول بالأعم، و إن لم نقل بصحة الاستعمال المذکور کان محصل ذلک هو القول بالصحیح، فمحصّل القول بالأعم هو تعمیم المناسبة المصححة للاستعمال و عدم قصرها علی الصحة، و محصّل القول بالصحیح هو قصرها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محصل ذلک هو الالتزام بالتجوز فی غیر الصحیح الأعلائی، غایته أنّ القائل بالصحیح یقصر ذلک التجوز علی التعبد الشرعی بالاجتزاء بذلک الفاقد و القائل بالأعم لا یقصره علی ذلک، فیمکن القول بأنّ هذا التوجیه لا یوافق کلا من القول بالصحیح و القول بالأعم، لأنّهم لا یدعون الاستعمال فی الفاقد الصحیح علی القول بالصحیح و الفاقد الفاسد علی القول بالأعم إلّا استعمالا حقیقیا، و لأجل ذلک احتجنا إلی وجود الجامع علی کل من القولین، و مجرد المناسبة و التنزیل لا تخرج الاستعمال عن التجوز کما عرفت فیما تقدم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الصلاة الصحیحة قدر مشترک بین فریضة الصبح و المغرب و العشاء و الآیات و الجمعة و العید و صلاة جعفر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ریب فی اختلاف هذه الصلوات من حیث الأجزاء کما و کیفا، فلو أردنا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لفظ الصلاة موضوع لما هو الجامع لجمیع الأجزاء ما ذا نعنی من الأجزاء؟ هل هی أجزاء الصلاة الیومیة و أیّ فریضة منها، أو هی أجزاء صلاة العید أو صلاة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إشکال آخر غیر ما أشکله فی الکفایة علی هذا التوجیه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یکاد یتم فی مثل العبادات التی عرفت أنّ الصحیح منها یختلف حسب اختلاف الحالات، و کون الصحیح بحسب حالة فاسدا بحسب حالة اخری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الاشکال یمکن دفعه بما تضمنه صدر التوجیه، من أنّ الموضوع له أوّلا لیس هو مطلق الصحیح بل هو الصحیح التام الجامع لجمیع الأجزاء و الشرائط، و هذا لا یختلف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کان فاسدا إذا کان صادرا ممن لا یتمکن من تمامیة تلک الأجزاء و لو لضیق الوقت أو لعذر ملزم بترک بعض الأجزاء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الایراد علیه بأنّ الصلاة ذات رکعتین تکون فاسدة ممن هو مأمور بالأکثر و بالعکس کما فی الحاشیة</w:t>
      </w:r>
      <w:r>
        <w:rPr>
          <w:rStyle w:val="FootnoteAnchor"/>
          <w:rtl w:val="true"/>
        </w:rPr>
        <w:footnoteReference w:id="440"/>
      </w:r>
      <w:r>
        <w:rPr>
          <w:rFonts w:ascii="IRNazanin" w:hAnsi="IRNazanin" w:eastAsia="IRNazanin"/>
          <w:color w:val="111111"/>
          <w:sz w:val="28"/>
          <w:sz w:val="28"/>
          <w:szCs w:val="28"/>
          <w:rtl w:val="true"/>
          <w:lang w:bidi="fa-IR"/>
        </w:rPr>
        <w:t>، فهو راجع إلی مثل القصر و الإتمام، و یمکن الجواب عنه بأنّ المقیاس الأصلی هو الرکعتان، و تکون الزیادة علیها صلاة بالتنزیل، فإنّ القیود لا تختص بالوجودیة، و لا یختص التنزیل بما هو الفاقد، بل یتأتی فیه القیود العدمیة، و یکون التنزیل فیما هو مشتمل علی الزیادة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الإشکال المذکور، أعنی کون الصلاة قدرا مشترکا بین کل من الفرائض الیومیة و صلاة العید و صلاة الآیات و غیر ذلک من الصلوات و الصحیح الأعلائی فی کل واحد من هذه الصلوات هو غیره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أنواع للصلاة، و کلّ نوع منها له صحیح أعلائی و له صحیح ناقص و له فاسد ناقص، فصلاة الصبح مثلا موضوعة أوّلا لما هو التامّ منها، و مستعملة تنزیلا فی الصحیح الفاقد لبعض الأجزاء، و هکذا الحال فی غیرها من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هو المراد مما أفید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القصر و الاتمام فهما، إلخ </w:t>
      </w:r>
      <w:r>
        <w:rPr>
          <w:rStyle w:val="FootnoteAnchor"/>
          <w:rtl w:val="true"/>
        </w:rPr>
        <w:footnoteReference w:id="441"/>
      </w:r>
      <w:r>
        <w:rPr>
          <w:rFonts w:ascii="IRNazanin" w:hAnsi="IRNazanin" w:eastAsia="IRNazanin"/>
          <w:color w:val="111111"/>
          <w:sz w:val="28"/>
          <w:sz w:val="28"/>
          <w:szCs w:val="28"/>
          <w:rtl w:val="true"/>
          <w:lang w:bidi="fa-IR"/>
        </w:rPr>
        <w:t>، لکن مع ذلک لا بد من الالتزام بوجود جامع بین هذه الأنواع، فلا محیص حینئذ من جعل ذلک الجامع بین جمیع تلک الأنواع هو المرکب من مجموع الأجزاء الخاصة و هو ما سیأتی من الکلّی فی المعیّن، و إذا تم هذا الجامع کان هو الجامع أیضا بین التام و الناقص الصحیح بناء علی القول بالصحیح، بل کان هو الجامع بین الصحیح و الفاسد بناء علی القول بالأعم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تصویر الجامع علی کلّ من القول بالصحیح و القول بالأعم، أمّا علی القول بالأعم فواضح، لأنّ الجامع الذی هو المسمی یکون عبارة عمّا ترکب من مجموع تلک الأجزاء علی ما سیأتی شرحه </w:t>
      </w:r>
      <w:r>
        <w:rPr>
          <w:rStyle w:val="FootnoteAnchor"/>
          <w:rtl w:val="true"/>
        </w:rPr>
        <w:footnoteReference w:id="442"/>
      </w:r>
      <w:r>
        <w:rPr>
          <w:rFonts w:ascii="IRNazanin" w:hAnsi="IRNazanin" w:eastAsia="IRNazanin"/>
          <w:color w:val="111111"/>
          <w:sz w:val="28"/>
          <w:sz w:val="28"/>
          <w:szCs w:val="28"/>
          <w:rtl w:val="true"/>
          <w:lang w:bidi="fa-IR"/>
        </w:rPr>
        <w:t>من کونه من قبیل الکلّی فی المعیّن، و أمّا علی القول بالصحیح فکذلک أیضا، بأن یکون الموضوع له عند القائل بالصحیح هو المرکب من تلک الأجزاء بشرط کونه صحیحا مسقطا للأمر الذی یتعلّق به بعد التسمیة، فلا یتوجه علیه أنّ الصحة بمعنی إسقاط الأمر تکون متأخرة عن الأمر فلا یمکن أخذها فی المسمی،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له علی القول بالصحیح هو المرکب من تلک الأجزاء بشرط کونه بحیث یترتب علیه النهی عن الفحشاء، و إن کان ترتب هذا الأثر علیه متوقفا علی الأمر، فیکون محصل ذلک هو أنّ الجامع</w:t>
      </w:r>
    </w:p>
    <w:p>
      <w:pPr>
        <w:pStyle w:val="BookText"/>
        <w:rPr/>
      </w:pPr>
      <w:r>
        <w:rPr>
          <w:rFonts w:ascii="IRNazanin" w:hAnsi="IRNazanin" w:eastAsia="IRNazanin"/>
          <w:color w:val="111111"/>
          <w:sz w:val="28"/>
          <w:sz w:val="28"/>
          <w:szCs w:val="28"/>
          <w:rtl w:val="true"/>
          <w:lang w:bidi="fa-IR"/>
        </w:rPr>
        <w:t xml:space="preserve">و المسمی علی القول بالصحیح هو المرکب من تلک الأجزاء الذی لو أمر به لترتب علیه النهی عن الفحشاء و غیره من الآثار الباعثة علی الأمر به علی وجه لا یکون التقیید بکونه بحیث یترتب علیه الأثر إلّا من قبیل المعرّف لذلک الجامع لا من قبیل التقیید علی ما تقدم </w:t>
      </w:r>
      <w:r>
        <w:rPr>
          <w:rStyle w:val="FootnoteAnchor"/>
          <w:rtl w:val="true"/>
        </w:rPr>
        <w:footnoteReference w:id="443"/>
      </w:r>
      <w:r>
        <w:rPr>
          <w:rFonts w:ascii="IRNazanin" w:hAnsi="IRNazanin" w:eastAsia="IRNazanin"/>
          <w:color w:val="111111"/>
          <w:sz w:val="28"/>
          <w:sz w:val="28"/>
          <w:szCs w:val="28"/>
          <w:rtl w:val="true"/>
          <w:lang w:bidi="fa-IR"/>
        </w:rPr>
        <w:t>تفصیله فی شرح مراد الکفایة من استکشاف الجامع بآثاره علی القول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الکفایة قرّب هذا التوجیه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وضعت له الألفاظ ابتداء هو الصحیح التام الواجد لتمام الأجزاء و الشرائط، إلّا أنّ العرف یتسامحون کما هو دیدنهم، و یطلقون تلک الألفاظ علی الفاقد للبعض تنزیلا له منزلة الواجد، فلا یکون مجازا فی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ذهب إلیه السکاکی </w:t>
      </w:r>
      <w:r>
        <w:rPr>
          <w:rStyle w:val="FootnoteAnchor"/>
          <w:rtl w:val="true"/>
        </w:rPr>
        <w:footnoteReference w:id="444"/>
      </w:r>
      <w:r>
        <w:rPr>
          <w:rFonts w:ascii="IRNazanin" w:hAnsi="IRNazanin" w:eastAsia="IRNazanin"/>
          <w:color w:val="111111"/>
          <w:sz w:val="28"/>
          <w:sz w:val="28"/>
          <w:szCs w:val="28"/>
          <w:rtl w:val="true"/>
          <w:lang w:bidi="fa-IR"/>
        </w:rPr>
        <w:t>فی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دعوی صیرورته حقیقة فیه بعد الاستعمال فیه کذلک دفعة أو دفعات، من دون حاجة إلی الکثرة و الشهرة، للانس الحاصل من جهة المشابهة فی الصورة أو المشارکة فی التأثیر، کما فی أسامی المعاجین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أجاب عنه بما تقدم نقله، و قد عرفت فیما تقدم </w:t>
      </w:r>
      <w:r>
        <w:rPr>
          <w:rStyle w:val="FootnoteAnchor"/>
          <w:rtl w:val="true"/>
        </w:rPr>
        <w:footnoteReference w:id="446"/>
      </w:r>
      <w:r>
        <w:rPr>
          <w:rFonts w:ascii="IRNazanin" w:hAnsi="IRNazanin" w:eastAsia="IRNazanin"/>
          <w:color w:val="111111"/>
          <w:sz w:val="28"/>
          <w:sz w:val="28"/>
          <w:szCs w:val="28"/>
          <w:rtl w:val="true"/>
          <w:lang w:bidi="fa-IR"/>
        </w:rPr>
        <w:t>أنّ کونه من قبیل الاستعارة علی رأی السکاکی لا یخرجه عن 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صیرورته حقیقة بالاستعمال الواحد أو الاستعمالین لا تخلو من غرابة، سیّما بعد ما شرحناه من امتناع الوضع التعینی الناشئ من کثرة الاستعمال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المشابهة فی الصورة ممنوعة فی کثیر من موارد فساد العبادة،</w:t>
      </w:r>
      <w:bookmarkStart w:id="404" w:name="pg19834_212254"/>
    </w:p>
    <w:p>
      <w:pPr>
        <w:pStyle w:val="BookText"/>
        <w:rPr/>
      </w:pPr>
      <w:bookmarkEnd w:id="404"/>
      <w:r>
        <w:rPr>
          <w:rFonts w:ascii="IRNazanin" w:hAnsi="IRNazanin" w:eastAsia="IRNazanin"/>
          <w:color w:val="111111"/>
          <w:sz w:val="28"/>
          <w:sz w:val="28"/>
          <w:szCs w:val="28"/>
          <w:rtl w:val="true"/>
          <w:lang w:bidi="fa-IR"/>
        </w:rPr>
        <w:t>کما أنّ المشارکة فی التأثیر أیضا ممنوعة، مضافا إلی إمکان القول بأنّ المشاکلة فی الصورة ربما کانت لا تکفی فی التجوز و التنزیل و إلا لجاز استعمال زید فی عمرو مجازا للمشارکة فی الصورة بین جمیع أفراد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سلّمنا حصول الحقیقة فذلک حاله حال المنقول الذی یکون بواسطة کثرة الاستعمال حقیقة فی المعنی بعد أن کان استعماله فیه مجازا، إمّا مع عدم هجر المعنی الأوّل فیکون مشترکا لفظیا، أو مع هجره فیکون اللفظ حقیقة فی المعنی الجدید، و حینئذ فلو سلّمنا صیرورة اللفظ حقیقة فی الفاقد کان حاله حینئذ حال المنقول فی أنّ لازمه الاشتراک اللفظی بین الفاقد و الواجد، أو هجر الواجد و صیرورته حقیقة فی خصوص الفاقد، لا أنّه یکون للأعم من الواجد و الفاقد بعد ما کان مختصا بخصوص الواجد</w:t>
      </w:r>
      <w:r>
        <w:rPr>
          <w:rFonts w:eastAsia="IRNazanin" w:cs="IRNazanin"/>
          <w:color w:val="111111"/>
          <w:sz w:val="28"/>
          <w:szCs w:val="28"/>
          <w:rtl w:val="true"/>
          <w:lang w:bidi="fa-IR"/>
        </w:rPr>
        <w:t>.</w:t>
      </w:r>
    </w:p>
    <w:p>
      <w:pPr>
        <w:pStyle w:val="Heading4"/>
        <w:numPr>
          <w:ilvl w:val="3"/>
          <w:numId w:val="1"/>
        </w:numPr>
        <w:rPr/>
      </w:pPr>
      <w:bookmarkStart w:id="405" w:name="__RefHeading___Toc3493717_2314609296"/>
      <w:bookmarkStart w:id="406" w:name="_Toc151"/>
      <w:bookmarkEnd w:id="405"/>
      <w:r>
        <w:rPr>
          <w:rtl w:val="true"/>
        </w:rPr>
        <w:t>[</w:t>
      </w:r>
      <w:r>
        <w:rPr>
          <w:rtl w:val="true"/>
        </w:rPr>
        <w:t>الکلام فی تصویر الجامع بمعنی معظم الأجزاء</w:t>
      </w:r>
      <w:r>
        <w:rPr>
          <w:rtl w:val="true"/>
        </w:rPr>
        <w:t>]</w:t>
      </w:r>
      <w:bookmarkEnd w:id="40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التحقیق إمکان تصوّر الجامع من هذا الوجه، بأن یکون الجامع هو الکلّی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المأخوذ فی الموضوع له هو عدّة من الأجزاء فصاعدا المبهمة من حیث التشخص، فیکون کلیا منطبقا علی القلیل و الکثیر نظیر لفظ الکلام فانّه وضع بحسب اللغة لما یترکب من حرفین من الحروف الهجائیة فصاعدا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لازم هذا التوجیه بمقتضی صدر هذه العبارة هو التبادل فیما هو المسمی بالنسبة إلی الفرد الواحد، فإنّه لازم أخذ المعظم من قبیل</w:t>
      </w:r>
    </w:p>
    <w:p>
      <w:pPr>
        <w:pStyle w:val="BookText"/>
        <w:rPr/>
      </w:pPr>
      <w:r>
        <w:rPr>
          <w:rFonts w:ascii="IRNazanin" w:hAnsi="IRNazanin" w:eastAsia="IRNazanin"/>
          <w:color w:val="111111"/>
          <w:sz w:val="28"/>
          <w:sz w:val="28"/>
          <w:szCs w:val="28"/>
          <w:rtl w:val="true"/>
          <w:lang w:bidi="fa-IR"/>
        </w:rPr>
        <w:t>الکلی فی المعیّن، مع أنّه لا یصحح دخول ما عدا المعظم فی المسمی، و أقصی ما فیه أن لا یکون وجوده مضرا کما هو مقتضی اللابشرطیة، لا أن یکون داخلا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إن کان المراد من الأجزاء التی ادعی کون معظمها هو المسمی هی أجزاء المأمور به، ففیه أنّ مرتبة التسمیة قبل مرتبة الأمر، و إن کان المراد من الأجزاء المذکورة هی أجزاء المسمی،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معظمها هو المسمی خلف، لأنّ محصله حینئذ أنّ معظم أجزاء المسمی هی المسمی، و إن کان المراد معظم أجزاء الماهیة المخترعة، کان محصله أنّ المسمی هو معظم تمام الأجزاء، و لا یخفی أنّه لا یصدق علی أغلب الأفراد الناقصة، إذ لیس معظم الأجزاء فیها هو معظم التام، و إن کان المراد أنّ کل فرد أیّ فرد کان یکون معظم أجزائه هو المسمی، ففیه إشکال التبادل فیما هو المسمی بالنسبة إلی الأفراد، و لا یصححه أخذه من قبیل الکلی فی المعیّن، لأنّ ذلک إنّما یدفع إشکال التبادل فی المسمی بالنسبة إلی فرد واحد لو سلم أنّه یندفع بذلک، و لا یندفع به اشکال التبادل بالنسبة إلی الأفراد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افید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المأخوذ فی الموضوع له هو عدة من الأجزاء فصاعدا المبهمة من حیث التشخص، فیکون کلیا منطبقا علی القلیل و الکثیر نظیر لفظ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فکأنّه مطلب آخر یوجّه به القدر الجامع علی القول بالأعم لا ربط له بالکلی فی المعیّن، و ذلک الوجه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له هو طبیعة الأجزاء الصادق علی القلیل و الکثیر علی وجه لو اجتمعت کلها فی فرد یکون ذلک الفرد بتمامه هو المسمی، لا أنّ المعظم من أجزائه داخلة فی المسمی و الزائد علی ذلک المعظم یکون خارجا عنها،</w:t>
      </w:r>
    </w:p>
    <w:p>
      <w:pPr>
        <w:pStyle w:val="BookText"/>
        <w:rPr/>
      </w:pPr>
      <w:r>
        <w:rPr>
          <w:rFonts w:ascii="IRNazanin" w:hAnsi="IRNazanin" w:eastAsia="IRNazanin"/>
          <w:color w:val="111111"/>
          <w:sz w:val="28"/>
          <w:sz w:val="28"/>
          <w:szCs w:val="28"/>
          <w:rtl w:val="true"/>
          <w:lang w:bidi="fa-IR"/>
        </w:rPr>
        <w:t xml:space="preserve">و محصل کونها من قبیل الکلی فی المعیّن أنّ الواضع نظر إلی مجموع الأجزاء و جعل لفظ الصلاة لما یترکب منها، سواء ترکب من اثنین منها أو من ثلاثة أو من أربعة أو ترکب من المجموع، فلو قال القائل إنّ الصلاة تکبیر و قراءة و قیام و رکوع و سجود إلی آخر الأجزاء، کان ذلک نظیر قول القائل إنّ الکلام اسم و فعل و حرف، یعنی أنّه من قبیل تقسیم الشی‌ء إلی ما یتألف من مجموعه لا من جمیعه، فهو کما قال بعض الشرّاح فی قول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و فعل ثم حرف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من تقسیم الکلی إلی أفراده نظیر تقسیم الکلمة إلی هذه الثلاثة، بل هو من تقسیم الکل إلی أجزائه التی یترکب من مجموعها لا من جمیعها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لیس من قبیل الکلی فی المعیّن، لأنّ الکلی فی المعیّن هو ما یکون مقدارا محدودا منطبقا علی کل واحد من أبعاض ذلک المعیّن کالصاع من الصبرة، و حینئذ فما هو غیر محدود من تلک الصبرة علی وجه یکون صالحا للانطباق علی البعض القلیل و علی البعض الکثیر و علی تمام الکل لا یکون من قبیل الکلی فی المعیّن، بل هو نحو آخر محصله أن الموضوع له ما یکون مؤلفا و مرکبا من هذه الأجزاء سواء ترکب من بعضها أو کلّها، فإن اعتبرنا أن یکون مشتملا علی معظم تلک الأجزاء کان محصله أنه لا بد أن یکون مؤلفا من أغلبها، إن اعتبرنا المعظمیة بالنسبة إلی العدد، أو أنّه لا بد أن یکون مؤلفا من عمدها و أرکانها إن اعتبرنا المعظمیة بالنسبة إلی ما هو العمدة من تلک الأجزاء، و علی کل حال یکون ذلک تضییقا فی القول بالأعم، لأنّهم لا یلتزمون بأنّه لا بد فی المسمی من کونه مشتملا علی معظم تلک الأجزاء أو کونه مشتملا علی أغلبها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نفس تلک الأجزاء المنظور إلیها فی الترکیب منها لها مراتب</w:t>
      </w:r>
      <w:bookmarkStart w:id="407" w:name="pg19834_212257"/>
    </w:p>
    <w:p>
      <w:pPr>
        <w:pStyle w:val="BookText"/>
        <w:rPr/>
      </w:pPr>
      <w:bookmarkEnd w:id="407"/>
      <w:r>
        <w:rPr>
          <w:rFonts w:ascii="IRNazanin" w:hAnsi="IRNazanin" w:eastAsia="IRNazanin"/>
          <w:color w:val="111111"/>
          <w:sz w:val="28"/>
          <w:sz w:val="28"/>
          <w:szCs w:val="28"/>
          <w:rtl w:val="true"/>
          <w:lang w:bidi="fa-IR"/>
        </w:rPr>
        <w:t xml:space="preserve">و أبدال فلا بد أن یقال إنّ الموضوع له هو المرکب من مجموع هذه الأجزاء و أبدالها و قد تقدم فی حاشیة صفحة </w:t>
      </w:r>
      <w:r>
        <w:rPr>
          <w:rFonts w:eastAsia="IRNazanin" w:cs="IRNazanin"/>
          <w:color w:val="111111"/>
          <w:sz w:val="28"/>
          <w:szCs w:val="28"/>
          <w:lang w:bidi="fa-IR"/>
        </w:rPr>
        <w:t>28</w:t>
      </w:r>
      <w:r>
        <w:rPr>
          <w:rStyle w:val="FootnoteAnchor"/>
          <w:rtl w:val="true"/>
        </w:rPr>
        <w:footnoteReference w:id="448"/>
      </w:r>
      <w:r>
        <w:rPr>
          <w:rFonts w:ascii="IRNazanin" w:hAnsi="IRNazanin" w:eastAsia="IRNazanin"/>
          <w:color w:val="111111"/>
          <w:sz w:val="28"/>
          <w:sz w:val="28"/>
          <w:szCs w:val="28"/>
          <w:rtl w:val="true"/>
          <w:lang w:bidi="fa-IR"/>
        </w:rPr>
        <w:t>تصویر الجامع علی القول بالأعم بهذا النحو، فراجع</w:t>
      </w:r>
      <w:r>
        <w:rPr>
          <w:rFonts w:eastAsia="IRNazanin" w:cs="IRNazanin"/>
          <w:color w:val="111111"/>
          <w:sz w:val="28"/>
          <w:szCs w:val="28"/>
          <w:rtl w:val="true"/>
          <w:lang w:bidi="fa-IR"/>
        </w:rPr>
        <w:t>.</w:t>
      </w:r>
    </w:p>
    <w:p>
      <w:pPr>
        <w:pStyle w:val="Heading4"/>
        <w:numPr>
          <w:ilvl w:val="3"/>
          <w:numId w:val="1"/>
        </w:numPr>
        <w:rPr/>
      </w:pPr>
      <w:bookmarkStart w:id="408" w:name="__RefHeading___Toc3493719_2314609296"/>
      <w:bookmarkStart w:id="409" w:name="_Toc152"/>
      <w:bookmarkEnd w:id="408"/>
      <w:r>
        <w:rPr>
          <w:rtl w:val="true"/>
        </w:rPr>
        <w:t>[</w:t>
      </w:r>
      <w:r>
        <w:rPr>
          <w:rtl w:val="true"/>
        </w:rPr>
        <w:t>هل الأعمی یمکنه التمسک بالاطلاقات</w:t>
      </w:r>
      <w:bookmarkEnd w:id="40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الأعمّی لا یمکنه ذلک أیضا، فإنّ المأمور به هو الصحیح قطعا، فثبت تقیید المسمّی بقید یشک فی تحققه عند الشک فی الجزئیة و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المرحوم الشیخ علی القوچانی رحمه اللّه </w:t>
      </w:r>
      <w:r>
        <w:rPr>
          <w:rStyle w:val="FootnoteAnchor"/>
          <w:rtl w:val="true"/>
        </w:rPr>
        <w:footnoteReference w:id="450"/>
      </w:r>
      <w:r>
        <w:rPr>
          <w:rFonts w:ascii="IRNazanin" w:hAnsi="IRNazanin" w:eastAsia="IRNazanin"/>
          <w:color w:val="111111"/>
          <w:sz w:val="28"/>
          <w:sz w:val="28"/>
          <w:szCs w:val="28"/>
          <w:rtl w:val="true"/>
          <w:lang w:bidi="fa-IR"/>
        </w:rPr>
        <w:t>هذا الإشکال و أجاب عنه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التقیید من قبیل التقیید العقلی، و هو لا یمنع من التمسک بالعموم فی مقام الشک، لکونه من المخصصات اللبیة التی لا توجب خروج العام عن الحجیّة إلّا فیما علم أنّه من مصادیق الخارج أعنی معلوم الفساد فیما نحن فیه دون ما یشک 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یخفی، فإنّ حکم العقل إذا کان واضحا یعدّ بمنزلة القید المتصل فی کونه موجبا للإجمال فی مورد الشک، علی أنّ أصل المبنی محل تأمّل کما حررناه </w:t>
      </w:r>
      <w:r>
        <w:rPr>
          <w:rStyle w:val="FootnoteAnchor"/>
          <w:rtl w:val="true"/>
        </w:rPr>
        <w:footnoteReference w:id="451"/>
      </w:r>
      <w:r>
        <w:rPr>
          <w:rFonts w:ascii="IRNazanin" w:hAnsi="IRNazanin" w:eastAsia="IRNazanin"/>
          <w:color w:val="111111"/>
          <w:sz w:val="28"/>
          <w:sz w:val="28"/>
          <w:szCs w:val="28"/>
          <w:rtl w:val="true"/>
          <w:lang w:bidi="fa-IR"/>
        </w:rPr>
        <w:t>فی مسألة التمسک بالعموم فی الشبهات المصداقیة،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أفاده شیخنا قدّس سرّه فی الجواب عن هذا الإشکال بما هو مرسوم فی هذا التحریر، و قد حررت عنه قدّس سرّه بعد بیان هذا المحرر هنا ما هذا لفظه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إن کان المراد من الصحة المدعی کونها قیدا فی متعلق الأمر</w:t>
      </w:r>
    </w:p>
    <w:p>
      <w:pPr>
        <w:pStyle w:val="BookText"/>
        <w:rPr/>
      </w:pPr>
      <w:r>
        <w:rPr>
          <w:rFonts w:ascii="IRNazanin" w:hAnsi="IRNazanin" w:eastAsia="IRNazanin"/>
          <w:color w:val="111111"/>
          <w:sz w:val="28"/>
          <w:sz w:val="28"/>
          <w:szCs w:val="28"/>
          <w:rtl w:val="true"/>
          <w:lang w:bidi="fa-IR"/>
        </w:rPr>
        <w:t>هی الصحة بمعنی التمامیة السابقة فی الرتبة علی الأمر،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کونها قیدا، و إن کان المراد منها الصحة المنتزعة عن مطابقة الأمر المأخوذة من انطباق متعلّق الأمر علی ذلک الفاقد لما شک فی اعتباره، ففیه أنّ الصحة بهذا المعنی متأخرة رتبة عن الأمر فلا یعقل أخذها 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یمکن اختیار الشق الأول، و یکون الدلیل علیه هو العقل، فإنّا بعد أن فرضنا أنّ الصحیح هو التام الجامع لجمیع الأجزاء و الشرائط أعنی التمامیة السابقة فی الرتبة علی الأمر، و هذه التمامیة هی التی ادعاها القائل بالصحیح، و أنّ حکم العقل بخروج الفاسد هو عبارة أخری عن أن الشارع لا یأمر إلّا بما هو التام 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أول الکلام و هو ما حرره فی هذا التحریر، فالظاهر أنّه فی حد نفسه غیر دافع للإشکال، لأنّا بعد فرضنا أنّ الصلاة علی قسمین صحیح و فاسد، و أنّها اسم للجامع بین هذین المفهومین، یکون محصل الحکم العقلی المذکور هو أنّ المأمور به هو خصوص مفهوم الصحیح، و أنّ ما هو مفهوم الفاسد خارج عنه، و حینئذ یعود الإشکال المذکور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إتمام الجواب بمقدمة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القائل بالأعم لیس هو ما ذکر من القدر الجامع بین مفهوم الصحیح و مفهوم الفاسد، بل المراد به هو الجامع بین مصداق الصحیح أعنی التام الواجد لجمیع الأجزاء و الشرائط و مصداق الناقص أعنی الفاقد لبعض الأجزاء و الشرائط، فإنّ القول بالأعم إنّما هو فی مقابلة القول بالصحیح، و لا ریب أنّ القائلین بالصحیح لا یریدون به الصحیح بمعنی مفهوم الصحیح، بحیث یتساوی عندهم لفظ الصلاة و لفظ الصحیح، بل المراد مصداق الصحیح، و لیست الصحة حینئذ إلّا التمامیّة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لیس المراد بالتمامیة بلحاظ الأمر، لأنّ کلامهم إنّما هو فی مقام التسمیة، و هی أعنی التسمیة سابقة علی مقام الأمر، و حینئذ یکون مراد القائل بالصحیح هو الجامع لجمیع الأجزاء و الشرائط التی هی دخیلة فی الترکیب و الاختراع الذی هو قبل التسمیة، فیکون مقابله هو الأعم من الجامع لجمیع تلک الأجزاء و الفاقد لبعضها، و لا دخل لذلک بعالم الأمر و مطابقة المأتی به لما هو المأمور به بحیث یکون الموضوع له هو الأعم مما هو مطابق المأمور به و ما هو غیر مطابق له، بل المراد من الأعم هو الأعم من واجد الجزء و القید بالنسبة إلی عالم الاختراع و فاقده، فبالنسبة إلی التشهد مثلا یکون لفظ الصلاة موضوعة للأعم من واجد التشهد و فاقده، فإذا أمرنا بالإتیان بالصلاة فقد أمرنا بالجامع بین المصداق الواجد للتشهد و المصداق الفاقد للتشهد، فلو لم یقید الصلاة بالتشهد المذکور لثبت أنّ المأمور به هو الأعم من الواجد له و الفاقد له، و أنّ التشهد لیس بقید فی ذلک المأمور به، و بعد تمامیة هذه المقدمات نحکم بأنّ الفاقد للتشهد مأمور به کالواجد، و بعد ذلک ننتزع وصف الصحة للفاقد بمعنی أنّه مطابق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ذکره المرحوم الشیخ علی قدّس سرّه لعلّه مأخوذ ممّا أفاده الشیخ قدّس سرّه فإنّه قدّس سرّه قال فی أثناء الجواب عن الاشکال المزبور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الفاسد خارج عن العموم قطعا، و الفرد المشکوک یحتمل أن یکون فاسدا و أن یکون صحیحا، فلا وجه للتمسک بالعام عند الشک فی دخول الفرد فی عنوان المخصص أو فی العام 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الفاسد خارجا عن العموم بل لیس الخارج إلّا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ظاهرة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الفساد لیس عنوانا للأفراد الخارجة، و إنّما هو وصف اعتباری منتزع من</w:t>
      </w:r>
    </w:p>
    <w:p>
      <w:pPr>
        <w:pStyle w:val="BookText"/>
        <w:rPr/>
      </w:pPr>
      <w:r>
        <w:rPr>
          <w:rFonts w:ascii="IRNazanin" w:hAnsi="IRNazanin" w:eastAsia="IRNazanin"/>
          <w:color w:val="111111"/>
          <w:sz w:val="28"/>
          <w:sz w:val="28"/>
          <w:szCs w:val="28"/>
          <w:rtl w:val="true"/>
          <w:lang w:bidi="fa-IR"/>
        </w:rPr>
        <w:t>الأفراد بعد اتصافها بالخروج، فکونها فاسدة موقوف علی خروجها و العموم حاکم بدخولها، فلا تتصف بالفساد بل یجب اتصافها بالصحة، إذ لا معنی للصحة إلّا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قررنا فی محله جواز الرجوع بل وجوبه إلی العموم فیما إذا امتنع الوصف جعله عنوانا للعام أو للمخصص کما فی وصفی الصحة و الفساد، بل قد یستکشف بالعموم دخول ما یمکن أن یؤخذ عنوانا للمخصص، و لکنّه لم یؤخذ، کما فی قولک أضف جیرانی، مع العلم بأنّه لا یرید إکرام عدوّه، فانّه بالعموم یستکشف أنّه فی جیرانه لیس من هو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زعمه المعترض من تقیید المطلوب بالصحیحة، فیحصل الشک فی حصول المکلف به فی الخارج، فیظهر النظر فیه مما ذکرناه،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ناش من عدم الفرق بین کون الصفة مأخوذة فی موضوع الحکم، و بین أن یکون لازما مساویا للموضوع، فعلی الأوّل یجب إحرازه و علی الثانی فما هو الموضوع بحکم اللفظ یلازم وجوده وجود لازمه، و ما ذکرناه بمکان من الظهور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لا یکون الشیخ قدّس سرّه ناظرا فی ذلک إلی التفرقة بین المخصص اللفظی و المخصص اللبی، بل هو ناظر إلی ما أشار إلیه من عدم أخذ الصفة قیدا فی الموضوع و إن کان نفس الموضوع ملازما لتلک الصفة، فیثبت حینئذ بمقتضی الأصل اللفظی الحاکم بأنّ الفاقد للسورة مثلا موضوع الحکم، أنّ الفاقد للسورة واجد للوصف المذکور، و فی مثل أکرم جیرانی موضوع الحکم هو الجار، و لازم کونه موضوعا لوجوب الاکرام هو عدم</w:t>
      </w:r>
    </w:p>
    <w:p>
      <w:pPr>
        <w:pStyle w:val="BookText"/>
        <w:rPr/>
      </w:pPr>
      <w:r>
        <w:rPr>
          <w:rFonts w:ascii="IRNazanin" w:hAnsi="IRNazanin" w:eastAsia="IRNazanin"/>
          <w:color w:val="111111"/>
          <w:sz w:val="28"/>
          <w:sz w:val="28"/>
          <w:szCs w:val="28"/>
          <w:rtl w:val="true"/>
          <w:lang w:bidi="fa-IR"/>
        </w:rPr>
        <w:t>کونه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الطریقة لو تمت تغنینا عن الرکون إلی دعوی أن کون المخصص لبیا لا یمنع عن التمسک بالعام فی الشبهة المصداقیة، لکنها لو تمت فی مثل وصف الصحة فهی غیر تامة فی وصف العداوة و الصداقة، فإنّ مثل وصف الصداقة و العداوة لیست معتبرة من جهة مجرد الملازمة بین وجوب الاکرام و الصداقة أو عدم العداوة، بل هی بحکم العقل قید فی الموضوع فلاحظ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نظر الشیخ قدّس سرّه فی الاستشهاد بمثل أکرم جیرانی إلی مجرد التنظیر لما نحن فیه من ترتیب الأثر اللازم لاجراء أصالة الاطلاق أو اصالة العموم، لا أنّ ما نحن فیه هو عین مثل أکرم جیرانی،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نقلناه عن شیخنا قدّس سرّه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إلخ، أیضا مأخوذ من کلام الشیخ قدّس سرّه فانّه فی طلیعة الجواب ردّد فی المراد بالصحة المدعی کونها قیدا، و أنّها إن کانت هی الصحة المنتزعة عن الماهیة قبل تعلّق الطلب بها، فهذه مما یجب استکشافها بالاطلاق، إذ لا سبیل لاحرازها بحسب الأسباب الظاهریة إلّا بالإطلاق، و إن کان المراد بها هی الصحة المنتزعة من الماهیة بعد تعلّق الطلب بها، فکونها قیدا فی المطلوب محال، لأنّها منتزعة من الطلب فهی متأخرة عنه رتبة، فیستحیل أخذها فی متعلّقه، فراجع تفصیل ما أفاده قدّس سرّه فیما نقله عنه فی التقریرات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من یدعی أنّه علی القول بالأعم أنّه لا بد من تقیید المأمور به بالصحة، مراده بالصحة هی الصحة التی زعم القائل بالصحیح أنّ اللفظ موضوع لما هو واجد لها، و لیس تلک الصحة المدعی دخولها فی</w:t>
      </w:r>
    </w:p>
    <w:p>
      <w:pPr>
        <w:pStyle w:val="BookText"/>
        <w:rPr/>
      </w:pPr>
      <w:r>
        <w:rPr>
          <w:rFonts w:ascii="IRNazanin" w:hAnsi="IRNazanin" w:eastAsia="IRNazanin"/>
          <w:color w:val="111111"/>
          <w:sz w:val="28"/>
          <w:sz w:val="28"/>
          <w:szCs w:val="28"/>
          <w:rtl w:val="true"/>
          <w:lang w:bidi="fa-IR"/>
        </w:rPr>
        <w:t>المسمی هی الصحة المنتزعة من مطابقة المأمور به، بل المراد بها التمامیة بالقیاس إلی الأجزاء و الشرائط التی اخذت فی عالم الاختراع الذی هو سابق علی تعلّق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بالصحة المزعوم کونها قیدا فی المأمور به علی القول بالأعم هو تلک الصحة أعنی تمامیة الأجزاء و الشرائط فی مقام الاختراع، فهذا یتوجّه علیه ما أفاده شیخنا قدّس سرّه من أنّه لا دلیل علی هذا التقیید، و إن کان المراد بها هو التمامیة بالقیاس إلی ما یکون له الدخل فی الملاک الباعث علی الأمر، لأنّ الشارع لا یأمر إلّا بما هو واجد لملاک الأمر بناء علی تبعیة الأحکام للمصالح فی المتعلقات، فهذه الصحة و إن لم تکن منتزعة من الأمر لکونها دخیلة فی الملاک المفروض کونه سابقا فی الرتبة علی الأمر، إلّا أنّ هذه لیست علی نحو القیود فی المأمور به یعتبر إحرازها قبل رتبة الأمر، بل إنّ إحرازها یکون بتعلق الأمر، و إلّا لورد الإشکال فی جمیع المطلقات حتی فی مثل اعتق رقبة، فانّا نعلم أنّ الشارع لا یأمر إلّا بما هو واجد للملاک و المصلحة الباعثة للأمر، و لا طریق لنا إلّا إثباته من ناحیة الأمر کما أفاده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واجدیة المطلوب لما هو الملاک لا یکون داخلا تحت التکلیف، بل إنّ إحرازه موکول إلی الشارع، فلا یکون قیدا فی المطلوب کی یلزمنا إحرازه، و یکون ذلک موجبا لإجمال الدلیل عند الشک فیه، بل لیس علینا إلّا الاخذ بنفس ما تعلق به الأمر، و بعد إثبات کون المأمور به هو نفس الرقبة نقول إنّها واجدة للملاک و أنّه لا مدخلیة فی ذلک الملاک لوصف الایمان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التوضیح فی هذا المقام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و کذلک الفساد</w:t>
      </w:r>
    </w:p>
    <w:p>
      <w:pPr>
        <w:pStyle w:val="BookText"/>
        <w:rPr/>
      </w:pPr>
      <w:r>
        <w:rPr>
          <w:rFonts w:ascii="IRNazanin" w:hAnsi="IRNazanin" w:eastAsia="IRNazanin"/>
          <w:color w:val="111111"/>
          <w:sz w:val="28"/>
          <w:sz w:val="28"/>
          <w:szCs w:val="28"/>
          <w:rtl w:val="true"/>
          <w:lang w:bidi="fa-IR"/>
        </w:rPr>
        <w:t>فی المقام لیست من الامور الواقعیة، و إنّما هی من العناوین الانتزاعیة، فانّها علی القول بالصحیح منتزعة من وجود المسمی و عدم وجوده، و یتبع ذلک وجود المأمور به و عدمه، و علی القول بالأعم تکون الصحّة و یقابلها الفساد منتزعة من وجود المأمور به و عدم وجوده، مع فرض وجود المسمی و تحققه فی کلا الحالتین أعنی حالة وجود المأمور به و حالة عدم وجوده، و لیس الاجمال علی القول بالصحیح ناشئا عن تبادل المرکبات و عدم انضباط ما یکون الصحیح منها إلّا بالجامع البسیط المجمل فی أنظارنا، بل إنّ منشأ الإجمال علی القول بالصحیح أمر آخر حتی لو فرضنا انحصار الصحیح بمرکب خاص لا تبادل فی أجزائه و لا تغییر، و کانت أجزاؤه منحصرة فی عشرة من الأفعال الصلاتیة مثلا، فانّه عند الشک فی دخول الجزء الحادی عشر یحصل الشک فی انطباق المسمی علی العشرة وحدها، و مع الشک فی الانطباق لا یمکن التمسک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بالصحیح لا بد له أن یلتزم فیما ذکرناه من المثال أن یکون للشارع فیه أدوار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اختراع الأجزاء العشرة أو انتقائها من بین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اعتبار الترکیب فی هذه العشرة علی کیفیة خاصة من تقدیم و تأخیر و موالاة و استقبال و غیر ذلک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تسمیة ذلک المرکب باسم خاص کالصلاة مثلا، و هو فی هذا الدور لم یجعل الصلاة اسما للصحیح و لا اسما للتام و لا غیره من المفاهیم الانتزاعیة، بل إنّما جعله لنفس تلک الأجزاء التی جمعها و رتّبها و اعتبرها شیئا واحدا، فانّ تمامیة المسمی أو صحته إنّما تنتزع بعد التسمیة، فان وجدت تلک الأجزاء بجمیعها کان المسمی تاما و کان</w:t>
      </w:r>
    </w:p>
    <w:p>
      <w:pPr>
        <w:pStyle w:val="BookText"/>
        <w:rPr/>
      </w:pPr>
      <w:r>
        <w:rPr>
          <w:rFonts w:ascii="IRNazanin" w:hAnsi="IRNazanin" w:eastAsia="IRNazanin"/>
          <w:color w:val="111111"/>
          <w:sz w:val="28"/>
          <w:sz w:val="28"/>
          <w:szCs w:val="28"/>
          <w:rtl w:val="true"/>
          <w:lang w:bidi="fa-IR"/>
        </w:rPr>
        <w:t>موجودا، و إن فقد بعضها لم یکن المسمی تاما و فی الحقیقة لم ینوجد المسمی، لأنّ المرکب ینعدم بانعدام بعض أجزائه، لا أنّ نفس المسمی قد وجد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الأمر بذلک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عند الامتثال لو جئنا بتلک العشرة بتمامها علی الکیفیة التی أخذها الشارع فی ترکبها، نکون قد أوجدنا المسمی کما أنّا قد أوجدنا المأمور به أیضا، و لو نقصنا منها جزءا أو خالفنا شرطا یکون المسمی منعدما کما أن المأمور به أیضا منعدم، و حینئذ فلو احتملنا أن الشارع قد أدخل فی مرکبه المذکور جزءا حادی عشر منظما إلی العشرة المذکورة، کان ذلک موجبا للشک فی انطباق المسمی علی العشرة وحدها، و هو عبارة اخری عن الشک فی انطباق عنوان الصلاة علیها، لتردد المسمی حینئذ بین الوجود بوجود العشرة و بین کونه منعدما فی حال وجودها، هذا علی القول بالصحیح</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بالأعم، فانّ صاحبه یلتزم أیضا بهذه الأدوار إلّا الدور الثانی أعنی دور الترکیب و التألیف، فانّ الشارع بعد انتقاء الأجزاء و تعدادها یکون لسان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رکّبوا منها ما شئتم، و إنی قد جعلت لفظ الصلاة اسما لما تألّفونه و ترکّبونه من هذه الأجزاء، ثم یأمرنا بالصلاة المذکورة، فنحن لو جئنا بمرکب من تلک الأجزاء أیّ مرکب کان، نکون قد حصلنا علی المسمی و علی المأمور به، إلّا إذا قیّدنا الشارع فی مقام الأمر بجزء خاص منها أو بکیفیة خاصة فعلینا أن نأتی بذلک المرکب علی طبق أمره، فان خالفناه نکون قد حصلنا علی المسمی لکن لم نحصل علی المأمور به، و لو شککنا فی اعتباره الجزء الفلانی أو الشرط الفلانی فی مقام الأمر بذلک المسمی نقول إنّ المسمی حاصل بدونه، و أما عدم حصول المأمور به فهو</w:t>
      </w:r>
    </w:p>
    <w:p>
      <w:pPr>
        <w:pStyle w:val="BookText"/>
        <w:rPr/>
      </w:pPr>
      <w:r>
        <w:rPr>
          <w:rFonts w:ascii="IRNazanin" w:hAnsi="IRNazanin" w:eastAsia="IRNazanin"/>
          <w:color w:val="111111"/>
          <w:sz w:val="28"/>
          <w:sz w:val="28"/>
          <w:szCs w:val="28"/>
          <w:rtl w:val="true"/>
          <w:lang w:bidi="fa-IR"/>
        </w:rPr>
        <w:t>موقوف علی التقیید، و حیث لم یقیّد یکون المأمور به حاصلا أیضا بدون ذلک المحتمل، و علی أیّ حال لا یکون المأمور به مقیدا بالصحة و لا بالتام و لا بذوات خاصة من الأجزاء، و لا أنّ الفاسد خارج بحکم العقل، کل ذلک لم یکن، و لیس فی البین إلّا وجود المأمور به و عدم وجوده، و أنّ ما تعلق به الأمر مأمور به و ما لم یتعلق به الأمر لیس بمأمور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یظهر لک أنّ منشأ الاشکال فی التمسک بالاطلاق علی القول بالصحیح لیس هو إلّا تردد المسمی بین الأقل و الأکثر الذی هو عبارة اخری عن أنّ الفعل الفاقد للقید أو الجزء المشکوک یکون التردد بالقیاس إلیه بین وجود المسمی و عدمه، بخلافه علی الأعم فانّ المسمی بناء علیه یکون معلوم الوجود و إنّما یقع الشک فی وجود المأمور به و عدمه، و منشأ الشک فی وجود المأمور به هو الشک فی تقیید المسمی فی مرحلة تعلق الأمر به بقید زائد علی المسمی، و الاطلاق لمّا کان نافیا لهذا القید کان قاضیا بتحقق المأمور به مع فقد القید المشکوک، و لیس المانع من التمسک بالاطلاق علی القول بالصحیح هو أنّ الموضوع له أو المستعمل فیه علی هذا القول هو الذات المقارنة لوصف الصحة، کی یقال إنّه علی القول بالأعم یکون المأمور به هو تلک الحصة المقارنة لوصف الصحة، لیکون ذلک مانعا عن التمسک بالاطلاق علی القول بالأعم کما کان مانعا منه علی القول بالصحیح</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یظهر ما فیما حرره الآملی عن درس الاستاذ العراقی قدّس سرّه بقوله فی مقام الجواب عما اجیب به عن إشکال عدم التمسک بالاطلاق علی القول بالأعم مما حاصله راجع إلی ما أفاده شیخنا قدّس سرّه مما تقدم </w:t>
      </w:r>
      <w:r>
        <w:rPr>
          <w:rStyle w:val="FootnoteAnchor"/>
          <w:rtl w:val="true"/>
        </w:rPr>
        <w:footnoteReference w:id="454"/>
      </w:r>
      <w:r>
        <w:rPr>
          <w:rFonts w:ascii="IRNazanin" w:hAnsi="IRNazanin" w:eastAsia="IRNazanin"/>
          <w:color w:val="111111"/>
          <w:sz w:val="28"/>
          <w:sz w:val="28"/>
          <w:szCs w:val="28"/>
          <w:rtl w:val="true"/>
          <w:lang w:bidi="fa-IR"/>
        </w:rPr>
        <w:t>نقله</w:t>
      </w:r>
    </w:p>
    <w:p>
      <w:pPr>
        <w:pStyle w:val="BookText"/>
        <w:rPr/>
      </w:pP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الصحة علی الصحیح لم تؤخذ قیدا للموضوع له أو للمستعمل فیه، لا علی نحو دخول القید و التقید، و لا علی نحو دخول التقید فقط، بل الموضوع له أو المستعمل فیه هی الحصة المقارنة للصحة، فالقید و التقید کلاهما خارجان عن الموضوع له أو المستعمل فیه کما أشرنا إلیه غیر مرة، و المأمور به علی الأعم أیضا هی تلک الحصة، لاستحالة الأمر بالفاسد و استحالة الاهمال فی متعلق إرادة الطالب، و علیه لم یبق فرق فی متعلق الأمر بین القول بالصحیح و القول بالأعم، إلّا بالوضع لخصوص الحصة المقارنة للصحة علی الأول و عدم الوضع لخصوصها علی الثانی، و مثل هذا الفرق لا أثر له فی جواز التمسک بالاطلاق و عدمه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أنّ وصف الصحة و الفساد لا واقعیة لهما، و إنّما هما منتزعان من وجود المأمور به أو المسمی و عدمه التابعین لصدق المسمی أو المأمور به و عدمه التابعین لأخذ المشکوک قیدا فی المسمی أو المأمور به و عدم أخذه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فی المقام مطلبا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استحالة أخذ القیود الناشئة من الأمر فی متعلق ذلک الأمر نفسه کما فی مسألة داعی الأمر، و للاستاذ العراقی قدّس سرّه </w:t>
      </w:r>
      <w:r>
        <w:rPr>
          <w:rStyle w:val="FootnoteAnchor"/>
          <w:rtl w:val="true"/>
        </w:rPr>
        <w:footnoteReference w:id="456"/>
      </w:r>
      <w:r>
        <w:rPr>
          <w:rFonts w:ascii="IRNazanin" w:hAnsi="IRNazanin" w:eastAsia="IRNazanin"/>
          <w:color w:val="111111"/>
          <w:sz w:val="28"/>
          <w:sz w:val="28"/>
          <w:szCs w:val="28"/>
          <w:rtl w:val="true"/>
          <w:lang w:bidi="fa-IR"/>
        </w:rPr>
        <w:t>فی ذلک کلام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الاهمال فی مقام الثبوت، و أنّ المأمور به هو الذات التی تکون توأما مع هذا النحو من القیود، و وصف الصحة بمعنی مطابقة الأمر تکون من هذا السنخ من القیود، لکنّک قد عرفت حقیقة وصف الصحة و أنّها لا واقعیة لها، فلا یتوجّه الاشکال المزبور</w:t>
      </w:r>
    </w:p>
    <w:p>
      <w:pPr>
        <w:pStyle w:val="BookText"/>
        <w:rPr/>
      </w:pPr>
      <w:r>
        <w:rPr>
          <w:rFonts w:ascii="Amiri" w:hAnsi="Amiri" w:eastAsia="Amiri" w:cs="Amiri"/>
          <w:color w:val="111111"/>
          <w:sz w:val="28"/>
          <w:sz w:val="28"/>
          <w:szCs w:val="28"/>
          <w:rtl w:val="true"/>
          <w:lang w:bidi="ar-SA"/>
        </w:rPr>
        <w:t>الناشئ عن أخذ الحصّة المقارنة لوصف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الانصاف توجّه الاشکال علی ظاهر ما اشتمل علیه الجواب من أنّ وصف الصحة علی القول بالأعم تکون متأخرة عن الأمر فلا یعقل أخذها فی متعلقه، إلّا أنّه إشکال مبنائی فی المسألة المعروفة فی التعبدی،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اذا جرّدنا الجواب عن هذه الجملة أعنی کون وصف الصحة من طوارئ الأمر، بل أسقطنا وصف الصحة بالمرة علی ما عرفت تفصیله، تخرج المسألة عن ذلک المأزق المحتاج إلی مسلک الاستاذ العراقی قدّس سرّه </w:t>
      </w:r>
      <w:r>
        <w:rPr>
          <w:rStyle w:val="FootnoteAnchor"/>
          <w:rtl w:val="true"/>
        </w:rPr>
        <w:footnoteReference w:id="457"/>
      </w:r>
      <w:r>
        <w:rPr>
          <w:rFonts w:ascii="IRNazanin" w:hAnsi="IRNazanin" w:eastAsia="IRNazanin"/>
          <w:color w:val="111111"/>
          <w:sz w:val="28"/>
          <w:sz w:val="28"/>
          <w:szCs w:val="28"/>
          <w:rtl w:val="true"/>
          <w:lang w:bidi="fa-IR"/>
        </w:rPr>
        <w:t>من التوأمیة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العمدة فی المسألة هی هذه الدعوی، و هی حکم العقل بأنّ الشارع لا یأمر بالفاسد، و أنّ أمره إنّما یتعلق بالصحیح، فانّا لو سلّمنا هذه الجملة کان حال مسألتنا حال مسألة التعبدی، و التخلص منها بحدیث التوأمیة أو بما یراه شیخنا قدّس سرّه </w:t>
      </w:r>
      <w:r>
        <w:rPr>
          <w:rStyle w:val="FootnoteAnchor"/>
          <w:rtl w:val="true"/>
        </w:rPr>
        <w:footnoteReference w:id="458"/>
      </w:r>
      <w:r>
        <w:rPr>
          <w:rFonts w:ascii="IRNazanin" w:hAnsi="IRNazanin" w:eastAsia="IRNazanin"/>
          <w:color w:val="111111"/>
          <w:sz w:val="28"/>
          <w:sz w:val="28"/>
          <w:szCs w:val="28"/>
          <w:rtl w:val="true"/>
          <w:lang w:bidi="fa-IR"/>
        </w:rPr>
        <w:t>من الاحتیاج إلی تعدد الأمر و أنّ الثانی متمم للجعل، و علی کل من المسلکین یکون القول بالأعم مشارکا للقول بالصحیح فی عدم إمکان التمسک بالإطلاق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أنی لم أعثر فی المقالة علی هذا الاشکال، بل الذی یظهر منها هو الالتزام بترتب الثمرة المذکورة، أعنی أنّه علی القول بالصحیح لا یمکن التمسک بالاطلاق بخلافه علی القول بالأعم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المقالة بعد أن أفاد أنّه لا ثمرة للنزاع فی المعاملات لتنزیلها علی الأفهام العرفیة حتی</w:t>
      </w:r>
      <w:bookmarkStart w:id="410" w:name="pg19834_212268"/>
    </w:p>
    <w:p>
      <w:pPr>
        <w:pStyle w:val="BookText"/>
        <w:rPr/>
      </w:pPr>
      <w:bookmarkEnd w:id="410"/>
      <w:r>
        <w:rPr>
          <w:rFonts w:ascii="IRNazanin" w:hAnsi="IRNazanin" w:eastAsia="IRNazanin"/>
          <w:color w:val="111111"/>
          <w:sz w:val="28"/>
          <w:sz w:val="28"/>
          <w:szCs w:val="28"/>
          <w:rtl w:val="true"/>
          <w:lang w:bidi="fa-IR"/>
        </w:rPr>
        <w:t>بناء علی القول بالصحیح عند صدق العنوان عندهم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تنحصر الثمرة المزبورة الباعثة علی النزاع المشهور فی أسامی المخترعات الشرعیة، مع عدم سوق الخطاب أیضا بلحاظ الأنظار العرفیة، إذ حینئذ صح دعوی إجمال العنوان علی الصحیحی و عدمه علی الأعمی فی غیر ما هو مقوّم العنوان حتی لدی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ذلک أیضا مبنی علی کون الاطلاقات علی الأعمی فی مقام البیان، و إلّا فلا بیان علی الأعمی أیضا، لأنّ المهمل بمنزلة المجمل کما لا یخفی، و حینئذ لا تبقی ثمرة مهمة فی مثل هذه المسألة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المقرر لما رأی ظاهر الجواب المتذرع فیه عن الاشکال بکون وصف الصحة من طوارئ الأمر، کان مقتضی ذلک إدراج المسألة فی الجهة المنظور إلیها فی التعبدی، و لاجل ذلک حوّر المسألة فیما نحن فیه إلی تلک المسألة، و لعل الاستاذ العراقی تعرض لذلک فی درسه لکنّه لم یدرجه فی مقالته، فلاحظ و تأمّل</w:t>
      </w:r>
      <w:r>
        <w:rPr>
          <w:rFonts w:eastAsia="IRNazanin" w:cs="IRNazanin"/>
          <w:color w:val="111111"/>
          <w:sz w:val="28"/>
          <w:szCs w:val="28"/>
          <w:rtl w:val="true"/>
          <w:lang w:bidi="fa-IR"/>
        </w:rPr>
        <w:t>.</w:t>
      </w:r>
    </w:p>
    <w:p>
      <w:pPr>
        <w:pStyle w:val="Heading4"/>
        <w:numPr>
          <w:ilvl w:val="3"/>
          <w:numId w:val="1"/>
        </w:numPr>
        <w:rPr/>
      </w:pPr>
      <w:bookmarkStart w:id="411" w:name="__RefHeading___Toc3493721_2314609296"/>
      <w:bookmarkStart w:id="412" w:name="_Toc153"/>
      <w:bookmarkEnd w:id="411"/>
      <w:r>
        <w:rPr>
          <w:rtl w:val="true"/>
        </w:rPr>
        <w:t>خلاصة البحث أو توضیحه ببیان امور</w:t>
      </w:r>
      <w:r>
        <w:rPr>
          <w:rtl w:val="true"/>
        </w:rPr>
        <w:t>:</w:t>
      </w:r>
      <w:bookmarkEnd w:id="41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العناوین أعنی الصحة و الفساد و التام و الناقص و الواجد و الفاقد، و إن قلنا فیما تقدم أنّ أحدها عین الآخر، إلّا أنّ الانصاف أنّها ربما اختلفت، فرب ناقص صحیح بل رب تام فاسد، و هکذا الحال فی الواجد و الفاقد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الامور الثلاثة، أعنی کون الشی‌ء صحیحا أو فاسدا أو کونه تاما أو ناقصا أو کونه واجدا للقید الفلانی أعنی التشهد مثلا</w:t>
      </w:r>
    </w:p>
    <w:p>
      <w:pPr>
        <w:pStyle w:val="BookText"/>
        <w:rPr/>
      </w:pPr>
      <w:r>
        <w:rPr>
          <w:rFonts w:ascii="IRNazanin" w:hAnsi="IRNazanin" w:eastAsia="IRNazanin"/>
          <w:color w:val="111111"/>
          <w:sz w:val="28"/>
          <w:sz w:val="28"/>
          <w:szCs w:val="28"/>
          <w:rtl w:val="true"/>
          <w:lang w:bidi="fa-IR"/>
        </w:rPr>
        <w:t>کلّها من قبیل مفاد کان الناقصة، و هی لا تصدق إلّا بعد وجود الشی‌ء، فانا لو سلّمنا الصدق بانتفاء الموضوع، فانّما هو فی مفاد لیس الناقصة مثل کون زید لیس بقائم، دون مفاد کان الناقصة مثل کون زید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أنّا لو أمرنا الشارع بعشرة أجزاء و نحن جئنا بالتسعة فقط، فهذه التسعة لا یقال فیها إنّ المأمور به فاسد و لا أنّه ناقص و لا أنه فاقد للعاشر، بل لا یکون ذلک إلّا من باب العدم المحض، بمعنی أنّ المأمور به لم یکن موجودا بمفاد لیس التامة، فلا یکون المقام إلّا من باب وجود المأمور به بمفاد لیس التامة لو أوجدنا العشرة بتمامها، أو من باب عدم وجود المأمور به بمفاد لیس التامة لو ترکنا العاشر، فهو لا یتصف إلّا بالوجود و العدم التامین، و هکذا الحال فی عالم التسمیة، فانّ المسمی لو کان هو العشرة و نحن قد جئنا بالتسعة، لم یکن ذلک من باب وجود المسمی فاسدا و لا من باب وجوده ناقصا و لا من باب وجوده فاقدا للجزء العاشر، بل هو من باب عدم وجود المسمی بمفاد لیس التامة فی قبال ما لو جئنا بالعشرة الذی هو من باب وجود المسمی بمفاد کان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شککنا فی أنّ المسمی أو المأمور به مقید بالعاشر أو أنّه غیر مقید، لم یمکننا التمسک بالإطلاق علی الاکتفاء بالتسعة، لأنّ احتمال دخل العاشر یوجب احتمال انعدام الشی‌ء بانعدامه فلا یمکن التمسک باطلاقه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لک أنّ عدم إمکان التمسک بالاطلاق علی القول بالصحیح لم یکن منشؤه هو کون الموضوع له هو المفهوم البسیط، بل لکون احتمال المدخلیة یوجب الشک فی الصدق، حتی لو قلنا بأنّ الصلاة مثلا علی القول بالصحیح موضوعة للمرکب، و لکن شککنا هل هو التسعة أو هو العشرة</w:t>
      </w:r>
    </w:p>
    <w:p>
      <w:pPr>
        <w:pStyle w:val="BookText"/>
        <w:rPr/>
      </w:pPr>
      <w:r>
        <w:rPr>
          <w:rFonts w:ascii="IRNazanin" w:hAnsi="IRNazanin" w:eastAsia="IRNazanin"/>
          <w:color w:val="111111"/>
          <w:sz w:val="28"/>
          <w:sz w:val="28"/>
          <w:szCs w:val="28"/>
          <w:rtl w:val="true"/>
          <w:lang w:bidi="fa-IR"/>
        </w:rPr>
        <w:t>یکون انطباقها علی التسعة مشکوکا، فتکون المسألة من التمسک بالعام فی الشبهة المصداقیة من ناحیة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شککنا فی مدخلیة التشهد فی المسمی علی القول بالصحیح لا یمکننا التمسک بالإطلاق، لکون المسألة حینئذ من باب التمسک بالعام فی الشبهة المصداقیة فی ناحیة العام، فهو نظیر ما لو وجب إکرام العادل و کان زید تارکا للکبیرة و مرتکبا للصغیرة، فلو شککنا فی أنّه یعتبر فی العادل ترک الصغیرة کترک الکبیرة، لم یمکننا أن نتمسک باطلاق إکرام العادل علی لزوم إکرام زید المذکور، للشک فی انطباق العادل علیه، و یکون من قبیل التمسک بالعام فی مورد الشک فی کون زید مصداقا له، و هذا بخلاف ما لو قلنا بالأعم علی رأی الباقلانی </w:t>
      </w:r>
      <w:r>
        <w:rPr>
          <w:rStyle w:val="FootnoteAnchor"/>
          <w:rtl w:val="true"/>
        </w:rPr>
        <w:footnoteReference w:id="460"/>
      </w:r>
      <w:r>
        <w:rPr>
          <w:rFonts w:ascii="IRNazanin" w:hAnsi="IRNazanin" w:eastAsia="IRNazanin"/>
          <w:color w:val="111111"/>
          <w:sz w:val="28"/>
          <w:sz w:val="28"/>
          <w:szCs w:val="28"/>
          <w:rtl w:val="true"/>
          <w:lang w:bidi="fa-IR"/>
        </w:rPr>
        <w:t xml:space="preserve">أو علی رأی المحقق القمی قدّس سرّه </w:t>
      </w:r>
      <w:r>
        <w:rPr>
          <w:rStyle w:val="FootnoteAnchor"/>
          <w:rtl w:val="true"/>
        </w:rPr>
        <w:footnoteReference w:id="461"/>
      </w:r>
      <w:r>
        <w:rPr>
          <w:rFonts w:ascii="IRNazanin" w:hAnsi="IRNazanin" w:eastAsia="IRNazanin"/>
          <w:color w:val="111111"/>
          <w:sz w:val="28"/>
          <w:sz w:val="28"/>
          <w:szCs w:val="28"/>
          <w:rtl w:val="true"/>
          <w:lang w:bidi="fa-IR"/>
        </w:rPr>
        <w:t>فی کون الجامع هو الأرکان مثلا و لم یکن المشکوک محتمل الرکنیة بل کان علی تقدیر اعتباره أمرا زائدا علی الأرکان، نظیر التشهد فانّه لو کان معتبرا لکان معتبرا فی متعلق الأمر لا فی المسمی، و حینئذ یمکننا التمسک باطلاق المسمی فی مقام تعلق الأمر بالصلاة، و بذلک یثبت عدم اعتبار التشهد فی متعلق الأمر، فانا و إن شککنا فی انطباق المأمور به علیه بما أنّه مأمور به، إلّا أنّ هذا الشک باطلاق المتعلق فیه یثبت عدم اعتبار التشهد فی المتعلق، و بذلک یزول الشک فی انطباق عنوان المأمور به علیه، و تکون الصلاة الفاقدة للتشهد مصداقا للمأمور به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کلّه یظهر لک أنّ هذه الجملة، و هو کون الفاسد خارجا عن المأمور به أو کون المأمور به مقیدا عقلا بالصحة، لا تخلو من الغلط،</w:t>
      </w:r>
    </w:p>
    <w:p>
      <w:pPr>
        <w:pStyle w:val="BookText"/>
        <w:rPr/>
      </w:pPr>
      <w:r>
        <w:rPr>
          <w:rFonts w:ascii="IRNazanin" w:hAnsi="IRNazanin" w:eastAsia="IRNazanin"/>
          <w:color w:val="111111"/>
          <w:sz w:val="28"/>
          <w:sz w:val="28"/>
          <w:szCs w:val="28"/>
          <w:rtl w:val="true"/>
          <w:lang w:bidi="fa-IR"/>
        </w:rPr>
        <w:t>حیث إنّ المراد من الصحة إن کان هو الصحة من ناحیة التسمیة ففیه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ذلک لا یوجب تقید المأمور به حتی لو قلنا بأنّ الاسم موضوع للصحیح الجامع لجمیع الأجزاء، فانه للآمر أن یأمر بالصلاة و یقول إنّ المأمور به غیر مقیّد بمثل التشهد، بل یکون المأمور به حاصلا عند ترک التشهد و ان لم یکن المسمی حاصلا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إنّما هو علی القول بالأعم، و من الواضح أنّ المسمی بناء علی هذا القول لا یکون مقیّدا بالصحة، فلا محصل للقول بأنّ المأمور به مقیّد بالصحة من ناحیة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المراد بالصحة من ناحیة الأمر، بمعنی ما یکون مطابقا للمأمور به، کان محصله هو تقیّد المأمور به بالمأمور به، و أن غیر المأمور به و هو الفاسد غیر المطابق للمأمور به خارج عن المأمور به، و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فیه </w:t>
      </w:r>
      <w:r>
        <w:rPr>
          <w:rStyle w:val="FootnoteAnchor"/>
          <w:rtl w:val="true"/>
        </w:rPr>
        <w:footnoteReference w:id="462"/>
      </w:r>
      <w:r>
        <w:rPr>
          <w:rFonts w:ascii="IRNazanin" w:hAnsi="IRNazanin" w:eastAsia="IRNazanin"/>
          <w:color w:val="111111"/>
          <w:sz w:val="28"/>
          <w:sz w:val="28"/>
          <w:szCs w:val="28"/>
          <w:rtl w:val="true"/>
          <w:lang w:bidi="fa-IR"/>
        </w:rPr>
        <w:t>من الغلط، و کونه من قبیل لقلقة اللسان التی لا معنی لها أصلا، فلاحظ و تدبر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لک الخلل فیما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هو أن الشارع لا یأمر إلّا بما له الأثر، فانه إن کان المراد من الأثر هو الأثر المعلول للأمر کما فی النهی عن الفحشاء بناء علی ما تقدم منا من کونه من آثار الصلاة بعد الأمر و بعد وقوعها امتثالا له، فذلک عبارة اخری عن أنّ الشارع لا یأمر إلّا بما هو مقیّد بأنّه مأمور به، و إن کان المراد من الأثر علة الأمر أعنی الملاک و المصلحة، فقد حقق فی محله </w:t>
      </w:r>
      <w:r>
        <w:rPr>
          <w:rStyle w:val="FootnoteAnchor"/>
          <w:rtl w:val="true"/>
        </w:rPr>
        <w:footnoteReference w:id="463"/>
      </w:r>
      <w:r>
        <w:rPr>
          <w:rFonts w:ascii="IRNazanin" w:hAnsi="IRNazanin" w:eastAsia="IRNazanin"/>
          <w:color w:val="111111"/>
          <w:sz w:val="28"/>
          <w:sz w:val="28"/>
          <w:szCs w:val="28"/>
          <w:rtl w:val="true"/>
          <w:lang w:bidi="fa-IR"/>
        </w:rPr>
        <w:t>أنّ ذلک لا یکون عنوانا أو قیدا فی المأمور به لکونه من معلولات الفعل التکوینیة التی یکون الفعل منها من</w:t>
      </w:r>
      <w:bookmarkStart w:id="413" w:name="pg19834_212272"/>
    </w:p>
    <w:p>
      <w:pPr>
        <w:pStyle w:val="BookText"/>
        <w:rPr/>
      </w:pPr>
      <w:bookmarkEnd w:id="413"/>
      <w:r>
        <w:rPr>
          <w:rFonts w:ascii="IRNazanin" w:hAnsi="IRNazanin" w:eastAsia="IRNazanin"/>
          <w:color w:val="111111"/>
          <w:sz w:val="28"/>
          <w:sz w:val="28"/>
          <w:szCs w:val="28"/>
          <w:rtl w:val="true"/>
          <w:lang w:bidi="fa-IR"/>
        </w:rPr>
        <w:t>المقدمات الاعدادیة، و ذلک لا یتعلق التکلیف به بل أقصی ما فی البین هو أنّه علی الشارع الحکیم أن یعلّق أمره بما یکون إعدادا لذلک، و لیس علینا تحصیل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تعلق أمره بالفعل المرکب نستکشف أن ذلک المرکب ذو ملاک، بناء علی مسلکنا معاشر العدلیة من أنّ أحکامه تعالی تابعة للمصالح فی المتعلقات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مما أفاده الشیخ قدّس سرّه فی مسألة الأقل و الأکثر فی الرسائل فی مقام دفع هذه الشبهة هو هذا الذی شرحناه، و ذلک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دفعه یظهر مما ذکرناه من أنّ الصلاة لم تقیّد بمفهوم الصحیحة و هو الجامع لجمیع الاجزاء، و إنما قیّدت بما علم من الأدلة الخارجیة اعتباره، فالعلم بعدم إرادة الفاسدة یراد به العلم بعدم إرادة هذه المصادیق الفاقدة للامور التی دلّ الدلیل علی تقیید الصلاة بها، لا أنّ مفهوم الفاسدة خرج عن المطلق و بقی مفهوم الصحیحة، فکلّما شک فی صدق الصحیحة و الفاسدة وجب الرجوع إلی الاحتیاط لإحراز مفهوم الصحیحة، و هذه المغالطة جاریة فی جمیع المطلقات، إلخ </w:t>
      </w:r>
      <w:r>
        <w:rPr>
          <w:rStyle w:val="FootnoteAnchor"/>
          <w:rtl w:val="true"/>
        </w:rPr>
        <w:footnoteReference w:id="464"/>
      </w:r>
      <w:r>
        <w:rPr>
          <w:rFonts w:ascii="IRNazanin" w:hAnsi="IRNazanin" w:eastAsia="IRNazanin"/>
          <w:color w:val="111111"/>
          <w:sz w:val="28"/>
          <w:sz w:val="28"/>
          <w:szCs w:val="28"/>
          <w:rtl w:val="true"/>
          <w:lang w:bidi="fa-IR"/>
        </w:rPr>
        <w:t>و مع ذلک فان عبائره قدّس سرّه هنا لا تخلو عن تسامح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بعدم إرادة الفاسدة یراد به العلم بعدم إرادة هذه المصادیق الفاقدة، انتهی، فان ذلک عبارة اخری عن العلم بعدم إرادة غیر المأمور به و أنّ الخارج عن المأمور به هو غیر المأمور به، لکن المراد واضح، و الأولی هو إنکار هذه القضیة من أصلها کما عرفت، فلاحظ</w:t>
      </w:r>
      <w:r>
        <w:rPr>
          <w:rFonts w:eastAsia="IRNazanin" w:cs="IRNazanin"/>
          <w:color w:val="111111"/>
          <w:sz w:val="28"/>
          <w:szCs w:val="28"/>
          <w:rtl w:val="true"/>
          <w:lang w:bidi="fa-IR"/>
        </w:rPr>
        <w:t>.</w:t>
      </w:r>
    </w:p>
    <w:p>
      <w:pPr>
        <w:pStyle w:val="Heading4"/>
        <w:numPr>
          <w:ilvl w:val="3"/>
          <w:numId w:val="1"/>
        </w:numPr>
        <w:rPr/>
      </w:pPr>
      <w:bookmarkStart w:id="414" w:name="__RefHeading___Toc3493723_2314609296"/>
      <w:bookmarkStart w:id="415" w:name="_Toc154"/>
      <w:bookmarkEnd w:id="414"/>
      <w:r>
        <w:rPr>
          <w:rtl w:val="true"/>
        </w:rPr>
        <w:t>[</w:t>
      </w:r>
      <w:r>
        <w:rPr>
          <w:rtl w:val="true"/>
        </w:rPr>
        <w:t>جریان النزاع فی المعاملات</w:t>
      </w:r>
      <w:bookmarkEnd w:id="41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جریان النزاع فی المعاملات یتوقف علی کون ألفاظها أسامی للأسباب،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الجواب یحتاج إلی</w:t>
      </w:r>
    </w:p>
    <w:p>
      <w:pPr>
        <w:pStyle w:val="BookText"/>
        <w:rPr/>
      </w:pPr>
      <w:r>
        <w:rPr>
          <w:rFonts w:ascii="IRNazanin" w:hAnsi="IRNazanin" w:eastAsia="IRNazanin"/>
          <w:color w:val="111111"/>
          <w:sz w:val="28"/>
          <w:sz w:val="28"/>
          <w:szCs w:val="28"/>
          <w:rtl w:val="true"/>
          <w:lang w:bidi="fa-IR"/>
        </w:rPr>
        <w:t>بسط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فی حل الإشکال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حاصل ما فی الکفایة</w:t>
      </w:r>
      <w:r>
        <w:rPr>
          <w:rStyle w:val="FootnoteAnchor"/>
          <w:rtl w:val="true"/>
        </w:rPr>
        <w:footnoteReference w:id="466"/>
      </w:r>
      <w:r>
        <w:rPr>
          <w:rFonts w:ascii="IRNazanin" w:hAnsi="IRNazanin" w:eastAsia="IRNazanin"/>
          <w:color w:val="111111"/>
          <w:sz w:val="28"/>
          <w:sz w:val="28"/>
          <w:szCs w:val="28"/>
          <w:rtl w:val="true"/>
          <w:lang w:bidi="fa-IR"/>
        </w:rPr>
        <w:t>هو دعوی کون تلک الإطلاقات ناظرة ابتداء إلی مقام السبب الشرعی، و یستکشف منه أنّ ما هو السبب عند الشرع هو السبب عند العرف، و حینئذ یتوجه علیه ما أفاده شیخنا قدّس سرّه من منع کون تلک المطلقات واردة فی مقام السبب و أنّها لم ترد إلّا فی مقام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شیخنا قدّس سرّه من منع صحة الرجوع إلی العرف فی تعیین المصداق بعد فرض کون تلک المطلقات واردة فی مقام المسببات، و أنّ أسماء المعاملات أسماء لتلک المسببات، فهو متوجه علی ما أفاده الشیخ قدّس سرّه فی المکاسب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و شبهه فی العرف إذا استعمل فی الحاصل من المصدر الذی یراد من قول بعت عند الانشاء، لا یستعمل حقیقة إلّا فیما کان صحیحا مؤثرا و لو فی نظر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کان مؤثرا فی نظر الشارع کان بیعا عنده، و إلّا کان صورة بیع نظیر بیع الهازل عند العرف، فالبیع الذی یراد منه ما حصل عقیب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عند العرف و الشرع حقیقة فی الصحیح المفید للأثر و مجاز فی غیره، إلّا أن الافادة و ثبوت الفائدة مختلف فی نظر العرف 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تمسک العلماء باطلاق أدلة البیع و نحوه، فلأن الخطابات لمّا وردت علی طبق العرف، حمل لفظ البیع و شبهه فی الخطابات الشرعیة علی ما هو الصحیح المؤثر عند العرف، أو علی المصدر الذی یراد من لفظ بعت، فیستدل باطلاق الحکم بحله أو بوجوب الوفاء علی کونه مؤثرا فی نظر الشارع أیضا، فتأمل فان للکلام محلا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نسخة الأصل فی ورقة اخری مرفقة حکایة عبارة الشهیدین عن المکاسب و استدراک تتمتها، و کأنّه بملاحظة النظر إلیها فی هذا البحث کما سیأتی الاشارة إلیها فی ثنایا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الشهید الثانی قدّس سرّه نصّ فی کتاب الیمین من المسالک علی أن عقد البیع و غیره من العقود حقیقة فی الصحیح مجاز فی الفاسد، لوجود خواص الحقیقة و المجاز کالتبادر و صحة السلب،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قبل الاقرار به علیه حتی لو ادعی إرادة الفاسد لم یسمع منه إجماعا، و لو کان مشترکا بین الصحیح و الفاسد لقبل تفسیره بأحدهما کغیره من الألفاظ المشترکة، و انقسامه إلی الصحیح و الفاسد أعم من الحقیقة،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الأول فی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الماهیات الجعلیة کالصلاة و الصوم و سائر العقود لا تطلق علی الفاسد إلّا الحج لوجوب المضی فیه، فلو حلف علی ترک الصلاة أو الصوم اکتفی بمسمی الصحة و هو الدخول فیهما، فلو أفسدهما بعد ذلک لم یزل الحنث، و یحتمل عدمه لأنه لا تسمی صلاة شرعا و لا صوما مع الفساد، أما لو تحرّم فی الصلاة أو دخل فی الصوم مع مانع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قدّس سرّه القواعد و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الشروع فی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أفاده الشیخ فی التقریرات </w:t>
      </w:r>
      <w:r>
        <w:rPr>
          <w:rStyle w:val="FootnoteAnchor"/>
          <w:rtl w:val="true"/>
        </w:rPr>
        <w:footnoteReference w:id="468"/>
      </w:r>
      <w:r>
        <w:rPr>
          <w:rFonts w:ascii="IRNazanin" w:hAnsi="IRNazanin" w:eastAsia="IRNazanin"/>
          <w:color w:val="111111"/>
          <w:sz w:val="28"/>
          <w:sz w:val="28"/>
          <w:szCs w:val="28"/>
          <w:rtl w:val="true"/>
          <w:lang w:bidi="fa-IR"/>
        </w:rPr>
        <w:t xml:space="preserve">فهو کما سیأتی </w:t>
      </w:r>
      <w:r>
        <w:rPr>
          <w:rStyle w:val="FootnoteAnchor"/>
          <w:rtl w:val="true"/>
        </w:rPr>
        <w:footnoteReference w:id="469"/>
      </w:r>
      <w:r>
        <w:rPr>
          <w:rFonts w:ascii="IRNazanin" w:hAnsi="IRNazanin" w:eastAsia="IRNazanin"/>
          <w:color w:val="111111"/>
          <w:sz w:val="28"/>
          <w:sz w:val="28"/>
          <w:szCs w:val="28"/>
          <w:rtl w:val="true"/>
          <w:lang w:bidi="fa-IR"/>
        </w:rPr>
        <w:t>راجع إلی دعوی کون أسماء المعاملات أسماء للأسباب، و أنّها موضوعة للأعم من الصحیح و الفاسد علی ما سیأتی توضیحه إن شاء اللّه تعالی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الشیخ فی المکاسب من المسبب هو عین ما أفاده شیخنا قدّس سرّه من الفعل بالآلة الذی هو عین البیع الانشائی الذی یوجده</w:t>
      </w:r>
    </w:p>
    <w:p>
      <w:pPr>
        <w:pStyle w:val="BookText"/>
        <w:rPr/>
      </w:pPr>
      <w:r>
        <w:rPr>
          <w:rFonts w:ascii="IRNazanin" w:hAnsi="IRNazanin" w:eastAsia="IRNazanin"/>
          <w:color w:val="111111"/>
          <w:sz w:val="28"/>
          <w:sz w:val="28"/>
          <w:szCs w:val="28"/>
          <w:rtl w:val="true"/>
          <w:lang w:bidi="fa-IR"/>
        </w:rPr>
        <w:t>المنشئ بقوله بعت، و لیس مراده بالمسبب هو الملکیة الواقعیة الحاصلة بعد تمامیة العقد و صحته، أعنی بذلک الملکیة الشرعیة التی هی من الأحکام الوضعیة، فانّ تلک من الأحکام الشرعیة التی لا تتصف بصحة و لا فساد، و انّما تتصف بالوجود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افید من تصحیح التمسک بالإطلاق بکون العقد من قبیل الآلة لا من قبیل السبب فی غایة الجودة و المتانة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إنّه لا ینحصر هذا الوجه بکون العقد آلة بل یتأتی حتی لو قلنا إنّه سبب، فانّه کما تکون الآلة منوّعة للفعل فکذلک یکون السبب منوعا له، و کما أنّ حاصل الاطلاق علی الأول أنه لا فرق بین ما یحصل بهذه الآلة و بتلک الآلة، فکذلک حاصل الإطلاق علی الوجه الثانی أنّه لا فرق بین ما یحصل بهذا السبب و بذلک السبب، هذا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الفرق بین المسبب و الفعل بالآلة، فانّ المسبب لا یتنوع بتنوع سببه، بل لو تعددت أفراد أسبابه و اجتمعت فانّما هی سبب واحد و هو القدر الجامع، و لو وجد هذا تارة و ذاک اخری لم یکن الموجود بالأول مغایرا للموجود بالثانی، بل لا یکون فی البین إلّا مسبب واحد کما لا یکون إلّا سبب واحد، فان کان السبب صحیحا انوجد المسبب و إلّا کان المسبب معدوما، فنحن إذا شککنا فی صحة السبب فقد شککنا فی وجود المسبب فلا معنی للتمسک بإطلاق المسبب، و هذا بخلاف الفعل بالآلة فان العقد یکون آلة فی فعل العاقد و هو إیجاد البیع فی صقعه الانشائی، و یتنوع البیع الذی ینوجد فی صقع الانشاء بتنوع آلته، و لو کانت الآلة فاسدة لم تخرج عن کونها آلة فی إیجاد البیع فی صقعه الانشائی، غایته أنّ ذلک الإیجاد یکون فاسدا لا یترتب علیه الأثر لا أنّه یکون غیر موجود، و حینئذ</w:t>
      </w:r>
    </w:p>
    <w:p>
      <w:pPr>
        <w:pStyle w:val="BookText"/>
        <w:rPr/>
      </w:pPr>
      <w:r>
        <w:rPr>
          <w:rFonts w:ascii="IRNazanin" w:hAnsi="IRNazanin" w:eastAsia="IRNazanin"/>
          <w:color w:val="111111"/>
          <w:sz w:val="28"/>
          <w:sz w:val="28"/>
          <w:szCs w:val="28"/>
          <w:rtl w:val="true"/>
          <w:lang w:bidi="fa-IR"/>
        </w:rPr>
        <w:t>یمکن التمسک باطلاقه علی عدم اعتبار تقیّده بآلة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السببیة بهذا المعنی ممنوعة، فان المسبب إن کان هو الملکیة الحاصلة بعد العقد و إمضاء الشارع لها، فلا ریب أن اسم المعاملة کالبیع مثلا لیس بموضوع لذلک المسبب و لا هو مستعمل فیه، بل إن ذلک المسبب هو من الأحکام الوضعیة الشرعیة المجعولة للشارع إما إمضاء أو تأسیسا، و ذلک لا یتصف بصحة و لا بفساد، و إنما یتصف بالوجود و العدم، و إن کان المسبب هو الانتقال بالعوض المعبّر عنه بالمبادلة بین المالین، أعنی بذلک المبادلة الانشائیة الحاصلة بالعقد أو بالمعاطاة، فذلک لیس بمسبب للعقد بل إن ذلک فعل للعاقد، غایته أنه فعل له بواسطة الآلة و هی العقد، و ذاک أیضا یتصف بالصحة و الفساد و لو باعتبار صحة آلته و فسادها، و حیث إنه معنی عرفی لا اختراعی للشارع، فلا منافاة بین کون ذلک الاسم موضوعا للصحیح عند العرف و الشرع و بین إمکان التمسک باطلاقه عند الشک فی اعتبار الشارع فیه ما شک فی اعتباره بعد فرض أنّ فاقد ذلک الشی‌ء المشکوک یسمی عند العرف بیعا کما هو الشأن فی جمیع موارد الشک فی الاطلاق و التقیید</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ثم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دفع الاشکال بالمنع من کون المسألة من باب الأسباب و المسببات بل هی من باب الفعل بالآلة، فالعقد یکون آلة فی إیجاد البیع فی صقعه الانشائی، و یتنوع البیع الذی ینوجد فی صقع الانشاء بتنوع آلته، و یمکن التمسک بالاطلاق علی عدم اعتبار تقیّده بآلة خاصة، و هذا بخلاف باب الأسباب و المسببات فانّ المسبب لا یتنوع بتنوع سببه بل لو تعددت أفراد أسبابه یکون واحدا، و یکون المسبب و السبب أیضا واحدا لرجوع الأسباب إلی القدر الجامع، فان کان السبب صحیحا کان المسبب موجودا و إلّا لم یکن موجودا، فنحن إذا شککنا فی صحة السبب فقد شککنا فی وجود المسبب فلا معنی للتمسک باطلاق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الشیخ فی المکاسب قد سلک هذا المسلک الذی أشار إلیه شیخنا قدّس سرّه، و قد عرفت أنه بناء علیه یمکن التمسک بالاطلاقات بناء علی کون الموضوع له هو الأعم من الصحیح و الفاسد من دون حاجة إلی التشبث بما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تنزیل الدلیل الشرعی علی طریقة العرف، لکن الشیخ قدّس سرّه اقتصر علی ذلک دون دعوی کون الموضوع له هو الأعم، لأنه بصدد تصحیح ما عن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الموضوع له هو الصحیح، و مع ذلک یمکن التمسک بالاطلاق لأنّ الطریق حینئذ منحصر بما فی الکفایة فلاحظ</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أصل الاشکال هو أنّ المعاملات هل یشملها النزاع فی الصحیح و الأعم أو لا؟ و أنه بناء علی کونها أسماء للمسببات لا یشملها النزاع المذکور لعدم اتصافها بالصحة و الفساد، و إنّما تتصف بالوجود و العدم علی ما افید فی الکفایة</w:t>
      </w:r>
      <w:r>
        <w:rPr>
          <w:rStyle w:val="FootnoteAnchor"/>
          <w:rtl w:val="true"/>
        </w:rPr>
        <w:footnoteReference w:id="471"/>
      </w:r>
      <w:r>
        <w:rPr>
          <w:rFonts w:ascii="IRNazanin" w:hAnsi="IRNazanin" w:eastAsia="IRNazanin"/>
          <w:color w:val="111111"/>
          <w:sz w:val="28"/>
          <w:sz w:val="28"/>
          <w:szCs w:val="28"/>
          <w:rtl w:val="true"/>
          <w:lang w:bidi="fa-IR"/>
        </w:rPr>
        <w:t>، و بناء علی کونها أسماء للأسباب تکون داخلة فی حریم هذا النزاع، و کان حاصل الاشکال أنّه بناء علی القول بالصحیح فیها لا بد من القول بسقوط التمسک بالاطلاقات الواردة فی المعاملات کما</w:t>
      </w:r>
    </w:p>
    <w:p>
      <w:pPr>
        <w:pStyle w:val="BookText"/>
        <w:rPr/>
      </w:pPr>
      <w:r>
        <w:rPr>
          <w:rFonts w:ascii="IRNazanin" w:hAnsi="IRNazanin" w:eastAsia="IRNazanin"/>
          <w:color w:val="111111"/>
          <w:sz w:val="28"/>
          <w:sz w:val="28"/>
          <w:szCs w:val="28"/>
          <w:rtl w:val="true"/>
          <w:lang w:bidi="fa-IR"/>
        </w:rPr>
        <w:t>تقدم فی العبادات، و کان عمدة همهم فی تنقیح وجه للتمسک بتلک الاطلاقات بناء علی القول بالصحیح المتفرع علی القول بأنّ ألفاظ المعاملات أسماء للأسباب، و من الواضح أنّ ما أفاده شیخنا قدّس سرّه من الوجه فی صحة التمسک بتلک الاطلاقات خارج عن سلسلة هذا الاشکال، و إنّما هو توجیه للتمسک بها بناء علی کونها أسماء للمسببات بالمعنی الذی أفاده قدّس سرّه من السببیة أعنی الآلیة، و من الواضح أنّ هذا وجه آخر للتمسک بتلک الاطلاقات غیر ما هو مطلوب الجماعة من توجیه التمسک بها بناء علی کونها أسماء للأسباب و أنّها موضوعة لخصوص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أعنی اشکال التمسک بتلک المطلقات بناء علی ما ذکر من کونها أسماء للأسباب و أنّها موضوعة لخصوص الصحیح منها هو الذی دعا الشیخ قدّس سرّه فی التقریرات إلی الالتزام بکون ألفاظ المعاملات موضوعة للأعم، لأنّ دعوی کونها موضوعة للصحیح منافیة بنظره قدّس سرّه لصحة التمسک بتلک الاطلاقات کما یظهر من التقریرات مما أفاده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Style w:val="FootnoteAnchor"/>
          <w:rtl w:val="true"/>
        </w:rPr>
        <w:footnoteReference w:id="472"/>
      </w:r>
      <w:r>
        <w:rPr>
          <w:rFonts w:ascii="IRNazanin" w:hAnsi="IRNazanin" w:eastAsia="IRNazanin"/>
          <w:color w:val="111111"/>
          <w:sz w:val="28"/>
          <w:sz w:val="28"/>
          <w:szCs w:val="28"/>
          <w:rtl w:val="true"/>
          <w:lang w:bidi="fa-IR"/>
        </w:rPr>
        <w:t>، المتوسط بین ما نقله عن الشهید الثانی و بین ما نقله عن صاحب الحاشیة قدّس سرّهما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الشیخ قدّس سرّه فی أوائل البیع من المکاسب قبل الشروع فی المعاطاة له قدّس سرّه کلام فی توجیه التمسک بالاطلاقات بناء علی کونها موضوعة لخصوص الصحیح ینبغی مراجعته و التأمل فیه، و هل هو مبنی علی کونها أسماء للمسببات أو أنّها أسماء للأسباب، أو هو مبنی علی کونها فعلا بالآلة فراجعه و تدبر، و الذی یترجّح فی النظر القاصر هو أنّ مراد الشیخ هناک</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فالبیع الذی یراد منه ما حصل عقیب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73"/>
      </w:r>
      <w:r>
        <w:rPr>
          <w:rFonts w:ascii="IRNazanin" w:hAnsi="IRNazanin" w:eastAsia="IRNazanin"/>
          <w:color w:val="111111"/>
          <w:sz w:val="28"/>
          <w:sz w:val="28"/>
          <w:szCs w:val="28"/>
          <w:rtl w:val="true"/>
          <w:lang w:bidi="fa-IR"/>
        </w:rPr>
        <w:t>، أنّ البیع لم یستعمل إلّا فی نفس ذلک المعنی الذی ینشئه المنشئ، أعنی بذلک البیع الانشائی، و هذا یتصف بالصحة و الفساد، و أنّه موضوع لخصوص الصحیح و أنه یمکن التمسک باطلاقه علی الصحة بعد فرض کونه عند العرف بیعا، و أنّ الاختلاف بین العرف و الشرع عند ثبوته یکون من قبیل الاختلاف فی المصادیق، فیکون حینئذ عین ما أفاده شیخنا قدّس سرّه من کونه فعلا بالآلة، و حینئذ یکون مسلکه فی المکاسب مخالفا لمسلکه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الکفایة</w:t>
      </w:r>
      <w:r>
        <w:rPr>
          <w:rStyle w:val="FootnoteAnchor"/>
          <w:rtl w:val="true"/>
        </w:rPr>
        <w:footnoteReference w:id="474"/>
      </w:r>
      <w:r>
        <w:rPr>
          <w:rFonts w:ascii="IRNazanin" w:hAnsi="IRNazanin" w:eastAsia="IRNazanin"/>
          <w:color w:val="111111"/>
          <w:sz w:val="28"/>
          <w:sz w:val="28"/>
          <w:szCs w:val="28"/>
          <w:rtl w:val="true"/>
          <w:lang w:bidi="fa-IR"/>
        </w:rPr>
        <w:t>من التوجیه فهو راجع إلی ما أفاده صاحب الحاشیة</w:t>
      </w:r>
      <w:r>
        <w:rPr>
          <w:rStyle w:val="FootnoteAnchor"/>
          <w:rtl w:val="true"/>
        </w:rPr>
        <w:footnoteReference w:id="475"/>
      </w:r>
      <w:r>
        <w:rPr>
          <w:rFonts w:ascii="IRNazanin" w:hAnsi="IRNazanin" w:eastAsia="IRNazanin"/>
          <w:color w:val="111111"/>
          <w:sz w:val="28"/>
          <w:sz w:val="28"/>
          <w:szCs w:val="28"/>
          <w:rtl w:val="true"/>
          <w:lang w:bidi="fa-IR"/>
        </w:rPr>
        <w:t xml:space="preserve">فیما لخّصه عنه فی التقریرات </w:t>
      </w:r>
      <w:r>
        <w:rPr>
          <w:rStyle w:val="FootnoteAnchor"/>
          <w:rtl w:val="true"/>
        </w:rPr>
        <w:footnoteReference w:id="476"/>
      </w:r>
      <w:r>
        <w:rPr>
          <w:rFonts w:ascii="IRNazanin" w:hAnsi="IRNazanin" w:eastAsia="IRNazanin"/>
          <w:color w:val="111111"/>
          <w:sz w:val="28"/>
          <w:sz w:val="28"/>
          <w:szCs w:val="28"/>
          <w:rtl w:val="true"/>
          <w:lang w:bidi="fa-IR"/>
        </w:rPr>
        <w:t>، و حیث إنّ الشیخ قدّس سرّه فی التقریرات ردّ علی صاحب الحاشیة ما أفاده من التوجیه المذکور لرفع المنافاة بین دعوی کون ألفاظ المعاملات أسماء للصحیح و بین التمسک بتلک الاطلاقات، أفاد فی آخر کلامه فی التقریرات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فلا نعلم وجها لتصحیح ما أفاده الشهید قدّس سرّه </w:t>
      </w:r>
      <w:r>
        <w:rPr>
          <w:rStyle w:val="FootnoteAnchor"/>
          <w:rtl w:val="true"/>
        </w:rPr>
        <w:footnoteReference w:id="477"/>
      </w:r>
      <w:r>
        <w:rPr>
          <w:rFonts w:ascii="IRNazanin" w:hAnsi="IRNazanin" w:eastAsia="IRNazanin"/>
          <w:color w:val="111111"/>
          <w:sz w:val="28"/>
          <w:sz w:val="28"/>
          <w:szCs w:val="28"/>
          <w:rtl w:val="true"/>
          <w:lang w:bidi="fa-IR"/>
        </w:rPr>
        <w:t>بناء علی أنّ التمسک بالاطلاقات أمر مفروغ عنه کما جری علیه الشهید نفسه فی کتبه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لک أنّ الوجه فیما أفاده فی التقریرات أخیرا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أنّ النزاع لا یجری فی المعاملات، هو ما أشرنا إلیه و ما یظهر منه مما تقدم منه من عدم تأتّی القول بالصحیح فیها، لمنافاته للتمسک بالإطلاقات، لا ما ربما یتوهم من توجیه ذلک بأنها أسماء</w:t>
      </w:r>
    </w:p>
    <w:p>
      <w:pPr>
        <w:pStyle w:val="BookText"/>
        <w:rPr/>
      </w:pPr>
      <w:r>
        <w:rPr>
          <w:rFonts w:ascii="IRNazanin" w:hAnsi="IRNazanin" w:eastAsia="IRNazanin"/>
          <w:color w:val="111111"/>
          <w:sz w:val="28"/>
          <w:sz w:val="28"/>
          <w:szCs w:val="28"/>
          <w:rtl w:val="true"/>
          <w:lang w:bidi="fa-IR"/>
        </w:rPr>
        <w:t>للمسببات،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عبارة الشهید قدّس سرّه فحاصلها دعوی کون ألفاظ العبادات و المعاملات عند الشارع أسامی للصحیح، و لازم ذلک أنّ من نذر ترک واحد منها لا یحنث بفعل الفاسد لو کان فی أول الشروع فیه فاسدا، و أما ما یطرؤه الفساد فی الأثناء فیحتمل فیه القول بالحنث، نظرا إلی حاله قبل طرو المفسد، و لکن الاقوی فیه عدم الحنث أیضا لأنّه و إن لم یکن فاسدا من أول الأمر إلّا أنّه بعد طروّ المفسد یخرج عن کونه متعلق النذر، فیکون الحاصل توقف تحقق الحنث علی إتمامه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استثناؤه الحج فهو مبنی علی دعوی استفادة صحة إطلاقه عند الشارع علی الفاسد من الأمر باتمام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فیکون حاصل العبارة دعوی اختصاص تلک الألفاظ عند الشارع بخصوص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سائر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کلامه فی المعاملات ناظر إلی مقام الأسباب، و حینئذ فیتوجه علیه الاشکال بأنّها لو کانت مختصّة بخصوص الصحیح لسقط التمسک بالاطلاقات فیها، و لا بد حینئذ من توجیه التمسک بما أفاده صاحب الحاشیة و الکفایة قدّس سرّهما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التوجیه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المعاملات بعد فرض کونها أسماء للأسباب لا المسببات إما أن نقول بکونها موضوعة لمفاهیم عرفیة و الموضوع له عندهم هو الصحیح، و لیس للشارع تصرف فی أصل معانیها و مفاهیمها، بمعنی أنها لیست من الماهیات المخترعة للشارع کما قیل فی العبادات بناء علی الحقیقة الشرعیة، بل إن الشارع جری فی أصل تلک الماهیات المعاملیة علی طبق ما علیه العرف من أصل ماهیاتها و مفاهیمها، غایته أنه یحصل الاختلاف بین الشرع و العرف فی بعض المصادیق مع</w:t>
      </w:r>
    </w:p>
    <w:p>
      <w:pPr>
        <w:pStyle w:val="BookText"/>
        <w:rPr/>
      </w:pPr>
      <w:r>
        <w:rPr>
          <w:rFonts w:ascii="IRNazanin" w:hAnsi="IRNazanin" w:eastAsia="IRNazanin"/>
          <w:color w:val="111111"/>
          <w:sz w:val="28"/>
          <w:sz w:val="28"/>
          <w:szCs w:val="28"/>
          <w:rtl w:val="true"/>
          <w:lang w:bidi="fa-IR"/>
        </w:rPr>
        <w:t>الاتفاق علی المفهوم الکلی الذی وضع اللفظ بازائه کما یحصل الاختلاف بین العرف أنفسهم فی المصادیق العرفیة لمفهوم واحد عرفی من جهة تخطئة بعضهم بعضا فی بعض مصادیقه کما فی مصادیق الضار أو النافع، أو من جهة اختلاف أذواقهم کما فی مصادیق الملاحة و الجمال، أو من جهة اختلاف عاداتهم کما فی مصادیق التحیة و التعارف برفع ما علی الرأس أو بالسلام أو برفع الید علی الرأس، مع اعتراف الکل بأنّ الکل مصداق لذلک المفهوم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نقول بأنها موضوعة عند الشارع لمعان شرعیة اختراعیة و ماهیات جعلیة مغایرة لما هو عند العرف من معانیها و مفاهیمها، و اعتبرها أن تکون صحیحة بحیث تترتب علیها آثارها، فیکون حالها حال أسماء العبادات بناء علی القول الصحیحی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نقول بأنّ التصرفات الشرعیة خارجة عن جمیع هذه الانحاء، بمعنی أنها لیست من قبیل تخطئة العرف، و لا من قبیل اختلاف الذوق أو العادة، و لا من قبیل الاختراع الجدید لماهیات ابتدائیة، بل إنه جری فی أحکامه علی طبق تلک الماهیات العرفیة، غایته أنه فی مقام ترتیب الأثر علیها قیّدها بقید خاص مثل التقابض فی المجلس فی باب الصرف و مثل کون العقد بالعربیة مثلا و نحو ذلک من القیود، فیکون حال هذه القیود حال التقیید بمثل الایمان فی 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وجوه أربعة فی المخالفة بین الشرع و العرف فی مصادیق المعاملات مثل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ذلک التصرف الشرعی من قبیل الاختراع الجدید و التسمیة الجدیدة مثل باب العبادات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قبیل الاختراع الجدید لکنه من قبیل التخطئة فی</w:t>
      </w:r>
    </w:p>
    <w:p>
      <w:pPr>
        <w:pStyle w:val="BookText"/>
        <w:rPr/>
      </w:pPr>
      <w:r>
        <w:rPr>
          <w:rFonts w:ascii="IRNazanin" w:hAnsi="IRNazanin" w:eastAsia="IRNazanin"/>
          <w:color w:val="111111"/>
          <w:sz w:val="28"/>
          <w:sz w:val="28"/>
          <w:szCs w:val="28"/>
          <w:rtl w:val="true"/>
          <w:lang w:bidi="fa-IR"/>
        </w:rPr>
        <w:t>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قبیل اختلاف فی التبانی و الاصطلاح الذی یکون منشؤه فیما بین العرف أنفسهم اختلاف الذوق أو اختلاف التبانی، مع الاعتراف من الجمیع بأنّ الجمیع مصداق للمفهوم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قبیل التقیید و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منعه من جهة العلم بأنه لیس للشارع اختراع جدید فی باب المعاملات و إنما یمکن ذلک فی باب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یظهر من الکفایة</w:t>
      </w:r>
      <w:r>
        <w:rPr>
          <w:rStyle w:val="FootnoteAnchor"/>
          <w:rtl w:val="true"/>
        </w:rPr>
        <w:footnoteReference w:id="478"/>
      </w:r>
      <w:r>
        <w:rPr>
          <w:rFonts w:ascii="IRNazanin" w:hAnsi="IRNazanin" w:eastAsia="IRNazanin"/>
          <w:color w:val="111111"/>
          <w:sz w:val="28"/>
          <w:sz w:val="28"/>
          <w:szCs w:val="28"/>
          <w:rtl w:val="true"/>
          <w:lang w:bidi="fa-IR"/>
        </w:rPr>
        <w:t>، لکنه ممکن المنع أیضا، فان ذلک إنما یمکن فی الماهیات الواقعیة التی تکون لها آثار واقعیة مثل النافع و الضار و نحوهما، دون باب المعاملات مما تکون آثارها اعتباریة محضة، بل لیست إلا من قبیل الأحکام الشرعیة أو العرفیة، و من الواضح أنه لا معنی للتخطئة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تطرق المنع إلیه، حیث إن لازمه اعتراف الشارع بأن ما لدی العرف أسباب أیضا، غایته أنه جری علی أسباب خاصة غیر تلک الأسباب، و أنه عند إرادة التملیک لا یفعل إلا الأسباب التی جری هو علیها، و هذا لا ینافی ترتب الأثر علی الأسباب العرفیة التی جروا علیها کما نراه من اعتراف کل فریق بتحقق التعظیم بما یفعله الفریق الآخر فیما لو کان الاختلاف فی المصادیق عادیا أو ذوقیا، و حینئذ فالمتعین من هذه الوجوه هو</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کون لفظ المعاملة کالبیع اسما للعقد عند کل من العرف و الشرع، یکون ترتب الملکیة علیه من قبیل</w:t>
      </w:r>
    </w:p>
    <w:p>
      <w:pPr>
        <w:pStyle w:val="BookText"/>
        <w:rPr/>
      </w:pPr>
      <w:r>
        <w:rPr>
          <w:rFonts w:ascii="IRNazanin" w:hAnsi="IRNazanin" w:eastAsia="IRNazanin"/>
          <w:color w:val="111111"/>
          <w:sz w:val="28"/>
          <w:sz w:val="28"/>
          <w:szCs w:val="28"/>
          <w:rtl w:val="true"/>
          <w:lang w:bidi="fa-IR"/>
        </w:rPr>
        <w:t>ترتب الحکم الشرعی علی ذلک الموضوع، فلو قیّده الشارع بقید یکون ذلک کسائر التقییدات الطارئة علی المطلقات، فلا مانع من التمسک باطلاق دلیل ذلک العقد عند الشک فی اعتبار شی‌ء فیه بعد فرض صدق اسم البیع عرفا علی ما هو فاقد لذلک القید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أنّا لو أغمضنا النظر عمّا أشکلنا به علی بقیة الوجوه لکان التمسک بالاطلاق فی مقام الشک لا بأس به علی کل واحد من تلک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الوجه الثانی و الثالث فواضح، لأنه بعد فرض الاتفاق من الشرع و العرف علی مفهوم البیع الذی هو العقد المتضمن للمبادلة بین المالین، لو فرضنا أن الشارع یخطّئ العرف فی عدّهم العقد بالفارسیة مثلا بیعا، أو أنه کانت مخالفاتهم فی ذلک من جهة مجرد التبانی و الاختلاف فی الاصطلاح کما هو مقتضی الوجه الثالث، لکان علیه البیان، فلمّا لم یبیّن و أطلق البیع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Style w:val="FootnoteAnchor"/>
          <w:rtl w:val="true"/>
        </w:rPr>
        <w:footnoteReference w:id="479"/>
      </w:r>
      <w:r>
        <w:rPr>
          <w:rFonts w:ascii="IRNazanin" w:hAnsi="IRNazanin" w:eastAsia="IRNazanin"/>
          <w:color w:val="111111"/>
          <w:sz w:val="28"/>
          <w:sz w:val="28"/>
          <w:szCs w:val="28"/>
          <w:rtl w:val="true"/>
          <w:lang w:bidi="fa-IR"/>
        </w:rPr>
        <w:t>مع کونه فی مقام البیان استکشفنا من ذلک الاطلاق أنّ ما یصدق علیه عند العرف ذلک المفهوم الکلی العرفی فهو عند الشارع أیضا کذلک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الوجه فی التمسک بالاطلاق المذکور بناء علی الوجه الأول الراجع إلی دعوی کون هذه الألفاظ لها حقائقها شرعیة مجعولة للشارع و أنها مختصة بخصوص الصحیح منها، فی قبال حقائها العرفیة، فانه لو وردت منه مطلقة و لم یقیّدها بقید زائد علی ما یعتبره العرف فیها، لزمنا تنزیل ذلک الاطلاق علی معانیها العرفیة، و یستکشف من ذلک أنه لیس للشارع اختراع جدید فی قبال ما علیه العرف، أو نقول إن ذلک إمضاء</w:t>
      </w:r>
    </w:p>
    <w:p>
      <w:pPr>
        <w:pStyle w:val="BookText"/>
        <w:rPr/>
      </w:pPr>
      <w:r>
        <w:rPr>
          <w:rFonts w:ascii="IRNazanin" w:hAnsi="IRNazanin" w:eastAsia="IRNazanin"/>
          <w:color w:val="111111"/>
          <w:sz w:val="28"/>
          <w:sz w:val="28"/>
          <w:szCs w:val="28"/>
          <w:rtl w:val="true"/>
          <w:lang w:bidi="fa-IR"/>
        </w:rPr>
        <w:t>لما جری علیه العرف فیها، و یکون ذلک الامضاء کافیا فی کونها مجعولة للشارع، إذ المراد من الجعل هو الأعم من الجعل التأسیسی و الجعل الامضائی، و هذا بخلاف أسماء العبادات فانها لمّا لم تکن لها حقائق عرفیة لم یمکن تنزیل الاطلاقات فیها علی المعانی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النفس شی‌ء من هذا الوجه، فان حاصله إثبات ظهور الاطلاق و عدم البیان فی إرادة المعنی العرفی، بأن السکوت و عدم البیان مع عدم إرادة المعنی العرفی مخلّ بالحکمة، لأن اللفظ حینئذ ینزّل علی المعنی العرفی مع أنه لا یریده، و من الواضح أن اللفظ لا ینزّل علی ذلک إلا إذا کان له ظهور فیه، فکان ظهور الاطلاق فی إرادة المعنی العرفی موقوفا علی کون السکوت مع إرادة خلافه خلاف الحکمة، و کونه خلاف الحکمة یتوقف علی ظهور الاطلاق فی إرادة المعنی العرفی، فجاء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الوجه لو تمّ لجری فی العبادات أیضا، إذ لا شبهة فی أنّ لها معانی عرفیة، فحیث إنه لم یقیّدها بقید علی خلاف المعنی العرفی یستکشف من ذلک أنه لم یکن له اختراع جدید فی تلک العبادة، أو أنه قد أمضی ما علیه العرف فی تلک العبادة،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فی کلام صاحب التقریرات من أن العرف حیث یری حصول المسبب بسبب معیّن عندهم فامضاء المسبب یستلزم إمضاء السبب عنده، فغیر تام، فان المتبع هو أنظار العرف فی تعیین المفاهیم لا فی التطبیق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فیما تقدم </w:t>
      </w:r>
      <w:r>
        <w:rPr>
          <w:rStyle w:val="FootnoteAnchor"/>
          <w:rtl w:val="true"/>
        </w:rPr>
        <w:footnoteReference w:id="481"/>
      </w:r>
      <w:r>
        <w:rPr>
          <w:rFonts w:ascii="IRNazanin" w:hAnsi="IRNazanin" w:eastAsia="IRNazanin"/>
          <w:color w:val="111111"/>
          <w:sz w:val="28"/>
          <w:sz w:val="28"/>
          <w:szCs w:val="28"/>
          <w:rtl w:val="true"/>
          <w:lang w:bidi="fa-IR"/>
        </w:rPr>
        <w:t>أن الشیخ قدّس سرّه فی التقریرات بنی علی خروج</w:t>
      </w:r>
    </w:p>
    <w:p>
      <w:pPr>
        <w:pStyle w:val="BookText"/>
        <w:rPr/>
      </w:pPr>
      <w:r>
        <w:rPr>
          <w:rFonts w:ascii="IRNazanin" w:hAnsi="IRNazanin" w:eastAsia="IRNazanin"/>
          <w:color w:val="111111"/>
          <w:sz w:val="28"/>
          <w:sz w:val="28"/>
          <w:szCs w:val="28"/>
          <w:rtl w:val="true"/>
          <w:lang w:bidi="fa-IR"/>
        </w:rPr>
        <w:t>أسماء المعاملات عن النزاع فی الصحیح و الأعم، بل بنی علی أنها موضوعة للأعم لأجل توقف صحة التمسک باطلاقاتها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لو قلنا فیها بالصحیح لسقطت الاطلاقات المزبورة، و أنه قدّس سرّه أطال فی الردّ علی صاحب الحاشیة القائل بهذه المقالة أعنی کون المعاملات موضوعة عند العرف و الشرع لخصوص الصحیح، و إن اختلفت الأنظار فی تعیین المصداق و أنّ الاطلاقات الشرعیة تنزّل علی أنّ الصحیح هو ما یراه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إن الشیخ قدّس سرّه </w:t>
      </w:r>
      <w:r>
        <w:rPr>
          <w:rStyle w:val="FootnoteAnchor"/>
          <w:rtl w:val="true"/>
        </w:rPr>
        <w:footnoteReference w:id="482"/>
      </w:r>
      <w:r>
        <w:rPr>
          <w:rFonts w:ascii="IRNazanin" w:hAnsi="IRNazanin" w:eastAsia="IRNazanin"/>
          <w:color w:val="111111"/>
          <w:sz w:val="28"/>
          <w:sz w:val="28"/>
          <w:szCs w:val="28"/>
          <w:rtl w:val="true"/>
          <w:lang w:bidi="fa-IR"/>
        </w:rPr>
        <w:t>فی المکاسب قبیل الشروع فی المعاطاة تصدی لتصحیح التمسک بالاطلاقات بناء علی کونها موضوعة لخصوص الصحیح، و قد وجّهه بنحو هذا التوجیه الذی عرفت الکلام فیه، و أنه هل هو مبنی علی کونها موضوعة للأسباب أو للمسبّبات، و هل المراد بالمسبّبات هی المعانی الانشائیة أو هی تلک الامور الواقعیة الشرعیة التی تحصل بتمام العقد و واجدیته لجمیع الأجزاء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تقریرات المرحوم الشیخ محمد علی </w:t>
      </w:r>
      <w:r>
        <w:rPr>
          <w:rStyle w:val="FootnoteAnchor"/>
          <w:rtl w:val="true"/>
        </w:rPr>
        <w:footnoteReference w:id="483"/>
      </w:r>
      <w:r>
        <w:rPr>
          <w:rFonts w:ascii="IRNazanin" w:hAnsi="IRNazanin" w:eastAsia="IRNazanin"/>
          <w:color w:val="111111"/>
          <w:sz w:val="28"/>
          <w:sz w:val="28"/>
          <w:szCs w:val="28"/>
          <w:rtl w:val="true"/>
          <w:lang w:bidi="fa-IR"/>
        </w:rPr>
        <w:t>نقل هذا التوجیه عن المکاسب، لکنه بناه علی الاخراج عن اللغویة، و أنت بعد مراجعتک للمکاسب لا تجد فیها لدعوی لزوم الخروج عن اللغویة عینا و لا أثرا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المحرر فی الحاشیة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بالمسبّب فی المعاملة لیس هو الامضاء الشرعی أو إمضاء العقلاء، ضرورة أن البیع و نحوه اسم لفعل البائع، و هو یصدر منه لا من غیره، بل المراد منه هو الاعتبار الصادر من البائع المظهر باللفظ أو بغیره، و الاعتبار أمر قائم بالمعتبر بالمباشرة بلا احتیاج إلی سبب أو آلة، و قد عرفت سابقا</w:t>
      </w:r>
    </w:p>
    <w:p>
      <w:pPr>
        <w:pStyle w:val="BookText"/>
        <w:rPr/>
      </w:pPr>
      <w:r>
        <w:rPr>
          <w:rFonts w:ascii="IRNazanin" w:hAnsi="IRNazanin" w:eastAsia="IRNazanin"/>
          <w:color w:val="111111"/>
          <w:sz w:val="28"/>
          <w:sz w:val="28"/>
          <w:szCs w:val="28"/>
          <w:rtl w:val="true"/>
          <w:lang w:bidi="fa-IR"/>
        </w:rPr>
        <w:t xml:space="preserve">أنه لا أساس لما هو المعروف من کون الانشاء عبارة عن إیجاد المعنی باللفظ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یخفی أنه راجع إلی ما أفاده شیخنا من أن المسبب هو فعل العاقد و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اخری </w:t>
      </w:r>
      <w:r>
        <w:rPr>
          <w:rStyle w:val="FootnoteAnchor"/>
          <w:rtl w:val="true"/>
        </w:rPr>
        <w:footnoteReference w:id="485"/>
      </w:r>
      <w:r>
        <w:rPr>
          <w:rFonts w:ascii="IRNazanin" w:hAnsi="IRNazanin" w:eastAsia="IRNazanin"/>
          <w:color w:val="111111"/>
          <w:sz w:val="28"/>
          <w:sz w:val="28"/>
          <w:szCs w:val="28"/>
          <w:rtl w:val="true"/>
          <w:lang w:bidi="fa-IR"/>
        </w:rPr>
        <w:t>هو ما یوجده العاقد من البیع الانشائی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هذا الاعتبار قائما بنفس العاقد و أن اللفظ یکون مبرزا له کما هو مبنی المحشّی فی باب الانشاء، فذلک مبنی لا أساس له و لا أصل سوی دعوی الکلام النفسی، و أنّ اللفظ یکون مبرزا لذلک الکلام النفسی فی کل من الاخبار و الانشاء، و قد تعرضنا لذلک فی موقعه، و حینما کنا مشغولین بهذه التعلیقة علی ما أفاده شیخنا قدّس سرّه لم تکن هذه الطبعة الجدیدة حاضرة لدینا، و لکن الآن احتجنا فی درس الفقه إلی مراجعة هذه المباحث فراجعنا الحاشیة المذکورة و ألحقنا هذا التعلیق بما حررناه سابقا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فالذی تلخّص فی نظر الأحقر فی هذه النظرة الأخیرة من هذه المعامع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ما أفاده شیخنا قدّس سرّه راجع إلی ما أفاده الشیخ قدّس سرّه فی المکاسب، و أنّ ما أفاده الشیخ قدّس سرّه فی المکاسب هو عین ما نقله فی التقریرات عن صاحب الحاشیة</w:t>
      </w:r>
      <w:r>
        <w:rPr>
          <w:rStyle w:val="FootnoteAnchor"/>
          <w:rtl w:val="true"/>
        </w:rPr>
        <w:footnoteReference w:id="486"/>
      </w:r>
      <w:r>
        <w:rPr>
          <w:rFonts w:ascii="IRNazanin" w:hAnsi="IRNazanin" w:eastAsia="IRNazanin"/>
          <w:color w:val="111111"/>
          <w:sz w:val="28"/>
          <w:sz w:val="28"/>
          <w:szCs w:val="28"/>
          <w:rtl w:val="true"/>
          <w:lang w:bidi="fa-IR"/>
        </w:rPr>
        <w:t>، و أن الجمیع راجع إلی دعوی کون المراد من أسماء المعاملات هو المسببات الموجودة فی عالم الانشاء لا تلک التی هی مرحلة الملکیة الشرعیة الواقعیة المتحققة بعد الامضاء، فانّ تلک لا تتصف بصحة و فساد بل بالوجود و العدم، بخلاف الملکیة الانشائیة التی سماها شیخنا قدّس سرّه بالأفعال بالآلة فانها تتصف بالصحة و الفساد و لو</w:t>
      </w:r>
    </w:p>
    <w:p>
      <w:pPr>
        <w:pStyle w:val="BookText"/>
        <w:rPr/>
      </w:pPr>
      <w:r>
        <w:rPr>
          <w:rFonts w:ascii="IRNazanin" w:hAnsi="IRNazanin" w:eastAsia="IRNazanin"/>
          <w:color w:val="111111"/>
          <w:sz w:val="28"/>
          <w:sz w:val="28"/>
          <w:szCs w:val="28"/>
          <w:rtl w:val="true"/>
          <w:lang w:bidi="fa-IR"/>
        </w:rPr>
        <w:t>باعتبار آلتها، و أنّ الألفاظ موضوعة لخصوص الصحیح منها، و أنه یمکن التمسک باطلاقاتها نظرا إلی کونها بیعا بحسب النظر العرفی، فنحن محتاجون إلی التشبث بأذیال الصدق العرفی بعد فرض أنه لا اختلاف بین الشرع و العرف فی مفهوم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مطلب آخر و هو دعوی کون الاختلاف بینهما من باب التخطئة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الاختلاف فی المصادیق مع الاتفاق علی المفهوم الکلی یکون علی أنحاء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التخطئة المبنیّة علی التجهیل من الشرع للعرف نظیر الاختلاف فی مصداق النافع و الضار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 المبنی علی اختلاف 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 المبنی علی الاختلاف فی التعارف و التبانی، و أنّ کلا منها لا یناسب البیع، و حینئذ لا بد من القول بأنّ البیع موضوع من الموضوعات العرفیة قد حکم علیه الشارع بالملکیة، و أنّ هذا الحکم ربما کان مقصورا عنده علی بیع خاص، و حیث لم یقیّده بمثل العربیة مثلا علمنا أنه مطلق من هذه الجهة، فلا یکون حال البیع الإکحال سائر المطلقات التی حکم علیها الشارع نظیر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ذلک هو مراد الشیخ فی التقریرات من الحکم بخروجها عن محل النزاع فی الصحیح و الأعم، فلاحظ و تأمل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الأسباب التی ذکرناها أعنی الدواء النافع و الدواء الضار، و أسباب التعظیم و الاجلال، و أسباب الاستحسان و انشراح النفس تکون المسبّبات فیها أمورا واقعیة، و إنما الاختلاف فی سببیة تلک الأسباب لهاتیک المسبّبات، فسببیة الدواء الفلانی للنفع أو الضرر واقعیة، و سببیة رفع ما علی الرأس للتعظیم عادیة، و سببیة الصوت الفلانی للانشراح طبعیّة ذوقیة، و هذا بخلاف سببیة العقد لحصول الملکیة فانّ</w:t>
      </w:r>
    </w:p>
    <w:p>
      <w:pPr>
        <w:pStyle w:val="BookText"/>
        <w:rPr/>
      </w:pPr>
      <w:r>
        <w:rPr>
          <w:rFonts w:ascii="IRNazanin" w:hAnsi="IRNazanin" w:eastAsia="IRNazanin"/>
          <w:color w:val="111111"/>
          <w:sz w:val="28"/>
          <w:sz w:val="28"/>
          <w:szCs w:val="28"/>
          <w:rtl w:val="true"/>
          <w:lang w:bidi="fa-IR"/>
        </w:rPr>
        <w:t>المسبّب فیها و هو الملکیة من سنخ الأحکام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العقد سببا للملکیة لیس المراد به مجرد العقد، بل المراد به العقد الذی یقصد به إنشاء الملکیة، و المسبب فیه و هو الملکیة من الأحکام الوضعیة التابعة لاعتبار المعتبر، سواء کان المعتبر لها هو العرف أو الشرع و لو من باب الامضاء، فلیس المسبب فیها من الامور الواقعیة کی یکون الاختلاف فیها من باب التخطئة أو من باب اختلاف العادة أو من باب اختلاف الذوق، بل یکون الاختلاف فیها من باب اعتبار الحکم و عدم اعتباره، ففی الحقیقة یکون العقد المقصود به إنشاء الملکیة موضوعا من الموضوعات، و یکون محکوما علیه بتحقق الملکیة عند تحققه، و هو موضوع عرفی قابل للتوسعة و التضییق و قابل للتمسک فیه باطلاق دلیل ذلک الحکم المجعول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کون الموضوع هو العقد الذی قصد به الملکیة الانشائیة، و بین کون الموضوع هو تلک الملکیة الانشائیة التی أوجدها العاقد فی صقعها الانشائی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فی ذلک بین ما أفاده فی الکفایة</w:t>
      </w:r>
      <w:r>
        <w:rPr>
          <w:rStyle w:val="FootnoteAnchor"/>
          <w:rtl w:val="true"/>
        </w:rPr>
        <w:footnoteReference w:id="487"/>
      </w:r>
      <w:r>
        <w:rPr>
          <w:rFonts w:ascii="IRNazanin" w:hAnsi="IRNazanin" w:eastAsia="IRNazanin"/>
          <w:color w:val="111111"/>
          <w:sz w:val="28"/>
          <w:sz w:val="28"/>
          <w:szCs w:val="28"/>
          <w:rtl w:val="true"/>
          <w:lang w:bidi="fa-IR"/>
        </w:rPr>
        <w:t xml:space="preserve">من کون أسماء المعاملات هو العقد الذی قصد به إنشاء الملکیة، و بین ما أفاده شیخنا قدّس سرّه </w:t>
      </w:r>
      <w:r>
        <w:rPr>
          <w:rStyle w:val="FootnoteAnchor"/>
          <w:rtl w:val="true"/>
        </w:rPr>
        <w:footnoteReference w:id="488"/>
      </w:r>
      <w:r>
        <w:rPr>
          <w:rFonts w:ascii="IRNazanin" w:hAnsi="IRNazanin" w:eastAsia="IRNazanin"/>
          <w:color w:val="111111"/>
          <w:sz w:val="28"/>
          <w:sz w:val="28"/>
          <w:szCs w:val="28"/>
          <w:rtl w:val="true"/>
          <w:lang w:bidi="fa-IR"/>
        </w:rPr>
        <w:t>من کونها أسماء لتلک المعانی الانشائیة التی هی أفعال للعاقد بالآلة التی هی العقد، فانّ کلا منهما یتصف بالصحة و الفساد و لو باعتبار تمامیة آلته و عدم تمامیتها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بأنها للأعم فلا إشکال فی التمسک بالاطلاق، کما أنا لو قلنا بأنها أسماء لخصوص الصحیح فلا إشکال أیضا فی التمسک بالاطلاق، بعد فرض کون العقد الذی یقصد به إنشاء الملکیة أو کون الملکیة المنشأة من الامور</w:t>
      </w:r>
      <w:bookmarkStart w:id="416" w:name="pg19834_212289"/>
    </w:p>
    <w:p>
      <w:pPr>
        <w:pStyle w:val="BookText"/>
        <w:rPr/>
      </w:pPr>
      <w:bookmarkEnd w:id="416"/>
      <w:r>
        <w:rPr>
          <w:rFonts w:ascii="IRNazanin" w:hAnsi="IRNazanin" w:eastAsia="IRNazanin"/>
          <w:color w:val="111111"/>
          <w:sz w:val="28"/>
          <w:sz w:val="28"/>
          <w:szCs w:val="28"/>
          <w:rtl w:val="true"/>
          <w:lang w:bidi="fa-IR"/>
        </w:rPr>
        <w:t>العرفیة، و أن الشارع لم یعتبر فیها أمرا زائدا علی ما اعتبره العرف فیها، و لعل قول الشیخ قدّس سرّه فی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الخطابات لمّا وردت علی طبق العرف حمل لفظ البیع و شبهه فی الخطابات الشرعیة علی ما هو الصحیح المؤثر عند العرف، أو علی المصدر الذی یراد من لفظ بعت، فیستدل باطلاق الحکم بحله أو بوجوب الوفاء به علی کونه مؤثرا فی نظر الشارع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89"/>
      </w:r>
      <w:r>
        <w:rPr>
          <w:rFonts w:ascii="IRNazanin" w:hAnsi="IRNazanin" w:eastAsia="IRNazanin"/>
          <w:color w:val="111111"/>
          <w:sz w:val="28"/>
          <w:sz w:val="28"/>
          <w:szCs w:val="28"/>
          <w:rtl w:val="true"/>
          <w:lang w:bidi="fa-IR"/>
        </w:rPr>
        <w:t>إشارة إلی إمکان التمسک بالاطلاق علی کل من الوجهین المذکورین، فلاحظ و تدبر</w:t>
      </w:r>
      <w:r>
        <w:rPr>
          <w:rFonts w:eastAsia="IRNazanin" w:cs="IRNazanin"/>
          <w:color w:val="111111"/>
          <w:sz w:val="28"/>
          <w:szCs w:val="28"/>
          <w:rtl w:val="true"/>
          <w:lang w:bidi="fa-IR"/>
        </w:rPr>
        <w:t>.</w:t>
      </w:r>
    </w:p>
    <w:p>
      <w:pPr>
        <w:pStyle w:val="Heading3"/>
        <w:numPr>
          <w:ilvl w:val="2"/>
          <w:numId w:val="1"/>
        </w:numPr>
        <w:rPr/>
      </w:pPr>
      <w:bookmarkStart w:id="417" w:name="__RefHeading___Toc3493725_2314609296"/>
      <w:bookmarkStart w:id="418" w:name="_Toc155"/>
      <w:bookmarkEnd w:id="417"/>
      <w:r>
        <w:rPr>
          <w:rtl w:val="true"/>
        </w:rPr>
        <w:t>[</w:t>
      </w:r>
      <w:r>
        <w:rPr>
          <w:rtl w:val="true"/>
        </w:rPr>
        <w:t>الاشتراک و الترادف</w:t>
      </w:r>
      <w:bookmarkEnd w:id="41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إمکان الاشتراک و الترادف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491"/>
      </w:r>
      <w:r>
        <w:rPr>
          <w:rFonts w:ascii="IRNazanin" w:hAnsi="IRNazanin" w:eastAsia="IRNazanin"/>
          <w:color w:val="111111"/>
          <w:sz w:val="28"/>
          <w:sz w:val="28"/>
          <w:szCs w:val="28"/>
          <w:rtl w:val="true"/>
          <w:lang w:bidi="fa-IR"/>
        </w:rPr>
        <w:t xml:space="preserve">الکلام علی ذلک فی مباحث الوضع، و مجرد کون الوضع هو التبانی لا ینافی التبانی من الآخر أو بعد النسیان للتبانی الأول، و الاستشهاد بما ذکره بعض المؤرخین </w:t>
      </w:r>
      <w:r>
        <w:rPr>
          <w:rStyle w:val="FootnoteAnchor"/>
          <w:rtl w:val="true"/>
        </w:rPr>
        <w:footnoteReference w:id="492"/>
      </w:r>
      <w:r>
        <w:rPr>
          <w:rFonts w:ascii="IRNazanin" w:hAnsi="IRNazanin" w:eastAsia="IRNazanin"/>
          <w:color w:val="111111"/>
          <w:sz w:val="28"/>
          <w:sz w:val="28"/>
          <w:szCs w:val="28"/>
          <w:rtl w:val="true"/>
          <w:lang w:bidi="fa-IR"/>
        </w:rPr>
        <w:t>أو فلاسفة اللغة إنما هو علی الامکان لا علی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لو ثبت الاشتراک أو الترادف فهو إنما یعلل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أصل اللغة، أما فروعها و منها الأعلام الشخصیة فلا شبهة فی وقوع الاشتراک فیها، بل لعل العلم و اللقب من الترادف، فلاحظ و تأمل</w:t>
      </w:r>
      <w:r>
        <w:rPr>
          <w:rFonts w:eastAsia="IRNazanin" w:cs="IRNazanin"/>
          <w:color w:val="111111"/>
          <w:sz w:val="28"/>
          <w:szCs w:val="28"/>
          <w:rtl w:val="true"/>
          <w:lang w:bidi="fa-IR"/>
        </w:rPr>
        <w:t>.</w:t>
      </w:r>
    </w:p>
    <w:p>
      <w:pPr>
        <w:pStyle w:val="Heading3"/>
        <w:numPr>
          <w:ilvl w:val="2"/>
          <w:numId w:val="1"/>
        </w:numPr>
        <w:rPr/>
      </w:pPr>
      <w:bookmarkStart w:id="419" w:name="__RefHeading___Toc3493727_2314609296"/>
      <w:bookmarkStart w:id="420" w:name="_Toc156"/>
      <w:bookmarkEnd w:id="419"/>
      <w:r>
        <w:rPr>
          <w:rtl w:val="true"/>
        </w:rPr>
        <w:t>[</w:t>
      </w:r>
      <w:r>
        <w:rPr>
          <w:rtl w:val="true"/>
        </w:rPr>
        <w:t>استعمال اللفظ فی أکثر من معنی</w:t>
      </w:r>
      <w:bookmarkEnd w:id="42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الجمع بین اللحاظین فی آن واحد و هو ممتنع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الاستعمال شعبة من الوضع الذی عرفت أنه إیجاد للمعنی بایجاد اللفظ، و جعل اللفظ نفس المعنی، و هذا لا یعقل بالنسبة إلی معنیین</w:t>
      </w:r>
    </w:p>
    <w:p>
      <w:pPr>
        <w:pStyle w:val="BookText"/>
        <w:rPr/>
      </w:pPr>
      <w:r>
        <w:rPr>
          <w:rFonts w:ascii="IRNazanin" w:hAnsi="IRNazanin" w:eastAsia="IRNazanin"/>
          <w:color w:val="111111"/>
          <w:sz w:val="28"/>
          <w:sz w:val="28"/>
          <w:szCs w:val="28"/>
          <w:rtl w:val="true"/>
          <w:lang w:bidi="fa-IR"/>
        </w:rPr>
        <w:t>مستقلین إلّا بنحو الاستعمال بالقدر المشترک أو فی المجموع المرکب منهما، و کل من ذلک خارج عما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لک الخدشة فیما فی الحاشیة</w:t>
      </w:r>
      <w:r>
        <w:rPr>
          <w:rStyle w:val="FootnoteAnchor"/>
          <w:rtl w:val="true"/>
        </w:rPr>
        <w:footnoteReference w:id="494"/>
      </w:r>
      <w:r>
        <w:rPr>
          <w:rFonts w:ascii="IRNazanin" w:hAnsi="IRNazanin" w:eastAsia="IRNazanin"/>
          <w:color w:val="111111"/>
          <w:sz w:val="28"/>
          <w:sz w:val="28"/>
          <w:szCs w:val="28"/>
          <w:rtl w:val="true"/>
          <w:lang w:bidi="fa-IR"/>
        </w:rPr>
        <w:t>من جعل الاستعمال من قبیل کون اللفظ علامة علی إرادة المعنی، حتی لو قلنا بأنّ حاصل الوضع هو التبانی، فانّه إنّما یکون من قبیل البناء علی أنه إذا أراد إحضار المعنی فی ذهن فانّما یحضره بذلک اللفظ علی وجه یکون إحضاره اللفظ إحضارا للمعنی، لا أنه من مجرد التبانی علی التلفظ بذلک اللفظ عند إرادة المعنی لیکون ذکره اللفظ علامة صرفة علی أنه أراد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لو تمّ کون حاصل الوضع هو جعل اللفظ علامة علی إرادة هذا المعنی الذی هو الذهب مثلا، کان مقتضاه هو أنّه لو أراد کلا من الذهب و الباصرة لم یکن ذلک علی طبق الوضع الذی هو جعل اللفظ علامة علی إرادة الذهب تارة و إرادة الباصرة اخری، إذ لم یکن من الواضع التبانی علی کون ذکر اللفظ علامة علی إرادة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الاثنین بارادة واحدة لیس من قبیل استعمال المشترک فی الأکثر، بل هو من الاستعمال فی المجموع، و الذی هو محل الکلام هو تعدد الارادة بحیث یکون هذا مرادا مستقلا و ذلک مراد مستقل، فلو قلنا إنّ التبانی کان علی جعل اللفظ علامة علی الارادة الواحدة فلا یدخل فیه جعله علامة علی الارادتین، فتأمل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التوریة فهی من المواراة بمعنی کون المتکلم قاصدا لمعنی بلفظ ظاهره غیره، نظیر ما یذکرونه فی لزوم التوریة عند الالتجاء إلی الکذب أو</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التکلم بکلمة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أنّ المورّی لا یکون قاصدا للمعنیین و إلا لم تکن فیها مندوحة عن الکذب أو الکفر، و إنما هو قاصد لواحد منهما ساترا له فی ظهور اللفظ بآخر أو باجمال اللفظ، و إلا فکیف یقصد الفعل و الاسم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صف ورد خدّی و إلّا أجور، فقلت 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و جسیمک یوم البین صفة عسی نعوده، فقلت یا أهل الهوی 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أمثلته</w:t>
      </w:r>
      <w:r>
        <w:rPr>
          <w:rFonts w:eastAsia="IRNazanin" w:cs="IRNazanin"/>
          <w:color w:val="111111"/>
          <w:sz w:val="28"/>
          <w:szCs w:val="28"/>
          <w:rtl w:val="true"/>
          <w:lang w:bidi="fa-IR"/>
        </w:rPr>
        <w:t>.</w:t>
      </w:r>
      <w:bookmarkStart w:id="421" w:name="pg19834_212292"/>
    </w:p>
    <w:p>
      <w:pPr>
        <w:pStyle w:val="Heading3"/>
        <w:numPr>
          <w:ilvl w:val="2"/>
          <w:numId w:val="1"/>
        </w:numPr>
        <w:rPr/>
      </w:pPr>
      <w:bookmarkStart w:id="422" w:name="__RefHeading___Toc3493729_2314609296"/>
      <w:bookmarkStart w:id="423" w:name="_Toc157"/>
      <w:bookmarkEnd w:id="421"/>
      <w:bookmarkEnd w:id="422"/>
      <w:r>
        <w:rPr>
          <w:rtl w:val="true"/>
        </w:rPr>
        <w:t>[</w:t>
      </w:r>
      <w:r>
        <w:rPr>
          <w:rtl w:val="true"/>
        </w:rPr>
        <w:t>مبحث المشتق</w:t>
      </w:r>
      <w:bookmarkEnd w:id="423"/>
    </w:p>
    <w:p>
      <w:pPr>
        <w:pStyle w:val="Heading4"/>
        <w:numPr>
          <w:ilvl w:val="3"/>
          <w:numId w:val="1"/>
        </w:numPr>
        <w:rPr/>
      </w:pPr>
      <w:bookmarkStart w:id="424" w:name="__RefHeading___Toc3493731_2314609296"/>
      <w:bookmarkStart w:id="425" w:name="_Toc158"/>
      <w:bookmarkEnd w:id="424"/>
      <w:r>
        <w:rPr>
          <w:rtl w:val="true"/>
        </w:rPr>
        <w:t>[</w:t>
      </w:r>
      <w:r>
        <w:rPr>
          <w:rtl w:val="true"/>
        </w:rPr>
        <w:t>المراد بالمشتق فی محل النزاع</w:t>
      </w:r>
      <w:bookmarkEnd w:id="42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مبدأ الاشتقاق فیه نفس الذات أو مقوّما للذات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الذات مرکبة من المادة و الصورة، و انعدام الصورة و التبدل إلی صورة نوعیة اخری مثل تبدل الحیوان ملحا أو ترابا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إنه غیر داخل فی محل النزاع فی المشتق، أمّا انعدام المادة وحدها أو هی مع الصورة فلعل ذلک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کعنوان العلة و المعلول و الممکن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کون الشی‌ء علة أو کونه معلولا أو کونه ممکنا لا یتصور فیه الانقضاء، و لیس الاشکال فیه مثل الاشکال فی أسماء الزمان ممّا لا بقاء للذات فیه بعد انقضاء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و نحوه ممّا هو من لوازم الذات مثل زوجیة الأربعة لا یتصور فیه الانقضاء، فانّ العلة علة وجدت أو کانت معدومة أو انعدمت بعد الوجود، و هکذا فی إمکان الممکن و زوجیة الأربعة فانّ جمیع ذلک ممّا لا یتصور فیه انقضاء المبدأ یکون خارجا عن محل النزاع، لا من جهة أنّ المبدأ غیر قابل للزوال مع بقاء الذات کما فی الحاشیة</w:t>
      </w:r>
      <w:r>
        <w:rPr>
          <w:rStyle w:val="FootnoteAnchor"/>
          <w:rtl w:val="true"/>
        </w:rPr>
        <w:footnoteReference w:id="497"/>
      </w:r>
      <w:r>
        <w:rPr>
          <w:rFonts w:ascii="IRNazanin" w:hAnsi="IRNazanin" w:eastAsia="IRNazanin"/>
          <w:color w:val="111111"/>
          <w:sz w:val="28"/>
          <w:sz w:val="28"/>
          <w:szCs w:val="28"/>
          <w:rtl w:val="true"/>
          <w:lang w:bidi="fa-IR"/>
        </w:rPr>
        <w:t>، بل من جهة أن هذا المبدأ غیر قابل للزوال عن الذات، سواء</w:t>
      </w:r>
      <w:bookmarkStart w:id="426" w:name="pg19834_212293"/>
    </w:p>
    <w:p>
      <w:pPr>
        <w:pStyle w:val="BookText"/>
        <w:rPr/>
      </w:pPr>
      <w:bookmarkEnd w:id="426"/>
      <w:r>
        <w:rPr>
          <w:rFonts w:ascii="IRNazanin" w:hAnsi="IRNazanin" w:eastAsia="IRNazanin"/>
          <w:color w:val="111111"/>
          <w:sz w:val="28"/>
          <w:sz w:val="28"/>
          <w:szCs w:val="28"/>
          <w:rtl w:val="true"/>
          <w:lang w:bidi="fa-IR"/>
        </w:rPr>
        <w:t>کانت الذات معدومة أو کانت موجودة أو انعدمت بعد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ما هو من لوازم الذات غیر داخل فی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خروجه من جهة خصوصیة المادة و إن کان هو مساویا لباقی المشتقات بحسب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فی هیئة المشتق إنما هو فیما تکون مادته قابلة للانقضاء، لیتکلم فی أن استعماله بعد الانقضاء مجاز أو حقیقة، و لعله سیأتی إن شاء اللّه تعالی مزید توضیح له فی أسماء الزمان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أن یقال إن هذا الاشکال إنما یتأتی فی لوازم الماهیة مثل زوجیة الأربعة و إمکان الممکن، أما علیة العلة و معلولیة المعلول فهما من لوازم الوجود، و عند ارتفاع الوجود یرتفع العنوان و هو العلیة، و حینئذ یکون حاله حال اسم الزمان 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لو قارن عقد إحدی الاختین العقد علی الاخری بطل العقدان، و له بعد ذلک أن یتزوج بمن شاء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طرأت الاختیة الرضاعیة، بأن کانت له زوجتان صغیرتان فرضعت إحداهما عند ام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الأمر کذلک فی البنت و الأمّ، فلو کان عقده علی إحداهما مقارنا لعقده علی الاخری بطل العقدان، و له التزوج بالبنت بعد ذلک بل بالام لعدم حرمتها علیه أبدا، لأن المفروض بطلان زوجیة کل منهما بمعنی عدم تحققها لا تحققها و ارتفاعها</w:t>
      </w:r>
      <w:r>
        <w:rPr>
          <w:rFonts w:eastAsia="IRNazanin" w:cs="IRNazanin"/>
          <w:color w:val="111111"/>
          <w:sz w:val="28"/>
          <w:szCs w:val="28"/>
          <w:rtl w:val="true"/>
          <w:lang w:bidi="fa-IR"/>
        </w:rPr>
        <w:t>.</w:t>
      </w:r>
    </w:p>
    <w:p>
      <w:pPr>
        <w:pStyle w:val="Heading4"/>
        <w:numPr>
          <w:ilvl w:val="3"/>
          <w:numId w:val="1"/>
        </w:numPr>
        <w:rPr/>
      </w:pPr>
      <w:bookmarkStart w:id="427" w:name="__RefHeading___Toc3493733_2314609296"/>
      <w:bookmarkStart w:id="428" w:name="_Toc159"/>
      <w:bookmarkEnd w:id="427"/>
      <w:r>
        <w:rPr>
          <w:rtl w:val="true"/>
        </w:rPr>
        <w:t>[</w:t>
      </w:r>
      <w:r>
        <w:rPr>
          <w:rtl w:val="true"/>
        </w:rPr>
        <w:t>ابتناء تحریم المرضعة علی بحث المشتق</w:t>
      </w:r>
      <w:bookmarkEnd w:id="42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البنتیة طارئة، بأن کان متزوجا بهما و أرضعت الکبری منهما صغراهما، حرمت الصغری جمعا و الکبری ذاتا لتحقق زوجیة کل منهما قبل الارضاع، و ارتفاع الزوجیة عن کل منهما بالارضاع، و هی المحررة فی مسألة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الفرض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فرض عدم الدخول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فبمجرد تحقق الرضاع تتحقّق الأمیّة و البنتیّة بینهما، فتبطل زوجیتهما معا، لعدم إمکان الجمع بین الأمّ و البنت فی الزوجیة فی زمان واحد و لو بقاء، فلا محالة یرتفعان معا لعدم المرجّح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الخراسانی قدّس سرّه فی رسالته الرضاعیة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بحرمة الصغیرة جمعا بالمعنی المزبور مع الحکم بحرمة الکبیرة مؤبدا 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 من التعلیل من لزوم الترجیح بلا مرجّح من الحکم بصحة نکاحها علیل لعدم لزومه، فانّه إنّما یلزم لو لم یکن الرضاع موجبا لحرمة الکبیرة و فساد نکاحها عینا، و أما معه فلا موجب لفساد نکاح الصغیرة لعدم الجمع بین البنت و امها، إلی آخر ما أفاده قدّس سرّه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سیأتی إن شاء اللّه تعالی من اختلاف الرتبة، فانّ الکبیرة غیر المدخول بها عند إرضاعها الزوجة الصغیرة یتحقق کون الکبیرة أم الزوجة و کون الصغیرة مجتمعة فی الزوجیة مع الکبیرة، و حکم الأول حرمة الکبیرة ذاتا و حکم الثانی هو حرمة الجمع القاضی بانفساخ نکاح الصغیرة لعدم الترجیح فی تلک المرتبة، فیترتب الحکمان معا فی رتبة واحدة، کما أنه قد تحقق الموضوعان فی رتبة واحدة، و الحکم فی الکبیرة و هو حرمتها ذاتا لکونه متأخرا عن کل من العنوانین لا یرفع عنوان الصغیرة الذی هو موضوع ارتفاع العقدین أعنی اجتماعهما معا فی الزوجیة، فان هذا الموضوع و هو الاجتماع فی رتبة موضوع حرمة الکبیرة و هو کونها ام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حرمتها ذاتا مرجح، فیبطل به موضوع الثانی أعنی الاجتماع و عدم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أیضا متأخر رتبة، فلا یعقل کونه رافعا لعدم المرجح الذی هو فی الرتبة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فی البلغة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المانع هو امتناع اتحاد زمان زوجیة الأمّ و بنتها، و هو کما یمنع عن تأثیر العقدین ابتداء کذلک یمنع عن دوام أثرهما، و بعد الانفساخ لا مانع عن تجدید العقد علی البنت ما لم یدخل بامها</w:t>
      </w:r>
      <w:r>
        <w:rPr>
          <w:rStyle w:val="FootnoteAnchor"/>
          <w:rtl w:val="true"/>
        </w:rPr>
        <w:footnoteReference w:id="502"/>
      </w:r>
      <w:r>
        <w:rPr>
          <w:rFonts w:ascii="IRNazanin" w:hAnsi="IRNazanin" w:eastAsia="IRNazanin"/>
          <w:color w:val="111111"/>
          <w:sz w:val="28"/>
          <w:sz w:val="28"/>
          <w:szCs w:val="28"/>
          <w:rtl w:val="true"/>
          <w:lang w:bidi="fa-IR"/>
        </w:rPr>
        <w:t xml:space="preserve">، فلعلّه ناظر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امتناع اتحاد زمان زوجیة الأمّ و بنتها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عرفت من اختلاف الرتبة الذی أجاب به عن الاشکال الآخر فی حرمة الکبیرة، و إلّا فانّ الفرق بین الابتداء و الدوام واضح کما أفاده قبیل هذا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یقاس المقام بالعقد علی الأمّ و بنتها دفعة، لعدم التاثیر فی کل من العقدین الموجب لعدم تحقق الزوجیة لکل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العقد الابتدائی علی کل منهما موجب لعدم المرجح، فانّ الکبیرة إنما تکون أم الزوجة لو تم العقد علی البنت، و المفروض عدم تمامیته فعلا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المقام فانّ الزوجیة لکل منهما محققة، و أمومة الکبیرة توجب حرمتها، فیمکن القول بأنها تتعین لبطلان الزوجیة، و لا دافع لذلک إلا ما عرفت من اختلاف الرتبة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اختلاف الرتبة راجعا إلی دعوی قطع النظر عن حرمة ام الزوجة مؤبدا کما فی الحاشیة، فانّ حرمة الأمّ لو کان مؤثرا فی رتبة الموضوع فلا وجه لقطع النظر عنه، لأن تأثیره حینئذ قهری و لا یدفعه قطع النظر عنه، فلاحظ و تدبر</w:t>
      </w:r>
      <w:r>
        <w:rPr>
          <w:rFonts w:eastAsia="IRNazanin" w:cs="IRNazanin"/>
          <w:color w:val="111111"/>
          <w:sz w:val="28"/>
          <w:szCs w:val="28"/>
          <w:rtl w:val="true"/>
          <w:lang w:bidi="fa-IR"/>
        </w:rPr>
        <w:t>.</w:t>
      </w:r>
      <w:bookmarkStart w:id="429" w:name="pg19834_212296"/>
    </w:p>
    <w:p>
      <w:pPr>
        <w:pStyle w:val="BookText"/>
        <w:rPr/>
      </w:pPr>
      <w:bookmarkEnd w:id="429"/>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المفروض فی المقام عدم التحریم من غیر جهة المصاهرة لفرض أن اللبن 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لتکون حرمة الصغیرة من جهة کونها ربیبة، و ذلک إنما یکون إذا کان اللبن من غیره، کما لو کان تزوج الکبیرة فی حال کونهما مرضعتین بولادة من غیره، و لأجل ذلک احتیج إلی التقیید بالدخول باحدی الکبیرتین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اللبن منه کانت الصغیرة بنتا رضاعیة له و لا یحتاج فی الحکم بحرمتها إلی الدخول بالمرضعة، بل هی حرام مؤبدا سواء کان قد دخل بالمرضعة کما هو الغالب أو کانت غیر مدخول بها کما لو کان قد وطئها شبهة فأولدها ثم تزوجها فی حال إرضاعها لولدها و قد أرضعت زوجته الصغیرة، و کما لو حملت منه بغیر الوطء و الدخول، أو کانت قد حملت منه ثم طلقها و بعد وضعها الحمل تزوجها، علی إشکال فی کون الأخیرتین ممّن لم یدخل بها</w:t>
      </w:r>
      <w:r>
        <w:rPr>
          <w:rFonts w:eastAsia="IRNazanin" w:cs="IRNazanin"/>
          <w:color w:val="111111"/>
          <w:sz w:val="28"/>
          <w:szCs w:val="28"/>
          <w:rtl w:val="true"/>
          <w:lang w:bidi="fa-IR"/>
        </w:rPr>
        <w:t>.</w:t>
      </w:r>
    </w:p>
    <w:p>
      <w:pPr>
        <w:pStyle w:val="Heading4"/>
        <w:numPr>
          <w:ilvl w:val="3"/>
          <w:numId w:val="1"/>
        </w:numPr>
        <w:rPr/>
      </w:pPr>
      <w:bookmarkStart w:id="430" w:name="__RefHeading___Toc3493735_2314609296"/>
      <w:bookmarkStart w:id="431" w:name="_Toc160"/>
      <w:bookmarkEnd w:id="430"/>
      <w:r>
        <w:rPr>
          <w:rtl w:val="true"/>
        </w:rPr>
        <w:t>[</w:t>
      </w:r>
      <w:r>
        <w:rPr>
          <w:rtl w:val="true"/>
        </w:rPr>
        <w:t>توهم خروج أسماء الزمان عن محل النزاع</w:t>
      </w:r>
      <w:bookmarkEnd w:id="43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هذا التوهم إنّما یتم إذا کان المعروض هو الشخص دون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الکلی المتکرر فرده فی کل سنة فی مثل مقتل الحسین علیه السّلام إنما هو یوم العاشر لا مقتله علیه السّلام فانّ حقیقة المقتل هو زمان القتل و لیس هو المراد بالیوم العاشر، و حینئذ فلا بد من لحاظ زمان القتل مجردا عن الخصوصیة و أخذه کلیا، و اعتبار أفراده المتکررة فی کل سنة شیئا واحدا متصلا، و یکون وقوع الحدث فی واحد منها مصححا لاعتبار وقوعه فی الجمیع أعنی ذلک الأمر الواحد الاعتباری، و یکون انقضاؤه عن ذلک</w:t>
      </w:r>
    </w:p>
    <w:p>
      <w:pPr>
        <w:pStyle w:val="BookText"/>
        <w:rPr/>
      </w:pPr>
      <w:r>
        <w:rPr>
          <w:rFonts w:ascii="IRNazanin" w:hAnsi="IRNazanin" w:eastAsia="IRNazanin"/>
          <w:color w:val="111111"/>
          <w:sz w:val="28"/>
          <w:sz w:val="28"/>
          <w:szCs w:val="28"/>
          <w:rtl w:val="true"/>
          <w:lang w:bidi="fa-IR"/>
        </w:rPr>
        <w:t>الجزء انقضاء عن الجمیع مع بقاء الذات، و هکذا الحال فیما إذا کان الزمان متصلا کما فی صدق المقتل علی یوم القتل کله مع کونه واقعا فی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لحاظ أفراد الیوم العاشر کشی‌ء واحد متصل قد اتصف بأنّه وقع فیه القتل و قد انقضی عنه القتل، و بقیت الذات ببقاء ذلک الامر الواحد الاعتباری و هو مجموع تلک الأیام التی یجمعها العنوان الکلی الذی هو الیوم العاشر، و إن شئت تفصیل ذلک و توضیحه فراجع ما علّقناه علی الکفایة فی هذا المقام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یخفی أنّ هذا التوهم إنّما یتم إذا کان لفظ المقتل مثلا مشترکا لفظیا بین اسم المکان و الزمان،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قلنا کما هو غیر بعید بأنه موضوع لمحل الحدث سواء کان زمانا أو کان مکانا، فلا یکون الاشکال المزبور متوجها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نقله عن الایضاح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اشتراط بقاء المبدأ فی صدق المشتق، انتهی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 فی هذه التتمة إیماء إلی أنّ مراد الایضاح الاعتراف بعدم شمول عنوان النزاع أعنی المشتق لمثل الزوجة، إلا أنّه یرید أن یلحقه بذلک العنوان إلحاقا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تعرض فی البدائع </w:t>
      </w:r>
      <w:r>
        <w:rPr>
          <w:rStyle w:val="FootnoteAnchor"/>
          <w:rtl w:val="true"/>
        </w:rPr>
        <w:footnoteReference w:id="509"/>
      </w:r>
      <w:r>
        <w:rPr>
          <w:rFonts w:ascii="Amiri" w:hAnsi="Amiri" w:eastAsia="Amiri" w:cs="Amiri"/>
          <w:color w:val="111111"/>
          <w:sz w:val="28"/>
          <w:sz w:val="28"/>
          <w:szCs w:val="28"/>
          <w:rtl w:val="true"/>
          <w:lang w:bidi="ar-SA"/>
        </w:rPr>
        <w:t>لهذه الجهة فراجع</w:t>
      </w:r>
      <w:r>
        <w:rPr>
          <w:rFonts w:eastAsia="Amiri" w:cs="Amiri" w:ascii="Amiri" w:hAnsi="Amiri"/>
          <w:color w:val="111111"/>
          <w:sz w:val="28"/>
          <w:szCs w:val="28"/>
          <w:rtl w:val="true"/>
          <w:lang w:bidi="ar-SA"/>
        </w:rPr>
        <w:t>.</w:t>
      </w:r>
      <w:bookmarkStart w:id="432" w:name="pg19834_212298"/>
    </w:p>
    <w:p>
      <w:pPr>
        <w:pStyle w:val="Heading4"/>
        <w:numPr>
          <w:ilvl w:val="3"/>
          <w:numId w:val="1"/>
        </w:numPr>
        <w:rPr/>
      </w:pPr>
      <w:bookmarkStart w:id="433" w:name="__RefHeading___Toc3493737_2314609296"/>
      <w:bookmarkStart w:id="434" w:name="_Toc161"/>
      <w:bookmarkEnd w:id="432"/>
      <w:bookmarkEnd w:id="433"/>
      <w:r>
        <w:rPr>
          <w:rtl w:val="true"/>
        </w:rPr>
        <w:t>[</w:t>
      </w:r>
      <w:r>
        <w:rPr>
          <w:rtl w:val="true"/>
        </w:rPr>
        <w:t>نقد کلام صاحب الکفایة قدّس سرّه فی المقام</w:t>
      </w:r>
      <w:bookmarkEnd w:id="43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مما اختاره المحقق صاحب الکفایة قدّس سرّه من أن انحصار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أنه یرد علی ما أفاده فی الکفایة</w:t>
      </w:r>
      <w:r>
        <w:rPr>
          <w:rStyle w:val="FootnoteAnchor"/>
          <w:rtl w:val="true"/>
        </w:rPr>
        <w:footnoteReference w:id="511"/>
      </w:r>
      <w:r>
        <w:rPr>
          <w:rFonts w:ascii="IRNazanin" w:hAnsi="IRNazanin" w:eastAsia="IRNazanin"/>
          <w:color w:val="111111"/>
          <w:sz w:val="28"/>
          <w:sz w:val="28"/>
          <w:szCs w:val="28"/>
          <w:rtl w:val="true"/>
          <w:lang w:bidi="fa-IR"/>
        </w:rPr>
        <w:t>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به القول بأن الاستعمال فیما مضی مجاز، فانّ اللازم منه هو عدم صحة الاستعمال فی الآن الآخر، لأنه ذات اخری لم تتلبس بالمبدإ، مع أن الوجدان شاهد علی صحته، فنستکشف من ذلک ما ذکرناه من لحاظ الوحدة فی أجزاء الزمان أو فی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عدم الثمرة لدخول اسم الزمان فیما هو محل النزاع</w:t>
      </w:r>
      <w:r>
        <w:rPr>
          <w:rFonts w:eastAsia="IRNazanin" w:cs="IRNazanin"/>
          <w:color w:val="111111"/>
          <w:sz w:val="28"/>
          <w:szCs w:val="28"/>
          <w:rtl w:val="true"/>
          <w:lang w:bidi="fa-IR"/>
        </w:rPr>
        <w:t>.</w:t>
      </w:r>
    </w:p>
    <w:p>
      <w:pPr>
        <w:pStyle w:val="Heading4"/>
        <w:numPr>
          <w:ilvl w:val="3"/>
          <w:numId w:val="1"/>
        </w:numPr>
        <w:rPr/>
      </w:pPr>
      <w:bookmarkStart w:id="435" w:name="__RefHeading___Toc3493739_2314609296"/>
      <w:bookmarkStart w:id="436" w:name="_Toc162"/>
      <w:bookmarkEnd w:id="435"/>
      <w:r>
        <w:rPr>
          <w:rtl w:val="true"/>
        </w:rPr>
        <w:t>[</w:t>
      </w:r>
      <w:r>
        <w:rPr>
          <w:rtl w:val="true"/>
        </w:rPr>
        <w:t>نقل عبارة العلّامة و فخر الدین فی مسألة الرضاع</w:t>
      </w:r>
      <w:bookmarkEnd w:id="43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لفخر الدین قدّس سرّه دلیلین آخرین علی تحریم المرضعة الثانیة، و حاصل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نقل عبارة العلامة قدّس سرّه فی القواعد ثم نقل عبارة 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قدّس سرّه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أرضعت الصغیرة زوجتاه علی التعاقب فالأقرب تحریم الجمیع، لأنّ الأخیرة صارت أم من کانت زوجته إن کان قد دخل باحدی الکبیرتین، و إلا حرمت الکبیرتان مؤبدا و انفسخ عقد الصغیرة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513"/>
      </w:r>
      <w:r>
        <w:rPr>
          <w:rFonts w:ascii="IRNazanin" w:hAnsi="IRNazanin" w:eastAsia="IRNazanin"/>
          <w:color w:val="111111"/>
          <w:sz w:val="28"/>
          <w:sz w:val="28"/>
          <w:szCs w:val="28"/>
          <w:rtl w:val="true"/>
          <w:lang w:bidi="fa-IR"/>
        </w:rPr>
        <w:t>و عقّبه الفخر فی الایضاح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المرضعة الاولی و الصغیرة مع الدخول باحدی الکبیرتین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المرضعة الأخیرة ففی تحریمها خلاف، فاختار والدی المصنف و ابن ادریس تحریمها، لأن</w:t>
      </w:r>
    </w:p>
    <w:p>
      <w:pPr>
        <w:pStyle w:val="BookText"/>
        <w:rPr/>
      </w:pPr>
      <w:r>
        <w:rPr>
          <w:rFonts w:ascii="IRNazanin" w:hAnsi="IRNazanin" w:eastAsia="IRNazanin"/>
          <w:color w:val="111111"/>
          <w:sz w:val="28"/>
          <w:sz w:val="28"/>
          <w:szCs w:val="28"/>
          <w:rtl w:val="true"/>
          <w:lang w:bidi="fa-IR"/>
        </w:rPr>
        <w:t xml:space="preserve">هذه یصدق علیها أنها ام زوجته، لأنه لا یشترط فی صدق المشتق بقاء المعنی المشتق منه فکذا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فرض کلامهما فی المسألة إنّما هو فیما لو لم یکن اللبن للزوج و إلّا فلو کان اللبن للزوج کانت حرمة الصغیرة من جهة کونها بنتا رضاعیة له لا لکونها ربیبة، و حینئذ یکون التقیید بالدخول لغوا، إذ لا یتوقف حرمة البنت الرضاعیة علی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عبارة الفخر فی نقل الکفایة</w:t>
      </w:r>
      <w:r>
        <w:rPr>
          <w:rStyle w:val="FootnoteAnchor"/>
          <w:rtl w:val="true"/>
        </w:rPr>
        <w:footnoteReference w:id="515"/>
      </w:r>
      <w:r>
        <w:rPr>
          <w:rFonts w:ascii="IRNazanin" w:hAnsi="IRNazanin" w:eastAsia="IRNazanin"/>
          <w:color w:val="111111"/>
          <w:sz w:val="28"/>
          <w:sz w:val="28"/>
          <w:szCs w:val="28"/>
          <w:rtl w:val="true"/>
          <w:lang w:bidi="fa-IR"/>
        </w:rPr>
        <w:t xml:space="preserve">مشتملة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الدخول بالکبیرتین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باسقاط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الصحیح هو وجودها کما نقلناه عن الایضاح، و هی أعنی عبارته إنما کانت تعقیبا لعبارة والده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القواعد ناظرة إلی ما بعد الرضاعین، فتکون حرمة الصغیرة مؤبدا متوقفة علی الدخول باحدی الکبیرتین و لا تحتاج إلی الدخول بکل منهما أو الدخول بخصوص الاولی، هذا فی التحریم الأبدی بالنسبة إلی الصغیرة بعد تمامیة الرضعتین، فانه یتوقف علی الدخول باحدی الکبیرتین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تحریمها جمعا القاضی بانفساخ عقد الصغیرة، فهو یکفی فیه مجرد الرضاع منها و إن لم یکن فی البین دخول کما صرّح به العلامة قدّس سرّه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حرمت الکبیرتان مؤبدا و انفسخ عقد الصغیرة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تحریم الکبیرة الثانیة متوقف علی مسألة المشتق سواء کان لبن الاولی للزوج أو کان لغیره، کانت مدخولا بها أو کانت غیر 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البنت صارت بنتا للزوج، و أما الثانی فلأنها بنت</w:t>
      </w:r>
    </w:p>
    <w:p>
      <w:pPr>
        <w:pStyle w:val="BookText"/>
        <w:rPr/>
      </w:pPr>
      <w:r>
        <w:rPr>
          <w:rFonts w:ascii="IRNazanin" w:hAnsi="IRNazanin" w:eastAsia="IRNazanin"/>
          <w:color w:val="111111"/>
          <w:sz w:val="28"/>
          <w:sz w:val="28"/>
          <w:szCs w:val="28"/>
          <w:rtl w:val="true"/>
          <w:lang w:bidi="fa-IR"/>
        </w:rPr>
        <w:t>المدخول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 فلانفساخ عقد الصغیرة لحرمة الجمع، و حینئذ لا یکون رضاع الثانیة إلا بعد انسلاخ الزوجیة عن الصغیرة، فینحصر التمسک بمسألة المشتق،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ابتناء المسألة علی المشتق إنما هو فی الرضاع من الکبیرة الثانیة و لا دخل فیه للدخول، فان الثمرة تترتب و إن لم یکن دخول فی الکبیرة الاولی و لا فی الکبیرة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الفخر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عنوان الموضوع لا یشترط صدقه حال الحکم، بل لو صدق قبله کفی، فیدخل تحت قوله و امهات نسائکم </w:t>
      </w:r>
      <w:r>
        <w:rPr>
          <w:rStyle w:val="FootnoteAnchor"/>
          <w:rtl w:val="true"/>
        </w:rPr>
        <w:footnoteReference w:id="516"/>
      </w:r>
      <w:r>
        <w:rPr>
          <w:rFonts w:ascii="IRNazanin" w:hAnsi="IRNazanin" w:eastAsia="IRNazanin"/>
          <w:color w:val="111111"/>
          <w:sz w:val="28"/>
          <w:sz w:val="28"/>
          <w:szCs w:val="28"/>
          <w:rtl w:val="true"/>
          <w:lang w:bidi="fa-IR"/>
        </w:rPr>
        <w:t>و لمساواة الرضاع النسب، و هو یحرم سابقا و لاحقا فکذا مساویه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فی النهایة</w:t>
      </w:r>
      <w:r>
        <w:rPr>
          <w:rStyle w:val="FootnoteAnchor"/>
          <w:rtl w:val="true"/>
        </w:rPr>
        <w:footnoteReference w:id="517"/>
      </w:r>
      <w:r>
        <w:rPr>
          <w:rFonts w:ascii="IRNazanin" w:hAnsi="IRNazanin" w:eastAsia="IRNazanin"/>
          <w:color w:val="111111"/>
          <w:sz w:val="28"/>
          <w:sz w:val="28"/>
          <w:szCs w:val="28"/>
          <w:rtl w:val="true"/>
          <w:lang w:bidi="fa-IR"/>
        </w:rPr>
        <w:t>و ابن الجنید</w:t>
      </w:r>
      <w:r>
        <w:rPr>
          <w:rStyle w:val="FootnoteAnchor"/>
          <w:rtl w:val="true"/>
        </w:rPr>
        <w:footnoteReference w:id="518"/>
      </w:r>
      <w:r>
        <w:rPr>
          <w:rFonts w:ascii="IRNazanin" w:hAnsi="IRNazanin" w:eastAsia="IRNazanin"/>
          <w:color w:val="111111"/>
          <w:sz w:val="28"/>
          <w:sz w:val="28"/>
          <w:szCs w:val="28"/>
          <w:rtl w:val="true"/>
          <w:lang w:bidi="fa-IR"/>
        </w:rPr>
        <w:t>لا یحرّم لما رواه علی بن مهزیار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تزوج بجاریة صغیرة فأرضعتها امرأته ثم أرضعتها امرأة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الجاریة و امرأته التی أرضعتها أوّلا، أما الأخیرة لم تحرم علیه</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المنع من صحة سند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الأول فهو مبنی علی کون الموضوع هو الزوجة، و حکمه هو حرمة أمها، و کون هذا الموضوع مأخوذا علی نحو یکون حدوثه علة فی تحقق الحکم و لو کان متعلق هذا الحکم و هو الامیة متأخرا عن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أنه یمکن الفرق بینه و بین مثل قوله تعالی لا ینال عهدی الظالمین </w:t>
      </w:r>
      <w:r>
        <w:rPr>
          <w:rStyle w:val="FootnoteAnchor"/>
          <w:rtl w:val="true"/>
        </w:rPr>
        <w:footnoteReference w:id="520"/>
      </w:r>
      <w:r>
        <w:rPr>
          <w:rFonts w:ascii="IRNazanin" w:hAnsi="IRNazanin" w:eastAsia="IRNazanin"/>
          <w:color w:val="111111"/>
          <w:sz w:val="28"/>
          <w:sz w:val="28"/>
          <w:szCs w:val="28"/>
          <w:rtl w:val="true"/>
          <w:lang w:bidi="fa-IR"/>
        </w:rPr>
        <w:t>فانّ ما ینطبق علیه الموضوع فیما نحن فیه و هو الزوجة لم یکن هو متعلق الحکم و هو الحرمة، بل إن متعلقه هو ام تلک الزوجة المفروض أنّ أمومتها لم تتحقق إلا بعد انقضاء الزوجیة، و هذا بخلاف موضوع الحکم فی الآیة فانّ ما ینطبق علیه هو بنفسه متعلق الحکم فیها و هو عدم نیل العهد،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حدوث الظلم یکون علة لحدوث ذلک الحکم و لبقائه و لو بعد زواله، و ذلک من جهة مناسبة الحکم و هو الولایة و الموضوع و هو الظلم، و هذا بخلاف حدوث الزوجیة فیما نحن فیه فانّه لا دلیل علی کونه علة لحرمة الأمّ التی تکون امومتها بعد انقضاء الزوجیة، فتأمل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مقایسة حرمة أم الزوجة الرضاعیة بحرمة بنتها النسبیة بأن یقال کما أن انقضاء الزوجیة عن الأمّ لا ینافی حرمة بنتها النسبیة، التی ولدتها بعد انقضاء الزوجیة عنها فیما لو طلّق زوجته ثم تزوجت بآخر فأولدها بنتا، فتحرم هذه البنت علی الزوج الأول لأنها بنت زوجته، فکذلک انقضاء الزوجیة عن البنت لا ینافی حرمة امها الرضاعیة التی تکون امومتها بعد انقضاء الزوجیة عن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تحریم تلک البنت النسبیة بعد انقضاء الزوجیة عن امها لأنها یصدق علیها أنها بنت من کانت زوجته بناء علی کون المشتق للأعم، فکذلک ینبغی أن یقال تحرم هذه الأمّ الرضاعیة فیما نحن فیه لأنها یصدق علیها أنها ام من کانت زوجته، غایته أن البنتیة هناک نسبیة و یمکن أن تکون رضاعیة، بخلاف</w:t>
      </w:r>
    </w:p>
    <w:p>
      <w:pPr>
        <w:pStyle w:val="BookText"/>
        <w:rPr/>
      </w:pPr>
      <w:r>
        <w:rPr>
          <w:rFonts w:ascii="IRNazanin" w:hAnsi="IRNazanin" w:eastAsia="IRNazanin"/>
          <w:color w:val="111111"/>
          <w:sz w:val="28"/>
          <w:sz w:val="28"/>
          <w:szCs w:val="28"/>
          <w:rtl w:val="true"/>
          <w:lang w:bidi="fa-IR"/>
        </w:rPr>
        <w:t>الامومة هنا فانها لا تکون إلا رضاعیة، و هذا المقدار غیر 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و إن أمکن ابتناؤها علی کون المشتق للأعم، إلا أنه یمکن أن یمنع من کون المشتق للأعم، و نلتزم بحرمة البنت فی المثال لکونها مورد النصوص و الاجماع، بخلاف حرمة الأمّ فیما نحن فیه، لکن الالتزام بکون الحرمة فی ذلک للنص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المسألة داخلة فی عنوان عام و هو کونها بنتا للمدخول بها، و هو وحده موجب لتحریم البنت سواء کان الدخول باعتبار النکاح الدائم و المنقطع أو کان بوطء الشبهة أو کان من قبیل الزنا، فانّ الدخول فی جمیع ذلک محرّم للبنت، فلیس هو منوطا بالزوجیة بالنسبة إلی الأمّ کی یکون مبنیا علی المشتق، بخلاف ما نحن فیه فانّ تحریم الأمّ منوط بزوجیة البنت المفروض انقضاؤها، فلا یکون جاریا إلا علی القول بالأعم فی مسألة المشتق،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المرحوم الشیخ محمد علی قدّس سرّه فی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الوجه الأخیر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لحمة الرضاع کلحمة النسب، و أنه یحرم من الرضاع ما یحرم من النسب </w:t>
      </w:r>
      <w:r>
        <w:rPr>
          <w:rStyle w:val="FootnoteAnchor"/>
          <w:rtl w:val="true"/>
        </w:rPr>
        <w:footnoteReference w:id="521"/>
      </w:r>
      <w:r>
        <w:rPr>
          <w:rFonts w:ascii="IRNazanin" w:hAnsi="IRNazanin" w:eastAsia="IRNazanin"/>
          <w:color w:val="111111"/>
          <w:sz w:val="28"/>
          <w:sz w:val="28"/>
          <w:szCs w:val="28"/>
          <w:rtl w:val="true"/>
          <w:lang w:bidi="fa-IR"/>
        </w:rPr>
        <w:t xml:space="preserve">، و من المعلوم أنه لو تزوج بابنة ثم طلّقها تحرم علیه امها مع زوال زوجیتها بالطلاق، فکذلک فی الأمّ و البنت الرضاعیة تحرم الأمّ الرضاعیة و لو خرجت البنت عن الزوجیة کما فی المقام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فانه بمجرد العقد علی البنت تحرم امها ذاتا و دواما، فلا یؤثر فیه انسلاخ البنت عن الزوجیة، و لا یکون بقاء حرمة الأمّ مبنیا علی مسألة المشتق و لا علی الوجهین اللذین ذکرهما الفخر، فانّ حرمة</w:t>
      </w:r>
      <w:bookmarkStart w:id="437" w:name="pg19834_212303"/>
    </w:p>
    <w:p>
      <w:pPr>
        <w:pStyle w:val="BookText"/>
        <w:rPr/>
      </w:pPr>
      <w:bookmarkEnd w:id="437"/>
      <w:r>
        <w:rPr>
          <w:rFonts w:ascii="IRNazanin" w:hAnsi="IRNazanin" w:eastAsia="IRNazanin"/>
          <w:color w:val="111111"/>
          <w:sz w:val="28"/>
          <w:sz w:val="28"/>
          <w:szCs w:val="28"/>
          <w:rtl w:val="true"/>
          <w:lang w:bidi="fa-IR"/>
        </w:rPr>
        <w:t>ام الزوجة لا رافع لها، سواء کانت قبل الزوجیة کما فی المثال نسبا أو رضاعا أو کانت متأخرة عن الزوجیة مع مقارنتها کما لو تزوج البنت ثم أرضعتها امرأة أجنبیة ثم طلقها، و هذا إنما یتصور فی الرضاع دون النسب، و لا دخل له بما نحن فیه من تأخر الامومة الرضاعیة عن انسلاخ الزوجیة للبنت،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العقد علی البنت یوجب حرمة امها لدخولها تحت قوله تعالی امهات نسائکم </w:t>
      </w:r>
      <w:r>
        <w:rPr>
          <w:rStyle w:val="FootnoteAnchor"/>
          <w:rtl w:val="true"/>
        </w:rPr>
        <w:footnoteReference w:id="523"/>
      </w:r>
      <w:r>
        <w:rPr>
          <w:rFonts w:ascii="IRNazanin" w:hAnsi="IRNazanin" w:eastAsia="IRNazanin"/>
          <w:color w:val="111111"/>
          <w:sz w:val="28"/>
          <w:sz w:val="28"/>
          <w:szCs w:val="28"/>
          <w:rtl w:val="true"/>
          <w:lang w:bidi="fa-IR"/>
        </w:rPr>
        <w:t xml:space="preserve">سواء کانت الامومة قبل الزوجیة من نسب أو رضاع أو کانت بعد الزوجیة کما إذا کانت من الرضاع، و لکنه مبنی علی کون الامهات فی الآیة شاملا للنسب و الرضاع لا أنه مختص بالامهات نسبا، و إلحاق الامهات رضاعا یکون بمقتضی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بناء علی ذلک لا دلیل علی حرمة الأمّ فیما نحن فیه إلّا علی القول بالأعم فی مسألة المشتق، إلا علی تکلّف و هو شمول الامهات لکل ما یفرض امّا نسبیة، حتی ما لو کان محالا کما فی الأمّ النسبیة بعد زوجیة الأم، و حینئذ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لتنزیل الأمّ الرضاعیة منزلة تلک الأمّ النسبیة المفروضة الوقوع و إن لم تقع بل کان وقوعها محالا، فتأمل فانّه لا یتم إلا إذا فرضنا الامومة النسبیة متأخرة عن انسلاخ زوجیة البنت، فلو حرمت من النسب حرمت من الرضاع، لکن لا دلیل علی حرمة تلک الأمّ النسبیة التی فرض و لو محالا وقوع أمومتها بعد انسلاخ زوجیة البنت إلا علی مسألة العموم فی المشتق، فلاحظ و تأمل</w:t>
      </w:r>
      <w:r>
        <w:rPr>
          <w:rFonts w:eastAsia="IRNazanin" w:cs="IRNazanin"/>
          <w:color w:val="111111"/>
          <w:sz w:val="28"/>
          <w:szCs w:val="28"/>
          <w:rtl w:val="true"/>
          <w:lang w:bidi="fa-IR"/>
        </w:rPr>
        <w:t>.</w:t>
      </w:r>
    </w:p>
    <w:p>
      <w:pPr>
        <w:pStyle w:val="Heading4"/>
        <w:numPr>
          <w:ilvl w:val="3"/>
          <w:numId w:val="1"/>
        </w:numPr>
        <w:rPr/>
      </w:pPr>
      <w:bookmarkStart w:id="438" w:name="__RefHeading___Toc3493741_2314609296"/>
      <w:bookmarkStart w:id="439" w:name="_Toc163"/>
      <w:bookmarkEnd w:id="438"/>
      <w:r>
        <w:rPr>
          <w:rtl w:val="true"/>
        </w:rPr>
        <w:t>[</w:t>
      </w:r>
      <w:r>
        <w:rPr>
          <w:rtl w:val="true"/>
        </w:rPr>
        <w:t>مسألتان فی الرضاع</w:t>
      </w:r>
      <w:bookmarkEnd w:id="43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له زوجة صغیرة فطلّقها فأرضعتها زوجة أخیه مثلا فهل تحرم علیه زوجة أخیه و یحل له النظر الیها باعتبار کونها ام زوجته؟</w:t>
      </w:r>
    </w:p>
    <w:p>
      <w:pPr>
        <w:pStyle w:val="BookText"/>
        <w:rPr/>
      </w:pPr>
      <w:r>
        <w:rPr>
          <w:rFonts w:ascii="IRNazanin" w:hAnsi="IRNazanin" w:eastAsia="IRNazanin"/>
          <w:color w:val="111111"/>
          <w:sz w:val="28"/>
          <w:sz w:val="28"/>
          <w:szCs w:val="28"/>
          <w:rtl w:val="true"/>
          <w:lang w:bidi="fa-IR"/>
        </w:rPr>
        <w:t>ربما تبتنی المسألة علی المشتق، و تقاس علی ما لو طلّق زوجته بعد الدخول فتزوجت بآخر و أولدها بنتا، فان البنت تحرم علی الزوج الأول مع فرض حدوث البنتیة بعد انتفاء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الجواهر</w:t>
      </w:r>
      <w:r>
        <w:rPr>
          <w:rStyle w:val="FootnoteAnchor"/>
          <w:rtl w:val="true"/>
        </w:rPr>
        <w:footnoteReference w:id="524"/>
      </w:r>
      <w:r>
        <w:rPr>
          <w:rFonts w:ascii="IRNazanin" w:hAnsi="IRNazanin" w:eastAsia="IRNazanin"/>
          <w:color w:val="111111"/>
          <w:sz w:val="28"/>
          <w:sz w:val="28"/>
          <w:szCs w:val="28"/>
          <w:rtl w:val="true"/>
          <w:lang w:bidi="fa-IR"/>
        </w:rPr>
        <w:t>بالفرق فی صدق المشتق بین بنت الزوجة و بین ام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الظاهر عدم الفرق من ناحیة المشتق کما أورد علیه فی البلغة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هناک فرق آخر، و هو أن البنت المتأخرة عن الطلاق بعد الدخول لا إشکال فی حرمتها لکونها بنت المدخول بها و إن لم تکن زوجة حین الدخول فضلا عن عدم کونها زوجة حین تحقق البنتیة، و هذا بخلاف مسألتنا فی ام الزوجة فان حرمة الأمّ منوطة بکونها ام الزوجة، فلا یمکن القول بالحرمة إلا بناء علی مسألة المشتق، و ام المدخول بها و إن کانت حراما و إن لم تکن المدخول بها زوجة، إلّا أن فرض ما نحن فیه هو عدم الدخول بالبنت فینحصر الکلام بحرمة الأمّ باعتبار کونها ام الزوجة و لا دخل لذلک بام المدخول بها،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الطلاق فی مسألة الربیبة قبل الدخول، بأن طلق زوجته قبل الدخول بها ثم تزوجت بآخر فأولدها بنتا، فان هذه البنت لا تحرم علی المطلّق لا ذاتا لعدم الدخول بامها و لا جمعا لأن المفروض کون الأمّ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أرضعت زوجته الکبیرة زوجته الصغیرة، ففی المسألة صور أربع</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الکبیرة مدخولا بها و کون اللبن لبنه، فتحرم الکبیرة</w:t>
      </w:r>
    </w:p>
    <w:p>
      <w:pPr>
        <w:pStyle w:val="BookText"/>
        <w:rPr/>
      </w:pPr>
      <w:r>
        <w:rPr>
          <w:rFonts w:ascii="IRNazanin" w:hAnsi="IRNazanin" w:eastAsia="IRNazanin"/>
          <w:color w:val="111111"/>
          <w:sz w:val="28"/>
          <w:sz w:val="28"/>
          <w:szCs w:val="28"/>
          <w:rtl w:val="true"/>
          <w:lang w:bidi="fa-IR"/>
        </w:rPr>
        <w:t>لکونها ام زوجته، و الصغیرة لکونها بنته رضاعا و لکونها بنت زوجته المدخول بها، و الحرمة فی کل من الصغیرة و الکبیرة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الکبیرة مدخولا بها و کون اللبن لغیره کما لو تزوجها و هی ذات لبن من زوج سابق أو من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هذه کالاولی من کون الحرمة فیهما ذاتیة، غیر أنها فی الصغیرة من جهة واحدة و هی بنت زوجته المدخول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الدخول بالکبیرة لکنها ذات لبن منه کما لو طلّقها و هی ذات لبن منه أو وطئها شبهة ثم تزوجها و لم یدخل بها فأرضعت زوجته الصغیرة، فیکون الحال فی هذه الصورة عین الحال فی الصورة الاولی غیر أن حرمة الصغیرة ممحّضة لکونها بنته لا لکونها بنت زوجته المدخول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الدخول بالکبیرة و عدم کون اللبن له، بل کان اللبن لغیره بأن أولدها الغیر نکاحا أو شبهة ثم تزوجها الثانی فأرضعت زوجته الصغیرة، و فی هذه الصورة تحرم الکبیرة لکونها ام زوجته و لا تحرم الصغیرة ذاتا لعدم کونها بنتا له و لعدم کون أمها الرضاعیة مدخولا بها، لکنها تحرم جمعا فیبطل نکاحها بالرضاع، و له تجدید العقد علیها، بل قد یقال لا یحتاج إلی تجدید العقد لعدم تحقق الاجتماع فی الزوجیة بینهما کی یبطل نکاح الصغیرة،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الصغیرة فی الصورة الثالثة</w:t>
      </w:r>
      <w:r>
        <w:rPr>
          <w:rStyle w:val="FootnoteAnchor"/>
          <w:rtl w:val="true"/>
        </w:rPr>
        <w:footnoteReference w:id="526"/>
      </w:r>
      <w:r>
        <w:rPr>
          <w:rFonts w:ascii="IRNazanin" w:hAnsi="IRNazanin" w:eastAsia="IRNazanin"/>
          <w:color w:val="111111"/>
          <w:sz w:val="28"/>
          <w:sz w:val="28"/>
          <w:szCs w:val="28"/>
          <w:rtl w:val="true"/>
          <w:lang w:bidi="fa-IR"/>
        </w:rPr>
        <w:t>و الرابعة تحرم ذاتا علی صاحب اللبن لکونها بالنسبة إلیه بنتا رضاعیة للمدخول بها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الفرض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الدخول بالمرضعة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تحریم الرضیعة و 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کونها مدخولا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w:t>
      </w:r>
      <w:bookmarkStart w:id="440" w:name="pg19834_212306"/>
    </w:p>
    <w:p>
      <w:pPr>
        <w:pStyle w:val="BookText"/>
        <w:rPr/>
      </w:pPr>
      <w:bookmarkEnd w:id="440"/>
      <w:r>
        <w:rPr>
          <w:rFonts w:ascii="IRNazanin" w:hAnsi="IRNazanin" w:eastAsia="IRNazanin"/>
          <w:color w:val="111111"/>
          <w:sz w:val="28"/>
          <w:sz w:val="28"/>
          <w:szCs w:val="28"/>
          <w:rtl w:val="true"/>
          <w:lang w:bidi="fa-IR"/>
        </w:rPr>
        <w:t xml:space="preserve">زوجیتهما، لکون الرضیعة بنت الزوجة المدخول بها ربیبة و کون الأمّ أم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3493743_2314609296"/>
      <w:bookmarkStart w:id="442" w:name="_Toc164"/>
      <w:bookmarkEnd w:id="441"/>
      <w:r>
        <w:rPr>
          <w:rtl w:val="true"/>
        </w:rPr>
        <w:t>[</w:t>
      </w:r>
      <w:r>
        <w:rPr>
          <w:rtl w:val="true"/>
        </w:rPr>
        <w:t>نقد ما ذکره الآخوند قدّس سرّه فی رسالته الرضاعیة</w:t>
      </w:r>
      <w:r>
        <w:rPr>
          <w:rtl w:val="true"/>
        </w:rPr>
        <w:t>]</w:t>
      </w:r>
      <w:bookmarkEnd w:id="442"/>
    </w:p>
    <w:p>
      <w:pPr>
        <w:pStyle w:val="BookText"/>
        <w:rPr/>
      </w:pPr>
      <w:r>
        <w:rPr>
          <w:rFonts w:ascii="IRNazanin" w:hAnsi="IRNazanin" w:eastAsia="IRNazanin"/>
          <w:color w:val="111111"/>
          <w:sz w:val="28"/>
          <w:sz w:val="28"/>
          <w:szCs w:val="28"/>
          <w:rtl w:val="true"/>
          <w:lang w:bidi="fa-IR"/>
        </w:rPr>
        <w:t>قال العلامة الخراسانی قدّس سرّه فی رسالته الرضاعیة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علیک أنّ الحکم بحرمة الکبیرة مشکل، لعدم صیرورتها أم الزوجة لو قیل باعتبار بقاء التلبس بالمبدإ فی صدق المشتق، لارتفاع زوجیة الصغیرة فی مرتبة صیرورة الکبیرة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إنّ ذلک کذلک دقة، أما عرفا فیصدق أنّها صارت أم الزوجة حقیقة و لو بناء علی اعتبار بقاء التلبس بالمبدإ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الذی هو فی مرتبة کون الکبیرة امّا إنما هو کون الصغیرة التی هی زوجة، بنت الزوجة، و هذا أعنی کون الصغیرة التی هی زوجة، بنت الزوجة یکون علة و موضوعا لارتفاع زوجیة الصغیرة، فیکون ارتفاع زوجیة الصغیرة متأخرا رتبة عن کون الکبیرة امّا للزوجة و مقارنا لارتفاع زوجیة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الرضاع علة لکون المرضعة امّا و لکون الرضیعة بنتا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الاول و هو کون المرضعة امّا علة فی انسلاخ زوجیتها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و هو کون الرضیعة بنتا علة فی انسلاخ زوجیة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و هو انسلاخ زوجیة الصغیرة لا یصلح لرفع موضوع الحکم فی الکبیرة أعنی کونها امّا لزوجته، لأن هذا الموضوع و هو کون الکبیرة امّا لزوجته الصغیرة توأم فی الرتبة لموضوع انسلاخ زوجیة الصغیرة أعنی کونها بنتا لزوجته الکبیرة، و کما لا یصلح أن یکون الحکم رافعا لموضوع نفسه، فکذلک لا یصلح</w:t>
      </w:r>
    </w:p>
    <w:p>
      <w:pPr>
        <w:pStyle w:val="BookText"/>
        <w:rPr/>
      </w:pPr>
      <w:r>
        <w:rPr>
          <w:rFonts w:ascii="IRNazanin" w:hAnsi="IRNazanin" w:eastAsia="IRNazanin"/>
          <w:color w:val="111111"/>
          <w:sz w:val="28"/>
          <w:sz w:val="28"/>
          <w:szCs w:val="28"/>
          <w:rtl w:val="true"/>
          <w:lang w:bidi="fa-IR"/>
        </w:rPr>
        <w:t>لرفع ما هو مقارن فی الرتبة لموضوع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ما هو متأخر فی الرتبة لا یصلح لرفع ما هو سابق علیه فی الرتبة، فان الرضاع قد جعل الصغیرة التی هی زوجته بنتا لزوجته کما قد جعل الکبیرة التی هی زوجته امّا لزوجته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قطع النظر عن الحکم الشرعی أعنی الحرمة و انسلاخ الزوجیة فی کل منهما، یکون قد اجتمع فی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و بنت الزوجة، و فی الکبیرة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و أم الزوجة، و بعد رتبة الاجتماع فی کل منهما تأتی رتبة الحکم فی کل منهما و هو الحرمة الموجبة لانسلاخ الزوجیة عن کل منهما، و هذا الانسلاخ لا ینافی تحقق الزوجیة فی رتبة الموضوع فی کل منهما،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ما أفاده قدّس سرّه لکان الحکم فی کل منهما و هو انسلاخ الزوجیة رافعا لموضوع ذلک الحکم فی الاخری، فانّ انسلاخ زوجیة البنت لو أوجب عدم کون الأمّ امّا للزوجة لکان انسلاخ زوجیة الأمّ موجبا لعدم کون البنت بنتا للزوجة، و حینئذ یکون الحکم فی کل منهما و هو الانسلاخ عن الزوجیة رافعا لموضوع الانسلاخ فی الاخری، فیؤول الأمر إلی أنّ الانسلاخ فی کل منهما موجب لبقاء الزوجیة فی کل منهما</w:t>
      </w:r>
      <w:r>
        <w:rPr>
          <w:rStyle w:val="FootnoteAnchor"/>
          <w:rtl w:val="true"/>
        </w:rPr>
        <w:footnoteReference w:id="529"/>
      </w:r>
      <w:r>
        <w:rPr>
          <w:rFonts w:ascii="IRNazanin" w:hAnsi="IRNazanin" w:eastAsia="IRNazanin"/>
          <w:color w:val="111111"/>
          <w:sz w:val="28"/>
          <w:sz w:val="28"/>
          <w:szCs w:val="28"/>
          <w:rtl w:val="true"/>
          <w:lang w:bidi="fa-IR"/>
        </w:rPr>
        <w:t>و بقاؤها فی کل منهما موجب لارتفاعها فی الاخری، فیکون الانسلاخ فی کل منهما موجبا لعدم ذلک الانسلاخ، و کل هذا إنّما نشأ من إدخال الحکم فی مرتبة الموضوع</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البنت لیست منوطة بکونها بنت الزوجة کی یرتفع بحرمة الأمّ، بل هی منوطة بکونها بنت المدخول بها أو بنت المعقود علیها، و ذلک لا یرتفع بطروّ الحرمة علی الأمّ، و هذا بخلاف حرمة</w:t>
      </w:r>
    </w:p>
    <w:p>
      <w:pPr>
        <w:pStyle w:val="BookText"/>
        <w:rPr/>
      </w:pPr>
      <w:r>
        <w:rPr>
          <w:rFonts w:ascii="IRNazanin" w:hAnsi="IRNazanin" w:eastAsia="IRNazanin"/>
          <w:color w:val="111111"/>
          <w:sz w:val="28"/>
          <w:sz w:val="28"/>
          <w:szCs w:val="28"/>
          <w:rtl w:val="true"/>
          <w:lang w:bidi="fa-IR"/>
        </w:rPr>
        <w:t>الأمّ فانّها منوطة بکونها ام الزوجة و هو مرتفع بحرمة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هذا الانقضاء لیس زمانیا کی یدخل تحت النزاع، و إنما هو بحسب الرتبة، حیث إنّ زوجیة الصغیرة و إن انسلخت إلا أنّ انطباق ام الزوجة علی المرضعة الاولی إنما هو فی زمان زوجیة الصغیرة و ان کان فی رتبة الانسلاخ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أنّ انسلاخ الزوجیة عن الصغیرة مجتمع فی الزمان مع کونها زوجة، غایته أنه متأخر عنه رتبة، و هذا لیس من الانقضاء الزمانی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الأخیر هو الذی یظهر من المقالة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هو مرکز البحث و مورد النفی و الاثبات هو صور انقضاء الوصف زمانا لا رتبة، فیخرج مثل هذا الانقضاء عن حریم النزاع و کان ملحقا بصورة عدمه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الذی یظهر من تقریر الآملی </w:t>
      </w:r>
      <w:r>
        <w:rPr>
          <w:rStyle w:val="FootnoteAnchor"/>
          <w:rtl w:val="true"/>
        </w:rPr>
        <w:footnoteReference w:id="531"/>
      </w:r>
      <w:r>
        <w:rPr>
          <w:rFonts w:ascii="IRNazanin" w:hAnsi="IRNazanin" w:eastAsia="IRNazanin"/>
          <w:color w:val="111111"/>
          <w:sz w:val="28"/>
          <w:sz w:val="28"/>
          <w:szCs w:val="28"/>
          <w:rtl w:val="true"/>
          <w:lang w:bidi="fa-IR"/>
        </w:rPr>
        <w:t>هو الوجه الأول،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بعد هذا فی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أیضا لو لا دعوی أنّ ما هو المسلّم فی کونه حقیقة هو فرض تلبس الذات بالوصف زمانا، و مع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یجری فیه مناط النفی و الاثبات، فکأنّه إشارة إلی عدم تحقق الموضوع زمانا، و سیأتی الکلام فیه إن شاء اللّه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قدّس سرّه فیما حرره عنه المرحوم الشیخ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الفرع الأول و هو حرمة المرضعة الاولی علی کل حال، فلصیرورتها ام الزوجة فی حال إکمال الرضعة الخامسة عشرة، بداهة أنه فی ذلک الحال تکون المرتضعة الصغیرة زوجة و المرضعة الکبیرة أم الزوجة، فیصدق علیها فی</w:t>
      </w:r>
      <w:bookmarkStart w:id="443" w:name="pg19834_212309"/>
    </w:p>
    <w:p>
      <w:pPr>
        <w:pStyle w:val="BookText"/>
        <w:rPr/>
      </w:pPr>
      <w:bookmarkEnd w:id="443"/>
      <w:r>
        <w:rPr>
          <w:rFonts w:ascii="IRNazanin" w:hAnsi="IRNazanin" w:eastAsia="IRNazanin"/>
          <w:color w:val="111111"/>
          <w:sz w:val="28"/>
          <w:sz w:val="28"/>
          <w:szCs w:val="28"/>
          <w:rtl w:val="true"/>
          <w:lang w:bidi="fa-IR"/>
        </w:rPr>
        <w:t xml:space="preserve">ذلک الحال امهات نسائکم </w:t>
      </w:r>
      <w:r>
        <w:rPr>
          <w:rStyle w:val="FootnoteAnchor"/>
          <w:rtl w:val="true"/>
        </w:rPr>
        <w:footnoteReference w:id="532"/>
      </w:r>
      <w:r>
        <w:rPr>
          <w:rFonts w:ascii="IRNazanin" w:hAnsi="IRNazanin" w:eastAsia="IRNazanin"/>
          <w:color w:val="111111"/>
          <w:sz w:val="28"/>
          <w:sz w:val="28"/>
          <w:szCs w:val="28"/>
          <w:rtl w:val="true"/>
          <w:lang w:bidi="fa-IR"/>
        </w:rPr>
        <w:t xml:space="preserve">فتحرم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یرید ما أشرنا إلیه أخیرا من أن الانقضاء الرتبی لا یوجب الانقضاء الزمانی، أو أنه یشیر إلی ما ذکرناه أوّلا من الجواب باختلاف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یبعد کل البعد أن یکون التزاما باختلاف الزمان بین صیرورة الصغیرة التی هی زوجة بنت الزوجة و بین حکمها و هو الحرمة و حرمة الأمّ، و إلّا لورد علیه أنه لا تأخر زمانا للحکم عن موضوعه،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العمدة فی الجواب هو ما عرفت من اختلاف الرتبة، و ان اجتمع فی الزمان زوجیة الصغیرة و کونها بنتا للزوجة و حرمتها و انسلاخ زوجیتها لکون الحرمة متأخرة عن الزوجیة و البنتیة</w:t>
      </w:r>
      <w:r>
        <w:rPr>
          <w:rFonts w:eastAsia="IRNazanin" w:cs="IRNazanin"/>
          <w:color w:val="111111"/>
          <w:sz w:val="28"/>
          <w:szCs w:val="28"/>
          <w:rtl w:val="true"/>
          <w:lang w:bidi="fa-IR"/>
        </w:rPr>
        <w:t>.</w:t>
      </w:r>
    </w:p>
    <w:p>
      <w:pPr>
        <w:pStyle w:val="Heading4"/>
        <w:numPr>
          <w:ilvl w:val="3"/>
          <w:numId w:val="1"/>
        </w:numPr>
        <w:rPr/>
      </w:pPr>
      <w:bookmarkStart w:id="444" w:name="__RefHeading___Toc3493745_2314609296"/>
      <w:bookmarkStart w:id="445" w:name="_Toc165"/>
      <w:bookmarkEnd w:id="444"/>
      <w:r>
        <w:rPr>
          <w:rtl w:val="true"/>
        </w:rPr>
        <w:t>[</w:t>
      </w:r>
      <w:r>
        <w:rPr>
          <w:rtl w:val="true"/>
        </w:rPr>
        <w:t>مناقشة المصنف للسید الخوئی قدّس سرّهما فی الرضاع</w:t>
      </w:r>
      <w:bookmarkEnd w:id="44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تظهر الخدشة فیما تضمنته الحاشیة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بطلان زوجیة الأمّ و البنت فی آن واحد، فلیس هناک زمان خارجی تتصف فیه الأمّ بأنّها ام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الأحکام الشرعیة مترتبة علی الموجودات الزمانیة دون الرتبیة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34"/>
      </w:r>
      <w:r>
        <w:rPr>
          <w:rFonts w:ascii="IRNazanin" w:hAnsi="IRNazanin" w:eastAsia="IRNazanin"/>
          <w:color w:val="111111"/>
          <w:sz w:val="28"/>
          <w:sz w:val="28"/>
          <w:szCs w:val="28"/>
          <w:rtl w:val="true"/>
          <w:lang w:bidi="fa-IR"/>
        </w:rPr>
        <w:t>و إلّا فکیف یکون الحال فیما لو طرأ التحریم علی الزوجیة کما لو أرضعت الزوجة زوجها، إذ لا بد فی مثل ذلک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المرأة فی الرتبة السابقة علی حرمتها قد اجتمع فیها کونها زوجة و کونها أم زوجها، و فی الرتبة الثانیة تحرم علی زوجها فتنسلخ عن الزوجیة، و هذه الحرمة مقارنة فی الزمان لکونها ام زوجها، لا أنّ هذا العنوان أعنی کونها ام زوجها سابق فی الزمان علی حرمتها، و إلّا ففی أیّ زمان صارت الزوجة ام زوجها ثم انسلخت عنها الزوجیة؟ و هل یعقل تأخر</w:t>
      </w:r>
    </w:p>
    <w:p>
      <w:pPr>
        <w:pStyle w:val="BookText"/>
        <w:rPr/>
      </w:pPr>
      <w:r>
        <w:rPr>
          <w:rFonts w:ascii="IRNazanin" w:hAnsi="IRNazanin" w:eastAsia="IRNazanin"/>
          <w:color w:val="111111"/>
          <w:sz w:val="28"/>
          <w:sz w:val="28"/>
          <w:szCs w:val="28"/>
          <w:rtl w:val="true"/>
          <w:lang w:bidi="fa-IR"/>
        </w:rPr>
        <w:t>الحکم عن موضوعه زمانا؟ و کما لا یعقل تأخره زمانا عن موضوعه فکذلک لا یعقل تأخره عما هو فی رتبة موضوعه، فلاحظ و تأمل، هذا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 الحرمة فی هذه المسألة لیس هو ام الزوج بعنوان کونه زوجا، بل الموضوع هو ذات الشخص المرتضع، فإنّه برضاعها له تکون له اما رضاعیة، فتحرم علیه لکونه ابنها الرضاعی، و هو أعنی کونه ابنا رضاعیا لها مستمر بحسب الزمان من حین رضاعها و به تبطل زوجیتها له، کما أنّ ما ذکرناه من أنه کما لا یعقل تأخر الحکم زمانا عن موضوعه فکذلک لا یعقل تأخره عما هو فی مرتبة موضوعه، و کما أن الحکم متأخر رتبة عن موضوعه فکذلک هو متأخر رتبة عما هو فی رتبة موضوعه، فالحرمة الطارئة علی البنت لمّا کانت متأخرة رتبة عن موضوعها الذی هو کون تلک البنت بنتا للزوجة، تکون متأخرة رتبة عما هو فی مرتبة ذلک الموضوع أعنی کون المرضعة اما للزوجة التی هی البنت، محل مناقشة ذکرناها فی مبحث الجمع بین الأحکام الواقعیة و الظاهریة</w:t>
      </w:r>
      <w:r>
        <w:rPr>
          <w:rStyle w:val="FootnoteAnchor"/>
          <w:rtl w:val="true"/>
        </w:rPr>
        <w:footnoteReference w:id="535"/>
      </w:r>
      <w:r>
        <w:rPr>
          <w:rFonts w:ascii="IRNazanin" w:hAnsi="IRNazanin" w:eastAsia="IRNazanin"/>
          <w:color w:val="111111"/>
          <w:sz w:val="28"/>
          <w:sz w:val="28"/>
          <w:szCs w:val="28"/>
          <w:rtl w:val="true"/>
          <w:lang w:bidi="fa-IR"/>
        </w:rPr>
        <w:t>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متأخر عن الشی‌ء رتبة لکونه حکمه أو کونه معلولا له، لا یلزمه أن یکون متأخرا عما هو فی مرتبة ذلک الشی‌ء إذا لم یکن بین ذلک المتأخر و ذلک الواقع فی مرتبة ما هو المتأخر عنه ما یقتضی تأخره عنه، بل تکون نسبته إلیه نسبة الشی‌ء إلی ما لا ربط له به فی عدم اقتضاء التقدم أو التأخر، نعم لو تمت هذه المناقشة فهی لا تقتضی کون حرمة البنت القاضیة بانفصال زوجیتها سابقة فی الرتبة علی حرمة الأمّ علی وجه تعدم موضوع حرمة الأمّ الذی هو کونها ام الزوجة فعلا، لأن ذلک إنّما یکون إذا کان انسلاخ زوجیة البنت سابقا فی الرتبة علی حرمة الأمّ، دون ما لو کان أجنبیا عنه علی وجه</w:t>
      </w:r>
    </w:p>
    <w:p>
      <w:pPr>
        <w:pStyle w:val="BookText"/>
        <w:rPr/>
      </w:pPr>
      <w:r>
        <w:rPr>
          <w:rFonts w:ascii="IRNazanin" w:hAnsi="IRNazanin" w:eastAsia="IRNazanin"/>
          <w:color w:val="111111"/>
          <w:sz w:val="28"/>
          <w:sz w:val="28"/>
          <w:szCs w:val="28"/>
          <w:rtl w:val="true"/>
          <w:lang w:bidi="fa-IR"/>
        </w:rPr>
        <w:t>لا طولیة بینها،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علی ما عرفت من أن الخروج عن الزوجیة إنما کان بالتحریم المتأخر رتبة عن صدق البنتیة، فهی فی رتبة صدق بنت الزوجة علیها یصدق علیها أنّها زوجة، و إنما تخرج عنها بالتحریم الناشئ من صدق بنت الزوجة، بأنّه یتوقف علی عدم التضاد بین عنوان الزوجیة و عنوان بنت الزوجة، و هو خلاف المرتکز شرعا، بل الظاهر أن التحریم إنما جاء من جهة ارتفاع الزوجیة بطرو عنوان بنت الزوجة لا العکس،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التضاد المرتکز فی أذهان المتشرعة إنما نشأ عما هو المرتکز فی أذهانهم من حرمة بنت الزوجة و أنّها لا تکون زوجة، و لمّا کان أساسه هو التحریم، خرج عن التضاد القاضی بکون عدم الزوجیة فی عرض کونها بنت زوجة، فلا یترتب علیه ما افید من أن التحریم إنما جاء من جهة ارتفاع الزوجیة بطرو عنوان بنت الزوجة، بتقریب أنه لمّا کانت الزوجیة مضادة لبنت الزوجة، کان عدمها فی عرض وجود ضدها الذی هو عنوان بنت الزوجة، لأنّ عدم أحد الضدین یکون فی عرض وجود الضد الآخر للمعاندة بینهما بلا طولیة فی البین، لیکون الحاصل أن التحریم و إن کان معلولا لکونها بنت الزوجة إلّا أنه لیس هو ارتفاع الزوجیة، بل إن ارتفاع الزوجیة کان فی رتبة کونها بنت الزوجة، فان ذلک کله مبنی علی التضاد بین الزوجیة و بنت الزوجة و قد عرفت المنع من ذلک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أنه لا یمکن بذلک تصحیح عبارة العلّامة الخراسانی قدّس سرّه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ارتفاع زوجیة الصغیرة فی مرتبة صیرورة الکبیرة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36"/>
      </w:r>
      <w:r>
        <w:rPr>
          <w:rFonts w:ascii="IRNazanin" w:hAnsi="IRNazanin" w:eastAsia="IRNazanin"/>
          <w:color w:val="111111"/>
          <w:sz w:val="28"/>
          <w:sz w:val="28"/>
          <w:szCs w:val="28"/>
          <w:rtl w:val="true"/>
          <w:lang w:bidi="fa-IR"/>
        </w:rPr>
        <w:t>بدعوی کون الارتفاع المذکور أعنی عدم الزوجیة لمّا</w:t>
      </w:r>
      <w:bookmarkStart w:id="446" w:name="pg19834_212312"/>
    </w:p>
    <w:p>
      <w:pPr>
        <w:pStyle w:val="BookText"/>
        <w:rPr/>
      </w:pPr>
      <w:bookmarkEnd w:id="446"/>
      <w:r>
        <w:rPr>
          <w:rFonts w:ascii="IRNazanin" w:hAnsi="IRNazanin" w:eastAsia="IRNazanin"/>
          <w:color w:val="111111"/>
          <w:sz w:val="28"/>
          <w:sz w:val="28"/>
          <w:szCs w:val="28"/>
          <w:rtl w:val="true"/>
          <w:lang w:bidi="fa-IR"/>
        </w:rPr>
        <w:t>کان فی عرض کونها بنتا الذی هو فی عرض کونها امّا، یکون الارتفاع المذکور فی عرض کون الکبیرة امّا، و ذلک لما عرفت من أنّ ذلک کله مبنی علی التضاد بین کونها زوجة و کونها بنت الزوجة، و قد عرفت المنع من التضاد المذکور فلاحظ</w:t>
      </w:r>
      <w:r>
        <w:rPr>
          <w:rFonts w:eastAsia="IRNazanin" w:cs="IRNazanin"/>
          <w:color w:val="111111"/>
          <w:sz w:val="28"/>
          <w:szCs w:val="28"/>
          <w:rtl w:val="true"/>
          <w:lang w:bidi="fa-IR"/>
        </w:rPr>
        <w:t>.</w:t>
      </w:r>
    </w:p>
    <w:p>
      <w:pPr>
        <w:pStyle w:val="Heading4"/>
        <w:numPr>
          <w:ilvl w:val="3"/>
          <w:numId w:val="1"/>
        </w:numPr>
        <w:rPr/>
      </w:pPr>
      <w:bookmarkStart w:id="447" w:name="__RefHeading___Toc3493747_2314609296"/>
      <w:bookmarkStart w:id="448" w:name="_Toc166"/>
      <w:bookmarkEnd w:id="447"/>
      <w:r>
        <w:rPr>
          <w:rtl w:val="true"/>
        </w:rPr>
        <w:t>[</w:t>
      </w:r>
      <w:r>
        <w:rPr>
          <w:rtl w:val="true"/>
        </w:rPr>
        <w:t>نقل کلام صاحب الدرر فی الرضاع</w:t>
      </w:r>
      <w:bookmarkEnd w:id="448"/>
    </w:p>
    <w:p>
      <w:pPr>
        <w:pStyle w:val="BookText"/>
        <w:rPr/>
      </w:pPr>
      <w:r>
        <w:rPr>
          <w:rFonts w:ascii="IRNazanin" w:hAnsi="IRNazanin" w:eastAsia="IRNazanin"/>
          <w:color w:val="111111"/>
          <w:sz w:val="28"/>
          <w:sz w:val="28"/>
          <w:szCs w:val="28"/>
          <w:rtl w:val="true"/>
          <w:lang w:bidi="fa-IR"/>
        </w:rPr>
        <w:t xml:space="preserve">و فی حاشیة منه علی الدرر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المرضعة الاولی و الصغیرة مع الدخول بالکبیرتین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یتوهم جریان النزاع فی المرضعة الاولی أیضا، إذ بعد تحقق الرضاع الکامل کما یحدث عنوان الامومة یزول عنوان الزوجیة، فلا یتحقق عنوان أم الزوجة علی القول بالأخص، و یجاب بتعیّن القول بحرمتها علی القول بالأخص أیضا، لأن بقاء کلتا الزوجیتین مناف لأدلة حرمة أم الزوجة و الربیبة، و ارتفاع إحداهما معیّنا ترجیح بلا مرجح، فیتعین ارتفاع کلیتهما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دامت أیام إفاضاته</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أنه مع فرض الدخول بالکبیرتین یکون تحریم الاولی و الصغیرة ذاتیا لا جمیعا، فلا مدخل حینئذ للترجیح بلا مرجح، مع أنه لا یدفع إشکال الانقضاء،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 بقاء الذات معتبر فی محل النزاع، و لذا بنینا علی خروج المشتقات المنتزعة عن مقام الذات عن محل الکلام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الفرق بینهما بما تقدم من أنّ فی مثل الامکان و الزوجیة لا یعقل الانقضاء لعدم إمکان انسلاخ الممکن أو الأربعة عن الامکان أو الزوجیة فی أیّ صقع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اسم الزمان لإمکان انقضاء الحدث عن الذات، لکن الذات لا تبقی موجودة خارجا بعد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سیدنا المرحوم السید أبو الحسن قدّس سرّه حسبما حررته عنه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الهیئة فی اسم الزمان لم تکن موضوعة لخصوص الزمان، بل هی لمطلق ظرف الحدث زمانا کان أو مکانا، فهی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للزمان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قابلیة البقاء فی بعض أفراده لا یضر بدخوله فی محل النزاع، هذا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لاستعماله فی مطلق المتلبس زمانا کان أو ماء مثلا، فلو انقضی عنه الحرارة کان داخلا فی محل النزاع، إلّا أنّ الهیئة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تستعمل فی القدر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أنّ لها موردا یتحقق به الانقضاء و هو المکان لا یوجب دخولها فی محل النزاع بحسب المورد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مجرد الاشتراک فی الهیئة لا یدل علی الاشتراک المعنوی لامکان الاشتراک اللفظی مع وحدة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أنّ هذه الجهات لا أهمیة لها، و الغرض أنّ ما لا انقضاء له مع بقاء الذات لا معنی للنزاع فیه، سواء کان لأجل المادة کما فی الامکان و الزوجیة، أو کان لأجل الذات التی یصدق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أنّ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تلبست بما لا انقضاء له کالامکان فلا معنی للنزاع فیها، کما أنّ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انطبقت علی ما لا بقاء له أیضا لا محصل للنزاع فیها، بل حتی أسماء الفاعلین لو انطبقت علی ما لا بقاء له لا تدخل فی محل النزاع، و ذلک أمر غیر قابل للانکار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ممّا اختاره المحقق صاحب الکفایة قدّس سرّه من أنّ انحصار الکلی فی فرد و امتناع فرد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أفاد قدّس سرّه فی وجه ذلک حسبما حررته عنه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الاشکال کان</w:t>
      </w:r>
      <w:bookmarkStart w:id="449" w:name="pg19834_212314"/>
    </w:p>
    <w:p>
      <w:pPr>
        <w:pStyle w:val="BookText"/>
        <w:rPr/>
      </w:pPr>
      <w:bookmarkEnd w:id="449"/>
      <w:r>
        <w:rPr>
          <w:rFonts w:ascii="IRNazanin" w:hAnsi="IRNazanin" w:eastAsia="IRNazanin"/>
          <w:color w:val="111111"/>
          <w:sz w:val="28"/>
          <w:sz w:val="28"/>
          <w:szCs w:val="28"/>
          <w:rtl w:val="true"/>
          <w:lang w:bidi="fa-IR"/>
        </w:rPr>
        <w:t>فی جریان النزاع فی اسم الزمان من جهة أنه لا یتصور فیه الجری علی ما انقضی عنه التلبس حتی یتکلم فی أنّه حقیقة أو مجاز، و کونه من قبیل الکلی المنحصر فی فرد اعتراف بهذا الاشکال لا أنّه 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النزاع متوجها إلی نفس الجری علی الذات التی انقضی عنها المبدأ و أنه حقیقة أو مجاز، لتم الاشکال المذکور علی الکفایة، أما لو کان النزاع فی أصل الوضع، و أن الموضوع له هو خصوص المتلبس أو هو الأعم علی وجه یکون هذا هو مرکز النزاع، و یکون الاستعمال فی الذات التی انقضی عنها المبدأ حقیقة أو مجازا، من ثمرات النزاع المذکور، لتمّ ما أفاده فی الکفایة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3493749_2314609296"/>
      <w:bookmarkStart w:id="451" w:name="_Toc167"/>
      <w:bookmarkEnd w:id="450"/>
      <w:r>
        <w:rPr>
          <w:rtl w:val="true"/>
        </w:rPr>
        <w:t>[</w:t>
      </w:r>
      <w:r>
        <w:rPr>
          <w:rtl w:val="true"/>
        </w:rPr>
        <w:t>نقد کلام صاحب الکفایة قدّس سرّه فی المقام</w:t>
      </w:r>
      <w:bookmarkEnd w:id="451"/>
    </w:p>
    <w:p>
      <w:pPr>
        <w:pStyle w:val="BookText"/>
        <w:rPr/>
      </w:pPr>
      <w:r>
        <w:rPr>
          <w:rFonts w:ascii="IRNazanin" w:hAnsi="IRNazanin" w:eastAsia="IRNazanin"/>
          <w:color w:val="111111"/>
          <w:sz w:val="28"/>
          <w:sz w:val="28"/>
          <w:szCs w:val="28"/>
          <w:rtl w:val="true"/>
          <w:lang w:bidi="fa-IR"/>
        </w:rPr>
        <w:t xml:space="preserve">نعم، یتوجه علی الکفایة أنه لا ثمرة علی النزاع فی اسم الزمان، إذ الثمرة منحصرة بما ذکر من کون الاستعمال فی الذات التی انقضی عنها حقیقة أو مجازا، و المفروض عدم ترتبها، و هذا بخلاف النزاع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علم للذات المقدسة أو أنه کلی منحصر بفرد، فانه یترتب علیه ثمرة أدبیة فی الجملة و لو مجرد ترتیب آثار العلمیة و عدم ترتیبها</w:t>
      </w:r>
      <w:r>
        <w:rPr>
          <w:rFonts w:eastAsia="IRNazanin" w:cs="IRNazanin"/>
          <w:color w:val="111111"/>
          <w:sz w:val="28"/>
          <w:szCs w:val="28"/>
          <w:rtl w:val="true"/>
          <w:lang w:bidi="fa-IR"/>
        </w:rPr>
        <w:t>.</w:t>
      </w:r>
    </w:p>
    <w:p>
      <w:pPr>
        <w:pStyle w:val="Heading4"/>
        <w:numPr>
          <w:ilvl w:val="3"/>
          <w:numId w:val="1"/>
        </w:numPr>
        <w:rPr/>
      </w:pPr>
      <w:bookmarkStart w:id="452" w:name="__RefHeading___Toc3493751_2314609296"/>
      <w:bookmarkStart w:id="453" w:name="_Toc168"/>
      <w:bookmarkEnd w:id="452"/>
      <w:r>
        <w:rPr>
          <w:rtl w:val="true"/>
        </w:rPr>
        <w:t>[</w:t>
      </w:r>
      <w:r>
        <w:rPr>
          <w:rtl w:val="true"/>
        </w:rPr>
        <w:t>إدخال اسم الزمان فی محل النزاع من جهة اخری</w:t>
      </w:r>
      <w:bookmarkEnd w:id="45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أنه یمکن إدخال اسم الزمان فی محل النزاع من جهة اخری غیر ما أفاداه قدّس سرّهما و ذلک بعد فرض أنّ الزمان لا واقعیة له إلّا هذه الاعتبارات العقلائیة العرفیة، فیجعلون الیوم مثلا اسما لما بین الطلوع و الغروب، و الاسبوع لما بین الجمعة و الجمعة، و هکذا فی الشهر و السنة و القرن، و حینئذ نقول إنّ المضرب مثلا إن لاحظناه بالقیاس إلی ذلک الآن الذی وقع فیه، فهو أعنی ذلک الآن غیر باق بعد الانقضاء، لکن اذا قسناه</w:t>
      </w:r>
      <w:bookmarkStart w:id="454" w:name="pg19834_212315"/>
    </w:p>
    <w:p>
      <w:pPr>
        <w:pStyle w:val="BookText"/>
        <w:rPr/>
      </w:pPr>
      <w:bookmarkEnd w:id="454"/>
      <w:r>
        <w:rPr>
          <w:rFonts w:ascii="IRNazanin" w:hAnsi="IRNazanin" w:eastAsia="IRNazanin"/>
          <w:color w:val="111111"/>
          <w:sz w:val="28"/>
          <w:sz w:val="28"/>
          <w:szCs w:val="28"/>
          <w:rtl w:val="true"/>
          <w:lang w:bidi="fa-IR"/>
        </w:rPr>
        <w:t xml:space="preserve">إلی الیوم الخاص و کان قد وقع الضرب علی زید قبل الزوال من ذلک الیوم، فنحن بعد الزوال إذا أجرینا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الیوم، و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بعد الزوال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الیوم مضرب زید، کان من قبیل بقاء الذات مع انقضاء المبدأ، و هکذا الحال لو قسناه إلی الشهر أو إلی السنة أو إلی 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 جمیع ذلک یتصور فیه بقاء الذات أعنی المسمی بالیوم أو الشهر أو السنة مع فرض انقضاء المبدأ، نعم بعد انقضاء نفس ذلک المسمی لا یکون داخلا فی محل النزاع</w:t>
      </w:r>
      <w:r>
        <w:rPr>
          <w:rFonts w:eastAsia="IRNazanin" w:cs="IRNazanin"/>
          <w:color w:val="111111"/>
          <w:sz w:val="28"/>
          <w:szCs w:val="28"/>
          <w:rtl w:val="true"/>
          <w:lang w:bidi="fa-IR"/>
        </w:rPr>
        <w:t>.</w:t>
      </w:r>
    </w:p>
    <w:p>
      <w:pPr>
        <w:pStyle w:val="Heading4"/>
        <w:numPr>
          <w:ilvl w:val="3"/>
          <w:numId w:val="1"/>
        </w:numPr>
        <w:rPr/>
      </w:pPr>
      <w:bookmarkStart w:id="455" w:name="__RefHeading___Toc3493753_2314609296"/>
      <w:bookmarkStart w:id="456" w:name="_Toc169"/>
      <w:bookmarkEnd w:id="455"/>
      <w:r>
        <w:rPr>
          <w:rtl w:val="true"/>
        </w:rPr>
        <w:t>[</w:t>
      </w:r>
      <w:r>
        <w:rPr>
          <w:rtl w:val="true"/>
        </w:rPr>
        <w:t>نقد کلام المحقق النائینی فی المقام</w:t>
      </w:r>
      <w:bookmarkEnd w:id="456"/>
    </w:p>
    <w:p>
      <w:pPr>
        <w:pStyle w:val="BookText"/>
        <w:rPr/>
      </w:pPr>
      <w:r>
        <w:rPr>
          <w:rFonts w:ascii="IRNazanin" w:hAnsi="IRNazanin" w:eastAsia="IRNazanin"/>
          <w:color w:val="111111"/>
          <w:sz w:val="28"/>
          <w:sz w:val="28"/>
          <w:szCs w:val="28"/>
          <w:rtl w:val="true"/>
          <w:lang w:bidi="fa-IR"/>
        </w:rPr>
        <w:t>أما ما أفاده شیخنا قدّس سرّه فهو یتوقف علی صدق بقاء الیوم العاشر من المحرم مثلا بعد فرض انتهاء الشخص الأول منه و قبل مجی‌ء الشخص الثانی، و هو محل تأمل، فان الیوم العاشر و إن أخذناه کلیا شاملا لکل ما یتجدّد فی کل سنة، إلّا أنّ ذلک الکلی یتجدّد بتجدّد أفراده، فهو ینقضی بانقضاء کل فرد و یتجدّد بتجدّد 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أنّ فی البین وحدة اتصالیة، لکن الدعوی ممنوعة إلّا إذا أخذنا تلک الأیام أجزاء و یکون ابتداء الیوم العاشر بابتداء الدهر و انتهاؤه بانتهائه،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العاشر إذا وقع القتل فی أوله و کان ذلک کافیا فی تحقق تلبس تمام الیوم بالقتل، لأن الواقع علی الجزء أو فیه واقع علی الکل أو فیه، فبعد الظهر لا یکون حال انقضاء عن نفس الیوم بل یکون التلبس بالنسبة إلی تمامه باقیا بحاله، لأن تلبسه به إنّما هو تلبس جزئه، فذلک الجزء و إن کان قد مضی إلّا أنّ تلبس الکل الناشئ عن تلبس الجزء باق بحاله و لا یکون له حالة انقضاء</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بین مقام تصحیح التلبس بالنسبة إلی الیوم باعتبار تلبس جزئه و بین بقاء تلبس تمام الیوم بعد انقضاء القتل، إذ لا</w:t>
      </w:r>
      <w:bookmarkStart w:id="457" w:name="pg19834_212316"/>
    </w:p>
    <w:p>
      <w:pPr>
        <w:pStyle w:val="BookText"/>
        <w:rPr/>
      </w:pPr>
      <w:bookmarkEnd w:id="457"/>
      <w:r>
        <w:rPr>
          <w:rFonts w:ascii="IRNazanin" w:hAnsi="IRNazanin" w:eastAsia="IRNazanin"/>
          <w:color w:val="111111"/>
          <w:sz w:val="28"/>
          <w:sz w:val="28"/>
          <w:szCs w:val="28"/>
          <w:rtl w:val="true"/>
          <w:lang w:bidi="fa-IR"/>
        </w:rPr>
        <w:t xml:space="preserve">شبهة فی أنّ القتل الذی ورد علی تمام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بوروده علی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انقضی عن ذلک الیوم وجدانا مع فرض بقاء نفس الیوم، و لو تمت هذه الشبهة لجرت فی الکلی، فإنّ تلبس طبیعة الیوم العاشر إنّما هو بتلبس فردها، و حینئذ یتوجه الاشکال بأنّ تلبس الطبیعة یعدّ باقیا و لو انقضی ذلک الفرد منها</w:t>
      </w:r>
      <w:r>
        <w:rPr>
          <w:rFonts w:eastAsia="IRNazanin" w:cs="IRNazanin"/>
          <w:color w:val="111111"/>
          <w:sz w:val="28"/>
          <w:szCs w:val="28"/>
          <w:rtl w:val="true"/>
          <w:lang w:bidi="fa-IR"/>
        </w:rPr>
        <w:t>.</w:t>
      </w:r>
    </w:p>
    <w:p>
      <w:pPr>
        <w:pStyle w:val="Heading4"/>
        <w:numPr>
          <w:ilvl w:val="3"/>
          <w:numId w:val="1"/>
        </w:numPr>
        <w:rPr/>
      </w:pPr>
      <w:bookmarkStart w:id="458" w:name="__RefHeading___Toc3493755_2314609296"/>
      <w:bookmarkStart w:id="459" w:name="_Toc170"/>
      <w:bookmarkEnd w:id="458"/>
      <w:r>
        <w:rPr>
          <w:rtl w:val="true"/>
        </w:rPr>
        <w:t>[</w:t>
      </w:r>
      <w:r>
        <w:rPr>
          <w:rtl w:val="true"/>
        </w:rPr>
        <w:t xml:space="preserve">المراد ب </w:t>
      </w:r>
      <w:r>
        <w:rPr>
          <w:rtl w:val="true"/>
        </w:rPr>
        <w:t>«</w:t>
      </w:r>
      <w:r>
        <w:rPr>
          <w:rtl w:val="true"/>
        </w:rPr>
        <w:t>الحال</w:t>
      </w:r>
      <w:r>
        <w:rPr>
          <w:rtl w:val="true"/>
        </w:rPr>
        <w:t xml:space="preserve">» </w:t>
      </w:r>
      <w:r>
        <w:rPr>
          <w:rtl w:val="true"/>
        </w:rPr>
        <w:t>فی عنوان النزاع</w:t>
      </w:r>
      <w:bookmarkEnd w:id="45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اخری و یراد منه 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المراد منه زمان التلبس کما فی عبارة کثیر من الأعلام و منهم المحقق صاحب الکفایة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أعثر فی الکفایة فی هذا المقام علی عبارة دالة علی کون المراد من الحال هو زمان التلبس، بل صرّح بأنّ المقصود من الحال هو حال التلبس لا حال النطق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فی آخر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اتفاق أهل العربیة علی عدم دلالة الاسم علی الزمان، و منه الصفات الجاریة علی الذوات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 فلعل هذه العبارة توهم أنه فی مقام تأیید ما نفاه أوّلا من أنّ المقصود لیس هو حال النطق، فکأنه أخذ حال النطق بمعنی زمان النطق، و جعل اتفاق أهل العربیة علی عدم دلالة الاسم علی الزمان مؤیدا لما نفاه من حال النطق، فیکون حال النطق حینئذ بمعنی زمان النطق، فلا بد أن یکون المراد من مقابله و هو حال التلبس هو زمان التلبس</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اتفاقهم علی ذلک کما یکون دلیلا علی عدم دلالة المشتق علی زمان النطق یکون أیضا دلیلا علی عدم دلالته علی زمان التلبس، فلا بد أن لا یکون مراده من حال التلبس هو زمان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تفسیر الحال بحال التلبس ربما لا یلائم ما ذکروه فی عنوان المسألة من أنّ المشتق هل هو حقیقة فی خصوص المتلبس فی الحال، لأنه یکون الحاصل حینئذ هل هو حقیقة فی خصوص المتلبس فی حال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یفسر الحال بحال الجری لیکون المعنی أنّ المشتق حقیقة فی من کان متلبسا بالمبدإ فی حال جری المشتق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اتحاد حال الجری و حال التلبس، بأن یکون المشتق قد اعتبر فی جریه علی الذات کون الذات متلبسة بالمبدإ فی حال جریه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 صحة الجری علی الذات أن یکون جریه علیها فی حال تلبسها بالمبدإ، و ان کان کل من الجری و التلبس قد مضی، مثل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زید ضاربا أمس، أو کان کل منهما فی المستقبل مثل سیکون زید ضاربا غدا، علی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متعلقین بالمبدإ الملحوظ نسبته إلی الذات، و یکون الحمل مقارنا لذلک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 و هذا بخلاف ما لو جرّدت الجملة عن الکون و قیل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ضارب أمس أو ضارب غدا، فإنّ الظرف فی مثل ذلک یتعلق أیضا بالحدث ملحوظا به النسبة إلی الذات، و الظاهر من القضیة الحملیة أنّ الحمل فی الحال، فیکون الأول ممّا انقضی عنه المبدأ فی حال الحمل، و فی الثانی ممّا لم یتحقق له التلبس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یکون الظرف متعلقا بنفس النسبة الحملیة لیکون الجری و الحمل واقعا بالأمس أو فی غد، و یکون المحمول هو مطلق الضارب، لأنّها ملحوظة باللحاظ الحرفی الآلی الذی هو مفاد هیئة الجملة الاسمیة، و لا یمکن حینئذ أن تکون طرفا للنسبة الاضافیة الظرفیة بینها و بین الأمس أو غد، کما أنّ هذا الظرف لا یمکن</w:t>
      </w:r>
    </w:p>
    <w:p>
      <w:pPr>
        <w:pStyle w:val="BookText"/>
        <w:rPr/>
      </w:pPr>
      <w:r>
        <w:rPr>
          <w:rFonts w:ascii="IRNazanin" w:hAnsi="IRNazanin" w:eastAsia="IRNazanin"/>
          <w:color w:val="111111"/>
          <w:sz w:val="28"/>
          <w:sz w:val="28"/>
          <w:szCs w:val="28"/>
          <w:rtl w:val="true"/>
          <w:lang w:bidi="fa-IR"/>
        </w:rPr>
        <w:t xml:space="preserve">تعلقه بنفس الموضوع الذی هو زید، لعدم إمکان کونه طرفا للنسبة الظرفیة لجموده، بل لا یمکن أن یلحقه أیّ قید إلّا باعتبار جهة عرضیة فیه حتی فی مثل زید قائما أحسن منه قاعدا،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یکون قیدا للضمیر المرفوع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إنما یکون قیدا للضمیر المجرور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 المقیّد بذلک هو ذات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تعلق هذا الظرف بالنسبة الحملیة أو بنفس المبتدأ لصحّ لنا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الآن غدا ضارب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زیدا الموجود فی هذا الآن محمول علیه غدا ضارب بالأمس، و شهادة الوجدان بعدم صحة ذلک و کونه من قبیل التناقض، شاهد علی أنّ متعلق هذه الظروف شی‌ء واحد و هو الحدث الملحوظ منسوبا إلی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کل واحد من هذه الظروف متعلقا بواحد من هذه الامور الثلاثة غیر ما تعلق به الآخر، لم یکن ذلک من التناقض مع أنّا نراه وجدانا من التناقض، فدلّ هذا التناقض الوجدانی الارتکازی علی عدم تعلق الظرف بالنسبة الحملیة أو بنفس المبتدأ،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لنا فی مسألة المشتق کالضارب بالنسبة إلی من تلبس به أعنی زیدا مثلا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أحوالا ثلاثة،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النطق أو حال الاستعمال، أعنی إعمال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بجعله محضرا لمفهومه الکلی فی ذهن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تطبیق هذا المفهوم علی زید المذکور، و هو المعبّر عنه بحال الجری، أعنی إجراء الضارب علی زید بجعله حاکیا عنه أو بحمله علیه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التلبس أعنی حال وجود الضرب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الأخیر</w:t>
      </w:r>
    </w:p>
    <w:p>
      <w:pPr>
        <w:pStyle w:val="BookText"/>
        <w:rPr/>
      </w:pPr>
      <w:r>
        <w:rPr>
          <w:rFonts w:ascii="IRNazanin" w:hAnsi="IRNazanin" w:eastAsia="IRNazanin"/>
          <w:color w:val="111111"/>
          <w:sz w:val="28"/>
          <w:sz w:val="28"/>
          <w:szCs w:val="28"/>
          <w:rtl w:val="true"/>
          <w:lang w:bidi="fa-IR"/>
        </w:rPr>
        <w:t>واقعی بخلاف الأوّلین، فانهما بفعل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الحال الأول لا یکون ماضیا و لا مستقبلا، بل لا یکون إلّا حالیا أعنی حال التکلم، بخلاف الأخیرین فان کل واحد منهما یمکن أن یکون سابقا علی حال التکلم، و یمکن أن یکون لاحقا له، و یمکن أن یکون مقارنا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الجهة یتضح لک العموم من وجه بین الأول و بین کل من الأخیرین، بمعنی إمکان مقارنة الأول لکل منهما و امکان عدم مقارنته لکل منهما، بأن یتقدم علی کل منهما أو یتأخر، بمعنی أن یکون الاستعمال الآن و یکون الجری أو التلبس فیما مضی، أو یکون الاستعمال الآن و یکون الجری أو التلبس فیما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أنه لا یعتبر فی المشتق مقارنة حال الاستعمال لحال الجری و لا لحال التلبس، و إنما النزاع فی الأخیرین أعنی حال الجری و حال التلبس، فالمشهور اعتبار المقارنة بینهما سواء کانا سابقین علی حال التکلم أو کانا مقارنین لحال التکلم أو کانا معا لاحقین لحال التکلم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اختلف الحالان أعنی حال الجری و حال التلبس، فإن کان حال الجری سابقا علی حال التلبس کان مجازا بلا إشکال، و إن انعکس الأمر بأن کان حال التلبس سابقا علی حال الجری بأن کان الجری بعد انقضاء التلبس فهذا هو محل الکلام، فالمشهور یقولون بأنه مجاز و فی قبالهم القول بأنه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عنوان النزاع فلک أن تقول إنّ المشتق حقیقة فی خصوص ما لو کان الجری علی الذات فی حال التلبس، أو أنه حقیقة فیها و لو کان الجری علیها بعد حال التلبس، کما لک أن تقول إنه حقیقة فیما لو کانت الذات متلبسة بالمبدإ فی حال جریه علیها، أو أنه یکون حقیقة و لو کان تلبسها</w:t>
      </w:r>
    </w:p>
    <w:p>
      <w:pPr>
        <w:pStyle w:val="BookText"/>
        <w:rPr/>
      </w:pPr>
      <w:r>
        <w:rPr>
          <w:rFonts w:ascii="IRNazanin" w:hAnsi="IRNazanin" w:eastAsia="IRNazanin"/>
          <w:color w:val="111111"/>
          <w:sz w:val="28"/>
          <w:sz w:val="28"/>
          <w:szCs w:val="28"/>
          <w:rtl w:val="true"/>
          <w:lang w:bidi="fa-IR"/>
        </w:rPr>
        <w:t>بالمبدإ سابقا علی جریه علیها، مع الاتفاق علی کونه مجازا فیما لو کان الجری قبل 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بعد اطلاعک علی هذا الذی فصلناه تعرف أن صاحب الکفایة قدّس سرّه و کذلک شیخنا قدّس سرّه </w:t>
      </w:r>
      <w:r>
        <w:rPr>
          <w:rStyle w:val="FootnoteAnchor"/>
          <w:rtl w:val="true"/>
        </w:rPr>
        <w:footnoteReference w:id="543"/>
      </w:r>
      <w:r>
        <w:rPr>
          <w:rFonts w:ascii="IRNazanin" w:hAnsi="IRNazanin" w:eastAsia="IRNazanin"/>
          <w:color w:val="111111"/>
          <w:sz w:val="28"/>
          <w:sz w:val="28"/>
          <w:szCs w:val="28"/>
          <w:rtl w:val="true"/>
          <w:lang w:bidi="fa-IR"/>
        </w:rPr>
        <w:t>لمّا أخذا عنوان التلبس فی طلیعة النزاع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حقیقة فی المتلبس بالمبدإ فی الحال، کان علیهما أن یقولا إن المراد من الحال فی هذا العنوان هو حال الجری لا حال التلبس،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 ما أفاداه من أنّ المراد بالحال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حقیقة فی المتلبس بالمبدإ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حال التلبس، أنّ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متعلقا بالمتلبس کان الحاصل هو أنّه حقیقة فی من کان تلبسه فی حال تلبسه، و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متعلقا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محصّله أن کونه حقیقة فی المتلبس مختص بما إذا کان الاستعمال فی حال تلبسه، فکان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کلامهم شاملا لما انقضی عنه التلبس، فیحتاج إلی التقیید بکون ذلک التلبس فی حال الاستعمال، فیکون هدما لقولهم بالاختصاص، بل یکون الحاصل أنّ المشتق حقیقة فی المتلبس فی خصوص ما لو کان تلبسه حالیا یعنی حال الاستعمال، و حینئذ یعود محذور تفسیر الحال بحال الاستعمال، فلاحظ</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المراد هو ما ذکرناه من اعتبار المقارنة، و إن کانت عبارتهم قاصرة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المقارنة بین نفس التلبس و بین جری المشتق علی الذات، أو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المقارنة بین حال التلبس و بین حال الجری، أو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المقارنة بین زمان التلبس و بین زمان</w:t>
      </w:r>
    </w:p>
    <w:p>
      <w:pPr>
        <w:pStyle w:val="BookText"/>
        <w:rPr/>
      </w:pPr>
      <w:r>
        <w:rPr>
          <w:rFonts w:ascii="IRNazanin" w:hAnsi="IRNazanin" w:eastAsia="IRNazanin"/>
          <w:color w:val="111111"/>
          <w:sz w:val="28"/>
          <w:sz w:val="28"/>
          <w:szCs w:val="28"/>
          <w:rtl w:val="true"/>
          <w:lang w:bidi="fa-IR"/>
        </w:rPr>
        <w:t>الجری، کل ذلک صحیح و المقصود واحد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التعبیر الأخیر راجعا إلی دخول الزمان فی دلالة المشتق کی یتأبّی عنه من جهة عدم دلالته علی الزمان، فان دلالته علی المقارنة بین زمان التلبس و زمان الجری غیر دلالته علی زمان التلبس، و ذلک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التلبس و الجری حادث من الحوادث لا بدّ له من زمان یقع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إنّه لا بد من المقارنة بین التلبس و الجری کان لازمه أو عینه الاقتران بین الحالتین أو الاقتران بین الزمانین، و أین هذا من دعوی کون المشتق دالا علی زمان التلبس أعنی زمان وقوع الحدث التی هی کدعوی دلالة الفعل علی زمان وقوع الحدث و أنه الزمان الماضی أو الزمان الحالی أو الزمان المستقبل،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تحویر النزاع إلی ما ذکرناه من اعتبار المقارنة بین الجری و التلبس، و أنه لو جری المشتق علی الذات فی حال تلبسها بالمبدإ یکون الاستعمال حقیقیا، و لو جری علیها قبل تلبسها به یکون مجازا بلا إشکال، و أنّ محل النزاع ما لو جری علیها بعد انقضاء تلبسها به هل هو حقیقة أو مجاز، ممّا لا یمکن الالتزام به، فإنّ جری المشتق علی الذات ممّا لا یتصف بالحقیقة و المجاز و إنّما یتصف بالصدق و الکذب، حیث إنّ الجری إنّما هو الحمل سواء کان صریحا کأن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أو کان ضمنیا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الضارب و تعنی به زیدا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الأوجه هو ما عرفت الاشارة إلیه فیما تقدم </w:t>
      </w:r>
      <w:r>
        <w:rPr>
          <w:rStyle w:val="FootnoteAnchor"/>
          <w:rtl w:val="true"/>
        </w:rPr>
        <w:footnoteReference w:id="544"/>
      </w:r>
      <w:r>
        <w:rPr>
          <w:rFonts w:ascii="IRNazanin" w:hAnsi="IRNazanin" w:eastAsia="IRNazanin"/>
          <w:color w:val="111111"/>
          <w:sz w:val="28"/>
          <w:sz w:val="28"/>
          <w:szCs w:val="28"/>
          <w:rtl w:val="true"/>
          <w:lang w:bidi="fa-IR"/>
        </w:rPr>
        <w:t>فی مسألة اسم الزمان، من أنّ صحة الجری و عدمه متفرع عن سعة المفهوم و ضیقه کما هو الحال</w:t>
      </w:r>
    </w:p>
    <w:p>
      <w:pPr>
        <w:pStyle w:val="BookText"/>
        <w:rPr/>
      </w:pPr>
      <w:r>
        <w:rPr>
          <w:rFonts w:ascii="IRNazanin" w:hAnsi="IRNazanin" w:eastAsia="IRNazanin"/>
          <w:color w:val="111111"/>
          <w:sz w:val="28"/>
          <w:sz w:val="28"/>
          <w:szCs w:val="28"/>
          <w:rtl w:val="true"/>
          <w:lang w:bidi="fa-IR"/>
        </w:rPr>
        <w:t>فی جمیع الشبهات المفهومیة، مثلا النزاع فی مفهوم العادل و أنه هل هو خصوص تارک الکبیرة و الصغیرة، أو أنّه مطلق تارک الکبیرة سواء ارتکب الصغیرة أو ترکها، تتفرّع علیه صحة الجری و عدمه فی زید الذی هو تارک الکبیرة و فاعل الصغیرة، سواء کان الجری و الحمل صریحا کأن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عادل، أو کان ضمنیا کأن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عادل و تعنی به زیدا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النزاع فی أنّ مفهوم الصلاة هو خصوص الصحیح منها أو هو الأعم، تتفرع علیه صحة حمل عنوان الصلاة علی التی صلاها زید فاسدة،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صلاة، أو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قد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جمیع الشبهات المفهومیة فإنّ أصل النزاع إنّما هو فی عالم المفهوم الکلی الذی وضع له اللفظ، هل هو الأخص أو هو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صحة الحمل و عدمه علی غیر الأخص و إن کان متفرعا علی ذلک النزاع، إلّا أنّه لا یتّصف بالحقیقة و المجاز و إنّما یتّصف بالصدق و الکذب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بعد الفراغ عن کون اللفظ موضوعا للأخص یکون حمله صریحا أو ضمنا علی غیر الأخص باطلا و کاذبا و مخالفا للواقع، و یکون ذلک أعنی صحة الحمل و عدم صحته إلّا بالعنایة، من قبیل الأمارة علی الوضع و عدمه کما تقدّم </w:t>
      </w:r>
      <w:r>
        <w:rPr>
          <w:rStyle w:val="FootnoteAnchor"/>
          <w:rtl w:val="true"/>
        </w:rPr>
        <w:footnoteReference w:id="545"/>
      </w:r>
      <w:r>
        <w:rPr>
          <w:rFonts w:ascii="IRNazanin" w:hAnsi="IRNazanin" w:eastAsia="IRNazanin"/>
          <w:color w:val="111111"/>
          <w:sz w:val="28"/>
          <w:sz w:val="28"/>
          <w:szCs w:val="28"/>
          <w:rtl w:val="true"/>
          <w:lang w:bidi="fa-IR"/>
        </w:rPr>
        <w:t>فی مسألة أمارات الحقیقة و المجاز من صحة السلب و عدمه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لو قلنا بالوضع للأخص، و کانت هناک عنایة مصحّحة لتنزیله منزلة ذلک الأخص، صحّ الحمل المذکور بالعنایة المزبورة و کان من قبیل الاستعارة علی مذهب السکاکی </w:t>
      </w:r>
      <w:r>
        <w:rPr>
          <w:rStyle w:val="FootnoteAnchor"/>
          <w:rtl w:val="true"/>
        </w:rPr>
        <w:footnoteReference w:id="546"/>
      </w:r>
      <w:r>
        <w:rPr>
          <w:rFonts w:ascii="IRNazanin" w:hAnsi="IRNazanin" w:eastAsia="IRNazanin"/>
          <w:color w:val="111111"/>
          <w:sz w:val="28"/>
          <w:sz w:val="28"/>
          <w:szCs w:val="28"/>
          <w:rtl w:val="true"/>
          <w:lang w:bidi="fa-IR"/>
        </w:rPr>
        <w:t>لا من باب التوسعة فی المفهوم کالأسد و العادل بعد البناء علی وضعه لخصوص تارک الاثنین، بل</w:t>
      </w:r>
    </w:p>
    <w:p>
      <w:pPr>
        <w:pStyle w:val="BookText"/>
        <w:rPr/>
      </w:pPr>
      <w:r>
        <w:rPr>
          <w:rFonts w:ascii="IRNazanin" w:hAnsi="IRNazanin" w:eastAsia="IRNazanin"/>
          <w:color w:val="111111"/>
          <w:sz w:val="28"/>
          <w:sz w:val="28"/>
          <w:szCs w:val="28"/>
          <w:rtl w:val="true"/>
          <w:lang w:bidi="fa-IR"/>
        </w:rPr>
        <w:t>من باب تنزیل الرجل الشجاع منزلة الحیوان المفترس، أو تنزیل تارک الکبیرة فقط منزلة تارک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سلخ اللفظ عن معناه الموضوع له و هو الأخص و إعماله فی الأعم من دون أن یکون فی البین جری و حمل، لا صریح و لا ضمنی، کأن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الضارب و تعنی به الأعم من المتلبس و من انقضی عنه الضرب، أو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العادل و أنت تعنی به مطلق تارک الکبیرة، أو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للمصلّی درهما و انت تعنی مطلق الصلاة، فهذا هو التجوّز الذی ینبغی إرادته فی المقام، و هو مبنی علی کون العموم و الخصوص من العلائق المصحّحة للتجوّز</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المقام تأمل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هذه الجمل لو نزّلناها علی القضایا الحقیقیة کان مرجعها إلی الحمل الضمنی، لأن حاصل القضیة حینئذ أن کل من وجد و کان ضاربا یکون حکمه کذا، و هو عین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القضیة الطبیعیة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 خیر من الفاسق، و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رذیل و نحو ذلک ممّا یکون الحکم ناظرا إلی نفس الطبیعة مع قطع النظر عن أفرادها، یکون من باب الاستعمال، و أن المستعمل فیه هو الخاص أو هو العام و لا یکون متضمنا للحمل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القضایا الحقیقیة فهی متضمنة للحمل کما عرفت، لکن لا بد من کون المتکلم قد أعمل ذلک اللفظ فی المفهوم الکلی، غایته أنه لاحظ تطبیقه علی الأفراد، و یقع الکلام فی ذلک المفهوم الکلی الذی أعمل فیه اللفظ، فلو کان اللفظ موضوعا للأعم و قد أعمله فیه فلا إشکال، لکن لو کان موضوعا للخاص و قد أعمله فی العام کان من المجاز الاستعمالی لا من باب الحمل و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یدّعی رجوع المسألة إلی صحة الحمل و عدمه یقول إنه لو کان اللفظ موضوعا للخاص فهو لا یستعمل إلّا فی الخاص، غایته أنّ تطبیقه علی فاقد الخصوصیة و حمله علیه</w:t>
      </w:r>
      <w:bookmarkStart w:id="460" w:name="pg19834_212324"/>
    </w:p>
    <w:p>
      <w:pPr>
        <w:pStyle w:val="BookText"/>
        <w:rPr/>
      </w:pPr>
      <w:bookmarkEnd w:id="460"/>
      <w:r>
        <w:rPr>
          <w:rFonts w:ascii="IRNazanin" w:hAnsi="IRNazanin" w:eastAsia="IRNazanin"/>
          <w:color w:val="111111"/>
          <w:sz w:val="28"/>
          <w:sz w:val="28"/>
          <w:szCs w:val="28"/>
          <w:rtl w:val="true"/>
          <w:lang w:bidi="fa-IR"/>
        </w:rPr>
        <w:t>یکون تجوزا، لا أنّه یستعمل فی کلی الفاقد تجوزا و یکون حمله علی المصداق الفاقد حملا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نحن فی مقام تحریر عنوان النزاع لا ینبغی لنا إدخال الجری و الحمل، بل لا بد من تجریده عنه بأن نقول هل المشتق موضوع لخصوص الواجد للحدث أو هو موضوع للصادر منه الحدث، و القائل بالأول لا یلزمه القول بأنّه مجاز فی الأعم، فإنّ ذلک تابع للعلاقة المصحّحة للاستعمال بعد فرض عدم وضع اللفظ 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تطبیقه علی الفاقد بعد الوجدان فذلک راجع إلی صحة الحمل بالعنایة و التنزیل، و کل منهما لا دخل له بأصل المطلب و هو وضع المشتق لخصوص واجد الحدث،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ذلک أعنی صحة الحمل الصریح أو الضمنی علی من فقد الحدث حقیقة أو عدم صحته إلّا بالعنایة و التنزیل یکون کاشفا، فإن کان الحمل صحیحا بلا عنایة کشف عن وضع اللفظ للأعم، و إلّا کشف عن وضعه للأخص، و ما ذلک إلّا من قبیل ما تقدّم </w:t>
      </w:r>
      <w:r>
        <w:rPr>
          <w:rStyle w:val="FootnoteAnchor"/>
          <w:rtl w:val="true"/>
        </w:rPr>
        <w:footnoteReference w:id="547"/>
      </w:r>
      <w:r>
        <w:rPr>
          <w:rFonts w:ascii="IRNazanin" w:hAnsi="IRNazanin" w:eastAsia="IRNazanin"/>
          <w:color w:val="111111"/>
          <w:sz w:val="28"/>
          <w:sz w:val="28"/>
          <w:szCs w:val="28"/>
          <w:rtl w:val="true"/>
          <w:lang w:bidi="fa-IR"/>
        </w:rPr>
        <w:t>فی علائم الحقیقة و المجاز من عدم صحة الحمل و صحة السلب، فلیس النزاع هنا فی صحة الحمل و عدمه، بل النزاع هو فی وضع المشتق، و التعبیر بصحة الحمل إنما هو تسامحی لکونه کاشفا عن الوضع، فلاحظ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نقل عن البعض من أنّ النزاع لیس فی مفهوم المشتق بل فی الصدق، و أنّ القوم لم یمیّزوا محل الکلام و مورد النقض و الابرام</w:t>
      </w:r>
      <w:r>
        <w:rPr>
          <w:rFonts w:eastAsia="IRNazanin" w:cs="IRNazanin"/>
          <w:color w:val="111111"/>
          <w:sz w:val="28"/>
          <w:szCs w:val="28"/>
          <w:rtl w:val="true"/>
          <w:lang w:bidi="fa-IR"/>
        </w:rPr>
        <w:t>.</w:t>
      </w:r>
    </w:p>
    <w:p>
      <w:pPr>
        <w:pStyle w:val="Heading4"/>
        <w:numPr>
          <w:ilvl w:val="3"/>
          <w:numId w:val="1"/>
        </w:numPr>
        <w:rPr/>
      </w:pPr>
      <w:bookmarkStart w:id="461" w:name="__RefHeading___Toc3493757_2314609296"/>
      <w:bookmarkStart w:id="462" w:name="_Toc171"/>
      <w:bookmarkEnd w:id="461"/>
      <w:r>
        <w:rPr>
          <w:rtl w:val="true"/>
        </w:rPr>
        <w:t>[</w:t>
      </w:r>
      <w:r>
        <w:rPr>
          <w:rtl w:val="true"/>
        </w:rPr>
        <w:t>تفصیل الکلام فیما ینقل من إنکار المجاز فی الکلمة</w:t>
      </w:r>
      <w:r>
        <w:rPr>
          <w:rtl w:val="true"/>
        </w:rPr>
        <w:t>]</w:t>
      </w:r>
      <w:bookmarkEnd w:id="46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یعود إلی ما ینقل من إنکار المجاز فی الکلمة، فتفصیل الکلام</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أنّهم قسّموا المجاز إلی قسمین،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فی الاسناد و سمّوه المجاز العقلی، و هو إسناد الفعل و نحوه إلی غیر من هو له لجهة مصحّحة لذلک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ذکروا هذا القسم فی الباب الأول من علم المعانی و هو باب الاسناد الخبری، و ذلک مثل جری النهر و سال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الثانی هو المجاز فی الکلمة و ذکروه فی علم البیان، و هو استعمال اللفظ فی غیر ما وضع له لعلاقة مصحّحة لذلک، و العلائق تسع أوّلها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المشابهة المصحّحة للتجوّز علی نحوین،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تشبّه شیئا بشی‌ء و تحذف المشبّه به و تذکر المشبّه و تنسب إلیه شیئا من لوازم المشبّه به، و یسمی فی اصطلاحهم بالاستعارة بالکنایة،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أنشبت المنیة أظفارها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فشبّهوا المنیة بالأسد و حذفوه و ذکروا شیئا من لوازمه و هو الأظفار، و نسبوها إلی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یمکن أن یخرج باب المجاز العقلی الذی عبّروا عنه بالمجاز فی الاسناد، بأن نقول إنّه شبّه النهر بالماء أو أنه نزّل منزلته لکونه محلا له، ثم حذفوا المشبّه به و المنزّل علیه و هو الماء و نسبوا إلی المنزّل و المشبّه الذی هو النهر شیئا من لوازم الماء الذی هو المشبّه به و ذلک هو الجریان، و بذلک ینسد باب المجاز العقلی و یعود إلی الاستعارة بالکنایة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المجاز فی الکلمة فقد عرفت أنه مبنی علی العلاقة المصحّحة للتنزیل و أوّلها المشابهة و هی الاستعارة، و هی عکس الاستعارة بالکنایة، فانّک فی هذه تحذف المشبّه و هو زید و تذکر المشبّه به و هو الأسد، و تنسب إلیه شیئا من لوازم المشبّه و هو الرمی،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 و تعنی به زیدا، و هذه هی المسماة بالاستعارة، و قد عرفت مسلک السکاکی فیها و أنّ التجوّز عنده فیها إنما هو فی الحمل و التطبیق لا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یمکننا إجراء هذا الطریق فی جمیع أنواع المجاز فی الکلمة، فإنّ مرجع العلاقة أیّ علاقة کانت إلی ما یکون مصحّحا للتنزیل، سواء کانت هی المشابهة أو غیرها من أنواع العلاقات، فیکون حال تلک العلائق حال المشابهة فی کونها مصحّحة للتنزیل، و حینئذ یجری فیها مسلک السکاکی، و بذلک ینغلق باب المجاز فی الکلمة و یعود الکل إلی التجوز فی الحمل و التطبیق نظیر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فی کون المصحّح للتنزیل و الحمل و إطلاق الصلاة علی الطواف هو الاشتراک فی الحکم و هو لزوم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أن مسلک السکاکی هو الذی ینبغی أن یصار إلیه، إذ لو نزّلنا الاستعارة علی المجاز فی الکلمة لکان محصّله أنّا نستعمل لفظ الأسد فی الرجل الشجاع، و نحمل الرجل الشجاع علی زید، و لم یکن ذلک إلّا عبارة عن قولنا زید رجل شجاع فی الخلو عن اللطف و المبالغة فی الشجاعة، فإنّ رتبة الاستعمال لیس فیها إلا استعمال لفظ الأسد فی کلی الرجل الشجاع، و هذا لا دخل له بزید، و إنما الذی یرجع إلی زید هو حمل ذلک المستعمل فیه اللفظ أعنی الرجل الشجاع علی زید، فلا یکون حاصله إلّا أنّ زیدا رجل شجاع، و هذا هو ما ذکرناه من الخلو من المبالغة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أورده علیه شیخنا قدّس سرّه ممّا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قولنا زید أسد یشتمل علی الادعاء و التنزیل، و هو أعنی الادعاء و التنزیل إمّا فی الموضوع أو فی المحمول أو فی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عدم الادعاء و التنزیل فی الموضوع و هو زید، فاما أن یکون فی المحمول بتوسعة فی المفهوم فهو المطلوب</w:t>
      </w:r>
      <w:bookmarkStart w:id="463" w:name="pg19834_212327"/>
    </w:p>
    <w:p>
      <w:pPr>
        <w:pStyle w:val="BookText"/>
        <w:rPr/>
      </w:pPr>
      <w:bookmarkEnd w:id="463"/>
      <w:r>
        <w:rPr>
          <w:rFonts w:ascii="IRNazanin" w:hAnsi="IRNazanin" w:eastAsia="IRNazanin"/>
          <w:color w:val="111111"/>
          <w:sz w:val="28"/>
          <w:sz w:val="28"/>
          <w:szCs w:val="28"/>
          <w:rtl w:val="true"/>
          <w:lang w:bidi="fa-IR"/>
        </w:rPr>
        <w:t xml:space="preserve">الذی هو مختار المشهور فی المجازات، و إمّا أن یکون فی النسبة فیکون من الدعاوی الکاذبة الجزافیة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49"/>
      </w:r>
      <w:r>
        <w:rPr>
          <w:rFonts w:ascii="IRNazanin" w:hAnsi="IRNazanin" w:eastAsia="IRNazanin"/>
          <w:color w:val="111111"/>
          <w:sz w:val="28"/>
          <w:sz w:val="28"/>
          <w:szCs w:val="28"/>
          <w:rtl w:val="true"/>
          <w:lang w:bidi="fa-IR"/>
        </w:rPr>
        <w:t>فلا یخلو عن تأمل، لما عرفت من أنّ التسامح و التنزیل إنما هو فی النسبة، و کونه کذبا هو الموجب لحسنه و بلاغته و لطفه الراجع فی الحقیقة إلی المبالغة فی شجاعة زید و تنزیله منزلة الأسد فی جعله أسدا، و حمل الاسد بمعناه الأصلی علیه، فلاحظ و تدبر</w:t>
      </w:r>
      <w:r>
        <w:rPr>
          <w:rFonts w:eastAsia="IRNazanin" w:cs="IRNazanin"/>
          <w:color w:val="111111"/>
          <w:sz w:val="28"/>
          <w:szCs w:val="28"/>
          <w:rtl w:val="true"/>
          <w:lang w:bidi="fa-IR"/>
        </w:rPr>
        <w:t>.</w:t>
      </w:r>
    </w:p>
    <w:p>
      <w:pPr>
        <w:pStyle w:val="Heading4"/>
        <w:numPr>
          <w:ilvl w:val="3"/>
          <w:numId w:val="1"/>
        </w:numPr>
        <w:rPr/>
      </w:pPr>
      <w:bookmarkStart w:id="464" w:name="__RefHeading___Toc3493759_2314609296"/>
      <w:bookmarkStart w:id="465" w:name="_Toc172"/>
      <w:bookmarkEnd w:id="464"/>
      <w:r>
        <w:rPr>
          <w:rtl w:val="true"/>
        </w:rPr>
        <w:t>[</w:t>
      </w:r>
      <w:r>
        <w:rPr>
          <w:rtl w:val="true"/>
        </w:rPr>
        <w:t>الاشکال علی تفسیر الحال بفعلیة التلبس</w:t>
      </w:r>
      <w:bookmarkEnd w:id="46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یشکل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بحال التلبس هو فعلیّة التلبس و الزمان خارج عن مدلول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الذی حررته عنه قدّس سرّه فی هذا المقام أبسط من هذا التقریر، فالأولی نقله بعین عبارته لیکون کشرح لما افید عنه قدّس سرّه فی هذا التقریر و هذا نصه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الحال المذکور فی عنوان المسألة لیس المراد به زمان الحال المقابل للزمان الماضی و الزمان المستقبل، و لا حال التکلم و لا زمان النسبة و إن نسب الأخیر</w:t>
      </w:r>
      <w:r>
        <w:rPr>
          <w:rStyle w:val="FootnoteAnchor"/>
          <w:rtl w:val="true"/>
        </w:rPr>
        <w:footnoteReference w:id="551"/>
      </w:r>
      <w:r>
        <w:rPr>
          <w:rFonts w:ascii="IRNazanin" w:hAnsi="IRNazanin" w:eastAsia="IRNazanin"/>
          <w:color w:val="111111"/>
          <w:sz w:val="28"/>
          <w:sz w:val="28"/>
          <w:szCs w:val="28"/>
          <w:rtl w:val="true"/>
          <w:lang w:bidi="fa-IR"/>
        </w:rPr>
        <w:t xml:space="preserve">إلی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به حال التلبس و هو قد یقارن زمان الحال و قد لا یقارنه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هذا هو المراد من کون النسبة بینهما هی العموم من وجه، لا أنّ بینهما العموم من وجه علی وجه</w:t>
      </w:r>
    </w:p>
    <w:p>
      <w:pPr>
        <w:pStyle w:val="BookText"/>
        <w:rPr/>
      </w:pPr>
      <w:r>
        <w:rPr>
          <w:rFonts w:ascii="IRNazanin" w:hAnsi="IRNazanin" w:eastAsia="IRNazanin"/>
          <w:color w:val="111111"/>
          <w:sz w:val="28"/>
          <w:sz w:val="28"/>
          <w:szCs w:val="28"/>
          <w:rtl w:val="true"/>
          <w:lang w:bidi="fa-IR"/>
        </w:rPr>
        <w:t>یکون أحدهما صادقا علی الآخر فی مورد، إذ لا یخفی عدم استقامة ذلک، إذ لا ربط لحال التلبس بزمان الحال، غایة الأمر أنّه قد یتفق أن یکون التلبس فی زمان الحال فیتقارنان وجودا، لا أنّ أحدهما صادق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اتّضح لک أنّه لیس المراد بالحال هو زمان الحال و أنّ المراد به هو حال التلبس، یتّضح لک الجواب عمّا ربما یتوهم من أنّ هذا النزاع مناف لما استقرت علیه کلمة أهل العربیة من عدم دلالة الاسم علی الزمان، فإنّ المنافاة المذکورة إنما تتوجه إذا کان المراد من الحال فی هذا النزاع هو زمان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علماء العربیة</w:t>
      </w:r>
      <w:r>
        <w:rPr>
          <w:rStyle w:val="FootnoteAnchor"/>
          <w:rtl w:val="true"/>
        </w:rPr>
        <w:footnoteReference w:id="552"/>
      </w:r>
      <w:r>
        <w:rPr>
          <w:rFonts w:ascii="IRNazanin" w:hAnsi="IRNazanin" w:eastAsia="IRNazanin"/>
          <w:color w:val="111111"/>
          <w:sz w:val="28"/>
          <w:sz w:val="28"/>
          <w:szCs w:val="28"/>
          <w:rtl w:val="true"/>
          <w:lang w:bidi="fa-IR"/>
        </w:rPr>
        <w:t>من عدم إعمال اسم الفاعل إذا کان للماضی و إعماله إذا کان للحال أو الاستقبال، فلیس المراد به دلالة اسم الفاعل علی زمان المضی و الحال و الاستقبال، بل المراد به انقضاء التلبس و فعلیته و استقباله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 أنّ المراد به هو زمان المضی و الحال و الاستقبال، فهو أیضا غیر مناف لما استقرت علیه کلمتهم من عدم دلالة الاسم علی الزمان </w:t>
      </w:r>
      <w:r>
        <w:rPr>
          <w:rStyle w:val="FootnoteAnchor"/>
          <w:rtl w:val="true"/>
        </w:rPr>
        <w:footnoteReference w:id="553"/>
      </w:r>
      <w:r>
        <w:rPr>
          <w:rFonts w:ascii="IRNazanin" w:hAnsi="IRNazanin" w:eastAsia="IRNazanin"/>
          <w:color w:val="111111"/>
          <w:sz w:val="28"/>
          <w:sz w:val="28"/>
          <w:szCs w:val="28"/>
          <w:rtl w:val="true"/>
          <w:lang w:bidi="fa-IR"/>
        </w:rPr>
        <w:t>لجواز أن یکون المراد ممّا ذکروه فی باب الاعمال هو فهم الزمان الماضی و الحال و الاستقبال بالقرینة الخارجة عن لفظ 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ربما یتوهم من أنّ المناسب لما قرر فی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الاتفاق علی کونه مجازا فی الاستقبال و حقیقة فی الحال و محل الخلاف فی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إعماله إذا کان للاستقبال، و انحصار إعماله بما إذا کان للحال و أن یکون إعمال ما یکون للماضی محل الخلاف</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الاعمال لا ربط له بما ذکر فی هذا البحث، بل هو مبنی</w:t>
      </w:r>
    </w:p>
    <w:p>
      <w:pPr>
        <w:pStyle w:val="BookText"/>
        <w:rPr/>
      </w:pPr>
      <w:r>
        <w:rPr>
          <w:rFonts w:ascii="IRNazanin" w:hAnsi="IRNazanin" w:eastAsia="IRNazanin"/>
          <w:color w:val="111111"/>
          <w:sz w:val="28"/>
          <w:sz w:val="28"/>
          <w:szCs w:val="28"/>
          <w:rtl w:val="true"/>
          <w:lang w:bidi="fa-IR"/>
        </w:rPr>
        <w:t>علی مناسبات لا یعلمها إلّا علّام الغیوب کسائر المطالب السماعیة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ذلک التفصیل الذی ذکروه فی باب الاعمال یمکن المناقشة فیه، إذ لم یثبت عدم إعمال اسم الفاعل إذا کان بمعنی 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تقدّم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جملة عناوین و مباحث ربما یتوهم اختلاط بعضها بالآخر، العنوان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عنوان مسألتنا هذه، و هو أنّ المشتق حقیقة فی المتلبس بالمبدإ فی الحال أو للأعم منه و ممّا انقضی عنه المبدأ بعد الفراغ عن کونه مجازا فیما لم یتلبس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النحویین أنّ اسم الفاعل یعمل إذا کان بمعنی الحال أو الاستقبال و لا یعمل إذا کان بمعنی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قولهم إنّ الظاهر من الجملة الاسمیة مثل زید قائم هو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محل الخلاف بین الفارابی و الشیخ الرئیس، من أنّ صدق عنوان الموضوع علی ذاته هل هو بالامکان أو هو بالفعل، سواء کان حالا أو ماضیا أو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العنوان الأول، فقد عرفت أنّ المراد بالحال فیه هو حال التلبس لا زمان الحال کی یناقض ما اتفقوا علیه من عدم دلالة الاسم علی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العنوان الثانی، فیمکن أن یکون المراد به هو المراد بالعنوان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إرادة الزمان منه فإنّما هو بالقرینة لا بنفسه، مع أنّ عدم إعماله بمعنی المضی محل تأمل و إشکال یحتاج إلی التتبع فیما ورد عن أهل اللسان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العنوان الثالث، فالمراد به أنّ الجملة الاسمیة إذا کانت مجردة من الرابطة التی هی کان أو یکون الناقصة، فالمستفاد منه بالدلالة الالتزامیة هو الحال، فلا یکون المشتق بمفهومه الافرادی دالّا علی الزمان کی یناقض ما اتفقوا علیه من عدم دلالة الاسم علی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ذکروه من دلالة</w:t>
      </w:r>
    </w:p>
    <w:p>
      <w:pPr>
        <w:pStyle w:val="BookText"/>
        <w:rPr/>
      </w:pPr>
      <w:r>
        <w:rPr>
          <w:rFonts w:ascii="IRNazanin" w:hAnsi="IRNazanin" w:eastAsia="IRNazanin"/>
          <w:color w:val="111111"/>
          <w:sz w:val="28"/>
          <w:sz w:val="28"/>
          <w:szCs w:val="28"/>
          <w:rtl w:val="true"/>
          <w:lang w:bidi="fa-IR"/>
        </w:rPr>
        <w:t>الفعل علی الزمان، لیس المراد به أنه یدل بنفسه علی الزمان، بل المراد به کما سیأتی ان شاء اللّه تعالی أنّ الدلالة المذکورة بالالتزام، و القرینة الخارجة عن نفس اللفظ و هی کون الفعل الماضی مثلا لوقوع الحدث الزمانی الملازم لانقضائه و مضیه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العنوان الرابع، فقد یتوهم أنه مناقض لما تقدّم من عدم صحة استعمال العنوان الذاتی إلّا فی حال تحقق ذلک العنوان، و أنّ استعماله فی حال عدم تحقّقه غلط صرف، بیان المناقضة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المتحصل من کلا القولین هو عدم اعتبار التلبس الحالی، و أن الأول یکتفی فی الصدق بمجرد الامکان، و الثانی یعتبر الفعلیة التی هی الأعم من التلبس الحالی أو الماضی أو المستقبل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المناقضة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ربط لمسألتنا بهذه المسألة المنطقیة، لأنّ مسألتنا إنما یبحث فیها عن مرحلة وضعیة لفظیة و هی راجعة إلی ما یقتضیه نفس المفهوم الافرادی، و تلک المسألة إنما یبحث فیها عن جهة معنویة، و هی أنّه هل یکتفی فی ثبوت المحمول لذات الموضوع مجرد إمکان اتصاف تلک الذات بالوصف العنوانی، أو أنّه لا بد فی ذلک من الفعلیة، و من الواضح أنّ جهة هذا البحث فی هذه المسألة لا ربط لها بجهة البحث فی مسألتنا، فإنّ جهة البحث فی تلک المسألة إنما تکون بعد الفراغ عن أنّه لا بد فی ثبوت المحمول للموضوع من حالیة الوصف العنوانی للموضوع، هل یکفی فی ذلک أن یکون ثبوت ذلک الوصف بالامکان أم لا بد من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جهة البحث فی مسألتنا راجعة إلی أنه هل یعتبر فی صدق الوصف التلبس بالمبدإ فعلا أم یکفی فیه مطلق التلبس و لو فیما مضی،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کلام الشیخ و الفارابی فی تلک المسألة لم یکن بعد الفراغ عن اعتبار حالیة الوصف العنوانی و إلّا لانحصر کلامهما فی العرفیة العامة أو المشروطة العامة دون باقی القضایا، مع أنّه لو کان کلامهما بعد الفراغ عن ذلک لورد علیهما أنه حینئذ لا معنی للتکلم فی کفایة ثبوت العنوان بالامکان أو بالفعل بمعنی وقوعه فی أحد الأزمنة الثلاثة مثلا، فإنّ اعتبار حالیة الوصف العنوانی أضیق من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بمراجعة الأمر الرابع من الامور التی ذکرها فی الرسالة الثانیة فی المشتق </w:t>
      </w:r>
      <w:r>
        <w:rPr>
          <w:rStyle w:val="FootnoteAnchor"/>
          <w:rtl w:val="true"/>
        </w:rPr>
        <w:footnoteReference w:id="554"/>
      </w:r>
      <w:r>
        <w:rPr>
          <w:rFonts w:ascii="IRNazanin" w:hAnsi="IRNazanin" w:eastAsia="IRNazanin"/>
          <w:color w:val="111111"/>
          <w:sz w:val="28"/>
          <w:sz w:val="28"/>
          <w:szCs w:val="28"/>
          <w:rtl w:val="true"/>
          <w:lang w:bidi="fa-IR"/>
        </w:rPr>
        <w:t>المطبوعة مع رسالة التسامح فی أدلة السنن تجده وافیا بالمقصود فی هذا المقام إن شاء اللّه تعالی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بنقل کلامه برمّته لیتّضح لک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النزاع من الأبحاث اللفظیة المتعلقة بتعیین مدلول المشتق لفظا کما یظهر من ملاحظة کلماتهم و أمثلتهم، و استدلال الطرفین بالتبادر و صحة السلب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تنافی بین الذهاب إلی أنّ المشتق ظاهر فی الفعلیة بالمعنی المتقدم، و بین ما هو المعروف من علماء المیزان من أنّ الوصف العنوانی فی الموضوع فی القضایا المتعارفة فی المحاورات هل یکفی فیه مجرد إمکان اتصاف ذات الموضوع به کما هو المنسوب إلی الفارابی أو یجب فیه تحقق النسبة فی أحد الأزمنة الثلاثة التی یعبّر عنه بالفعلیة التی تؤخذ جهة فی قبال الامکان و الضرورة و الدوام کما هو المنسوب إلی الشیخ حیث إن القول بالامکان فی تلک المسألة ینافی اعتبار الفعلیة بالمعنی المذکور هناک، فکیف بالمعنی المراد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المنافاة، أنّ الظاهر أنّ ذلک النزاع فی صحة الحکم و القضیة بحسب المعنی و العقل، إذ لا یعقل الحکم علی ما لا یمکن اتصافه بعنوان الانسانیة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کاتب أو ضاحک، و لا تجری المحاورة علی شی‌ء یمتنع اتصافه بوصف الانسانیة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فالامکان هو القدر المتیقن فلا حاجة إلی فرض تحقق النسبة فی زمان فی صحة الحکم و القضیة کما أفاده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ینافی أن تکون العبارة الدالة علی ثبوت عنوان الموضوع أو المحمول ظاهرة فی الفعلیة أو فی غیرها کما هو المطلوب بالنزاع فی المقام کما هو ظاهر علی المتأمل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المقام أنّ النزاع المذکور أیضا من الأبحاث اللفظیة المتعلقة بتعیین مدلول اللفظ الواقع موضوعا فی القضیة کما یظهر ممّا أورده شارح المطالع فی بیان الخلاف الواقع بین الشیخ و الفارابی، و ما اختاره الشیخ فی تلک المسألة هو بعینه ما اختاره المحققون فی المقام من توقف الصدق علی التلبس الفعلی، و إن فرض ذلک قبل زمان التلبس أو بعده لکن الاطلاق باعتبار زمان التلبس، قال بعد ما بیّن المراد من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الفارابی اقتصر علی هذا الامکان، و حیث وجده الشیخ مخالفا للعرف زاد قید الفعل، لا فعل الوجود فی الأعیان، بل ما یعم الفرض الذهنی و الوجود الخارجی، فالذات الخالیة عن العنوان یدخل فی الموضوع إذا فرضه العقل موصوفا به بالفعل، مثلا إذا قلنا کل أسود کذا، فیدخل فی الأسود ما هو أسود فی الخارج أو ما لم یکون أسود و یمکن أن یکون أسود إذا فرضه العقل أسود</w:t>
      </w:r>
      <w:r>
        <w:rPr>
          <w:rStyle w:val="FootnoteAnchor"/>
          <w:rtl w:val="true"/>
        </w:rPr>
        <w:footnoteReference w:id="55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بعینه هذا النزاع اللفظی و إلّا فلا وجه لقوله</w:t>
      </w:r>
      <w:r>
        <w:rPr>
          <w:rFonts w:eastAsia="IRNazanin" w:cs="IRNazanin"/>
          <w:color w:val="111111"/>
          <w:sz w:val="28"/>
          <w:szCs w:val="28"/>
          <w:rtl w:val="true"/>
          <w:lang w:bidi="fa-IR"/>
        </w:rPr>
        <w:t>:</w:t>
      </w:r>
      <w:bookmarkStart w:id="466" w:name="pg19834_212333"/>
    </w:p>
    <w:p>
      <w:pPr>
        <w:pStyle w:val="BookText"/>
        <w:rPr/>
      </w:pPr>
      <w:bookmarkEnd w:id="466"/>
      <w:r>
        <w:rPr>
          <w:rFonts w:ascii="IRNazanin" w:hAnsi="IRNazanin" w:eastAsia="IRNazanin"/>
          <w:color w:val="111111"/>
          <w:sz w:val="28"/>
          <w:sz w:val="28"/>
          <w:szCs w:val="28"/>
          <w:rtl w:val="true"/>
          <w:lang w:bidi="fa-IR"/>
        </w:rPr>
        <w:t>وجده الشیخ مخالفا للعرف، فإنّ الاستدلال بالعرف 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یراد بالفعلیة تحقق النسبة فی أحد الأزمنة الثلاثة و إن لم یفرض معه التلبس فی زمان الحکم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فقول الفارابی مخالف للعرف جدا، حیث إنه اکتفی فی الصدق بمجرد الامکان و 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یحک فی المسألة قولا لأحد من أصحاب النظر، فلعلّ نظره إلی ما تقدّم من صحة الحکم و لو فی القضیة المعقولة، و قد عرفت أنّ المتجه ما أفاده، و لا یحتاج إلی الفعلیة، إلّا أنه لا ینافی قول الشیخ بتوقف الصحة فی القضیة الملفوظة العرفیة علی الفعلیة بالمعنی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فمورد النفی و الاثبات فی کلامهما غیر متحد، انتهی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3493761_2314609296"/>
      <w:bookmarkStart w:id="468" w:name="_Toc173"/>
      <w:bookmarkEnd w:id="467"/>
      <w:r>
        <w:rPr>
          <w:rtl w:val="true"/>
        </w:rPr>
        <w:t>[</w:t>
      </w:r>
      <w:r>
        <w:rPr>
          <w:rtl w:val="true"/>
        </w:rPr>
        <w:t>الکلام فی مبدأ المشتقات و مفاد هیئاتها</w:t>
      </w:r>
      <w:r>
        <w:rPr>
          <w:rtl w:val="true"/>
        </w:rPr>
        <w:t>]</w:t>
      </w:r>
      <w:bookmarkEnd w:id="46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السادسة فی تعیین مبدأ المشتقات و مفاد هیئاتها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الکلام </w:t>
      </w:r>
      <w:r>
        <w:rPr>
          <w:rStyle w:val="FootnoteAnchor"/>
          <w:rtl w:val="true"/>
        </w:rPr>
        <w:footnoteReference w:id="558"/>
      </w:r>
      <w:r>
        <w:rPr>
          <w:rFonts w:ascii="IRNazanin" w:hAnsi="IRNazanin" w:eastAsia="IRNazanin"/>
          <w:color w:val="111111"/>
          <w:sz w:val="28"/>
          <w:sz w:val="28"/>
          <w:szCs w:val="28"/>
          <w:rtl w:val="true"/>
          <w:lang w:bidi="fa-IR"/>
        </w:rPr>
        <w:t>فی باب الوضع و أنّه ینقسم إلی الشخصی و النوعی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هو ما کان الموضوع فیه کلیا تحته أفراد و هو وضع الجوامد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ما کان الموضوع فیه کلیا تحته أنواع تحتها أفراد و هو وضع الهیئات، سواء کانت هیئات الجمل أو هیئات المشتقات، و قد تقدم لنا أن قلنا إنّ المواد فی المشتقات ینبغی القول بأنّها موضوعة بالوضع النوعی، إذ کما نقول إنّ هیئة فاعل موضوعة لمن تلبس بالمبدإ فی أی مادة وجدت فتشمل الضارب و الشارب، فکذلک لنا أن نقول إنّ مادة الضرب موضوعة لذلک الحدث</w:t>
      </w:r>
    </w:p>
    <w:p>
      <w:pPr>
        <w:pStyle w:val="BookText"/>
        <w:rPr/>
      </w:pPr>
      <w:r>
        <w:rPr>
          <w:rFonts w:ascii="IRNazanin" w:hAnsi="IRNazanin" w:eastAsia="IRNazanin"/>
          <w:color w:val="111111"/>
          <w:sz w:val="28"/>
          <w:sz w:val="28"/>
          <w:szCs w:val="28"/>
          <w:rtl w:val="true"/>
          <w:lang w:bidi="fa-IR"/>
        </w:rPr>
        <w:t>الخاص بأیّ هیئة تلبّست، فیشمل ذلک قولنا ضرب و ضارب و یضرب إلی آخر جمیع المشتقات فی هذه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تعرف أنّ الأصل فی الاشتقاق هو المادة، فإنّ الهیئات طارئة علیها فتکون هی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الحساب إنّ هیئة فاعل هی الأصل لجمیع المواد الطارئة علیها أعنی ضارب و شارب و عالم إلی غیر ذلک من أسماء الفاعلین، و هکذا الحال فی أسماء المفعولین و جمیع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المعارضة تکشف عن أنّه لا أصل فی البین یکون هو الذی تتفرع عنه الفروع لا فی طرف المادة و لا فی طرف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حسبما حررناه فی حقیقة الوضع فی بدو الأمر و الاختراع الأول، یظهر لک أنّه لا مادة موضوعة علی حدة و لا هیئة موضوعة علی حدة، بل لیس هناک إلّا وضع المجموع من المادة و الهیئة، و لکن بعد جمع اللغة و تدوینها و جمع المواد التی تتوارد علیها الهیئات المختلفة مثل الضرب و الشرب و توارد هیئة ضرب یضرب علیها إلی آخر هیئات المشتقات، تخیل المتخیل أن هناک مادة و صورة و أن الثانیة طارئة علی الاولی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هناک من یجری نفس هذا التشکیک فی الأجسام و الأنواع الطبیعیة و تحلیلها إلی جنس و فصل أو إلی مادة و صورة، فیقال هل الأصل هو المادة و الصورة طارئة، أو الاصل هو الصورة و المادة طارئة؟ أو لا هذا و لا ذاک و ما هو إلّا خیالات یتخیلها المتخیلون فی مخلوقاته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یعلم حقیقتها إلّا خالقها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ذکرناه فی الوضع، و أنّ الواضع الأول هو فی منتهی درجة البساطة، لا ینافی کون الألفاظ الموضوعة مشتملة علی خصوصیات و مزایا هی فی منتهی درجة الدقة و المتانة، فإنّ ذلک الوضع و إن کان بفعل من</w:t>
      </w:r>
    </w:p>
    <w:p>
      <w:pPr>
        <w:pStyle w:val="BookText"/>
        <w:rPr/>
      </w:pPr>
      <w:r>
        <w:rPr>
          <w:rFonts w:ascii="IRNazanin" w:hAnsi="IRNazanin" w:eastAsia="IRNazanin"/>
          <w:color w:val="111111"/>
          <w:sz w:val="28"/>
          <w:sz w:val="28"/>
          <w:szCs w:val="28"/>
          <w:rtl w:val="true"/>
          <w:lang w:bidi="fa-IR"/>
        </w:rPr>
        <w:t xml:space="preserve">ذلک المخترع البسیط لکنه کان بالغریزة التی أودعها فیه خالقه و خالق الکون و مدبّر الأمر علی أتمّ ما یکون صنع اللّه الذی أتقن کل مکوّن و أعطی کل شی‌ء خلقه ثم هدی، و أوحی ربک إلی النحل أن اتخذی من الجبال و الشجر بیوتا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فکان نظامها فی تعیّشها و تناسلها و جمیع شئونها ممّا تعجز عنه القوانین المجعولة من البشر لعالم الاجتماع، و لعلّ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مقام النبوة یمکننا تنزیل قوله تعالی و علّم آدم الأسماء</w:t>
      </w:r>
      <w:r>
        <w:rPr>
          <w:rStyle w:val="FootnoteAnchor"/>
          <w:rtl w:val="true"/>
        </w:rPr>
        <w:footnoteReference w:id="559"/>
      </w:r>
      <w:r>
        <w:rPr>
          <w:rFonts w:ascii="IRNazanin" w:hAnsi="IRNazanin" w:eastAsia="IRNazanin"/>
          <w:color w:val="111111"/>
          <w:sz w:val="28"/>
          <w:sz w:val="28"/>
          <w:szCs w:val="28"/>
          <w:rtl w:val="true"/>
          <w:lang w:bidi="fa-IR"/>
        </w:rPr>
        <w:t>علی 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نحن بعد أن عرفنا هذه الطریقة، نعرف أنّه لا واقعیة للاشتقاق و لا للترکب من المادة و الهیئة، فیسهل القول حینئذ علینا بأنّ مفهوم المشتق بسیط و إن حللناه عقلا إلی مرکب، حتی فی مثل ضرب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ضرب، فإنّها لا تدل إلّا علی حرکة الضرب و خروجه من القوة إلی الفعل، و ذلک أمر بسیط، لکن الاصطلاح ابتدع له ضمیرا مستترا و جعله مرکبا من حدث و نسبة و منسوب إلیه، و هکذا الحال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محیص عن الترکیب بعد التقیید بهذه القیود، و أنّ المادة موضوعة بوضع مستقل للحدث، و کذلک الهیئة موضوعة بوضع مستقل للنسبة المتقوّمة بین ذلک الحدث و تلک الذات، فلا محیص عن القول بالترکیب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یمکننا القول بأنّ الالتزام بهذه الامور مع الالتزام ببساطة المشتق من التناقض الذی لا مدفع له، و کلما کثرت الأجوبة فی دفع هذا الاشکال کان ذلک تأکیدا للاشکال لا أنّه دافع له، فلاحظ الأجوبة حتی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469" w:name="pg19834_212336"/>
    </w:p>
    <w:p>
      <w:pPr>
        <w:pStyle w:val="BookText"/>
        <w:rPr/>
      </w:pPr>
      <w:bookmarkEnd w:id="469"/>
      <w:r>
        <w:rPr>
          <w:rFonts w:ascii="IRNazanin" w:hAnsi="IRNazanin" w:eastAsia="IRNazanin"/>
          <w:color w:val="111111"/>
          <w:sz w:val="28"/>
          <w:sz w:val="28"/>
          <w:szCs w:val="28"/>
          <w:rtl w:val="true"/>
          <w:lang w:bidi="fa-IR"/>
        </w:rPr>
        <w:t xml:space="preserve">الهیئة اخذت فیه للدلالة علی أخذ المادة عنوانا للذات، فإنّ ذلک عبارة اخری عن الترکیب من المادة و ممّا یدل علی أخذها عنوانا للذات باعتبار صدورها منها، مضافا إلی عدم إمکان کون المادة عنوانا للذات فکیف یمکننا القول بأنّ الهیئة دالة علی أخذ المادة عنوانا، و هکذا الحال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قلنا إن الهیئة حاکیة عن الذات باعتبار تلبسها بالمادة، فإنّ الهیئة بما أنها معنی حرفی یستحیل جعلها دالة علی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مخلص من هذه الاشکالات إلا بما عرفت من إنکار الوضع للمادة و الوضع للهیئة، بل لیس فی البین إلّا مجموع هذا اللفظ أعنی لفظ ضارب مثلا موضوعا للذات، فیکون حاله حال لفظ الانسان، غیر أنّ ذلک عنوان لها باعتبار نفسها و هذا عنوان لها باعتبار جهة زائدة علیها و هی جهة الضرب، فلاحظ و تدبر</w:t>
      </w:r>
      <w:r>
        <w:rPr>
          <w:rFonts w:eastAsia="IRNazanin" w:cs="IRNazanin"/>
          <w:color w:val="111111"/>
          <w:sz w:val="28"/>
          <w:szCs w:val="28"/>
          <w:rtl w:val="true"/>
          <w:lang w:bidi="fa-IR"/>
        </w:rPr>
        <w:t>.</w:t>
      </w:r>
    </w:p>
    <w:p>
      <w:pPr>
        <w:pStyle w:val="Heading4"/>
        <w:numPr>
          <w:ilvl w:val="3"/>
          <w:numId w:val="1"/>
        </w:numPr>
        <w:rPr/>
      </w:pPr>
      <w:bookmarkStart w:id="470" w:name="__RefHeading___Toc3493763_2314609296"/>
      <w:bookmarkStart w:id="471" w:name="_Toc174"/>
      <w:bookmarkEnd w:id="470"/>
      <w:r>
        <w:rPr>
          <w:rtl w:val="true"/>
        </w:rPr>
        <w:t>[</w:t>
      </w:r>
      <w:r>
        <w:rPr>
          <w:rtl w:val="true"/>
        </w:rPr>
        <w:t>بساطة المشتق و ترکبه</w:t>
      </w:r>
      <w:bookmarkEnd w:id="47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أنّ المفاهیم الاشتقاقیة هل هی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وقع الخلاف بین الاعلام فی أنّها بسیطة أو مرکبة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المرکب فی قبال المفرد، و قد یقال المرکب فی قبال البسیط، و الأول فی الألفاظ و الثانی فی المعانی المفهومة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التفتازانی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اللفظ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قصد بجزء منه الدلالة علی جزء المعنی فمرکب إما تام خبرا أو انشاء، و إما ناقص تقییدی أو غیره، و إلّا فمفرد، و هو إن استقل فمع الدلالة بهیئته علی أحد الأزمنة الثلاثة کلمة و بدونها اسم و إلا فأداة، انتهی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الکلمة التی هی</w:t>
      </w:r>
    </w:p>
    <w:p>
      <w:pPr>
        <w:pStyle w:val="BookText"/>
        <w:rPr/>
      </w:pPr>
      <w:r>
        <w:rPr>
          <w:rFonts w:ascii="IRNazanin" w:hAnsi="IRNazanin" w:eastAsia="IRNazanin"/>
          <w:color w:val="111111"/>
          <w:sz w:val="28"/>
          <w:sz w:val="28"/>
          <w:szCs w:val="28"/>
          <w:rtl w:val="true"/>
          <w:lang w:bidi="fa-IR"/>
        </w:rPr>
        <w:t>الفعل من أقسام المفرد مع أنّه مرکب من مادة تدل علی الحدث و هیئة تدل علی الزمان أو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المشتق کاسم الفاعل فإنّه مرکب من مادة تدل علی الحدث و هیئة تدل علی النسبة، و حینئذ یتوجه علیه أنّهما ینطبق علیهما تعریفه المرکب و هو ما قصد بجزء من لفظه الدلالة علی جزء المعنی، فینبغی عدّهما من أقسام المرکب، و لا بد حینئذ من الجواب عن ذلک بأنّ مصطلحهم فی المرکب اللفظی هو تعدد اللفظ وجودا و یقابله المفرد و هو ما کان اللفظ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تعدد اللفظ وجودا لا بد من کون کل منهما مشتملا علی مادة و صورة کما تراه فی مثل غلام زید 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ما لو لم یکن فی البین إلّا وجود واحد غایته أنّه مشتمل علی مادة و صورة، فهذا لا یدخل فی المرکب بل هو من أقسام المفرد، غایته أنّه یخالف بقیة المفردات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هیئتها لا تدل علی معنی بخلاف الفعل و بقیة المشتقات، فالمرکب اللفظی لا بد من اشتماله علی مادتین و صورتین بخلاف المفرد فإنّه لا یکون مشتملا إلا علی مادة واحدة و صورة واحدة، فهما فی ذلک مثل الانسان و الفرس فی اشتمال کل منهما علی مادة و صورة، بخلاف الانسان وحده فإنّه لا یشتمل إلّا علی مادة واحدة و صورة واحدة، فهو وحده مفرد یعنی غیر متعدد، و عند اجتماعه مع الفرس یکون المجموع متعددا، هذا کله فی الترکیب اللفظی فی قبال الافراد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الترکیب المعنوی فی قبال بساطة المعنی الذی هو المفهوم من اللفظ، أعنی ما یحضر فی ذهن السامع عند سماعه اللفظ، فمعرفته تتوقف علی معرفة المراد بالبساطة، فقال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معنی</w:t>
      </w:r>
    </w:p>
    <w:p>
      <w:pPr>
        <w:pStyle w:val="BookText"/>
        <w:rPr/>
      </w:pPr>
      <w:r>
        <w:rPr>
          <w:rFonts w:ascii="IRNazanin" w:hAnsi="IRNazanin" w:eastAsia="IRNazanin"/>
          <w:color w:val="111111"/>
          <w:sz w:val="28"/>
          <w:sz w:val="28"/>
          <w:szCs w:val="28"/>
          <w:rtl w:val="true"/>
          <w:lang w:bidi="fa-IR"/>
        </w:rPr>
        <w:t xml:space="preserve">البساطة بحسب المفهوم وحدته إدراکا و تصورا بحیث لا یتصور عند تصوره إلّا شی‌ء واحد لا شیئان، و إن انحل بتعمل من العقل إلی شیئین کانحلال مفهوم الشجر و الحجر إلی شی‌ء له الحجریة أو الشجریة مع وضوح بساطة مفهومهما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63"/>
      </w:r>
      <w:r>
        <w:rPr>
          <w:rFonts w:ascii="IRNazanin" w:hAnsi="IRNazanin" w:eastAsia="IRNazanin"/>
          <w:color w:val="111111"/>
          <w:sz w:val="28"/>
          <w:sz w:val="28"/>
          <w:szCs w:val="28"/>
          <w:rtl w:val="true"/>
          <w:lang w:bidi="fa-IR"/>
        </w:rPr>
        <w:t>و یظهر منه أنّ ما یفهم من اللفظ المفرد لو کان بسیطا لم یضرّ ببساطته تحلیل العقل له إلی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لو کان هذا هو المراد من القول ببساطة مفهوم المشتق، کان لازمه هو أن مراد القائل بالترکیب أن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کونه لفظا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مفهومین، و من الواضح أن اللفظ المفرد لا یکون ذا مفهومین أو معنیین، و کأنه لأجل ذلک عدل شیخنا قدّس سرّه فی التحریر فأفاد أن المراد بالترکیب هو التحلیل العقلی و إن کان المفهوم بسیطا،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الغرض من البساطة و الترکب هی البساطة و الترکیب بحسب التحلیل العقلی، و إلّا فلا ریب أن مفهوم المشتق لیس مرکبا من مفاهیم تفصیلیة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یتوجه علی ذلک أنه ما من بسیط إلّا و یحلله العقل إلی شیئین أو أشیاء، و حینئذ فما معنی القول ببساطة مفهوم المشتق فی قبال ترکبه بالمعنی المذکور أعنی التحلیل العقلی، و بالنتیجة کان الحاصل هو أنه علی التفسیر الذی أفاده فی الکفایة لا یتصور القول بالترکیب، و علی التفسیر الذی أفاده شیخنا قدّس سرّه لا یتصور القول بالبساطة فی قبال الترکیب بالمعنی المذکور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نحن لو قلنا بأن المشتق مرکب من مادة دالة علی الحدث و هیئة دالة علی النسبة و لو ناقصة تقییدیة، لا بد من القول بالترکیب</w:t>
      </w:r>
    </w:p>
    <w:p>
      <w:pPr>
        <w:pStyle w:val="BookText"/>
        <w:rPr/>
      </w:pPr>
      <w:r>
        <w:rPr>
          <w:rFonts w:ascii="IRNazanin" w:hAnsi="IRNazanin" w:eastAsia="IRNazanin"/>
          <w:color w:val="111111"/>
          <w:sz w:val="28"/>
          <w:sz w:val="28"/>
          <w:szCs w:val="28"/>
          <w:rtl w:val="true"/>
          <w:lang w:bidi="fa-IR"/>
        </w:rPr>
        <w:t>بحسب المعنی و المفهوم بل بحسب اللفظ أیضا، غایته أنه لیس بالترکیب اللفظی المصطلح أعنی تعدد اللفظ وجودا، لکن ذلک لا یخرجه عن کونه واقعا مرکبا من اسم و هی المادة و حرف و هو الهیئة، و حینئذ فیکون قولنا ضارب مرکبا من اسم و حرف، و کذلک قولنا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نقل بذلک بل قلنا إن المشتق عنوان منتزع عن الذات باعتبار عروض المبدأ علیها من غیر أن یکون فی البین مادة و هیئة دالة علی النسبة، بل لا یکون وضعه إلّا کوضع سائر الجوامد، غایته أنها منتزعة من الذات باعتبار نفسها کالانسان و الحجر، و هو منتزع منها باعتبار تلبسها بالمبدإ و عروضه علیها، فلا یکون إلّا بسیطا، إذ لا یعقل الترکب فیما یفهم من اللفظ المفرد، بل إن المفاهیم الافرادیة کلها بسائط فی منتهی درجة البساطة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w:t>
      </w:r>
      <w:r>
        <w:rPr>
          <w:rStyle w:val="FootnoteAnchor"/>
          <w:rtl w:val="true"/>
        </w:rPr>
        <w:footnoteReference w:id="565"/>
      </w:r>
      <w:r>
        <w:rPr>
          <w:rFonts w:ascii="IRNazanin" w:hAnsi="IRNazanin" w:eastAsia="IRNazanin"/>
          <w:color w:val="111111"/>
          <w:sz w:val="28"/>
          <w:sz w:val="28"/>
          <w:szCs w:val="28"/>
          <w:rtl w:val="true"/>
          <w:lang w:bidi="fa-IR"/>
        </w:rPr>
        <w:t>من أنه لا فائدة فی أخذ الذات فلا یحسن من الحکیم، ففیه أنه لو کان المشتق متضمنا للنسبة کما هو مبنی القائلین بالترکیب، کان أخذ الذات فیه ضروریا لازما، و کان یستحیل تمامیة معناه الموضوع له بدون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w:t>
      </w:r>
      <w:r>
        <w:rPr>
          <w:rStyle w:val="FootnoteAnchor"/>
          <w:rtl w:val="true"/>
        </w:rPr>
        <w:footnoteReference w:id="566"/>
      </w:r>
      <w:r>
        <w:rPr>
          <w:rFonts w:ascii="IRNazanin" w:hAnsi="IRNazanin" w:eastAsia="IRNazanin"/>
          <w:color w:val="111111"/>
          <w:sz w:val="28"/>
          <w:sz w:val="28"/>
          <w:szCs w:val="28"/>
          <w:rtl w:val="true"/>
          <w:lang w:bidi="fa-IR"/>
        </w:rPr>
        <w:t>من لزوم أخذ المعروض فی العرض، ففیه أن العرض هو المبدأ و لم یدّع أحد أخذ الذات فیه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أفاده </w:t>
      </w:r>
      <w:r>
        <w:rPr>
          <w:rStyle w:val="FootnoteAnchor"/>
          <w:rtl w:val="true"/>
        </w:rPr>
        <w:footnoteReference w:id="567"/>
      </w:r>
      <w:r>
        <w:rPr>
          <w:rFonts w:ascii="IRNazanin" w:hAnsi="IRNazanin" w:eastAsia="IRNazanin"/>
          <w:color w:val="111111"/>
          <w:sz w:val="28"/>
          <w:sz w:val="28"/>
          <w:szCs w:val="28"/>
          <w:rtl w:val="true"/>
          <w:lang w:bidi="fa-IR"/>
        </w:rPr>
        <w:t>من لزوم التکرار، و من أن اللازم من أخذ الذات أخذ النسبة، فیلزم اشتمال الکلام الواحد علی نسبتین، فکأن الاشکالین إشکال واحد، و علی کل حال أن القائل بذلک یلتزم به و لیس هو باللازم الباطل، و هو موجود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یقوم و یقعد مما تضمن الاخبار بالفعل المستند</w:t>
      </w:r>
    </w:p>
    <w:p>
      <w:pPr>
        <w:pStyle w:val="BookText"/>
        <w:rPr/>
      </w:pPr>
      <w:r>
        <w:rPr>
          <w:rFonts w:ascii="IRNazanin" w:hAnsi="IRNazanin" w:eastAsia="IRNazanin"/>
          <w:color w:val="111111"/>
          <w:sz w:val="28"/>
          <w:sz w:val="28"/>
          <w:szCs w:val="28"/>
          <w:rtl w:val="true"/>
          <w:lang w:bidi="fa-IR"/>
        </w:rPr>
        <w:t>إلی ضمیر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الغرض من البساطة و الترکب هی البساطة و الترکب بحسب التحلیل العقلی، و إلّا فلا ریب فی أنّ مفهوم المشتق لیس مرکبا من مفاهیم تفصیلیة و هی مفهوم ذات ثبت لها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 هذا رد علی الکفایة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التحلیل العقلی لا ینافی البساطة</w:t>
      </w:r>
      <w:r>
        <w:rPr>
          <w:rStyle w:val="FootnoteAnchor"/>
          <w:rtl w:val="true"/>
        </w:rPr>
        <w:footnoteReference w:id="569"/>
      </w:r>
      <w:r>
        <w:rPr>
          <w:rFonts w:ascii="IRNazanin" w:hAnsi="IRNazanin" w:eastAsia="IRNazanin"/>
          <w:color w:val="111111"/>
          <w:sz w:val="28"/>
          <w:sz w:val="28"/>
          <w:szCs w:val="28"/>
          <w:rtl w:val="true"/>
          <w:lang w:bidi="fa-IR"/>
        </w:rPr>
        <w:t>، فإنّه یستفاد منه أنّ القول بالترکیب هو ما یقابل البساطة التی لا ینافیها التحلیل العقلی، فیکون ذلک غیر معقول، لاستحالة دلالة اللفظ المفرد علی مفهومین مع عدم ترکب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لازم ما أفاده شیخنا قدّس سرّه هو عدم إمکان القول بالبساطة، لأن أیّ معنی تصورنا و لو کان فی منتهی درجة البساطة فهو قابل للتحلیل العقلی بنحو الحد، و لا أقل من تحلیله بنحو الرسم بذکر خواصه و عوارضه الخاصة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أنّ المشتق مرکب من مادة و هیئة دالة علی أخذ المادة منسوبة إلی الذات علی نحو تکون عنوانا للذات، فإن شئت فسمّ ذلک ترکبا و إن شئت فسمه بساطة علی ما شرحناه فی حواشینا علی الکفایة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أفاده شیخنا قدّس سرّه </w:t>
      </w:r>
      <w:r>
        <w:rPr>
          <w:rStyle w:val="FootnoteAnchor"/>
          <w:rtl w:val="true"/>
        </w:rPr>
        <w:footnoteReference w:id="570"/>
      </w:r>
      <w:r>
        <w:rPr>
          <w:rFonts w:ascii="IRNazanin" w:hAnsi="IRNazanin" w:eastAsia="IRNazanin"/>
          <w:color w:val="111111"/>
          <w:sz w:val="28"/>
          <w:sz w:val="28"/>
          <w:szCs w:val="28"/>
          <w:rtl w:val="true"/>
          <w:lang w:bidi="fa-IR"/>
        </w:rPr>
        <w:t>من أنه إن کان المنظور إلیه فی المشتق هو الذات کان لازمه الترکب، و إن کان المنظور إلیه هو الحدث فلازمه البساطة، فلم أتوفق لشرحه، إذ لم أفهم منه إلا مجرد تغییر العبارة، فإنّ المنظور إلیه لو کان هو الحدث فلا ریب أنّه لا یکون بنفسه عنوانا للذات، و إنّما یکون کذلک باعتبار صدوره عنها، فیکون مفاده هو الحدث الصادر عن الذات</w:t>
      </w:r>
    </w:p>
    <w:p>
      <w:pPr>
        <w:pStyle w:val="BookText"/>
        <w:rPr/>
      </w:pPr>
      <w:r>
        <w:rPr>
          <w:rFonts w:ascii="IRNazanin" w:hAnsi="IRNazanin" w:eastAsia="IRNazanin"/>
          <w:color w:val="111111"/>
          <w:sz w:val="28"/>
          <w:sz w:val="28"/>
          <w:szCs w:val="28"/>
          <w:rtl w:val="true"/>
          <w:lang w:bidi="fa-IR"/>
        </w:rPr>
        <w:t>المنسوب إلیها علی وجه یکون عنوانا لها، فیرجع الأمر بالأخرة إلی ما لو کان المنظور إلیه الذات، فی أنّ النظر إلیه یکون باعتبار صدور المبدأ منه، و یکون مرجع العبارتین إلی معنی واحد، و النسبة ملحوظة فی کل منهما، فلا فرق بین أن نقول إنّ معنی الضارب هو الذات التی ثبت لها الضرب أو أنّه هو الضرب الذی ثبت للذات، فی کون النسبة مأخوذة و ملحوظة فی کل منهما، و بدون لحاظها لا یتم معنی المشتق أصلا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رتّبه قدّس سرّه </w:t>
      </w:r>
      <w:r>
        <w:rPr>
          <w:rStyle w:val="FootnoteAnchor"/>
          <w:rtl w:val="true"/>
        </w:rPr>
        <w:footnoteReference w:id="571"/>
      </w:r>
      <w:r>
        <w:rPr>
          <w:rFonts w:ascii="IRNazanin" w:hAnsi="IRNazanin" w:eastAsia="IRNazanin"/>
          <w:color w:val="111111"/>
          <w:sz w:val="28"/>
          <w:sz w:val="28"/>
          <w:szCs w:val="28"/>
          <w:rtl w:val="true"/>
          <w:lang w:bidi="fa-IR"/>
        </w:rPr>
        <w:t xml:space="preserve">علی البساطة من اعتبار التلبس و عدم الصدق علی صورة الانقضاء، و علی الترکب من عدم ذلک فکذلک لم أتوفق لفهمه، فإنّا کما نقول إن تلک الذات المأخوذة فیها نسبة الحدث إلیها، یمکن أن تکون النسبة عامة لصورة الانقضاء، فکذلک نقول إنّ ذلک الحدث المأخوذ عنوانا للذات باعتبار صدوره منها یمکن أن یکون ذلک الصدور عاما لصورة الانقضاء، و لعل الوجدان شاهد علی العموم لما نراه من استعمال المشتق فی مورد الانقضاء استعمالا غیر مبنی علی علاقة و عنایة و تجوّز، بل هو استعمال للفظ فیما یقتضیه حاق معناه </w:t>
      </w:r>
      <w:r>
        <w:rPr>
          <w:rStyle w:val="FootnoteAnchor"/>
          <w:rtl w:val="true"/>
        </w:rPr>
        <w:footnoteReference w:id="572"/>
      </w:r>
      <w:r>
        <w:rPr>
          <w:rFonts w:ascii="IRNazanin" w:hAnsi="IRNazanin" w:eastAsia="IRNazanin"/>
          <w:color w:val="111111"/>
          <w:sz w:val="28"/>
          <w:sz w:val="28"/>
          <w:szCs w:val="28"/>
          <w:rtl w:val="true"/>
          <w:lang w:bidi="fa-IR"/>
        </w:rPr>
        <w:t>کما أنّ دعوی إرجاعه إلی مورد التلبس الفعلی، بدعوی أنّ الملحوظ فیه هو حاله فیما مضی، بمعنی کون التطبیق بلحاظ ما مضی لا بلحاظ حال الانقضاء، فهو أشکل من ارتکاب طریقة التجوّز، بمعنی أنها عنایة دقیقة بعیدة یحصل القطع بأنّ المستعملین لم یلاحظوها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المشتقات التی تکون مبادئها قابلة للدوام و البقاء یکون الظاهر هو دوام الحکم ما دام المبدأ کما هو الشأن فی القضیة العرفیة</w:t>
      </w:r>
      <w:bookmarkStart w:id="472" w:name="pg19834_212342"/>
    </w:p>
    <w:p>
      <w:pPr>
        <w:pStyle w:val="BookText"/>
        <w:rPr/>
      </w:pPr>
      <w:bookmarkEnd w:id="472"/>
      <w:r>
        <w:rPr>
          <w:rFonts w:ascii="IRNazanin" w:hAnsi="IRNazanin" w:eastAsia="IRNazanin"/>
          <w:color w:val="111111"/>
          <w:sz w:val="28"/>
          <w:sz w:val="28"/>
          <w:szCs w:val="28"/>
          <w:rtl w:val="true"/>
          <w:lang w:bidi="fa-IR"/>
        </w:rPr>
        <w:t>العامة، بخلاف المبادئ غیر المستقرة فإنّ ظاهر الاستعمالات فیها هو الانقضاء</w:t>
      </w:r>
      <w:r>
        <w:rPr>
          <w:rFonts w:eastAsia="IRNazanin" w:cs="IRNazanin"/>
          <w:color w:val="111111"/>
          <w:sz w:val="28"/>
          <w:szCs w:val="28"/>
          <w:rtl w:val="true"/>
          <w:lang w:bidi="fa-IR"/>
        </w:rPr>
        <w:t>.</w:t>
      </w:r>
    </w:p>
    <w:p>
      <w:pPr>
        <w:pStyle w:val="Heading4"/>
        <w:numPr>
          <w:ilvl w:val="3"/>
          <w:numId w:val="1"/>
        </w:numPr>
        <w:rPr/>
      </w:pPr>
      <w:bookmarkStart w:id="473" w:name="__RefHeading___Toc3493765_2314609296"/>
      <w:bookmarkStart w:id="474" w:name="_Toc175"/>
      <w:bookmarkEnd w:id="473"/>
      <w:r>
        <w:rPr>
          <w:rtl w:val="true"/>
        </w:rPr>
        <w:t>[</w:t>
      </w:r>
      <w:r>
        <w:rPr>
          <w:rtl w:val="true"/>
        </w:rPr>
        <w:t>الفرق بین المشتق و المصدر و اسم المصدر</w:t>
      </w:r>
      <w:r>
        <w:rPr>
          <w:rtl w:val="true"/>
        </w:rPr>
        <w:t>]</w:t>
      </w:r>
      <w:bookmarkEnd w:id="47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السابعة، قد ظهر من مطاوی ما ذکرناه أنّ مفهوم المشتق مأخوذ لا بشرط، بخلاف المصدر و اسم المصدر فانهما مأخوذان بشرط لا، و ان افترقا من وجه آخر تقدم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المشتق و مبدئه مفهوما أنّه بمفهومه لا یأبی عن الحمل علی ما تلبس بالمبدإ و لا یعصی عن الجری علیه لما هما علیه من نحو من الاتحاد، بخلاف المبدأ فانّه بمعناه یأبی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هذا یرجع ما ذکره أهل المعقول فی الفرق بینهما من أنّ المشتق یکون لا بشرط و المبدأ یکون بشرط لا، أی یکون مفهوم المشتق غیر آب عن الحمل و مفهوم المبدأ یکون آبیا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المقابلة بین المشتق و بین مبدئه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 من المبدأ بنحو من التسامح هو المصدر أو اسم المصدر و إلّا فإنّ المبدأ علی ما هو التحقیق الذی أفاده شیخنا قدّس سرّه و شرحناه فیما حررنا عنه قدّس سرّه لا یکون مقابلا للمشتق، بل المادة المنبثة فیه و فی المصدر و فی سائر المشتقات حتی اسم المصدر و ان کان هو من الجوامد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الفرق بین المصدر و بین اسم المصدر، أن الأوّل لوحظ فیه النسبة، و الثانی لم یلاحظ فیه النسبة بل لوحظ فیه نفس الحدث مجردا عن النسبة، و لأجل ذلک لم یعمل، بخلاف الأول فانه لأجل لحاظ النسبة یکون عاملا عمل فعله من دون أن یکون الدال علی النسبة فیه هو هیئته، بل إن</w:t>
      </w:r>
    </w:p>
    <w:p>
      <w:pPr>
        <w:pStyle w:val="BookText"/>
        <w:rPr/>
      </w:pPr>
      <w:r>
        <w:rPr>
          <w:rFonts w:ascii="IRNazanin" w:hAnsi="IRNazanin" w:eastAsia="IRNazanin"/>
          <w:color w:val="111111"/>
          <w:sz w:val="28"/>
          <w:sz w:val="28"/>
          <w:szCs w:val="28"/>
          <w:rtl w:val="true"/>
          <w:lang w:bidi="fa-IR"/>
        </w:rPr>
        <w:t>الدال علی ذلک هو الهیئة الترکیبیة منه و من معمولاته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مبدأ الاشتقاق لا وجود له استقلالا فی عالم الألفاظ کی یتکلم فی الفرق بینه و بین المشتق، و إن ارید به المبدأ الموجود فی المشتق فذلک قد أخذ بالنسبة إلی الحمل لا بشرط أو بشرط شی‌ء و هو الحمل، فکیف یصح القول بأنّ المبدأ الموجود فی المشتق قد أخذ بشرط لا بالقیاس إلی الحمل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مبدأ الاشتقاق الذی هو المادة الموجودة فی ضمن جمیع المشتقات و فی ضمن المصدر و اسم المصدر لو لوحظ فی حدّ نفسه بما أنه قدر جامع بین الجمیع حتی اسم المصدر و إن لم یکن له لفظ خاص، فذلک القدر الجامع لو لوحظ فلا بد أن یکون ملحوظا من حیث النسبة لا بشرط، کما أن اسم المصدر ملحوظ من حیث النسبة بشرط لا، و باقی المشتقات و منها المصدر ملحوظ بشرط شی‌ء، بمعنی أنّ المبدأ بما أنّه قدر جامع بین الجمیع یکون ملحوظا لا بشرط من حیث النسبة، و ما هو منه فی اسم المصدر یکون ملحوظا بشرط لا، و فی باقی المشتقات و منها المصدر یکون ملحوظا بشرط شی‌ء و هو النسبة علی اختلاف أنحائها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ارید الفرق بین المشتق و بین المصدر کان المبدأ فی کل منهما ملحوظا بشرط شی‌ء و هو النسبة، غیر أنّ النسبة فی المصدر صدوریة و فی المشتق علی نحو العنوانیة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الفرق بینه و بین اسم المصدر کان الفرق بینهما أن المشتق لوحظ المبدأ فیه بشرط شی‌ء و هو النسبة العنوانیة، و اسم المصدر لوحظ المبدأ فیه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ارید الفرق بین المشتق و مبدئه المتحقق فیه فقد عرفت أنه لا معنی لأخذه بشرط لا، بل لا یکون فی البین إلّا لحاظ واحد و هو أخذ المبدأ المذکور بشرط شی‌ء</w:t>
      </w:r>
    </w:p>
    <w:p>
      <w:pPr>
        <w:pStyle w:val="BookText"/>
        <w:rPr/>
      </w:pPr>
      <w:r>
        <w:rPr>
          <w:rFonts w:ascii="IRNazanin" w:hAnsi="IRNazanin" w:eastAsia="IRNazanin"/>
          <w:color w:val="111111"/>
          <w:sz w:val="28"/>
          <w:sz w:val="28"/>
          <w:szCs w:val="28"/>
          <w:rtl w:val="true"/>
          <w:lang w:bidi="fa-IR"/>
        </w:rPr>
        <w:t>و هو الانتساب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یظهر لک الحال فیما افید هنا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إن وجوده فی نفسه عین وجوده لموضوعه، فلا محالة یکون مرآة و معرّفا لموضوعه و نعتا له و فانیا فیه حیث إنه من أطواره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75"/>
      </w:r>
      <w:r>
        <w:rPr>
          <w:rFonts w:ascii="IRNazanin" w:hAnsi="IRNazanin" w:eastAsia="IRNazanin"/>
          <w:color w:val="111111"/>
          <w:sz w:val="28"/>
          <w:sz w:val="28"/>
          <w:szCs w:val="28"/>
          <w:rtl w:val="true"/>
          <w:lang w:bidi="fa-IR"/>
        </w:rPr>
        <w:t>فإنّ مجرد لحاظ معنی المبدأ أعنی العرض علی واقعه من حیث وجوده لمعروضه لا یکون موجبا لکونه عنوانا له، بل أقصی ما فی ذلک أن یکون ذلک العرض بذلک اللحاظ هو مفاد المصدر کما أفاده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المادة الهیولائیة التی عرفت أنها المبدأ للمشتقات بالحقیقة تارة لا تلاحظ فیه إلا نفس نسبته إلی محله التی هی ذاتیة له، و باقتضاء کونه عرضا فتکون مدلولة للمصدر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تلاحظ بدون النسبة بما هو شی‌ء 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نتیجة المصدر و الحاصل عنه فیسمی الدال علیها باسم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خامسة تلاحظ المادة بما هی عرضی محمول علی خلاف المشتقات السابقة کما فی اسم الفاعل و ما یلحقه من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76"/>
      </w:r>
      <w:r>
        <w:rPr>
          <w:rFonts w:ascii="IRNazanin" w:hAnsi="IRNazanin" w:eastAsia="IRNazanin"/>
          <w:color w:val="111111"/>
          <w:sz w:val="28"/>
          <w:sz w:val="28"/>
          <w:szCs w:val="28"/>
          <w:rtl w:val="true"/>
          <w:lang w:bidi="fa-IR"/>
        </w:rPr>
        <w:t>فإنه یستفاد من ذلک أنّ مجرد لحاظ العرض علی واقعه من حیث إنّ وجوده بنفسه عین وجوده لمعروضه، لا یتولد منه معنی المشتق مثل اسم الفاعل، بل لا بد من لحاظ أمر آخر فوق ذلک، و ذلک هو لحاظ کون تلک النسبة علی وجه العنوانیة المصحّحة لکونه حاکیا عن الذات التی هی معروض ذلک العرض باعتبار صدوره عنها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المبدأ لا بشرط بالقیاس إلی قیامه بمعروضه فی قبال لحاظه مجردا عن ذلک، لا یکفی فی صحة و تمامیة عنوان المشتق، بل</w:t>
      </w:r>
    </w:p>
    <w:p>
      <w:pPr>
        <w:pStyle w:val="BookText"/>
        <w:rPr/>
      </w:pPr>
      <w:r>
        <w:rPr>
          <w:rFonts w:ascii="IRNazanin" w:hAnsi="IRNazanin" w:eastAsia="IRNazanin"/>
          <w:color w:val="111111"/>
          <w:sz w:val="28"/>
          <w:sz w:val="28"/>
          <w:szCs w:val="28"/>
          <w:rtl w:val="true"/>
          <w:lang w:bidi="fa-IR"/>
        </w:rPr>
        <w:t>لا بد من لحاظ ذلک القیام علی وجه العنوانیة، فلا یخرج المشتق عن کون المبدأ فیه ملحوظا بشرط شی‌ء،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فالمراد بالعرض هنا هو مطلق ما کان خارجا عن الذات ممّا یصحّ نسبته إلیها و لو بنحو من الاعتبار، فیشمل الامکان و الامتناع و الوجوب، و الحرمة و الوجوب، و لیس هو مختصّا بالأعراض الاصطلاحیة، کما أنّ المراد من قول شیخنا قدّس سرّه فی التقریر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النعت الاصطلاحی فی النحو کی یرد علیه أنه لا یصح النعتیة فی ملابسات الفعل کالزمان و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بل المراد به ما یکون عنوانا له و معرّفا بقرینة عطفه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یکون مرآة و معرّفا لموضوعه و نعتا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لیس المراد بالموضوع هو فاعله بل کل ما یلابس المبدأ، کما أنه لیس المراد من الاتحاد فی المقام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الاتحاد الخارجی بل </w:t>
      </w:r>
      <w:r>
        <w:rPr>
          <w:rStyle w:val="FootnoteAnchor"/>
          <w:rtl w:val="true"/>
        </w:rPr>
        <w:footnoteReference w:id="577"/>
      </w:r>
      <w:r>
        <w:rPr>
          <w:rFonts w:ascii="Amiri" w:hAnsi="Amiri" w:eastAsia="Amiri" w:cs="Amiri"/>
          <w:color w:val="111111"/>
          <w:sz w:val="28"/>
          <w:sz w:val="28"/>
          <w:szCs w:val="28"/>
          <w:rtl w:val="true"/>
          <w:lang w:bidi="ar-SA"/>
        </w:rPr>
        <w:t xml:space="preserve">ما تقدّمت </w:t>
      </w:r>
      <w:r>
        <w:rPr>
          <w:rStyle w:val="FootnoteAnchor"/>
          <w:rtl w:val="true"/>
        </w:rPr>
        <w:footnoteReference w:id="578"/>
      </w:r>
      <w:r>
        <w:rPr>
          <w:rFonts w:ascii="IRNazanin" w:hAnsi="IRNazanin" w:eastAsia="IRNazanin"/>
          <w:color w:val="111111"/>
          <w:sz w:val="28"/>
          <w:sz w:val="28"/>
          <w:szCs w:val="28"/>
          <w:rtl w:val="true"/>
          <w:lang w:bidi="fa-IR"/>
        </w:rPr>
        <w:t xml:space="preserve">الاشارة إلیه من جعله جاریا علیه و عنوانا له و محمولا علیه باعتبار کونه عنوانا له منتزعا عن تلبسه بالمبدإ کما تقدّمت الاشارة إلیه، و من ذلک کله یتّضح لک النظر فی الامور الثلاثة التی ذکرها فی الحاشیة ص </w:t>
      </w:r>
      <w:r>
        <w:rPr>
          <w:rFonts w:eastAsia="IRNazanin" w:cs="IRNazanin"/>
          <w:color w:val="111111"/>
          <w:sz w:val="28"/>
          <w:szCs w:val="28"/>
          <w:lang w:bidi="fa-IR"/>
        </w:rPr>
        <w:t>73</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ما ذکرناه من الفرق بین المصدر و اسم المصدر، بأنّ الحدث فی الأول ملحوظ فیه الانتساب و الثانی ملحوظ بشرط لا، و أنّ کل اسم من أسماء الحدث مثل الضرب إن لوحظ باللحاظ الأول کان مصدرا و إن لوحظ باللحاظ الثانی کان اسم مصدر، لا ینافی ما ربما ینقل عن بعض</w:t>
      </w:r>
    </w:p>
    <w:p>
      <w:pPr>
        <w:pStyle w:val="BookText"/>
        <w:rPr/>
      </w:pPr>
      <w:r>
        <w:rPr>
          <w:rFonts w:ascii="IRNazanin" w:hAnsi="IRNazanin" w:eastAsia="IRNazanin"/>
          <w:color w:val="111111"/>
          <w:sz w:val="28"/>
          <w:sz w:val="28"/>
          <w:szCs w:val="28"/>
          <w:rtl w:val="true"/>
          <w:lang w:bidi="fa-IR"/>
        </w:rPr>
        <w:t>أهل اللغة من اختصاص بعض الهیئات بالمصدر و بعضها باسم المصدر،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بالضم اسم مصدر، فإنّ ذلک إن ثبت لا ینافی ما ذکرناه بینهما من الفرق المعنوی، فإنّ وجود الفارق اللفظی فی بعض المواد لا ینافی ذلک الفارق المعنوی الذی هو أساس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أن یحرر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الفرق بین الوضع النوعی و الوضع الشخصی، و أنّ الموضوع فی الأول کلی تحته أنواع مثل هیئة فاعل، فإنّ هذه الهیئة کلی تحته أنواع و هی ضارب و ناصر و عالم و غیر ذلک، و هذا بخلاف الوضع الشخصی مثل رجل فان الموضوع فیه کلی تحته أفراد و هی هذه اللفظة الموجودة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اللفظة المذکورة التی تنطق بها الآن فرد و التی تنطق بها ثانیا فرد آخر،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هیئة المشتق موضوعة بالوضع النوعی، فکذلک مادته أیضا موضوعة بالوضع النوعی،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مادة الضرب موضوعة للحدث الخاص، سواء کانت تلک المادة موجودة فی ضمن ضرب أو فی ضمن یضرب أو فی ضمن ضارب، فکما أن الهیئة کلی تحته أنواع باعتبار المواد، فکذلک المادة کلی تحته أنواع باعتبار تلبسها بهیئات مختلفة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اصطلاح آخر للوضع النوعی و هو فی عالم المعانی دون الألفاظ، و ذلک ما یقال من أنّ المجاز موضوع بالوضع النوعی الکلی القانونی، بأنّ یدعی أن الواضع لمّا وضع لفظة الأسد للحیوان المفترس فقد وضعها وضعا ثانیا کلیا قانونیا لکل ما یناسب ذلک الحیوان المفترس بشی‌ء</w:t>
      </w:r>
    </w:p>
    <w:p>
      <w:pPr>
        <w:pStyle w:val="BookText"/>
        <w:rPr/>
      </w:pPr>
      <w:r>
        <w:rPr>
          <w:rFonts w:ascii="IRNazanin" w:hAnsi="IRNazanin" w:eastAsia="IRNazanin"/>
          <w:color w:val="111111"/>
          <w:sz w:val="28"/>
          <w:sz w:val="28"/>
          <w:szCs w:val="28"/>
          <w:rtl w:val="true"/>
          <w:lang w:bidi="fa-IR"/>
        </w:rPr>
        <w:t>من جهاته کالشجاعة و البخر أو الطول أو العرض و نحو ذلک ممّا یکون من الخواص الظاهرة فی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الوضع القانونی لو سلّمناه یکون وضعا نوعیا، إذ لم یکن المعنی الموضوع له فیه إلّا کلیا تحته أنواع من المعانی، فالمشابه للحیوان المفترس کلی تحته مشابهه فی الشجاعة و مشابهه فی البخر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بل إن نفس ما یشابهه فی الشجاعة أیضا تحته أنواع و هی الرجل الشجاع و الذئب الشجاع و غیر ذلک من أنواع الحیوان، و قد تقدم </w:t>
      </w:r>
      <w:r>
        <w:rPr>
          <w:rStyle w:val="FootnoteAnchor"/>
          <w:rtl w:val="true"/>
        </w:rPr>
        <w:footnoteReference w:id="580"/>
      </w:r>
      <w:r>
        <w:rPr>
          <w:rFonts w:ascii="IRNazanin" w:hAnsi="IRNazanin" w:eastAsia="IRNazanin"/>
          <w:color w:val="111111"/>
          <w:sz w:val="28"/>
          <w:sz w:val="28"/>
          <w:szCs w:val="28"/>
          <w:rtl w:val="true"/>
          <w:lang w:bidi="fa-IR"/>
        </w:rPr>
        <w:t>الکلام فی الوضع النوعی فی المشتقات، سواء کان من حیث المادة أو کان من حیث الهیئة، و أنها کسائر الموضوعات موضوعة بوضع واحد مادة و هیئة لحاصل معناها خصوصا فی المشتقات الاسمیة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الظاهر من اللابشرطیة أو بشرط لا أو بشرط شی‌ء إنما هو بالقیاس إلی الطوارئ الطارئة علی الطبیعة، و أما إن اخذ بالقیاس إلی الحمل و عدمه فذلک لا محصل له فی مبدأ الاشتقاق حتی لو کان المادة الموجودة فی ضمن جمیع المشتقات التی قلنا إنها لا وجود لها فی عالم الألفاظ و لا فی عالم المعنی، فإن نفس المبدأ لا یحمل علی الذات و إن اخذ لا بشرط بالقیاس إلی الحمل علی الذات، بل حتی لو اخذ بشرط شی‌ء الذی هو الحمل، فإن نفس المبدأ لا یحمل علی الذات، و أخذه بشرط شی‌ء أو أخذه لا بشرط مناقض لمفاده الذی هو نفس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صحة حمل المشتق مثل الضارب علی الذات أعنی زیدا مثلا فذلک لا دخل لهذه الجهات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Style w:val="FootnoteAnchor"/>
          <w:rtl w:val="true"/>
        </w:rPr>
        <w:footnoteReference w:id="581"/>
      </w:r>
      <w:r>
        <w:rPr>
          <w:rFonts w:ascii="IRNazanin" w:hAnsi="IRNazanin" w:eastAsia="IRNazanin"/>
          <w:color w:val="111111"/>
          <w:sz w:val="28"/>
          <w:sz w:val="28"/>
          <w:szCs w:val="28"/>
          <w:rtl w:val="true"/>
          <w:lang w:bidi="fa-IR"/>
        </w:rPr>
        <w:t>، و إنّما مصحّح الحمل فیه هو ما عرفت من کونه عنوانا للذات باعتبار جهة زائدة علی الذات علی ما عرفت تفصیل الکلام فیه</w:t>
      </w:r>
      <w:r>
        <w:rPr>
          <w:rFonts w:eastAsia="IRNazanin" w:cs="IRNazanin"/>
          <w:color w:val="111111"/>
          <w:sz w:val="28"/>
          <w:szCs w:val="28"/>
          <w:rtl w:val="true"/>
          <w:lang w:bidi="fa-IR"/>
        </w:rPr>
        <w:t>.</w:t>
      </w:r>
      <w:bookmarkStart w:id="475" w:name="pg19834_212348"/>
    </w:p>
    <w:p>
      <w:pPr>
        <w:pStyle w:val="BookText"/>
        <w:rPr/>
      </w:pPr>
      <w:bookmarkEnd w:id="475"/>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المشتق کما عرفت سابقا لیس إلّا ما لوحظ المبدأ فیه بحیث یتحد مع الذات و ینطبق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اشکل علیه کما فی الحاشیة ص </w:t>
      </w:r>
      <w:r>
        <w:rPr>
          <w:rFonts w:eastAsia="IRNazanin" w:cs="IRNazanin"/>
          <w:color w:val="111111"/>
          <w:sz w:val="28"/>
          <w:szCs w:val="28"/>
          <w:lang w:bidi="fa-IR"/>
        </w:rPr>
        <w:t>66</w:t>
      </w:r>
      <w:r>
        <w:rPr>
          <w:rStyle w:val="FootnoteAnchor"/>
          <w:rtl w:val="true"/>
        </w:rPr>
        <w:footnoteReference w:id="583"/>
      </w:r>
      <w:r>
        <w:rPr>
          <w:rFonts w:ascii="IRNazanin" w:hAnsi="IRNazanin" w:eastAsia="IRNazanin"/>
          <w:color w:val="111111"/>
          <w:sz w:val="28"/>
          <w:sz w:val="28"/>
          <w:szCs w:val="28"/>
          <w:rtl w:val="true"/>
          <w:lang w:bidi="fa-IR"/>
        </w:rPr>
        <w:t xml:space="preserve">بأنّ المبدأ یستحیل اتحاده مع ما یقوم به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المبدأ لیس هو المصدر و لا اسم المصدر ممّا یستحیل انطباقه علی الذات، بل هو المادة الهیولائیة المنبثة فی جمیع المشتقات، و کما أن تلک المادة لفظا لا وجود لها وحدها فی عالم الألفاظ، فکذلک معناها لا ینوجد فی حدّ نفسه فی عالم المعانی، بل کما أنّ لفظها سار فی جمیع المشتقات متکیّف باحدی الکیفیات من الهیئات، فکذلک معناها یکون متکیّفا باحدی الکیفیات المعنویة الطارئة علی 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تلک الکیفیات المعنویة لحاظه عنوانا للذات التی یقوم بها و لو بواسطة صدوره عنها أو قیامه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لیس المراد من الاتحاد هنا هو اتحاد نفس العرض بالذات لیرد علیه المحالیة، بل المراد بالاتحاد الاتحاد الصدقی بواسطة الاشتقاق علی وجه یؤخذ من ذلک المبدأ عنوانا یکون منطبقا علی الذات و متحدا معها اتحاد الحاکی و المحکی</w:t>
      </w:r>
      <w:r>
        <w:rPr>
          <w:rFonts w:eastAsia="IRNazanin" w:cs="IRNazanin"/>
          <w:color w:val="111111"/>
          <w:sz w:val="28"/>
          <w:szCs w:val="28"/>
          <w:rtl w:val="true"/>
          <w:lang w:bidi="fa-IR"/>
        </w:rPr>
        <w:t>.</w:t>
      </w:r>
    </w:p>
    <w:p>
      <w:pPr>
        <w:pStyle w:val="Heading4"/>
        <w:numPr>
          <w:ilvl w:val="3"/>
          <w:numId w:val="1"/>
        </w:numPr>
        <w:rPr/>
      </w:pPr>
      <w:bookmarkStart w:id="476" w:name="__RefHeading___Toc3493767_2314609296"/>
      <w:bookmarkStart w:id="477" w:name="_Toc176"/>
      <w:bookmarkEnd w:id="476"/>
      <w:r>
        <w:rPr>
          <w:rtl w:val="true"/>
        </w:rPr>
        <w:t>[</w:t>
      </w:r>
      <w:r>
        <w:rPr>
          <w:rtl w:val="true"/>
        </w:rPr>
        <w:t>البرهان علی بساطة المشتق</w:t>
      </w:r>
      <w:bookmarkEnd w:id="47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الکلام فی أنّ مفاد تلک الهیئة هل هو مجرد ذلک الاتحاد، أو هو انتساب المبدأ إلی الذات، أو هو عنوانیة المبدأ للذات باعتبار انتسابه إلیها، أو لا هذا و لا ذاک و لا مادة و لا هیئة کما عرفت الاشارة إلیه من أنّ المجموع من المادة و الهیئة موضوع بوضع واحد لمعنی واحد کسائر</w:t>
      </w:r>
    </w:p>
    <w:p>
      <w:pPr>
        <w:pStyle w:val="BookText"/>
        <w:rPr/>
      </w:pPr>
      <w:r>
        <w:rPr>
          <w:rFonts w:ascii="IRNazanin" w:hAnsi="IRNazanin" w:eastAsia="IRNazanin"/>
          <w:color w:val="111111"/>
          <w:sz w:val="28"/>
          <w:sz w:val="28"/>
          <w:szCs w:val="28"/>
          <w:rtl w:val="true"/>
          <w:lang w:bidi="fa-IR"/>
        </w:rPr>
        <w:t>الأسماء التی هی عناوین الذات، غایته أنه أعنی المشتق عنوان منتزع من الذات باعتبار تلبسها بالمبدإ لا باعتبار نفسها کما فی الحجر و الانسان، و لأجل أن منشأ انتزاع هذه العنوانیة للذات هو تلبسها بالمبدإ یری الرائی أو یتخیل المتخیل أنّها متضمنة للنسبة، فیقال إن معنی ضارب هو ذات وقع الضرب منها أو ثبت لها الضرب، و لکن ذلک جار فی الجوامد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حجر، ذات أو شی‌ء له الحجریة، و غیر ذلک من التعبیرات التسامحیة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مراجعة ما علّقناه </w:t>
      </w:r>
      <w:r>
        <w:rPr>
          <w:rStyle w:val="FootnoteAnchor"/>
          <w:rtl w:val="true"/>
        </w:rPr>
        <w:footnoteReference w:id="584"/>
      </w:r>
      <w:r>
        <w:rPr>
          <w:rFonts w:ascii="IRNazanin" w:hAnsi="IRNazanin" w:eastAsia="IRNazanin"/>
          <w:color w:val="111111"/>
          <w:sz w:val="28"/>
          <w:sz w:val="28"/>
          <w:szCs w:val="28"/>
          <w:rtl w:val="true"/>
          <w:lang w:bidi="fa-IR"/>
        </w:rPr>
        <w:t>علی الکفایة فی هذه المقامات أعنی مقام بساطة المشتق أو ترکبه و مقام الفرق بین المشتق و بین مبدئه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 طریق الإن، فانه لو کان المشتق دالا علی النسبة التی هی معنی حرفی فلا محالة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أشکل علیه کما فی الحاشیة علی ص </w:t>
      </w:r>
      <w:r>
        <w:rPr>
          <w:rFonts w:eastAsia="IRNazanin" w:cs="IRNazanin"/>
          <w:color w:val="111111"/>
          <w:sz w:val="28"/>
          <w:szCs w:val="28"/>
          <w:lang w:bidi="fa-IR"/>
        </w:rPr>
        <w:t>66</w:t>
      </w:r>
      <w:r>
        <w:rPr>
          <w:rStyle w:val="FootnoteAnchor"/>
          <w:rtl w:val="true"/>
        </w:rPr>
        <w:footnoteReference w:id="586"/>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الدال علی النسبة هو الهیئة، و ذلک أجنبی عن کون الاسم الذی هو المادة فیما نحن فیه متضمنا لمعنی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البرهان ذکره قدّس سرّه </w:t>
      </w:r>
      <w:r>
        <w:rPr>
          <w:rStyle w:val="FootnoteAnchor"/>
          <w:rtl w:val="true"/>
        </w:rPr>
        <w:footnoteReference w:id="587"/>
      </w:r>
      <w:r>
        <w:rPr>
          <w:rFonts w:ascii="IRNazanin" w:hAnsi="IRNazanin" w:eastAsia="IRNazanin"/>
          <w:color w:val="111111"/>
          <w:sz w:val="28"/>
          <w:sz w:val="28"/>
          <w:szCs w:val="28"/>
          <w:rtl w:val="true"/>
          <w:lang w:bidi="fa-IR"/>
        </w:rPr>
        <w:t>أیضا فی دلالة المصدر مادة أو هیئة علی النسبة، و یتوجه علیه هناک ما یتوجه علیه هنا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یبعد أنّ مراد شیخنا قدّس سرّه الاشکال علی القائلین بأنّ المشتق أو المصدر المتضمّن لمعنی النسبة اسم، و حاصل الاشکال أنه إذا کان المشتق بمجموعه مادة و هیئة اسما و مع ذلک یتضمن النسبة، ورد علیهم کونه کسائر الأسماء المتضمنة لمعنی الحروف، و إن لم یکن بمجموعه اسما بل کان</w:t>
      </w:r>
    </w:p>
    <w:p>
      <w:pPr>
        <w:pStyle w:val="BookText"/>
        <w:rPr/>
      </w:pPr>
      <w:r>
        <w:rPr>
          <w:rFonts w:ascii="IRNazanin" w:hAnsi="IRNazanin" w:eastAsia="IRNazanin"/>
          <w:color w:val="111111"/>
          <w:sz w:val="28"/>
          <w:sz w:val="28"/>
          <w:szCs w:val="28"/>
          <w:rtl w:val="true"/>
          <w:lang w:bidi="fa-IR"/>
        </w:rPr>
        <w:t>الاسم هو المادة نفسها، و کانت الهیئة دالة علی النسبة، انتقض ما قالوه من کونه اسما، و عاد المشتق مرکبا من الاسم و الحرف، و لا شک أنّهم لا یقولون بأنه مرکب من الاسم و الحرف، بل هم قائلون بأنّه اسم کسائر الاسماء، و حینئذ یتوجه علی إدخالهم النسبة فی معناه لزوم البناء لتضمنه معنی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عین هذا الاشکال یتوجه علی شیخنا قدّس سرّه فانه ملتزم بالمادة و الهیئة، غایته أنه قدّس سرّه یقول بأن مفاد الهیئة هو إفادة اتحاد المبدأ مع موضوعه، و حینئذ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هو ترکب المشتق من اسم هو المادة و هیئة هی الحرف، أیّ شی‌ء کان مدلولها، سواء کان هو النسبة أو کان هو إیجاد الاتحاد بین المبدأ و موضوعه، حیث إن مفاد الهیئة آلی و لا یعقل کون مفادها استقلالیا، و حینئذ یتوجه علیه من الاشکال ما توجه علی القول بأنّ مفادها النسبة،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لک الاشکال فیما تضمّنه تقریر المرحوم الشیخ محمد علی قدّس سرّه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محیص عن القول بأنّ هیئة المشتق موضوعة بوضع استقلالی اسمی للعنوان المتولد من قیام العرض بمحلّه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8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المجموع من المادة و الهیئة موضوع بوضع استقلالی اسمی للعنوان المنتزع المتولد من قیام العرض بمحله،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اجیب عن الشق الأول بوجهین،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الناطق إنّما اعتبر فصلا مقوّما للانسان مع التجرید عن معناه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فی تقریب الاشکال الأول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کون</w:t>
      </w:r>
      <w:bookmarkStart w:id="478" w:name="pg19834_212351"/>
    </w:p>
    <w:p>
      <w:pPr>
        <w:pStyle w:val="BookText"/>
        <w:rPr/>
      </w:pPr>
      <w:bookmarkEnd w:id="478"/>
      <w:r>
        <w:rPr>
          <w:rFonts w:ascii="IRNazanin" w:hAnsi="IRNazanin" w:eastAsia="IRNazanin"/>
          <w:color w:val="111111"/>
          <w:sz w:val="28"/>
          <w:sz w:val="28"/>
          <w:szCs w:val="28"/>
          <w:rtl w:val="true"/>
          <w:lang w:bidi="fa-IR"/>
        </w:rPr>
        <w:t>الناطق بسیطا سواء کان فصلا أو کان خاصة، و حینئذ یستحیل أخذ شی‌ء فی مفهومه، سواء کان ذلک الشی‌ء عرضا عاما أو کان جنسا أو کان فصلا أو کان نوعا، لاستحالة أخذ واحد من هذه الامور فی کل من الفصل و الخاصة</w:t>
      </w:r>
      <w:r>
        <w:rPr>
          <w:rFonts w:eastAsia="IRNazanin" w:cs="IRNazanin"/>
          <w:color w:val="111111"/>
          <w:sz w:val="28"/>
          <w:szCs w:val="28"/>
          <w:rtl w:val="true"/>
          <w:lang w:bidi="fa-IR"/>
        </w:rPr>
        <w:t>.</w:t>
      </w:r>
    </w:p>
    <w:p>
      <w:pPr>
        <w:pStyle w:val="Heading4"/>
        <w:numPr>
          <w:ilvl w:val="3"/>
          <w:numId w:val="1"/>
        </w:numPr>
        <w:rPr/>
      </w:pPr>
      <w:bookmarkStart w:id="479" w:name="__RefHeading___Toc3493769_2314609296"/>
      <w:bookmarkStart w:id="480" w:name="_Toc177"/>
      <w:bookmarkEnd w:id="479"/>
      <w:r>
        <w:rPr>
          <w:rtl w:val="true"/>
        </w:rPr>
        <w:t>[</w:t>
      </w:r>
      <w:r>
        <w:rPr>
          <w:rtl w:val="true"/>
        </w:rPr>
        <w:t>برهان السید الشریف علی استحالة الترکب</w:t>
      </w:r>
      <w:bookmarkEnd w:id="480"/>
    </w:p>
    <w:p>
      <w:pPr>
        <w:pStyle w:val="BookText"/>
        <w:rPr/>
      </w:pPr>
      <w:r>
        <w:rPr>
          <w:rFonts w:ascii="IRNazanin" w:hAnsi="IRNazanin" w:eastAsia="IRNazanin"/>
          <w:color w:val="111111"/>
          <w:sz w:val="28"/>
          <w:sz w:val="28"/>
          <w:szCs w:val="28"/>
          <w:rtl w:val="true"/>
          <w:lang w:bidi="fa-IR"/>
        </w:rPr>
        <w:t>أمّا الاشکال الثانی فالأولی فی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استحالة أخذ المصداق فی المفهوم و إن لم یکن فی البین انقلاب مادة الامکان إلی الضرورة،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جنسا عالیا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یلزم ترکب مفاهیم الأعراض من الجنس و الفصل مع أنّه لا إشکال فی بساطة مفاهیمها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المتسالم علیه فی باب الأعراض هو بساطتها بمعنی أنّ ما به الاشتراک فیها عین 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هو دخول الجنس فی الفصل لا دخول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إشکال فی تمامیة مدعی المحقق الشریف و هو خروج مفهوم الشی‌ء عن مفاهیم المشتقات، سواء کان محذور دخوله فیها هو أخذ العرض العام فی الفصل أو الجنس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محذور أخذ مفهوم الشی‌ء فیها هو أخذ الجنس البعید فی الفصل و محذور أخذ مفهوم الذات هو أخذ الجنس القریب فیه، و لا فرق فی الاستحالة بین الأمرین أصلا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أنه قدّس سرّه قد التزم بأنّ مفهوم الشی‌ء جنس مشترک بین الأجناس العالیة التی هی بسائط، فلا بد أن یکون جنسا لها و للأنواع و الأجناس و الفصول التی هی تحت أحد تلک الأجناس العالیة الذی هو</w:t>
      </w:r>
    </w:p>
    <w:p>
      <w:pPr>
        <w:pStyle w:val="BookText"/>
        <w:rPr/>
      </w:pPr>
      <w:r>
        <w:rPr>
          <w:rFonts w:ascii="IRNazanin" w:hAnsi="IRNazanin" w:eastAsia="IRNazanin"/>
          <w:color w:val="111111"/>
          <w:sz w:val="28"/>
          <w:sz w:val="28"/>
          <w:szCs w:val="28"/>
          <w:rtl w:val="true"/>
          <w:lang w:bidi="fa-IR"/>
        </w:rPr>
        <w:t>الجوهر، و ذلک عبارة اخری عن کون الشی‌ء جنسا للفصول و منها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اشتراکه بین البسائط، بأنّ ما به الاشتراک عین ما به الامتیاز، فلا مانع من کون مفهوم الشی‌ء مشترکا بین مقولة الکیف و الکم مثلا، کما أنه لا مانع من کونه مشترکا بین الکیف و بین الانسان مثلا، و حینئذ یتوجه علیه أنه لا مانع من کون هذا الجنس الذی هو مفهوم الشی‌ء مشترکا بین الناطق الذی هو الفصل و بین الفرس مثلا، أو بین الناطق الذی هو فصل الانسان و بین الصاهل الذی هو فصل الفرس، لأنّ ما به الاشتراک فی الفصل الذی هو البسیط عین ما به الامتیاز، سواء کان مقابله فصلا مثله أو کان مقابله مرکبا کنوع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اجیب عن الشق الثانی بأنّ ثبوت مصداق 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یختار الوجه الثانی أیضا، و یجاب بأن المحمول لیس مصداق الشی‌ء و الذات مطلقا بل مقیدا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ثبوته للموضوع حینئذ بالضرورة، لجواز أن لا یکون ثبوت القید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لأن الذات المأخوذة مقیدة بالوصف قوة أو فعلا إن کانت مقیدة به واقعا، صدق الایجاب بالضرورة، و إلا صدق السلب بالضرورة، مثلا لا یصدق زید کاتب بالضرورة، لکن یصدق زید الکاتب بالقوة أو بالفعل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ما أفاده شیخنا قدّس سرّه فی الایراد علی الجزء الأول من کلام</w:t>
      </w:r>
    </w:p>
    <w:p>
      <w:pPr>
        <w:pStyle w:val="BookText"/>
        <w:rPr/>
      </w:pPr>
      <w:r>
        <w:rPr>
          <w:rFonts w:ascii="IRNazanin" w:hAnsi="IRNazanin" w:eastAsia="IRNazanin"/>
          <w:color w:val="111111"/>
          <w:sz w:val="28"/>
          <w:sz w:val="28"/>
          <w:szCs w:val="28"/>
          <w:rtl w:val="true"/>
          <w:lang w:bidi="fa-IR"/>
        </w:rPr>
        <w:t>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أفاده فی الکفایة</w:t>
      </w:r>
      <w:r>
        <w:rPr>
          <w:rStyle w:val="FootnoteAnchor"/>
          <w:rtl w:val="true"/>
        </w:rPr>
        <w:footnoteReference w:id="593"/>
      </w:r>
      <w:r>
        <w:rPr>
          <w:rFonts w:ascii="IRNazanin" w:hAnsi="IRNazanin" w:eastAsia="IRNazanin"/>
          <w:color w:val="111111"/>
          <w:sz w:val="28"/>
          <w:sz w:val="28"/>
          <w:szCs w:val="28"/>
          <w:rtl w:val="true"/>
          <w:lang w:bidi="fa-IR"/>
        </w:rPr>
        <w:t>، و ذلک هو أن القید إن لم یکن داخلا فی الحمل کانت القضیة ضروریة، و إن کان داخلا کانت القضیة منحلة إلی قضیتین، قضیة حمل الذات فی طرف المحمول علی الذات فی طرف الموضوع و هی ضروریة، و قضیة حمل القید فی طرف المحمول علی الذات فی طرف الموضوع و هی غیر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اکتفیا فی تحقق الانقلاب بالقضیة الاولی، و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صاحب الکفایة قدّس سرّه عقّب ذلک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الأوصاف قبل العلم بها أخبار، کما أنّ الأخبار بعد العلم بها تکون أوصافا، فعقد الحمل ینحل إلی قضیة کما أنّ عقد الوضع ینحل إلی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 انحلال عقد الحمل الذی هو مرکب من الذات فی طرف المحمول المقیدة بمثل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قضیة، لا ینتج إلا حمل القید علی الذات فی طرف المحمول، و ذلک لا دخل له بصدر الکلام من کون القضیة الثانیة هی حمل القید فی طرف المحمول علی الذات فی طرف الموضوع إلّا بتطویل المسافة، بأن نقول إن الذات فی طرف المحمول لمّا کانت هی عین الذات فی طرف الموضوع، کان البرهان القاضی بأن التوصیف فی طرف المحمول راجع إلی القضیة، تکون هذه القضیة المتضمنة لحمل القید علی الذات فی طرف المحمول عین القضیة التی تتضمّن حمل ذلک القید علی الذات فی طرف الموضوع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أفاده صاحب الفصول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یرید به هو أن المحمول بواسطة اشتماله علی تقیید الذات بالقید المزبور یتضمن قضیة</w:t>
      </w:r>
    </w:p>
    <w:p>
      <w:pPr>
        <w:pStyle w:val="BookText"/>
        <w:rPr/>
      </w:pPr>
      <w:r>
        <w:rPr>
          <w:rFonts w:ascii="IRNazanin" w:hAnsi="IRNazanin" w:eastAsia="IRNazanin"/>
          <w:color w:val="111111"/>
          <w:sz w:val="28"/>
          <w:sz w:val="28"/>
          <w:szCs w:val="28"/>
          <w:rtl w:val="true"/>
          <w:lang w:bidi="fa-IR"/>
        </w:rPr>
        <w:t>و هی أنّ الذات فی طرف المحمول محمول علیها وصف الکتابة بالقوة أو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القضیة التی هی فی طرف المحمول محمولة برمّتها موضوعا و محمولا علی الذات التی فی طرف الموضوع، فقولنا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ینحلّ بناء علی الترکیب إلی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القضیة التی هی فی طرف المحمول إن کانت صادقة کان حملها برمّتها علی زید فی طرف الموضوع بضرورة الایجاب، و إلا کان حملها علیه بضرورة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بذلک ما نقله بعض السادة من مشایخنا قدّس سرّهم أنّ النسخ القدیمة من الفصول تشتمل علی تکرار لفظ زید فی قوله زید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ان کان المضمون المذکور لا یتوقف علی زیادتها لکفایة الألف و اللام عن تکرار زید،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یبعد الجزم بأنّ فی العبارة سقطا، و ذلک الساقط إمّا هو لفظ زید الثانی، فیکون معنی العبارة هو ما ذکرناه، و إما أن یکون الساقط هو لفظ کاتب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الصحیح هو بهذا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یصدق زید الکاتب کاتب بالقوة أو بالفعل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مفادها هو ما ذکروه من أخذ المحمول قیدا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أخذ المحمول قیدا فی الموضوع یوجب الانقلاب إلی الضرورة، سواء قلنا إنّ مفهوم المشتق بسیط أو قلنا بأنه مرکب، و لا یکون ذلک مختصا بالقول بالترکیب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فی آخر العبارة مما مفاده اختصاص الاشکال بالترکب من مفهوم الذات أو مصداقها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فکأنّه یومئ إلی الترکب من المادة و الهیئة الدالة علی النسبة الناقصة، فذلک ممّا لا یمنعه البرهان المذکور، فلاحظ و تدبر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أن البرهان علی هذه القضیة فی طرف المحمول هو</w:t>
      </w:r>
    </w:p>
    <w:p>
      <w:pPr>
        <w:pStyle w:val="BookText"/>
        <w:rPr/>
      </w:pPr>
      <w:r>
        <w:rPr>
          <w:rFonts w:ascii="IRNazanin" w:hAnsi="IRNazanin" w:eastAsia="IRNazanin"/>
          <w:color w:val="111111"/>
          <w:sz w:val="28"/>
          <w:sz w:val="28"/>
          <w:szCs w:val="28"/>
          <w:rtl w:val="true"/>
          <w:lang w:bidi="fa-IR"/>
        </w:rPr>
        <w:t>ما أفاده فی الکفایة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الأوصاف قبل العلم بها 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کأن شیخنا قدّس سرّه و کذلک صاحب الکفایة قدّس سرّه فهما من قول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مقیدة به واقعا صدق الایجاب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الفصول یرید أن یقیّد الذات فی طرف الموضوع بکونها کاتبة، ثم بعد هذا التقیید یحمل علیه عنوان الکاتب، فأوردا علیه بأنّ ذلک من قبیل الضرورة بشرط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قد عرفت أنّ مراده هو أن القضیة الثانیة التی هی فی طرف المحمول إن کانت صادقة و مطابقة للواقع کان حملها برمّتها علی الذات فی طرف الموضوع بالضرورة الایجابیة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تحلیل الترکیب التقییدی فی ناحیة المحمول إلی ترکیب حملی لا یزید نغمة الطنبور و لا ینقصها، فإنّ الاشکال الذی أورده علی التقیید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المحمول لیس مصداق الشی‌ء و الذات مطلقا بل مقیدا بالوصف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جار فی انحلال ذلک التقیید إلی الجملة الحملیة،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قلنا زید زید کاتب، لم یکن زید الثانی محمولا مطلقا علی زید الأول، بل کان المحمول هو زید الثانی المحمول علیه کاتب، و لا یکون حینئذ حمله علیه ضروریا لجواز کون الکاتب غیر ضروری، و حینئذ یتوجه علیه ما أفاداه قدّس سرّهما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القضیة الحملیة أعنی قولنا زید کاتب فی حملها علی زید الذی طرف الموضوع إن لم یکن محمولها دخیلا فی الحمل و کان المحمول هو نفس زید کانت القضیة ضروریة، و إن کان محمولها دخیلا فی الحمل انحل حملها علی زید الأول إلی 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موضوعها علی الموضوع و حمل محمولها علی ذلک الموضوع أیضا، و الاولی ضروریة قطعا و أما الثانیة فهی غیر ضروریة إلّا إذا أخذنا المحمول فیها قیدا فی الموضوع، فلاحظ و تأمل</w:t>
      </w:r>
      <w:r>
        <w:rPr>
          <w:rFonts w:eastAsia="IRNazanin" w:cs="IRNazanin"/>
          <w:color w:val="111111"/>
          <w:sz w:val="28"/>
          <w:szCs w:val="28"/>
          <w:rtl w:val="true"/>
          <w:lang w:bidi="fa-IR"/>
        </w:rPr>
        <w:t>.</w:t>
      </w:r>
      <w:bookmarkStart w:id="481" w:name="pg19834_212356"/>
    </w:p>
    <w:p>
      <w:pPr>
        <w:pStyle w:val="Heading4"/>
        <w:numPr>
          <w:ilvl w:val="3"/>
          <w:numId w:val="1"/>
        </w:numPr>
        <w:rPr/>
      </w:pPr>
      <w:bookmarkStart w:id="482" w:name="__RefHeading___Toc3493771_2314609296"/>
      <w:bookmarkStart w:id="483" w:name="_Toc178"/>
      <w:bookmarkEnd w:id="481"/>
      <w:bookmarkEnd w:id="482"/>
      <w:r>
        <w:rPr>
          <w:rtl w:val="true"/>
        </w:rPr>
        <w:t>[</w:t>
      </w:r>
      <w:r>
        <w:rPr>
          <w:rtl w:val="true"/>
        </w:rPr>
        <w:t>الأقوال فی وضع المشتق و المختار فیه</w:t>
      </w:r>
      <w:bookmarkEnd w:id="48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قلنا بالبساطة فانه علیه لیس المشتق إلّا نفس المبدأ المأخوذ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المتّصف بالعناوین الاشتقاقیة هی الذوات، و هی باقیة بعد زوال التلبس، فیصح الاستعمال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دعوی التهافت بین هاتین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هو الجملة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الاولی و هی کون المشتق نفس المبدأ لا بشرط، فقد عرفت الاشکال فیها، و أن المبدأ فی جمیع المشتقات مأخوذ بشرط النسبة، غایة الأمر أن النسبة فیها مختلفة، ففی الفعل صدوریة و فی المشتق تطبیقیة حاصلة من أخذ المشتق عنوانا بسیطا للذات و هو منتزع عنها باعتبار تلبسها بالمبدإ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النظر فیه إلی نفس الحدث بل إن النظر فیه إلی الذات باعتبار تلبسها بالمبدإ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المنظور إلیه فی المشتق هو نفس الحدث کان اللازم عدم صحة الاستعمال بعد انقضائه، و کان أسوأ حالا من الجوامد بعد تبدل صورتها النوعیة إلی صورة اخری، و کان مقتضاه أن لا یصح الاستعمال فی موارد الانقضاء و لو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أجاب به شیخنا قدّس سرّه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نعم إلّا أن المتصف بالعناوین الاشتقاقیة حین الاتصاف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کأنه خروج عن الفرض، إذ المفروض أن المشتق هو نفس المبدأ و ذلک هو التهافت، و نظیر هذه الجملة الاولی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العناوین الاشتقاقیة فانها عین مبادئها و هی بسیطة، فإذا انعدمت المبادئ تنعدم العناوین بالکلیة و لا یبقی شی‌ء أصلا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یظهر لک أن القول ببساطة المشتق لا یوجب القول باعتبار</w:t>
      </w:r>
    </w:p>
    <w:p>
      <w:pPr>
        <w:pStyle w:val="BookText"/>
        <w:rPr/>
      </w:pPr>
      <w:r>
        <w:rPr>
          <w:rFonts w:ascii="IRNazanin" w:hAnsi="IRNazanin" w:eastAsia="IRNazanin"/>
          <w:color w:val="111111"/>
          <w:sz w:val="28"/>
          <w:sz w:val="28"/>
          <w:szCs w:val="28"/>
          <w:rtl w:val="true"/>
          <w:lang w:bidi="fa-IR"/>
        </w:rPr>
        <w:t>التلبس الفعلی، لامکان القول بأنّ هذا العنوان المنتزع عن الذات باعتبار تلبسها بالمبدإ بعد فرض أن کان تمام النظر فیه إلی الذات هو منتزع عنها باعتبار مطلق التلبس و لو فیما مضی، 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التلبس علة فی صدق العنوان، و یقع الکلام فی کونها علة مادامیة أو أنّها محدثة مبقیة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یتّضح لک التأمل فیما أفاده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ذلک، أنه إن قلنا بالوضع للمرکب، فلا محالة یکون الرکن الوطید هو الذات، و انتساب المبدأ إلیها کأنه جهة تعلیلیة لصدق المشتق علیها، و من المعلوم أن النسبة الناقصة التقییدیة لم یؤخذ فیها زمان دون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97"/>
      </w:r>
      <w:r>
        <w:rPr>
          <w:rFonts w:ascii="IRNazanin" w:hAnsi="IRNazanin" w:eastAsia="IRNazanin"/>
          <w:color w:val="111111"/>
          <w:sz w:val="28"/>
          <w:sz w:val="28"/>
          <w:szCs w:val="28"/>
          <w:rtl w:val="true"/>
          <w:lang w:bidi="fa-IR"/>
        </w:rPr>
        <w:t xml:space="preserve">فإنّ الترکیب علی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قبیل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قلنا بالترکب فحیث إن مفهوم المشتق اخذ فیه انتساب المبدأ إلی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98"/>
      </w:r>
      <w:r>
        <w:rPr>
          <w:rFonts w:ascii="IRNazanin" w:hAnsi="IRNazanin" w:eastAsia="IRNazanin"/>
          <w:color w:val="111111"/>
          <w:sz w:val="28"/>
          <w:sz w:val="28"/>
          <w:szCs w:val="28"/>
          <w:rtl w:val="true"/>
          <w:lang w:bidi="fa-IR"/>
        </w:rPr>
        <w:t>لا یکون إلا بأن تکون النسبة دخیلة فی مفهوم المشتق، أما کون الرکن الرکین هو الذات و أن النسبة علة فی صدق العنوان علی الذات فذلک هو عین 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حررته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المنظور إلیه علی القول بالترکیب هو الذات، و قد اخذ تلبسها بالحدث جهة تقییدیة فیها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المراد هنا أنه و إن کان جهة تقییدیة إلّا أنه کأنه جهة تعلیلیة، فلاحظ و تدبر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النسبة الناقصة التقییدیة لم یؤخذ فیها زمان دون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99"/>
      </w:r>
      <w:r>
        <w:rPr>
          <w:rFonts w:ascii="IRNazanin" w:hAnsi="IRNazanin" w:eastAsia="IRNazanin"/>
          <w:color w:val="111111"/>
          <w:sz w:val="28"/>
          <w:sz w:val="28"/>
          <w:szCs w:val="28"/>
          <w:rtl w:val="true"/>
          <w:lang w:bidi="fa-IR"/>
        </w:rPr>
        <w:t>فهو إنّما یصح دلیلا علی کون الموضوع له هو مطلق النسبة لا النسبة الحالیة فی الزمان الحالی، کل ذلک بعد فرض دلالته علی النسبة الذی هو عبارة اخری عن القول بالترکیب، فیکون</w:t>
      </w:r>
    </w:p>
    <w:p>
      <w:pPr>
        <w:pStyle w:val="BookText"/>
        <w:rPr/>
      </w:pPr>
      <w:r>
        <w:rPr>
          <w:rFonts w:ascii="IRNazanin" w:hAnsi="IRNazanin" w:eastAsia="IRNazanin"/>
          <w:color w:val="111111"/>
          <w:sz w:val="28"/>
          <w:sz w:val="28"/>
          <w:szCs w:val="28"/>
          <w:rtl w:val="true"/>
          <w:lang w:bidi="fa-IR"/>
        </w:rPr>
        <w:t>الحاصل حینئذ هو أنا لو قلنا بالترکیب بالمعنی المذکور أمکننا القول بأنه للأعم، بل تعین علینا ذلک، لأن الهیئة الدالة علی النسبة التی هی المنشأ للقول بالترکیب لا دلالة لها علی الزمان الحالی، بل لا دلالة لها علی الزمان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أظن أنّ القائلین بالترکیب یقولون بأنّ هیئة المشتق تتضمّن نسبة الحدث إلی الذات، بل لا یبعد القول بأن هیئته عندهم کما هی عند القائلین بالبساطة، لکنهم یدعون دخول الذات فی مفهومه من باب کون عنوان المشتق صفة للذات، بل لا أظن أن للقول بالترکیب أساسا سوی ذلک الجواب عن الاشکال فی تعریف النظر بأنه ترتیب امور معلومة بالنقض بالتعریف بالفصل و الخاصة، فاجیب بالترکیب و أن قولنا ناطق أو ضاحک بمنزلة شی‌ء له النطق أو له الضحک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أظن أن الجواب یحتاج إلی هذا التعمق، بل یکفی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من قبیل حذف الموصوف و بقاء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أصل الجواب کان کذلک لکن غیّره التعمق إلی ما صنعه المتأخرون، و لیت شعری کیف یتخیل المنطقی أنّ الفصل أو الخاصة مرکبة لیرد علیه إشکالات الشریف و ما هو نظیرها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الاشکال و الجواب عنه إلا کما لو قال النحوی لا بد فی إعمال اسم الفاعل من کونه معتمدا علی الموصوف، ثم یشکل علیه بمثل جاءنی 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 بتحقق الاعتماد لأنه فی قوة قولک إنسان ضارب</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من ادعی کون المشتق یتضمّن النسبة التقییدیة لم ینظر إلّا إلی هذه الجهة أعنی کونه عنوانا و صفة، و لا بدّ له من موصوف أو معنون إما ظاهر معه، کأن تقول جاءنی إنسان ضارب، أو مقدر کأن تقول جاءنی</w:t>
      </w:r>
      <w:bookmarkStart w:id="484" w:name="pg19834_212359"/>
    </w:p>
    <w:p>
      <w:pPr>
        <w:pStyle w:val="BookText"/>
        <w:rPr/>
      </w:pPr>
      <w:bookmarkEnd w:id="484"/>
      <w:r>
        <w:rPr>
          <w:rFonts w:ascii="IRNazanin" w:hAnsi="IRNazanin" w:eastAsia="IRNazanin"/>
          <w:color w:val="111111"/>
          <w:sz w:val="28"/>
          <w:sz w:val="28"/>
          <w:szCs w:val="28"/>
          <w:rtl w:val="true"/>
          <w:lang w:bidi="fa-IR"/>
        </w:rPr>
        <w:t>ضارب، فیکون مراده بالنسبة التقییدیة هو التوصیفیة، و أن ترکیب المشتق مع موصوفه ترکیب وصفی إما ظاهر أو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شرح المراد بالترکیب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المشتقات بناء علی الترکیب لیس مرکبا من مفهوم المبدأ و نسبة ناقصة 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القائل بالترکب إنّما یدعی الترکب من الذات و المبدأ، غایة الأمر أن المفهوم متضمن لمعنی حرفی کأسماء الاشارة و الموصولات، إلی آخر ما أفاده </w:t>
      </w:r>
      <w:r>
        <w:rPr>
          <w:rStyle w:val="FootnoteAnchor"/>
          <w:rtl w:val="true"/>
        </w:rPr>
        <w:footnoteReference w:id="600"/>
      </w:r>
      <w:r>
        <w:rPr>
          <w:rFonts w:ascii="IRNazanin" w:hAnsi="IRNazanin" w:eastAsia="IRNazanin"/>
          <w:color w:val="111111"/>
          <w:sz w:val="28"/>
          <w:sz w:val="28"/>
          <w:szCs w:val="28"/>
          <w:rtl w:val="true"/>
          <w:lang w:bidi="fa-IR"/>
        </w:rPr>
        <w:t>، فراجعه فانه مشتمل علی جمل لا تخلو من غرابة، و لا أظن القائل بالترکیب یقصد شیئا من تلک المفادات، فلاحظ و تأمل</w:t>
      </w:r>
      <w:r>
        <w:rPr>
          <w:rFonts w:eastAsia="IRNazanin" w:cs="IRNazanin"/>
          <w:color w:val="111111"/>
          <w:sz w:val="28"/>
          <w:szCs w:val="28"/>
          <w:rtl w:val="true"/>
          <w:lang w:bidi="fa-IR"/>
        </w:rPr>
        <w:t>.</w:t>
      </w:r>
    </w:p>
    <w:p>
      <w:pPr>
        <w:pStyle w:val="Heading4"/>
        <w:numPr>
          <w:ilvl w:val="3"/>
          <w:numId w:val="1"/>
        </w:numPr>
        <w:rPr/>
      </w:pPr>
      <w:bookmarkStart w:id="485" w:name="__RefHeading___Toc3493773_2314609296"/>
      <w:bookmarkStart w:id="486" w:name="_Toc179"/>
      <w:bookmarkEnd w:id="485"/>
      <w:r>
        <w:rPr>
          <w:rtl w:val="true"/>
        </w:rPr>
        <w:t>[</w:t>
      </w:r>
      <w:r>
        <w:rPr>
          <w:rtl w:val="true"/>
        </w:rPr>
        <w:t>الاستدلال علی الوضع لخصوص المتلبس</w:t>
      </w:r>
      <w:bookmarkEnd w:id="48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علی البراهین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فانه لا إشکال و لا ریب فی أنّ أهل کل لغة یتبادر إلی أذهانهم من الهیئات الاشتقاقیة رکنیة المبدأ، و یلزمها بساطة المعنی و خروج الذات عن المفهوم، و یتفرّع علیه کون المعنی هو خصوص المتلبس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مراده من رکنیة المبدأ فی مفهوم المشتق هو کونه تمام المعنی کما أفاده فیما سبق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علیها لیس المشتق إلّا نفس المبدأ المأخوذ 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02"/>
      </w:r>
      <w:r>
        <w:rPr>
          <w:rFonts w:ascii="IRNazanin" w:hAnsi="IRNazanin" w:eastAsia="IRNazanin"/>
          <w:color w:val="111111"/>
          <w:sz w:val="28"/>
          <w:sz w:val="28"/>
          <w:szCs w:val="28"/>
          <w:rtl w:val="true"/>
          <w:lang w:bidi="fa-IR"/>
        </w:rPr>
        <w:t>، فلا یرد علیه ما فی الحاشیة من أنّ الرکنیة و إن کانت ظاهرة إلا أنه لا ملازمة بینها و بین بساطة المفاهیم الاشتقاقیة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لازمها هو الوضع لخصوص المتلبس کما هو ظاهر</w:t>
      </w:r>
      <w:r>
        <w:rPr>
          <w:rStyle w:val="FootnoteAnchor"/>
          <w:rtl w:val="true"/>
        </w:rPr>
        <w:footnoteReference w:id="603"/>
      </w:r>
      <w:r>
        <w:rPr>
          <w:rFonts w:ascii="IRNazanin" w:hAnsi="IRNazanin" w:eastAsia="IRNazanin"/>
          <w:color w:val="111111"/>
          <w:sz w:val="28"/>
          <w:sz w:val="28"/>
          <w:szCs w:val="28"/>
          <w:rtl w:val="true"/>
          <w:lang w:bidi="fa-IR"/>
        </w:rPr>
        <w:t>بدعوی تحقق الرکنیة مع القول بالترکیب باعتبار کون الموضوع له هو الذات المتلبسة بالمبدإ، أو باعتبار</w:t>
      </w:r>
    </w:p>
    <w:p>
      <w:pPr>
        <w:pStyle w:val="BookText"/>
        <w:rPr/>
      </w:pPr>
      <w:r>
        <w:rPr>
          <w:rFonts w:ascii="IRNazanin" w:hAnsi="IRNazanin" w:eastAsia="IRNazanin"/>
          <w:color w:val="111111"/>
          <w:sz w:val="28"/>
          <w:sz w:val="28"/>
          <w:szCs w:val="28"/>
          <w:rtl w:val="true"/>
          <w:lang w:bidi="fa-IR"/>
        </w:rPr>
        <w:t>دلالة الهیئة علی نسبة المبدأ إلی الذات فیکون المبدأ جزءا من المعنی، و ذلک لما عرفت من أنّ مراده قدّس سرّه بالرکنیة هی کون المبدأ تمام المعنی لا أنّه جزء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الحجر الأساسی فی دعواه البساطة، و فی دعواه کون الموضوع له هو خصوص المتلبس، و هو الحجر الاساسی أیضا فی دعواه عدم الجامع بین التلبس و الانقضاء، لکونه مساوقا للجامع بین وجود الحدث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الدعوی هی الحجر الاساسی فی </w:t>
      </w:r>
      <w:r>
        <w:rPr>
          <w:rStyle w:val="FootnoteAnchor"/>
          <w:rtl w:val="true"/>
        </w:rPr>
        <w:footnoteReference w:id="604"/>
      </w:r>
      <w:r>
        <w:rPr>
          <w:rFonts w:ascii="IRNazanin" w:hAnsi="IRNazanin" w:eastAsia="IRNazanin"/>
          <w:color w:val="111111"/>
          <w:sz w:val="28"/>
          <w:sz w:val="28"/>
          <w:szCs w:val="28"/>
          <w:rtl w:val="true"/>
          <w:lang w:bidi="fa-IR"/>
        </w:rPr>
        <w:t>صحة السلب عن الذات التی انقضی عنها المبدأ حتی مع إطلاق السلب و المسلوب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الدعوی و هی عدم الجامع لو تمت لکانت هی وحدها کافیة فی کون الموضوع له هو خصوص المتلبس من دون حاجة إلی التبادر و لا إلی صحة السلب، لکن قد عرفت أن أساس هذه الدعوی أعنی عدم الجامع هو کون المبدأ هو تمام المعنی و إن اخذ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المنع من ذلک و أن النظر فی المشتق إنما هو إلی الذات، و أن مفاده هو کون المشتق عنوانا منتزعا من الذات باعتبار تلبسها بالمبدإ، علی أن یکون التلبس علة فی انتزاع ذلک العنوان عن الذات و فی انطباقه علیها، لا أن النظر فیه إلی نفس المبدأ و أن المبدأ تمام معناه، کما عرفت أن المبدأ لم یؤخذ فی المشتق لا بشرط بل اخذ بشرط شی‌ء و هو انتسابه إلی الذات بطریق العنوانیة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أخذ المبدأ بشرط شی‌ء بهذا المعنی لا یلازم کون المنظور إلیه فی مفهوم المشتق هو المبدأ، بل إن تمام النظر فیه إلی الذات لکن باعتبار تلبسها بالمبدإ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المبدأ فی هذه المرحلة أعنی</w:t>
      </w:r>
    </w:p>
    <w:p>
      <w:pPr>
        <w:pStyle w:val="BookText"/>
        <w:rPr/>
      </w:pPr>
      <w:r>
        <w:rPr>
          <w:rFonts w:ascii="IRNazanin" w:hAnsi="IRNazanin" w:eastAsia="IRNazanin"/>
          <w:color w:val="111111"/>
          <w:sz w:val="28"/>
          <w:sz w:val="28"/>
          <w:szCs w:val="28"/>
          <w:rtl w:val="true"/>
          <w:lang w:bidi="fa-IR"/>
        </w:rPr>
        <w:t>مرحلة کون التلبس به علة فی انتزاع هذا المفهوم عن الذات ملحوظا بشرط شی‌ء، لا أنه هو تمام المنظور إلیه و أنه لوحظ بشرط شی‌ء أو لا بشرط،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منافاة صحة السلب مع صحة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مدفوعة بأن صحة الحمل بالعنایة لا تنافی صحة السلب بلا عنایة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مصادرة و لیس ذلک بأولی من القول بأن صحة السلب بالعنایة لا تنافی صحة الحمل بلا عنایة، و لا دافع لذلک إلا بما أفاده الشیخ قدّس سرّه </w:t>
      </w:r>
      <w:r>
        <w:rPr>
          <w:rStyle w:val="FootnoteAnchor"/>
          <w:rtl w:val="true"/>
        </w:rPr>
        <w:footnoteReference w:id="606"/>
      </w:r>
      <w:r>
        <w:rPr>
          <w:rFonts w:ascii="IRNazanin" w:hAnsi="IRNazanin" w:eastAsia="IRNazanin"/>
          <w:color w:val="111111"/>
          <w:sz w:val="28"/>
          <w:sz w:val="28"/>
          <w:szCs w:val="28"/>
          <w:rtl w:val="true"/>
          <w:lang w:bidi="fa-IR"/>
        </w:rPr>
        <w:t>من الرجوع إلی الوجدان و تحکیمه فی أنّ أیهما المحتاج إلی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فمدفوع بأنّه بناء علی البساطة کما أثبتناها لا یعقل هناک معنی جامع بین المتلبس و المنقضی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نختار الشق الأول، و هو کون المسلوب هو الضارب المطلق، و قولکم إنه غیر سدید غیر سدید، بناء علی ما أثبتناه من البساطة، و أن محصّلها کون المشتق عبارة عن المبدأ ملحوظا لا بشرط، و هو قاض بصحة سلبه عمّن انقضی عنه المبدأ، و أن التوهم إنما یتم لو أمکن وجود قدر جامع بین المتلبس و المنقضی لیقول القائل إنه لا یصح سلبه عن المنقضی، و یستکشف من ذلک عدم کون المشتق منحصرا بالأول أعنی المتلبس، و لکن لمّا عرفت عدم معقولیة الجامع تعرف أن دعوی القائل</w:t>
      </w:r>
    </w:p>
    <w:p>
      <w:pPr>
        <w:pStyle w:val="BookText"/>
        <w:rPr/>
      </w:pPr>
      <w:r>
        <w:rPr>
          <w:rFonts w:ascii="IRNazanin" w:hAnsi="IRNazanin" w:eastAsia="IRNazanin"/>
          <w:color w:val="111111"/>
          <w:sz w:val="28"/>
          <w:sz w:val="28"/>
          <w:szCs w:val="28"/>
          <w:rtl w:val="true"/>
          <w:lang w:bidi="fa-IR"/>
        </w:rPr>
        <w:t>بعدم صحة السلب عن المنقضی لا بد أن ترجع إلی ادعاء کون اللفظ موضوعا له بخصوصه أو أنه مشترک لفظی بینهما، و کل من ذلک ممّا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أنا لا بدّ لنا من الالتزام بصحة السلب، إذ لو قلنا بعدم صحة السلب لزمنا القول بکونه موضوعا للقدر الجامع، أو القول بأنه موضوع لخصوص المنقضی، أو القول بالاشتراک اللفظی بینهما، و الأول غیر معقول، و الثانی و الثالث لم یقل بواحد منهما أحد، فیتعین القول حینئذ بصحة السلب هذا، و لکنک قد عرفت معنی البساطة و أنها لیست عبارة عن کون المنظور إلیه هو الحدث لیکون هو تمام المعنی، و یکون ذلک برهانا علی عدم معقولیة الجامع بین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بیانه أن مفهوم المشتقات بناء علی الترکیب لیس مرکبا من مفهوم المبدأ و نسبة ناقصة تقییدیة حتی یکون المفهوم مرکبا من مفهوم اسمی و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هذا أعنی ترکب المشتق من المبدأ و النسبة الناقصة لو تم لکان موجبا لعدم معقولیة الجامع، کما کان القول بالبساطة بالمعنی الذی أفاده قدّس سرّه موجبا لذلک، لاشتراکهما فی کون المبدأ رکنا فی المفهوم، و أنه هو المنظور إلیه، و أنه هو بنفسه تمام المعنی، إذ بناء علی ذلک یکون المبدأ هو تمام المعنی، و أن انضمام النسبة إلیه کانضمام أخذه لا بشرط الذی هو عبارة عن الحمل إلیه، فلاحظ</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علیه لا یمکن الحمل علی الذات أبدا و لا یمکن</w:t>
      </w:r>
    </w:p>
    <w:p>
      <w:pPr>
        <w:pStyle w:val="BookText"/>
        <w:rPr/>
      </w:pPr>
      <w:r>
        <w:rPr>
          <w:rFonts w:ascii="IRNazanin" w:hAnsi="IRNazanin" w:eastAsia="IRNazanin"/>
          <w:color w:val="111111"/>
          <w:sz w:val="28"/>
          <w:sz w:val="28"/>
          <w:szCs w:val="28"/>
          <w:rtl w:val="true"/>
          <w:lang w:bidi="fa-IR"/>
        </w:rPr>
        <w:t xml:space="preserve">استعمالاتها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التأمل فی ذلک، فإن أقصی ما یکون هو أنّ مفهوم المشتق عبارة عن الحدث بقید النسبة التقییدیة، و ذلک غیر مانع من حمله برمّته علی الذات، و لا یکون حال ضارب حینئذ إلا حال یضرب فی صحة جعله برمّته خبرا عن المبتدأ، فکما یصح أن یقال زید یضرب مع کون یضرب مقرونا بالنسبة الخبریة، فینبغی أن یصح قولنا زید ضارب بناء علی کونه الحدث المقرون بالنسبة التقییدیة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تقدمت </w:t>
      </w:r>
      <w:r>
        <w:rPr>
          <w:rStyle w:val="FootnoteAnchor"/>
          <w:rtl w:val="true"/>
        </w:rPr>
        <w:footnoteReference w:id="610"/>
      </w:r>
      <w:r>
        <w:rPr>
          <w:rFonts w:ascii="IRNazanin" w:hAnsi="IRNazanin" w:eastAsia="IRNazanin"/>
          <w:color w:val="111111"/>
          <w:sz w:val="28"/>
          <w:sz w:val="28"/>
          <w:szCs w:val="28"/>
          <w:rtl w:val="true"/>
          <w:lang w:bidi="fa-IR"/>
        </w:rPr>
        <w:t xml:space="preserve">الاشارة إلی ورود ذلک علی ما أفاده قدّس سرّه من البساطة حیث إنه قدّس سرّه ملتزم بأن لفظ المشتق مرکب من مادة و هیئة، و الهیئة لا بد أن یکون معناها حرفیا، و ما تضمنه تحریر المرحوم الشیخ محمد علی قدّس سرّه </w:t>
      </w:r>
      <w:r>
        <w:rPr>
          <w:rStyle w:val="FootnoteAnchor"/>
          <w:rtl w:val="true"/>
        </w:rPr>
        <w:footnoteReference w:id="611"/>
      </w:r>
      <w:r>
        <w:rPr>
          <w:rFonts w:ascii="IRNazanin" w:hAnsi="IRNazanin" w:eastAsia="IRNazanin"/>
          <w:color w:val="111111"/>
          <w:sz w:val="28"/>
          <w:sz w:val="28"/>
          <w:szCs w:val="28"/>
          <w:rtl w:val="true"/>
          <w:lang w:bidi="fa-IR"/>
        </w:rPr>
        <w:t>من دلالة الهیئة هنا علی معنی اسمی ممّا لا یمکن الالتزام به،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استعمالاتها، لما ذکرنا سابقا من أن الحروف لا یصح استعمالها إلّا فی طی الکلام حتی تکون رابطة بین المفاهیم الاستقلالیة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التأمل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هذه الکلیة، فإن المنع من استعمال الحروف کذلک مختص بالحروف النسبیة و إلّا فإنّ ذلک لا یجری فی الاسم المعرّف باللام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الهیئة و إن کان هو من النسبیات إلّا أنه لا مانع من</w:t>
      </w:r>
    </w:p>
    <w:p>
      <w:pPr>
        <w:pStyle w:val="BookText"/>
        <w:rPr/>
      </w:pPr>
      <w:r>
        <w:rPr>
          <w:rFonts w:ascii="IRNazanin" w:hAnsi="IRNazanin" w:eastAsia="IRNazanin"/>
          <w:color w:val="111111"/>
          <w:sz w:val="28"/>
          <w:sz w:val="28"/>
          <w:szCs w:val="28"/>
          <w:rtl w:val="true"/>
          <w:lang w:bidi="fa-IR"/>
        </w:rPr>
        <w:t>استعماله مع مدخوله، و یکون هو کلاما مستقلا کما فی قولک ضرب أو یضرب إذا کان المرجع معلوما، فکما یصح ذلک فی الفعل الماضی و المضارع فلیصح فی اسم الفاعل، فإنه لا فرق بینهما و بینه إلّا فی أن النسبة فیه تقییدیة و فیهما 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قولنا ضارب و إن اشتمل علی النسبة التقییدیة، إلّا أنّه لا یستقل فی الکلام من جهة کون نفس ضارب اسما من الأسماء، و لا بد فی ذکره فی عالم الألفاظ و الإفادة بها من کونه محکوما علیه أو به أو منسوبا إلیه، إلی غیر ذلک من طوارئ الأسماء المفردة، و ذلک أمر آخر یمنع من استعماله منفردا، و هو غیر المدعی من کونه مرکبا من اسم هو المادة و حرف هو الهیئة الدالة علی النسبة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القائل بالترکب إنما یدعی ترکبه من الذات و المبدأ غایة الأمر أن المفهوم متضمن لمعنی حرفی کأسماء الاشارة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کأنه یرید أنه لا نسبة فی البین، و حینئذ یتوجه الاشکال علی هذا الترکیب و أیّ ترکیب هو؟ و کیف کان المفهوم المرکب من الحدث و الذات متضمنا لمعنی الحرف؟ و أیّ حرف ذلک الحرف الذی هو قد تضمنه هذا المفهوم المرکب؟ کل ذلک ممّا لم أتوفق لفهمه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یرد علیه ما تقدم علی الوجه السابق من دخول المعنی الحرفی المانع من الحمل و الاستقلال فی الاستعمال، و علی کل حال هو مثله و مثل القول بالبساطة بالمعنی الذی أفاده فی عدم الجامع، و لا یحتاج فی إثبات عدم الجامع إلی جعل الجامع هو الزمان کی یورد علیه بما أفاده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 xml:space="preserve">المعلوم أن مفاهیم المشتقات عاریة عن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بوضع الهیئات للنسبة الناقصة التقییدیة التی هی من المعانی الحرفیة لما أمکن تصور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إشارة إلی ما تقدم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بیانه أن مفهوم المشتقات بناء علی الترکیب لیس مرکبا من مفهوم المبدأ و نسبة ناقصة تقییدیة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قد عرفت أن ذلک لو تم یکون فی عدم معقولیة الجامع مشارکا لما أفاده من البساطة فی کون المنظور إلیه فی کل من الوجهین هو المبدأ، لکنه قدّس سرّه هنا یرید منع الجامع من ناحیة اخری و هی عدم الجامع بین النسبة المنقضیة و النسبة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إمکان تطرق المنع إلی المنع من الجامع بین النسبتین، إذ لیس معنی النسبة الناقصة هنا إلّا عبارة عن کون زید الذی هو الذات منسوبا إلیها الضرب، و من الممکن أن یقال إن ذلک أعم من انتسابه إلیه فیما مضی و انتسابه إلیه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ذکر الاستدلال علی الاختصاص بتضاد المبادئ مثل القیام و القعود، فلا بد أن یتحقق هذا التضاد فی المشتقات منها مثل قائم و 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التضاد بین المبادئ لا یوجب التضاد فی المشتقات، لجواز أن تکون فی هیئة المشتق خصوصیة ترفع هذا التضاد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هیئات المشتقات بناء علی کون مفادها بسیطا لا تفید إلّا إخراج المبدأ عن البشرطلائیة إلی اللابشرطیة، فهی هی بعینها و الاختلاف بالاعتبار، فلا محالة یکون التضاد باقیا علی حاله کما فی</w:t>
      </w:r>
      <w:bookmarkStart w:id="487" w:name="pg19834_212366"/>
    </w:p>
    <w:p>
      <w:pPr>
        <w:pStyle w:val="BookText"/>
        <w:rPr/>
      </w:pPr>
      <w:bookmarkEnd w:id="487"/>
      <w:r>
        <w:rPr>
          <w:rFonts w:ascii="IRNazanin" w:hAnsi="IRNazanin" w:eastAsia="IRNazanin"/>
          <w:color w:val="111111"/>
          <w:sz w:val="28"/>
          <w:sz w:val="28"/>
          <w:szCs w:val="28"/>
          <w:rtl w:val="true"/>
          <w:lang w:bidi="fa-IR"/>
        </w:rPr>
        <w:t>مبادئها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بناء علی الترکیب فحیث إنک قد عرفت عدم تعقل جامع بین المنقضی عنه و المتلبس، فلا محالة یکون موضوعا لخصوص المتلبس فیبقی التضاد علی حاله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3493775_2314609296"/>
      <w:bookmarkStart w:id="489" w:name="_Toc180"/>
      <w:bookmarkEnd w:id="488"/>
      <w:r>
        <w:rPr>
          <w:rtl w:val="true"/>
        </w:rPr>
        <w:t>[</w:t>
      </w:r>
      <w:r>
        <w:rPr>
          <w:rtl w:val="true"/>
        </w:rPr>
        <w:t>الاستدلال علی المختار بتضاد المعانی الاشتقاقیة</w:t>
      </w:r>
      <w:r>
        <w:rPr>
          <w:rtl w:val="true"/>
        </w:rPr>
        <w:t>]</w:t>
      </w:r>
      <w:bookmarkEnd w:id="489"/>
    </w:p>
    <w:p>
      <w:pPr>
        <w:pStyle w:val="BookText"/>
        <w:rPr/>
      </w:pPr>
      <w:r>
        <w:rPr>
          <w:rFonts w:ascii="IRNazanin" w:hAnsi="IRNazanin" w:eastAsia="IRNazanin"/>
          <w:color w:val="111111"/>
          <w:sz w:val="28"/>
          <w:sz w:val="28"/>
          <w:szCs w:val="28"/>
          <w:rtl w:val="true"/>
          <w:lang w:bidi="fa-IR"/>
        </w:rPr>
        <w:t>و إذا بقی التضاد فی المشتقات بحاله فی المبادئ، و کان الوجدان حاکما بالتضاد بین قولنا زید قائم و قولنا زید قاعد، کشف عن اعتبار خصوصیة التلبس، إذ لو کان للأعم لم یکن بین القولین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الحجر الأساسی فی جمیع ذلک هو عدم معقولیة کونه للأعم لعدم معقولیة القدر الجامع، و ذلک ناشئ عن بساطة المفهوم بالمعنی الذی أفاده من کون مفاد المشتق هو نفس المبدأ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إذا ثبت لم یحتج إلی التمسک بدعوی التناقض، بل تکون دعوی التناقض مبنیة علی البساطة المذکورة، و من الواضح أنه إذا انهدم هذا المعنی من البساطة انهارت جمیع هذه المبانی، و لم یبق بأیدینا إلّا دعوی حکم الوجدان بالتناقض و ذلک قابل للانکار، فنحتاج إلی ما أفاده الشیخ قدّس سرّه فی وجه صحة السلب من الاستناد إلی دعوی الوجدان، و لیست دعوی الوجدان فی صحة السلب إلّا کدعوی الوجدان فی تحقق التضاد المذکور، فلا یکون إلّا من قبیل الأدلة الانصافیة، و لیس شی‌ء من ذلک من قبیل الأدلة العقلیة التی لا یتمکن الخصم من التخلص منها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ذکرته من مضادة المعانی الاشتقاقیة ینافی ما ذهب إلیه علماء المیزان من أنّ نقیض المطلقة العامة الدائمة المطلقة، و أن لا تنافی بین قضیتی زید قائم و زید قاعد إلّا إذا قیّد</w:t>
      </w:r>
    </w:p>
    <w:p>
      <w:pPr>
        <w:pStyle w:val="BookText"/>
        <w:rPr/>
      </w:pPr>
      <w:r>
        <w:rPr>
          <w:rFonts w:ascii="IRNazanin" w:hAnsi="IRNazanin" w:eastAsia="IRNazanin"/>
          <w:color w:val="111111"/>
          <w:sz w:val="28"/>
          <w:sz w:val="28"/>
          <w:szCs w:val="28"/>
          <w:rtl w:val="true"/>
          <w:lang w:bidi="fa-IR"/>
        </w:rPr>
        <w:t>أحدهما بالدوام، فینافی صدق الآخر و لو فی أحد الازمنة بالضرورة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هذا الذی ذکره علماء المیزان إنّما هو حکم التناقض الذی لا بد فیه من کون إحدی القضیتین موجبة و الاخری سالبة، دون التضاد الذی یکون بین الوجودین المتقابلین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شیخنا قدّس سرّه تکلّف فأرجع التضاد إلی التناقض بجعل إحدی القضیتین التی أثبت فیها أحد الضدین إلی سالبة الضد الآخر، بأن یقال إنّ قولنا زید قائم مثلا عبارة عن قولنا زید لیس بقاعد، و حینئذ تکون مناقضة لقولنا زید قاعد، و هکذا الحال من طرف العکس</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لو تم هذا الارجاع لکان جاریا من الطرفین، فیکون الحاصل حینئذ قضیتین موجبتین و اخریین سالبتین، و لا ریب فی صحة السالبتین، أعنی قولنا زید لیس بقائم و قولنا زید لیس بقاعد، لجواز کونه نائما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الاشکال فی القضیتین الموجبتین، أعنی قولنا زید قائم و قولنا زید قاعد، لعدم إمکان اجتماعهما فی الصدق، و هذا أعنی اجتماع المحمولین لکونهما ضدین هو بنفسه محال من دون حاجة إلی إرجاع إحدی الموجبتین إلی سالبة الاخری، بل لو فرض محالا عدم الارجاع کان اجتماع الموجبتین بنفسه محالا من دون إرجاع الموجبة إلی سالبة الاخری، نعم یکون هذا الارجاع مولدا لمحال آخر، و هو أنّ مثل زید قائم لا یجتمع مع زید لیس بقائم لأنه تناقض، و لا یجتمع مع زید قاعد لانّه تضاد، و علی کل حال أنّ ما ذکروه من کون نقیض المطلقة العامة السالبة هو الدائمة المطلقة، إنّما هو فی التناقض لا فی التضاد، إلّا بعد إرجاع التضاد إلی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الذی ذکروه من کون الدائمة الموجبة نقیضا للسالبة المطلقة إنّما هو فی خصوص الموجّهات، أما إذا لم تکن القضیة موجّهة و اقتصرنا علی قولنا زید قائم و قولنا زید لیس بقائم فهما متناقضان إلّا بنحو من التصرف بجعل إحداهما فی زمان و الاخری فی زمان آخر، أو بجعل إحداهما موجّهة بالامکان مثلا و الاخری بالفعلیة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التناقض الوجدانی أو هذا التضاد الوجدانی کاشف عن اعتبار التلبس، إذ لو کان للأعم لصح الایجاب باعتبار ما مضی و السلب باعتبار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التزم به شیخنا قدّس سرّه من إرجاع التضاد إلی التناقض، و أنّه لا بد من اعتبار الفعلیة فی إحدی القضیتین و الدوام فی الاخری الموجب للالتجاء إلی التفرقة بین نظریات المنطقیین و نظریات الاصولیین، فلعلّه تکلّف لا داعی إلیه، فلاحظ ما أفاده قدّس سرّه و تأمل فیه لعلک تتمکن من جعل کلماته ناظرة إلی هذه الجهات التی ذکرناها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مسألة الکر فالظاهر أنها غیر مبنیة علی هذا الذی أفاده هنا من التفرقة بین النقیض المنطقی و النقیض العرفی، بل الظاهر أنّها مبنیّة علی أنّ المعلّق علی الشرط الذی هو الکریة هل هو کلیة السلب، فلا یکون نقیضه الذی هو رفعه إلّا مجرد الإیجاب الجزئی، أو أنّ المعلق علی الکریة هو آحاد السلوب، فیکون هناک سوالب متعددة، و کل سالبة معلّق فیها السلب علی الکریة، و عند انتفاء الکریة یثبت مکان کل سالبة موجبة، فینحل المفهوم إلی موجبات کما کان المنطوق منحلا إلی سوالب، و الظاهر بل المتعین هو الثانی، لأنّ الأول یحتاج إلی لحاظ کلیة السلب لحاظا استقلالیا و جعل نفس الکلیة معلّقة، من دون فرق فی ذلک بین استفادة العموم من</w:t>
      </w:r>
    </w:p>
    <w:p>
      <w:pPr>
        <w:pStyle w:val="BookText"/>
        <w:rPr/>
      </w:pPr>
      <w:r>
        <w:rPr>
          <w:rFonts w:ascii="IRNazanin" w:hAnsi="IRNazanin" w:eastAsia="IRNazanin"/>
          <w:color w:val="111111"/>
          <w:sz w:val="28"/>
          <w:sz w:val="28"/>
          <w:szCs w:val="28"/>
          <w:rtl w:val="true"/>
          <w:lang w:bidi="fa-IR"/>
        </w:rPr>
        <w:t xml:space="preserve">لفظ کل أو کونه مستفادا من النکرة فی سیاق النفی، و هذا لا یتأتی فی جمیع العمومات فضلا عن العموم المستفاد من الحروف الدالة علی السلب الکلی، و هذا هو الاساس فی المسألة، و قد تعرض له شیخنا قدّس سرّه فی مبحث المفاهیم </w:t>
      </w:r>
      <w:r>
        <w:rPr>
          <w:rStyle w:val="FootnoteAnchor"/>
          <w:rtl w:val="true"/>
        </w:rPr>
        <w:footnoteReference w:id="617"/>
      </w:r>
      <w:r>
        <w:rPr>
          <w:rFonts w:ascii="IRNazanin" w:hAnsi="IRNazanin" w:eastAsia="IRNazanin"/>
          <w:color w:val="111111"/>
          <w:sz w:val="28"/>
          <w:sz w:val="28"/>
          <w:szCs w:val="28"/>
          <w:rtl w:val="true"/>
          <w:lang w:bidi="fa-IR"/>
        </w:rPr>
        <w:t>و إن کانت جملة من عباراته هناک ظاهرة فیما ذکره هنا، و تمام الکلام فی محله فی باب المفاهیم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الأمیر إذا غضب لم یحترم أحدا، أو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إذا لبس سلاحه لم یخف أحدا، فلیس الأحد فی ذلک مأخوذا علی إطلاقه، بل هو الأحد الذی یستحق الاحترام و الأحد الذی یخاف منه العقلاء، و لا ریب أنّ مفهومه حینئذ أنّه إذا لم یغضب احترم کل واحد یستحق الاحترام، أو أنّه إذا لم یلبس سلاحه یخاف من کل أحد من شأن العقلاء الخوف منه،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دعوی أنّ أمثال هذه القضایا لا مفهوم لها، لأنّ ثبوت المفهوم للقضیة الشرطیة یتوقف علی کونها مسوقة لحصر الجزاء بمورد وجود الشرط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فصلّ</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صلاة الجمعة و آدابها 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کان بمنزلة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الصلاة إنّما هو إذا زالت، و هکذا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فکأنّه یقول انّ عدم التنجس فی الماء إنّما هو إذا بلغ کرا، و أما هذه الأمثلة فلیست مسوقة لذلک، لوضوح أنّه لیس المقصود هو أنّ عدم احترام الأمیر لکل أحد منحصر بما إذا غضب، بل هی</w:t>
      </w:r>
    </w:p>
    <w:p>
      <w:pPr>
        <w:pStyle w:val="BookText"/>
        <w:rPr/>
      </w:pPr>
      <w:r>
        <w:rPr>
          <w:rFonts w:ascii="IRNazanin" w:hAnsi="IRNazanin" w:eastAsia="IRNazanin"/>
          <w:color w:val="111111"/>
          <w:sz w:val="28"/>
          <w:sz w:val="28"/>
          <w:szCs w:val="28"/>
          <w:rtl w:val="true"/>
          <w:lang w:bidi="fa-IR"/>
        </w:rPr>
        <w:t>مسوقة لمجرد أنّ غضبه موجب لعدم احترامه لکل أحد، فهی من هذه الجهة أشبه شی‌ء بالحکم المجعول علی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کله یظهر لک ما فی الحاشیة فی هذا المقام </w:t>
      </w:r>
      <w:r>
        <w:rPr>
          <w:rStyle w:val="FootnoteAnchor"/>
          <w:rtl w:val="true"/>
        </w:rPr>
        <w:footnoteReference w:id="619"/>
      </w:r>
      <w:r>
        <w:rPr>
          <w:rFonts w:ascii="IRNazanin" w:hAnsi="IRNazanin" w:eastAsia="IRNazanin"/>
          <w:color w:val="111111"/>
          <w:sz w:val="28"/>
          <w:sz w:val="28"/>
          <w:szCs w:val="28"/>
          <w:rtl w:val="true"/>
          <w:lang w:bidi="fa-IR"/>
        </w:rPr>
        <w:t xml:space="preserve">و فی ذلک المقام </w:t>
      </w:r>
      <w:r>
        <w:rPr>
          <w:rStyle w:val="FootnoteAnchor"/>
          <w:rtl w:val="true"/>
        </w:rPr>
        <w:footnoteReference w:id="620"/>
      </w:r>
      <w:r>
        <w:rPr>
          <w:rFonts w:ascii="IRNazanin" w:hAnsi="IRNazanin" w:eastAsia="IRNazanin"/>
          <w:color w:val="111111"/>
          <w:sz w:val="28"/>
          <w:sz w:val="28"/>
          <w:szCs w:val="28"/>
          <w:rtl w:val="true"/>
          <w:lang w:bidi="fa-IR"/>
        </w:rPr>
        <w:t>فلاحظها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من جمیع ما ذکرناه أنّ ما بنینا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ملازمة القول بالترکیب للوضع للأعم غیر صحیح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إشارة إلی ما تقدم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یشبه أن یکون النزاع مبتنیا علی البساطة و الترکّب فی مفهوم المشتق، فان قلنا بالترکب فحیث إنّ مفهوم المشتق اخذ فیه انتساب المبدأ إلی الذات، و یکفی فی الانتساب التلبس فی الجملة، فلا محالة یکون موضوعا للأعم، إلخ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علی الترکیب فانه لمّا کان المنظور إلیه علی هذا القول هو الذات، و کان تلبسها بالحدث جهة تقییدیة لتلک الذات، لم یکن له دلالة علی أزید من الذات المقیدة بانتساب الحدث إلیها و تحققه منها، و هذا هو القدر الجامع بین حال الانقضاء و حال التلبس، فیکون دعوی أخذ خصوص حال التلبس فیه محتاجة إثباتها إلی عنایة زائدة علی ما یقتضیه حاق مفهوم المشتق</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الألیق بالقول بالترکیب هو هذا المفاد أعنی الذات المتلبسة بالمبدإ، لا أنّ مفاده هو المبدأ المقید بالنسبة، و لا أن مفهومه هو المرکب من المبدأ و الذات کما مر ذکره </w:t>
      </w:r>
      <w:r>
        <w:rPr>
          <w:rStyle w:val="FootnoteAnchor"/>
          <w:rtl w:val="true"/>
        </w:rPr>
        <w:footnoteReference w:id="62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bookmarkStart w:id="490" w:name="pg19834_212371"/>
    </w:p>
    <w:p>
      <w:pPr>
        <w:pStyle w:val="Heading4"/>
        <w:numPr>
          <w:ilvl w:val="3"/>
          <w:numId w:val="1"/>
        </w:numPr>
        <w:rPr/>
      </w:pPr>
      <w:bookmarkStart w:id="491" w:name="__RefHeading___Toc3493777_2314609296"/>
      <w:bookmarkStart w:id="492" w:name="_Toc181"/>
      <w:bookmarkEnd w:id="490"/>
      <w:bookmarkEnd w:id="491"/>
      <w:r>
        <w:rPr>
          <w:rtl w:val="true"/>
        </w:rPr>
        <w:t>تنبیه</w:t>
      </w:r>
      <w:r>
        <w:rPr>
          <w:rtl w:val="true"/>
        </w:rPr>
        <w:t>:</w:t>
      </w:r>
      <w:bookmarkEnd w:id="492"/>
    </w:p>
    <w:p>
      <w:pPr>
        <w:pStyle w:val="BookText"/>
        <w:rPr/>
      </w:pPr>
      <w:r>
        <w:rPr>
          <w:rFonts w:ascii="IRNazanin" w:hAnsi="IRNazanin" w:eastAsia="IRNazanin"/>
          <w:color w:val="111111"/>
          <w:sz w:val="28"/>
          <w:sz w:val="28"/>
          <w:szCs w:val="28"/>
          <w:rtl w:val="true"/>
          <w:lang w:bidi="fa-IR"/>
        </w:rPr>
        <w:t>قال شیخنا قدّس سرّه فیما حررته عنه فی مقام إبطال احتمال کونه موضوعا لخصوص ما انقضی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لا یقول به أحد و إن ذکره بعضهم من جهة الاشکال فی تصور تحقق حال التلبس بالنسبة إلی الأحداث الآنیة من جهة أنّه إن کان بعد تحقق مثل هذا الحدث لا بد أن یکون الحدث منقضیا إذ لا بقاء له، و ان کان قبل تحققه یکون التلبس به استقبالیا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الحدث لیس له وجود غیر حال انقضائه و حال ما قبل تلبس الذات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نظیر الاشکال فی معقولیة وجود زمان الحال فی قبال الماضی و المستقبل من جهة أنّه لیس إلّا آخر الماضی و أول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الاشکال فیما نحن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لحال التلبس بذلک الحدث تحققا واقعیا و إن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625"/>
      </w:r>
      <w:r>
        <w:rPr>
          <w:rFonts w:ascii="IRNazanin" w:hAnsi="IRNazanin" w:eastAsia="IRNazanin"/>
          <w:color w:val="111111"/>
          <w:sz w:val="28"/>
          <w:sz w:val="28"/>
          <w:szCs w:val="28"/>
          <w:rtl w:val="true"/>
          <w:lang w:bidi="fa-IR"/>
        </w:rPr>
        <w:t>دوام و بقاء، فان اجری المشتق علی الذات بلحاظ ذلک الحال کان من قبیل الاستعمال بلحاظ التلبس الفعلی، و إن اجری علی الذات بلحاظ حال انقضاء ذلک الحدث کان من قبیل الاستعمال بلحاظ حال الانقضاء، و إن اجری علیها بلحاظ حال قبل تحقق ذلک الحدث کان من قبیل الاستعمال بلحاظ حال الاستقبال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کان حال تطبیق المشتق علی الذات و جریه علیها مقرونا بحال التلبس، کان من قبیل الاستعمال بلحاظ حال التلبس، فان حال التلبس و إن کان آنیا لا بقاء له و لا استمرار إلّا أنّ حال التطبیق و الاجراء لا یحتاج إلی دوام و استمرار بل هو آنی أیضا، فیمکن أن یقصد جعل الحمل و التطبیق و الاجراء فی حال التلبس و إن کان آنیا، بل کان من هذا القبیل و إن</w:t>
      </w:r>
    </w:p>
    <w:p>
      <w:pPr>
        <w:pStyle w:val="BookText"/>
        <w:rPr/>
      </w:pPr>
      <w:r>
        <w:rPr>
          <w:rFonts w:ascii="IRNazanin" w:hAnsi="IRNazanin" w:eastAsia="IRNazanin"/>
          <w:color w:val="111111"/>
          <w:sz w:val="28"/>
          <w:sz w:val="28"/>
          <w:szCs w:val="28"/>
          <w:rtl w:val="true"/>
          <w:lang w:bidi="fa-IR"/>
        </w:rPr>
        <w:t>کان ذلک الاجراء قبل التلبس أو بعده لکنه کان بلحاظ حال التلبس،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الکفایة</w:t>
      </w:r>
      <w:r>
        <w:rPr>
          <w:rStyle w:val="FootnoteAnchor"/>
          <w:rtl w:val="true"/>
        </w:rPr>
        <w:footnoteReference w:id="626"/>
      </w:r>
      <w:r>
        <w:rPr>
          <w:rFonts w:ascii="IRNazanin" w:hAnsi="IRNazanin" w:eastAsia="IRNazanin"/>
          <w:color w:val="111111"/>
          <w:sz w:val="28"/>
          <w:sz w:val="28"/>
          <w:szCs w:val="28"/>
          <w:rtl w:val="true"/>
          <w:lang w:bidi="fa-IR"/>
        </w:rPr>
        <w:t xml:space="preserve">فی مقام الجواب عن إشکال صاحب الفصول </w:t>
      </w:r>
      <w:r>
        <w:rPr>
          <w:rStyle w:val="FootnoteAnchor"/>
          <w:rtl w:val="true"/>
        </w:rPr>
        <w:footnoteReference w:id="627"/>
      </w:r>
      <w:r>
        <w:rPr>
          <w:rFonts w:ascii="IRNazanin" w:hAnsi="IRNazanin" w:eastAsia="IRNazanin"/>
          <w:color w:val="111111"/>
          <w:sz w:val="28"/>
          <w:sz w:val="28"/>
          <w:szCs w:val="28"/>
          <w:rtl w:val="true"/>
          <w:lang w:bidi="fa-IR"/>
        </w:rPr>
        <w:t>علی 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ارید صحته مطلقا فغیر سدید و إن ارید مقیدا فغیر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التزام صاحب الکفایة قدّس سرّه بعدم التقیید</w:t>
      </w:r>
      <w:r>
        <w:rPr>
          <w:rStyle w:val="FootnoteAnchor"/>
          <w:rtl w:val="true"/>
        </w:rPr>
        <w:footnoteReference w:id="628"/>
      </w:r>
      <w:r>
        <w:rPr>
          <w:rFonts w:ascii="IRNazanin" w:hAnsi="IRNazanin" w:eastAsia="IRNazanin"/>
          <w:color w:val="111111"/>
          <w:sz w:val="28"/>
          <w:sz w:val="28"/>
          <w:szCs w:val="28"/>
          <w:rtl w:val="true"/>
          <w:lang w:bidi="fa-IR"/>
        </w:rPr>
        <w:t>و أنّه لا بد منه، لکن لا بجعل القید فی طرف المسلوب فانّه غیر مفید کما أفاده المستشکل، لکن بجعل القید أعنی حال الانقضاء قیدا للسلب أو قیدا للذات المسلوب عنها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یخلو عن تأمل، فانّه مع تقیید السلب أو الذات المسلوب عنها بأن یقال هذا لیس الآن بضارب أو هذا فی هذا الحال أعنی حال عدم التلبس و انقضائه لیس بضارب، یکون السؤال باقیا بحاله، لأنّه إن ارید من نفیه فی هذا الحال أو نفیه عن الذات المقیدة بهذا الحال نفی الضارب المطلق فغیر سدید، أو نفی الضارب فی هذا الحال فغیر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کان مفیدا کما أفاده فی الکفایة لکان حجره الاساسی هو وضع المشتق لخصوص المتلبس فی الحال، و مع فرض کونه کذلک لا تبقی حاجة فی صحة السلب إلی تقیید السلب أو الذات المسلوب عنها، بل یکون سلب المطلق صحیحا أیضا بمعنی أنّ المسلوب هو الضارب بما له من المعنی الواقعی غیر مقید بضارب الأمس و لا بضارب الیوم، فلا یتم قول صاحب الفصول إن ارید سلبه مطلقا فغیر سدید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أفاده من أخذ القید فی الذات لا یخلو من تأمّلات اخری؛</w:t>
      </w:r>
      <w:bookmarkStart w:id="493" w:name="pg19834_212373"/>
    </w:p>
    <w:p>
      <w:pPr>
        <w:pStyle w:val="BookText"/>
        <w:rPr/>
      </w:pPr>
      <w:bookmarkEnd w:id="493"/>
      <w:r>
        <w:rPr>
          <w:rFonts w:ascii="IRNazanin" w:hAnsi="IRNazanin" w:eastAsia="IRNazanin"/>
          <w:color w:val="111111"/>
          <w:sz w:val="28"/>
          <w:sz w:val="28"/>
          <w:szCs w:val="28"/>
          <w:rtl w:val="true"/>
          <w:lang w:bidi="fa-IR"/>
        </w:rPr>
        <w:t xml:space="preserve">لأنّ الذات الشخصیة غیر قابلة للتقیید الموجب لتضییق الدائرة، بل أقصی ما فی البین هو تقییدها بلحاظ ورود الحکم علیها الذی هو السلب، ففی الحقیقة یکون القید راجعا إلی السلب، فانّ ذلک من سنخ تقیید الذات الخاصة التی هی جزئی حقیقی تقییدا أحوالیا أو تقییدا أزمانیا، بمعنی أنّ ورود الحکم علیها یکون فی خصوص اتصافها بذلک الحال أو فی خصوص وجودها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الزمان </w:t>
      </w:r>
      <w:r>
        <w:rPr>
          <w:rStyle w:val="FootnoteAnchor"/>
          <w:rtl w:val="true"/>
        </w:rPr>
        <w:footnoteReference w:id="629"/>
      </w:r>
      <w:r>
        <w:rPr>
          <w:rFonts w:ascii="IRNazanin" w:hAnsi="IRNazanin" w:eastAsia="IRNazanin"/>
          <w:color w:val="111111"/>
          <w:sz w:val="28"/>
          <w:sz w:val="28"/>
          <w:szCs w:val="28"/>
          <w:rtl w:val="true"/>
          <w:lang w:bidi="fa-IR"/>
        </w:rPr>
        <w:t>و حینئذ فلا یکون المقید الدائرة هو ذلک الجزئی الحقیقی، بل یکون المضیق الدائرة هو الحکم المنحصر وروده علی تلک الذات فی تلک الحال أو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رجع التقیید إلی تحصیص الذات حصتین لتکونا بمنزلة الذاتین، فذات متلبسة و ذات انقضی عنها التّلبس، اشکل الأمر من ناحیة اخری، و هی أنّ تلک الحصة الخاصة التی حصّصها القید لا یکون لها ربط بالحصة الفاقدة لذلک القید أعنی تلک الذات من زید التی کانت مقارنة لوجود الحدث، أما هذه الذات المقارنة لانقضائه فتلک کأنّها ذات جدیدة لم تتلبس بعد بالمبدإ، أما ما کان متلبسا به فتلک ذات اخری باعتبار التحصیص المذکور و لا اتصال بین الحصتین أصلا</w:t>
      </w:r>
      <w:r>
        <w:rPr>
          <w:rFonts w:eastAsia="IRNazanin" w:cs="IRNazanin"/>
          <w:color w:val="111111"/>
          <w:sz w:val="28"/>
          <w:szCs w:val="28"/>
          <w:rtl w:val="true"/>
          <w:lang w:bidi="fa-IR"/>
        </w:rPr>
        <w:t>.</w:t>
      </w:r>
    </w:p>
    <w:p>
      <w:pPr>
        <w:pStyle w:val="Heading4"/>
        <w:numPr>
          <w:ilvl w:val="3"/>
          <w:numId w:val="1"/>
        </w:numPr>
        <w:rPr/>
      </w:pPr>
      <w:bookmarkStart w:id="494" w:name="__RefHeading___Toc3493779_2314609296"/>
      <w:bookmarkStart w:id="495" w:name="_Toc182"/>
      <w:bookmarkEnd w:id="494"/>
      <w:r>
        <w:rPr>
          <w:rtl w:val="true"/>
        </w:rPr>
        <w:t>[</w:t>
      </w:r>
      <w:r>
        <w:rPr>
          <w:rtl w:val="true"/>
        </w:rPr>
        <w:t>الاستدلال علی القول بالأعم</w:t>
      </w:r>
      <w:bookmarkEnd w:id="49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القائل بالأعم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الاستعمال فی موارد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الاستعمال فی موارد الانقضاء و إن کان کثیرا إلّا أنّه لم یعلم أنّ الاستعمال بلحاظ حال الانقضاء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المطلب و هو کثرة استعمال المشتق فی موارد الانقضاء قد وقع</w:t>
      </w:r>
    </w:p>
    <w:p>
      <w:pPr>
        <w:pStyle w:val="BookText"/>
        <w:rPr/>
      </w:pPr>
      <w:r>
        <w:rPr>
          <w:rFonts w:ascii="IRNazanin" w:hAnsi="IRNazanin" w:eastAsia="IRNazanin"/>
          <w:color w:val="111111"/>
          <w:sz w:val="28"/>
          <w:sz w:val="28"/>
          <w:szCs w:val="28"/>
          <w:rtl w:val="true"/>
          <w:lang w:bidi="fa-IR"/>
        </w:rPr>
        <w:t>فی الکفایة</w:t>
      </w:r>
      <w:r>
        <w:rPr>
          <w:rStyle w:val="FootnoteAnchor"/>
          <w:rtl w:val="true"/>
        </w:rPr>
        <w:footnoteReference w:id="631"/>
      </w:r>
      <w:r>
        <w:rPr>
          <w:rFonts w:ascii="IRNazanin" w:hAnsi="IRNazanin" w:eastAsia="IRNazanin"/>
          <w:color w:val="111111"/>
          <w:sz w:val="28"/>
          <w:sz w:val="28"/>
          <w:szCs w:val="28"/>
          <w:rtl w:val="true"/>
          <w:lang w:bidi="fa-IR"/>
        </w:rPr>
        <w:t>فی ذیل الاستدلال علی الوضع لخصوص المتلبس، فانه استدل علیه بالتضاد بین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بأنّه مبنائی، لأنّه لو قلنا بأنّه لخصوص المتلبس لکان التضاد متحقّقا بخلاف ما لو قلنا بأنّه للاعم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بأنّ التناقض وجدانی ارتکازی لا مبنائی، فیکون کاشفا کشفا إنیا عن الوضع لخصوص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الاعتراض علی هذا الرد بأنّ هذا الارتکاز لعلّه ناش عن الاطلاق، فانّ المنسبق بحسب الاطلاق هو خصوص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 هذا الاعتراض بأنّه لا یمکن أنّ علّة التضاد هو الانسباق الاطلاقی لکثرة استعمال المشتق فی موارد الانقضاء</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توجّه الاشکال بأنّه لا یصح أن نلتزم بهذه الکثرة لأنّه یوجب کثرة المجاز علی الحقیقة و هو مناف لحکمة الوضع، و حینئذ أوّل هذه الکثرة إلی حال التلبس، و حیث إنّ هذا التأویل بلا دلیل یکشف أنّ المستعملین لاحظوا هذا التأویل انقلب الاستدلال إلی الجدل، بمعنی أنّ القائلین بالأعم لا داعی لهم إلی هذا التأویل، فعلی مذهبهم ینبغی لهم الالتزام بهذه الکثرة من دون إرجاع إلی حال التلبس، و حینئذ یقال لهم إنّه علی مذهبکم لا بد من توجیه هذا التضاد الارتکازی، و لا یصح لکم أن تقولوا بأنّ علّته الانسباق الاطلاقی، لفرض کثرة الاستعمال فی موارد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القائلین بالوضع لخصوص المتلبس یلزمهم تأویل الکثرة المذکورة، و هی و إن أضرت بالاستدلال علی مذهبهم بالتضاد الارتکازی فلا</w:t>
      </w:r>
    </w:p>
    <w:p>
      <w:pPr>
        <w:pStyle w:val="BookText"/>
        <w:rPr/>
      </w:pPr>
      <w:r>
        <w:rPr>
          <w:rFonts w:ascii="IRNazanin" w:hAnsi="IRNazanin" w:eastAsia="IRNazanin"/>
          <w:color w:val="111111"/>
          <w:sz w:val="28"/>
          <w:sz w:val="28"/>
          <w:szCs w:val="28"/>
          <w:rtl w:val="true"/>
          <w:lang w:bidi="fa-IR"/>
        </w:rPr>
        <w:t>یصح لهم أن یستدلوا بالتضاد المذکور، لاحتمال کون منشئه هو کثرة الاستعمال فی موارد التلبس بعد فرض أنّهم أرجعوا الکثرة فی موارد الانقضاء إلی حال التلبس،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شیخنا قدّس سرّه بدّل وضعیة الاستدلال و جعل کثرة الاستعمال فی موارد الانقضاء من أدلة القول بالأعم، فجعل المهاجمة بکثرة الاستعمال من جانب القائلین بالأعم علی القائلین بالوضع 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المتلبس </w:t>
      </w:r>
      <w:r>
        <w:rPr>
          <w:rStyle w:val="FootnoteAnchor"/>
          <w:rtl w:val="true"/>
        </w:rPr>
        <w:footnoteReference w:id="632"/>
      </w:r>
      <w:r>
        <w:rPr>
          <w:rFonts w:ascii="IRNazanin" w:hAnsi="IRNazanin" w:eastAsia="IRNazanin"/>
          <w:color w:val="111111"/>
          <w:sz w:val="28"/>
          <w:sz w:val="28"/>
          <w:szCs w:val="28"/>
          <w:rtl w:val="true"/>
          <w:lang w:bidi="fa-IR"/>
        </w:rPr>
        <w:t>و حینئذ حیث صار القائلون بالوضع لخصوص المتلبس فی مقام الدفاع عن هذا الاستدلال، فلهم أن یجیبوا عنه باحتمال کون المراد من تلک الکثرة هو خصوص المتلبس بالتأویل المذکور، و هم فی هذا الحال لا یحتاجون إلی إثبات هذا التأویل، بل یکفیهم مجرد الاحتمال المذکور فی ردّ هذا الاستدلال، فهم یسلّمون الکثرة، لکن دفعا للزوم کثرة المجاز یقولون إنّ من المحتمل أنّه لیس بمجاز و أنّه راجع إلی الحقیقة، و حینئذ یتوجه علیهم النقض الذی أشار إلیه شیخنا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أنّ الاستعمال لو کان بلحاظ حال التلبس حتی یکون حقیقة، فلا یکون فرق فی هذا اللحاظ بین المشتقات و الجوامد، إلخ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ما ذکرتموه من تسلیم الکثرة و دعوی التأویل، فینبغی أن تتحقق تلک الکثرة فی الجوامد مع الالتزام بالتأویل المذکور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 هذا التوهم بما تقدم منه فی الفرق بین الجوامد و المشتقات </w:t>
      </w:r>
      <w:r>
        <w:rPr>
          <w:rStyle w:val="FootnoteAnchor"/>
          <w:rtl w:val="true"/>
        </w:rPr>
        <w:footnoteReference w:id="634"/>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الجوامد یکون الملحوظ هو الصورة</w:t>
      </w:r>
    </w:p>
    <w:p>
      <w:pPr>
        <w:pStyle w:val="BookText"/>
        <w:rPr/>
      </w:pPr>
      <w:r>
        <w:rPr>
          <w:rFonts w:ascii="IRNazanin" w:hAnsi="IRNazanin" w:eastAsia="IRNazanin"/>
          <w:color w:val="111111"/>
          <w:sz w:val="28"/>
          <w:sz w:val="28"/>
          <w:szCs w:val="28"/>
          <w:rtl w:val="true"/>
          <w:lang w:bidi="fa-IR"/>
        </w:rPr>
        <w:t xml:space="preserve">النوعیة لا المادة، و من الواضح أنّه بعد تبدل الصورة النوعیة لا یبقی شی‌ء یصح استعمال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Style w:val="FootnoteAnchor"/>
          <w:rtl w:val="true"/>
        </w:rPr>
        <w:footnoteReference w:id="635"/>
      </w:r>
      <w:r>
        <w:rPr>
          <w:rFonts w:ascii="IRNazanin" w:hAnsi="IRNazanin" w:eastAsia="IRNazanin"/>
          <w:color w:val="111111"/>
          <w:sz w:val="28"/>
          <w:sz w:val="28"/>
          <w:szCs w:val="28"/>
          <w:rtl w:val="true"/>
          <w:lang w:bidi="fa-IR"/>
        </w:rPr>
        <w:t>و لو بلحاظ ما مضی بناء علی التأویل المذکور، و هذا بخلاف المشتقات فانّ الذات باقیة فیصح الاستعمال فیها بلحاظ التلبس المنقضی،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الملحوظ فی المشتق بناء علی مسلکه قدّس سرّه هو المبدأ و قد انعدم، و الذات أجنبیة عنه، فلا بد حینئذ من الالتزام بأنّ المنظور إلیه فی المشتق هو الذات، و یکون المشتق عنوانا منتزعا منها باعتبار تلبسها بالمبدإ، و حینئذ لو قلنا بأنّ المشتق موضوع لخصوص المتلبس، بمعنی أنا نعتبر المقارنة بین جریه علی الذات و بین وجود التلبس، أمکننا أن نؤوّل تلک الکثرة إلی حال التلبس، فیکون الاستعمال الآن و یکون حال التطبیق و حال التلبس فیما مضی علی ما مرّ شرحه فی تحریر محل النزاع و دفع توهم کون التطبیق راجعا إلی صحة الحمل و عدمه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أصل النزاع إنّما هو فی سعة المفهوم و ضیقه، و یتفرع علیه صحة الحمل علی من انقضی عنه المبدأ و عدم صحته إلّا بالعنایة و التنزیل فی الحمل الصریح أو الحمل الضمنی، و بناء علی ضیق المفهوم أعنی کون الموضوع له هو خصوص المتلبس یکون جریه و حمله ضمنا علی من انقضی عنه المبدأ بالعنایة و التنزیل، لکنّا یمکننا إخراجه عن ذلک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الجری الضمنی علی تلک الذات المفروض انقضاء المبدأ عنها فی حال الاستعمال یکون المنظور فیه هو حالة التلبس فیما مضی، فلا یحتاج ذلک الحمل إلی تلک العنایة و ذلک التنزیل، بل یکون</w:t>
      </w:r>
    </w:p>
    <w:p>
      <w:pPr>
        <w:pStyle w:val="BookText"/>
        <w:rPr/>
      </w:pPr>
      <w:r>
        <w:rPr>
          <w:rFonts w:ascii="IRNazanin" w:hAnsi="IRNazanin" w:eastAsia="IRNazanin"/>
          <w:color w:val="111111"/>
          <w:sz w:val="28"/>
          <w:sz w:val="28"/>
          <w:szCs w:val="28"/>
          <w:rtl w:val="true"/>
          <w:lang w:bidi="fa-IR"/>
        </w:rPr>
        <w:t xml:space="preserve">ذلک الحمل الضمنی مقارنا لحال التلبس، فلا یحتاج إلی العنایة المذکورة، فراجع ما حررناه فی حاشیة </w:t>
      </w:r>
      <w:r>
        <w:rPr>
          <w:rFonts w:eastAsia="IRNazanin" w:cs="IRNazanin"/>
          <w:color w:val="111111"/>
          <w:sz w:val="28"/>
          <w:szCs w:val="28"/>
          <w:lang w:bidi="fa-IR"/>
        </w:rPr>
        <w:t>47</w:t>
      </w:r>
      <w:r>
        <w:rPr>
          <w:rStyle w:val="FootnoteAnchor"/>
          <w:rtl w:val="true"/>
        </w:rPr>
        <w:footnoteReference w:id="636"/>
      </w:r>
      <w:r>
        <w:rPr>
          <w:rFonts w:ascii="IRNazanin" w:hAnsi="IRNazanin" w:eastAsia="IRNazanin"/>
          <w:color w:val="111111"/>
          <w:sz w:val="28"/>
          <w:sz w:val="28"/>
          <w:szCs w:val="28"/>
          <w:rtl w:val="true"/>
          <w:lang w:bidi="fa-IR"/>
        </w:rPr>
        <w:t>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هذا الاحتمال أعنی احتمال إرجاع موارد الانقضاء إلی حال التلبس و إن کان نافعا فی رد استدلال القول بالأعم بکثرة الاستعمال فیما مضی، باحتمال کون المراد فی تلک الاستعمالات هو الجری فی حال التلبس، إلّا أنّ هذا الاحتمال یفسد علینا الاستدلال، لکونه موضوعا لخصوص حال التلبس بالتبادر و بالتضاد الارتکازی، إذ للقائل بالأعم أن یردّ علینا و لو جدلا بأنّ الکثرة فی موارد الانقضاء مسلّمة و أنتم ترجعونها إلی موارد التلبس، و حینئذ لا یحصل لکم الجزم بأنّ العلّة فی ذلک التبادر و ذلک التضاد الارتکازی هو الوضع، إذ لعل العلّة فی ذلک هو کثرة الاستعمال بلحاظ حال التلبس، و حینئذ لا مندوحة لنا فی الجواب عن هذا الجدل إلّا دعوی عدم کون المستند فی ذلک التبادر و ذلک التضاد إلّا اللفظ نفسه دون ما هو خارج عنه من کثرة الاستعمال، و هذه الدعوی لازمة لکل من یدعی التبادر و نحوه، فانه لا بد له من دعوی کون المستند فیه هو اللفظ نفسه دون غیره من القرائن الخاصة أو العامة و منها 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الانصراف الاطلاقی الذی ذکره فی الکفایة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ارتکازها لأجل الانسباق من الإطلاق لا الاشتراط</w:t>
      </w:r>
      <w:r>
        <w:rPr>
          <w:rStyle w:val="FootnoteAnchor"/>
          <w:rtl w:val="true"/>
        </w:rPr>
        <w:footnoteReference w:id="637"/>
      </w:r>
      <w:r>
        <w:rPr>
          <w:rFonts w:ascii="IRNazanin" w:hAnsi="IRNazanin" w:eastAsia="IRNazanin"/>
          <w:color w:val="111111"/>
          <w:sz w:val="28"/>
          <w:sz w:val="28"/>
          <w:szCs w:val="28"/>
          <w:rtl w:val="true"/>
          <w:lang w:bidi="fa-IR"/>
        </w:rPr>
        <w:t>فلم یعلم المراد منه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إنّ اللفظ و إن کان للأعم إلّا أنّ المنصرف منه عند الاطلاق هو خصوص حال التلبس، بدعوی أنّ الانقضاء یحتاج إلی مئونة</w:t>
      </w:r>
    </w:p>
    <w:p>
      <w:pPr>
        <w:pStyle w:val="BookText"/>
        <w:rPr/>
      </w:pPr>
      <w:r>
        <w:rPr>
          <w:rFonts w:ascii="IRNazanin" w:hAnsi="IRNazanin" w:eastAsia="IRNazanin"/>
          <w:color w:val="111111"/>
          <w:sz w:val="28"/>
          <w:sz w:val="28"/>
          <w:szCs w:val="28"/>
          <w:rtl w:val="true"/>
          <w:lang w:bidi="fa-IR"/>
        </w:rPr>
        <w:t>زائدة، و لکن هذه الکلمات إنّما تقال فیما لم یمکن فیه إرادة الجامع و دار الأمر فیه بین کون المراد مثلا هو خصوص حال التلبس أو خصوص الانقضاء، و من الواضح أنّ إرادة الجامع فیما نحن فیه بناء علی الأعم بمکان من الامکان، و علی کلّ حال أنّ ذلک لا ربط له بکثرة الاستعمال فکیف ربطه 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یکون لذلک، لکثرة استعمال المشتق فی موارد الانقضاء لو لم یکن بأکثر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الجملة إنّما تقال لو کان المراد من الاعتراض هو دعوی کون التضاد الارتکازی ناشئا عن کثرة الاستعمال فی خصوص المتلبس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الاستعمال فی الآیة المبارکة فی حال الانقضاء ممنوع فضلا عن کونه بلحاظ الانقضاء، بل هی من قبیل القضایا الحقیقیة التی فعلیة الحکم فیها بفعلیة موضوعه، فتدور فعلیة الحکم مدار فعلیة السرقة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أنّ هذا النحو من القضایا الحقیقیة التی یکون الحکم فیها مجعولا علی کل ما وجد و کان ینطبق علیه عنوان المشتق، فمن یقول بالأعم یقول إنّ المشتق منطبق علی الذات حتی بعد انقضاء المبدأ عنها، و لازم ذلک بقاء الحکم بعد انقضاء المبدأ عن الذات، لأنّ مداره هو الانطباق علی الذات، و ذلک أعنی الانطباق متحقق حتی بعد انقضاء المبدأ، و حینئذ تکون النتیجة هی بقاء الحکم إلّا أن یقوم دلیل علی ارتفاعه بعد انقضاء المبدأ</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یقول باعتبار التلبس فعلا فی انطباق المشتق علی الذات فهو</w:t>
      </w:r>
    </w:p>
    <w:p>
      <w:pPr>
        <w:pStyle w:val="BookText"/>
        <w:rPr/>
      </w:pPr>
      <w:r>
        <w:rPr>
          <w:rFonts w:ascii="IRNazanin" w:hAnsi="IRNazanin" w:eastAsia="IRNazanin"/>
          <w:color w:val="111111"/>
          <w:sz w:val="28"/>
          <w:sz w:val="28"/>
          <w:szCs w:val="28"/>
          <w:rtl w:val="true"/>
          <w:lang w:bidi="fa-IR"/>
        </w:rPr>
        <w:t>فی ذلک علی العکس، بمعنی أنّه یلزمه الالتزام بارتفاع الحکم عن الذات عند انقضاء المبدأ عنها، و لا یمکنه الالتزام ببقاء الحکم بعد الانقضاء إلّا بدلیل یدل علی ذلک، من دون فرق فی ذلک بین کون الحکم آنیا مثل قطع ید السارق، و بین کونه استمراریا مثل حرمة بنت الزوجة أو امها، أو کونه تکراریا مثل تصدیق العادل فی کل ما یخبرک به،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ضیفک فبناء علی الأعم یلزمنا القول باطعامه حتی بعد انسلاخه عن الضیفیة بأن خرج من داری و ذهب إلی أهله أو نزل فی منزل شخص آخر، و لا بعد عن وجوب إطعامه إلّا بدلیل، أما بناء علی الاختصاص فمقتضی القاعدة ارتفاع الوجوب عند ارتفاع الضیفیة حتی لو أنّ صاحب المنزل قد قصّر و لم یطعمه حینما کان فی منزله، لأنّ الحکم ینعدم بانعدام موضوعه سواء حصل امتثاله عند ما کان موضوعه متحقّقا أو أنه لم یحصل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المبدأ مما لیس له حالة استقرار بل کان آنیا مثل السرقة و الزنا و القتل فی مثل اقتل القاتل، فعلی الأعم لا إشکال فی بقاء الحکم الذی هو وجوب قطع الید أو الجلد أو الاقتصاص، لأنّه بعد انقضاء السرقة یصدق علیه أنّه سارق، و هذا بخلافه علی الاختصاص، إلّا أن القائل بالاختصاص لا بد له من الالتزام ببقاء الحکم فی هذا النحو من المشتقات و إلّا کان جعله لغوا لعدم إمکان إجرائه فی حال ارتکابه الجریمة قبل فراغه منها، بل یمکن القائل بالاختصاص دعوی کون المستفاد من مثل اقطع ید السارق هو أنّ موضوع الحکم هو من ارتکب السرقة و انقضت عنه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یتضح لک الاشکال فیما أفاده، فانّ عدم الامتثال بعد فرض انعدام الموضوع لا أثر له فی بقاء الحکم، بل تکون المسألة من قبیل سقوط الحکم بسقوط موضوعه مع فرض العصیان فی ظرف وجود</w:t>
      </w:r>
    </w:p>
    <w:p>
      <w:pPr>
        <w:pStyle w:val="BookText"/>
        <w:rPr/>
      </w:pPr>
      <w:r>
        <w:rPr>
          <w:rFonts w:ascii="IRNazanin" w:hAnsi="IRNazanin" w:eastAsia="IRNazanin"/>
          <w:color w:val="111111"/>
          <w:sz w:val="28"/>
          <w:sz w:val="28"/>
          <w:szCs w:val="28"/>
          <w:rtl w:val="true"/>
          <w:lang w:bidi="fa-IR"/>
        </w:rPr>
        <w:t>الموضوع، فالعمدة فی ذلک هو ما عرفت من أنّ هذا النحو من المشتقات مما لا یکون لمبادئها حالة استقرار لا بدّ أن یکون الموضوع هو ما بعد انتهائها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یتضح منه ما أفاده قدّس سرّه فی التنبیه الأوّل، 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المشتق موضوعا و مرکبا للحکم مطلب، و کون مبدأ الاشتقاق علة فی حدوث الحکم مطلب آخر، لا ربط لأحدهما بالآخر، و الأوّل أعنی کون المشتق موضوعا و مرکبا للحکم من قبیل الواسطة فی العروض، بمعنی أنّ مثل جواز الاقتداء یکون مرکبه هو عنوان العادل، و عنوان العادل منطبق علی الذات، لکن جواز الاقتداء لا یکون منطبقا علی الذات کی تکون الذات مرکبا له، بل إنّ الذات مرکب للعدالة و العدالة مرکب لجواز الاقتداء، و هذا بخلاف ما لو أخذنا المبدأ علّة فی الحکم، فانّه یکون حینئذ أجنبیا عن مرکبیة الحکم، و الحکم یکون راکبا علی الذات، و لا یکون توسطه إلا من قبیل الواسطة فی الثبوت کما یقال إنّ التغیّر علّة فی عروض النجاسة علی نفس الماء، و هذا الفرق أعنی الفرق بین ما یکون مرکبا للحکم و ما یکون علة له واضح مقرر فی مواضع متعددة، منها باب الاستصحاب عند حدوث تبدل فی ناحیة الموضوع،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 لنا فی المقام حکمین لا إشکال فی کل واحد منهما لأحد من القائلین بعموم المشتق و القائلین باختصاصه، و هو أنّ مثل الحکم علی عابد الصنم بأنّه لا ینال الخلافة، و الحکم علی القاتل بلزوم الاقتصاص منه، یبقی الحکم المذکور و إن انقضت عبادة الصنم أو انقضی القتل، کما أنّ مثل الحکم بجواز الاقتداء و التصدیق یزول عن العادل بعد زوال عدالته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الثانی یشکل به علی القائلین بالأعم، کما أنّ الحکم الأول یشکل به</w:t>
      </w:r>
    </w:p>
    <w:p>
      <w:pPr>
        <w:pStyle w:val="BookText"/>
        <w:rPr/>
      </w:pPr>
      <w:r>
        <w:rPr>
          <w:rFonts w:ascii="IRNazanin" w:hAnsi="IRNazanin" w:eastAsia="IRNazanin"/>
          <w:color w:val="111111"/>
          <w:sz w:val="28"/>
          <w:sz w:val="28"/>
          <w:szCs w:val="28"/>
          <w:rtl w:val="true"/>
          <w:lang w:bidi="fa-IR"/>
        </w:rPr>
        <w:t>علی القائلین بالاختصاص، و لا بد لکل واحد منهما من الالتزام بأنّ مورد الاشکال لیس هو من قبیل ما یکون عنوان المشتق مرکبا فیه للحکم بل هو من قبیل علّة الحکم، فالقائل بالأعم یدعی أنّ العدالة علّة فی جواز الاقتداء و التصدیق، و هی علّة مادامیّة، فلا یثبت الحکم بعد ارتفاعها، و إن صح لنا أن نطبّق علی ذلک الشخص عنوان العادل لعدم کون العادل موضوعا و مرکبا للحکم، و القائل بالاختصاص یدعی أنّ عبادة الصنم علّة فی المنع من الخلافة، و هی من قبیل العلّة فی الحدوث و البقاء لا علّة ما دامیة، و حینئذ یکون معلولها و هو المنع من الخلافة باقیا و إن لم ینطبق علی الشخص أنه عابد للصنم، لعدم کون عنوان العابد له موضوعا و مرکبا للحکم المذکور، بل إن حدوث نفس العبادة یکون علّة فی ورود هذا الحکم علی تلک الذات و بقائه بعد انقضائها، نظیر علّیة الزوجیة و الدخول فی حرمة بنت الزوجة و إن زالت الزوجیة کما لو طلقها و تزوجت من آخر و أولدها بنتا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هذه الخصوصیات من استفادة العلیة لا الموضوعیة، و کونها علی نحو المادامیة أو علی النحو المقابل لها یحتاج إلی إقامة الدلیل علیه، إلّا أنّ الغرض هو أن من یلتزم به لا یلتزم بکون المشتق موضوعا للحکم، لما عرفت من التغایر بین الموضوع و العلة فلاحظ، هذا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هناک طریقة اخری غیر طریقة کون المبدأ علّة فی الحکم یمکن أن یسلکها القائل بالاعم فی مثل صلّ خلف العادل، و هی أنّ العادل و إن کان بحسب الوضع شاملا لمن انقضی عنه المبدأ و لمن تلبس به فعلا، إلّا أنّه قامت قرینة خارجیة علی أنّ المراد به فی مثل هذه الأحکام هو خصوص المتلبس بالمبدإ، و لو کانت تلک القرینة هی مناسبة الحکم و الموضوع، و نحو ذلک مما یدل علی أنّ المراد به هنا هو خصوص</w:t>
      </w:r>
    </w:p>
    <w:p>
      <w:pPr>
        <w:pStyle w:val="BookText"/>
        <w:rPr/>
      </w:pPr>
      <w:r>
        <w:rPr>
          <w:rFonts w:ascii="IRNazanin" w:hAnsi="IRNazanin" w:eastAsia="IRNazanin"/>
          <w:color w:val="111111"/>
          <w:sz w:val="28"/>
          <w:sz w:val="28"/>
          <w:szCs w:val="28"/>
          <w:rtl w:val="true"/>
          <w:lang w:bidi="fa-IR"/>
        </w:rPr>
        <w:t>المتلبس</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للقائل بالاختصاص طریقة یمکنه سلوکها فی مثل عابد الصنم لا یلی الخلافة، و هی أنّ المشتق و إن کان بحسب وضعه مختصا بخصوص المتلبس، إلّا أنّه فی مثل هذه الأحکام قامت القرینة علی أنّ المراد به الأعم و هی فی غایة البعد، أو یلتزم بأنّ موضوع الحکم هو من انطبق علیه أنه عابد للصنم و لو کان الانطباق فیما مضی بحیث یکون الحکم الآن و الانطباق فیما مضی، و هو أیضا خلاف ظاهر الاستدلال بظهور الآیة الشریفة، فلا محیص حینئذ من الالتزام بأنّ هذا الحکم جری فی حقه عند ما کان عابدا للصنم، و هذا الحکم له خصوصیة توجب بقاءه و لو بعد انقضاء المبدأ و امتناع الانطباق بعد ذلک، و تلک الخصوصیة هو کونه أبدیا کما یستفاد من النفی فی قوله تعالی لا ینال عهدی الظالمین </w:t>
      </w:r>
      <w:r>
        <w:rPr>
          <w:rStyle w:val="FootnoteAnchor"/>
          <w:rtl w:val="true"/>
        </w:rPr>
        <w:footnoteReference w:id="639"/>
      </w:r>
      <w:r>
        <w:rPr>
          <w:rFonts w:ascii="IRNazanin" w:hAnsi="IRNazanin" w:eastAsia="IRNazanin"/>
          <w:color w:val="111111"/>
          <w:sz w:val="28"/>
          <w:sz w:val="28"/>
          <w:szCs w:val="28"/>
          <w:rtl w:val="true"/>
          <w:lang w:bidi="fa-IR"/>
        </w:rPr>
        <w:t>فانّ مفاده أنّه لا یناله إلی الأبد، فهذا الحکم و هو عدم نیل الخلافة إلی الأبد موضوعه هو المتلبس، و قد تحقق هذا الموضوع و انطبق علی ذلک الشخص، فلحقه الحکم عند ما کان عابدا للصنم، ففی ذلک الظرف صار محکوما علیه بأنّه لا ینال الخلافة إلی آخر الدهر أو آخر حیاته، و هذا الحکم لا یزول عن مقتضاه إلّا بالنسخ و نحوه، بل لا یزیله إلّا النسخ دون حدیث الجب و نحوه، لأنّ محصل ذلک الحکم الأبدی هو أنه لا یرفعه رافع، بل یمکن القول بانّه غیر قابل حتی للنسخ، و لعل هذا هو المراد لشیخنا قدّس سرّه و هذه الطریقة غیر محتاجة إلی التشبث بأذیال کون المقام من قبیل العلة المحدثة مبقیة، لما عرفت من أنّها تشبث بکون الحکم أبدیا، فلاحظ و تأمل</w:t>
      </w:r>
      <w:r>
        <w:rPr>
          <w:rFonts w:eastAsia="IRNazanin" w:cs="IRNazanin"/>
          <w:color w:val="111111"/>
          <w:sz w:val="28"/>
          <w:szCs w:val="28"/>
          <w:rtl w:val="true"/>
          <w:lang w:bidi="fa-IR"/>
        </w:rPr>
        <w:t>.</w:t>
      </w:r>
      <w:bookmarkStart w:id="496" w:name="pg19834_212383"/>
    </w:p>
    <w:p>
      <w:pPr>
        <w:pStyle w:val="BookText"/>
        <w:rPr/>
      </w:pPr>
      <w:bookmarkEnd w:id="496"/>
      <w:r>
        <w:rPr>
          <w:rFonts w:ascii="IRNazanin" w:hAnsi="IRNazanin" w:eastAsia="IRNazanin"/>
          <w:color w:val="111111"/>
          <w:sz w:val="28"/>
          <w:sz w:val="28"/>
          <w:szCs w:val="28"/>
          <w:rtl w:val="true"/>
          <w:lang w:bidi="fa-IR"/>
        </w:rPr>
        <w:t>و لا یخفی أنه لا حاجة إلی التشبث بذیل کون الحکم أبدیا کی یقال من أین أحرزتم الأبدیة، بل یکفینا کون مفاده هو نفی نیل العهد فی الاستقبال، فان نیل العهد مثل دخول الجنة أو شمّ رائحتها فی قولهم العاق لا یدخل الجنة أو لا یشمّ ریحها، فاذا کان عابد الصنم مرکبا لهذا النفی فی الاستقبال، و کان الشخص مرکبا لعابد الصنم فی وقت عبادته، فقد رکب علیه فی ذلک الوقت هذا الأمر الاستقبالی و هو أنه لا ینال العهد</w:t>
      </w:r>
      <w:r>
        <w:rPr>
          <w:rFonts w:eastAsia="IRNazanin" w:cs="IRNazanin"/>
          <w:color w:val="111111"/>
          <w:sz w:val="28"/>
          <w:szCs w:val="28"/>
          <w:rtl w:val="true"/>
          <w:lang w:bidi="fa-IR"/>
        </w:rPr>
        <w:t>.</w:t>
      </w:r>
    </w:p>
    <w:p>
      <w:pPr>
        <w:pStyle w:val="Heading4"/>
        <w:numPr>
          <w:ilvl w:val="3"/>
          <w:numId w:val="1"/>
        </w:numPr>
        <w:rPr/>
      </w:pPr>
      <w:bookmarkStart w:id="497" w:name="__RefHeading___Toc3493781_2314609296"/>
      <w:bookmarkStart w:id="498" w:name="_Toc183"/>
      <w:bookmarkEnd w:id="497"/>
      <w:r>
        <w:rPr>
          <w:rtl w:val="true"/>
        </w:rPr>
        <w:t>[</w:t>
      </w:r>
      <w:r>
        <w:rPr>
          <w:rtl w:val="true"/>
        </w:rPr>
        <w:t>المناقشة فی خروج اسم المفعول و اسم الآلة عن محل النزاع</w:t>
      </w:r>
      <w:bookmarkEnd w:id="4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العنوان المذکور فی محل النزاع و ان کان یعمّ جمیع المشتقات إلا أنّه لا بد من تخصیصه بغیر اسم المفعول و اسم الآلة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فرق بین المشتقات، و أنّ هذا الفرق الذی أبداه قدّس سرّه إنّما هو لأجل أنّه قد أخذ فی المبدأ جهة زائدة علی أصل المعنی، و تلک الخصوصیة هی لحاظ الانقضاء و المضی فی نفس المبدأ، و حینئذ لا یتصور الانقضاء فی اسم الفاعل کما لا یتصور فی اسم المفعول، و یدلک علی ذلک أنّه لا یقال هذه المسألة معلومة لزید فیما إذا علمها ثم جهلها، و کذلک الحال فی مثل قولک هذا الاناء مملوء ماء فیما إذا امتلأ ثم فرغ، و کذلک الحال فی اسم الآلة أعنی المفتاح مثلا فانه قد أخذ فی مبدئه التهیؤ للفتح و هو بهذا المعنی لا یکون قابلا للانقضاء فی اسم الفاعل أعنی الفاتح کما هو غیر قابل له فی اسم الآلة أعنی المفتاح، و یدلک علی ذلک أنّ هذا العنوان أعنی المفتاح أو الفاتح یصدق علی هذه الآلة بمجرد الفراغ من صنعتها و إن لم یتحقق الفتح الفعلی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یأتی فی اسم المکان</w:t>
      </w:r>
    </w:p>
    <w:p>
      <w:pPr>
        <w:pStyle w:val="BookText"/>
        <w:rPr/>
      </w:pPr>
      <w:r>
        <w:rPr>
          <w:rFonts w:ascii="IRNazanin" w:hAnsi="IRNazanin" w:eastAsia="IRNazanin"/>
          <w:color w:val="111111"/>
          <w:sz w:val="28"/>
          <w:sz w:val="28"/>
          <w:szCs w:val="28"/>
          <w:rtl w:val="true"/>
          <w:lang w:bidi="fa-IR"/>
        </w:rPr>
        <w:t>مثل المصلی و المربض و المربط و المعلف و نحو ذلک مما یراد بالمبدإ فیه التهیّؤ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أجد فی اسم الآلة ما هو مجرد عن أخذ المبدأ فیه بمعنی التهیؤ، و إن وجد فی اسم المکان ما هو مجرد عن معنی التهیّؤ مثل المقتل و المضرب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بعد أخذ الانقضاء فی مفهوم المبدأ یکون اسم المفعول قابلا لأن یکون فی مورد النفی کما یکون فی مورد الاثبات، و ذلک لا دخل له فی واقعیة الانقضاء و الوقوع، کما أنّه یصح استعماله فیما لو کان التطبیق فی الاستقبال کما فی قولک زید یکون مضروبا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لک التأمل فیما تضمنته الحاشیة صفحة </w:t>
      </w:r>
      <w:r>
        <w:rPr>
          <w:rFonts w:eastAsia="IRNazanin" w:cs="IRNazanin"/>
          <w:color w:val="111111"/>
          <w:sz w:val="28"/>
          <w:szCs w:val="28"/>
          <w:lang w:bidi="fa-IR"/>
        </w:rPr>
        <w:t>83</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ما أفاده شیخنا قدّس سرّه فی هذا المقام لعلّه من قبیل إدخال معنی الحرف فی المادة، فإنّ قولک ضرب زید عمرا تتضمن الهیئة فیه نسبة الضرب إلی زید علی جهة الوقوع منه و إلی عمرو علی جهة الوقوع له، و هذه الجهة للنسبة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Style w:val="FootnoteAnchor"/>
          <w:rtl w:val="true"/>
        </w:rPr>
        <w:footnoteReference w:id="642"/>
      </w:r>
      <w:r>
        <w:rPr>
          <w:rFonts w:ascii="IRNazanin" w:hAnsi="IRNazanin" w:eastAsia="IRNazanin"/>
          <w:color w:val="111111"/>
          <w:sz w:val="28"/>
          <w:sz w:val="28"/>
          <w:szCs w:val="28"/>
          <w:rtl w:val="true"/>
          <w:lang w:bidi="fa-IR"/>
        </w:rPr>
        <w:t>معنی حرفی أدخلها فی المادة فجعل المنسوب إلی عمرو هو وقوع الضرب علیه، و من الواضح أن الوقوع یبقی و إن انقضی الضرب، فلا یتصور الانقضاء فی لفظ المضروب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تأمل،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لازم ذلک أن یکون اسم الفاعل کذلک، فیکون معنی ضارب من وقع منه الضرب و هو باق لا ینعدم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أنّه إدخال جهة النسبة فی المادة المنسوبة، و هو الذی عبّرنا عنه بادخال المعنی الحرفی فی المادة</w:t>
      </w:r>
      <w:r>
        <w:rPr>
          <w:rFonts w:eastAsia="IRNazanin" w:cs="IRNazanin"/>
          <w:color w:val="111111"/>
          <w:sz w:val="28"/>
          <w:szCs w:val="28"/>
          <w:rtl w:val="true"/>
          <w:lang w:bidi="fa-IR"/>
        </w:rPr>
        <w:t>.</w:t>
      </w:r>
      <w:bookmarkStart w:id="499" w:name="pg19834_212385"/>
    </w:p>
    <w:p>
      <w:pPr>
        <w:pStyle w:val="BookText"/>
        <w:rPr/>
      </w:pPr>
      <w:bookmarkEnd w:id="499"/>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ذلک لکان الاشکال بأنّ الحدث لا دوام له لأنّ الوقوع آنی لا بقاء له، لا أنّه لا انقضاء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کله فی الوقوع بمعنی الصدور،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الحدث بمعنی صدر و خرج من العدم إلی الوجود، و ذلک عبارة اخری عن وجود الحدث، و هذا الوقوع الذی أفاده قدّس سرّه لیس هو بذلک المعنی بل هو بمعنی السقوط، بمعنی أنّ عمرا فی قولک ضرب زید عمرا قد سقط علیه الضرب و وقع علیه، فهو مما یقبل الانقضاء، لا أنه بمعنی الخروج من العدم إلی الوجود کی لا یکون قابلا لذلک، فتأمل</w:t>
      </w:r>
      <w:r>
        <w:rPr>
          <w:rFonts w:eastAsia="IRNazanin" w:cs="IRNazanin"/>
          <w:color w:val="111111"/>
          <w:sz w:val="28"/>
          <w:szCs w:val="28"/>
          <w:rtl w:val="true"/>
          <w:lang w:bidi="fa-IR"/>
        </w:rPr>
        <w:t>.</w:t>
      </w:r>
    </w:p>
    <w:p>
      <w:pPr>
        <w:pStyle w:val="Heading4"/>
        <w:numPr>
          <w:ilvl w:val="3"/>
          <w:numId w:val="1"/>
        </w:numPr>
        <w:rPr/>
      </w:pPr>
      <w:bookmarkStart w:id="500" w:name="__RefHeading___Toc3493783_2314609296"/>
      <w:bookmarkStart w:id="501" w:name="_Toc184"/>
      <w:bookmarkEnd w:id="500"/>
      <w:r>
        <w:rPr>
          <w:rtl w:val="true"/>
        </w:rPr>
        <w:t>[</w:t>
      </w:r>
      <w:r>
        <w:rPr>
          <w:rtl w:val="true"/>
        </w:rPr>
        <w:t>الرد علی استدلال القائلین بالأعم بلزوم کثرة المجاز لو کان الموضوع له هو المتلبس</w:t>
      </w:r>
      <w:bookmarkEnd w:id="50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المراد من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التنبیه معقود لتوضیح الرد علی استدلال القائلین بالأعم بلزوم کثرة المجاز لو کان الموضوع له هو خصوص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تقدیر فلا محالة لا ینفک الحکم عن وجوده، فلا بد و أن یکون مستعملا فی خصوص المتلبس و إلا فیلزم ما ذکرناه سابقا من تخلف الحکم عن موضوعه و هو محال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عن تأمل؛ فانّ ذلک إنما هو فیما لو کان الحکم متحققا قبل التلبس، دون ما لو کان تحقق الحکم بعد التلبس و الانقضاء کما فی الأحکام المشروطة بشرط و قد تحقق التلبس و انقضی قبل حصول الشرط</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ما أفاده شیخنا قدّس سرّه فی هذا المقام لعله قدّس سرّه ناظر فیه إلی کون الأحکام الشرعیة أزلیة، و إلّا فعند تشریع الحکم علی عنوان</w:t>
      </w:r>
    </w:p>
    <w:p>
      <w:pPr>
        <w:pStyle w:val="BookText"/>
        <w:rPr/>
      </w:pPr>
      <w:r>
        <w:rPr>
          <w:rFonts w:ascii="IRNazanin" w:hAnsi="IRNazanin" w:eastAsia="IRNazanin"/>
          <w:color w:val="111111"/>
          <w:sz w:val="28"/>
          <w:sz w:val="28"/>
          <w:szCs w:val="28"/>
          <w:rtl w:val="true"/>
          <w:lang w:bidi="fa-IR"/>
        </w:rPr>
        <w:t>المشتق لو کان بعض الموجودین قد وقع منه الحدث فیما سبق و انعدم فیه الآن، یتصور فیه شمول الحکم له بناء علی العموم، و عدم شموله له بناء علی الخصوص لخصوص المتلبس الفعلی، و هکذا الحال فیما لو کان الحکم مشروطا بشرط و کان البعض واجدا للمبدا قبل حصول الشرط و انتفی منه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الصحن فأکرم کل معمم تجده فیه، فهل یشمل من کان معمما قبل دخولک و لکنه عند دخولک قد نزع العمامة و هکذا، بل و کذلک فی الأحکام الاستمراریة فی من وجد له الحدث و لحقه الحکم و لکنّه بعد ذلک انتفی عنه الحدث، إلی غیر ذلک من المواقع التی یکون المشتق فیها موضوعا و یکون الحدث قد انتفی عن ذلک الموضوع، و قد تقدم </w:t>
      </w:r>
      <w:r>
        <w:rPr>
          <w:rStyle w:val="FootnoteAnchor"/>
          <w:rtl w:val="true"/>
        </w:rPr>
        <w:footnoteReference w:id="645"/>
      </w:r>
      <w:r>
        <w:rPr>
          <w:rFonts w:ascii="IRNazanin" w:hAnsi="IRNazanin" w:eastAsia="IRNazanin"/>
          <w:color w:val="111111"/>
          <w:sz w:val="28"/>
          <w:sz w:val="28"/>
          <w:szCs w:val="28"/>
          <w:rtl w:val="true"/>
          <w:lang w:bidi="fa-IR"/>
        </w:rPr>
        <w:t>مثال الرضاع، فکیف أفاد شیخنا أن ما اخذ موضوعا لا یتصور فیه الانقضاء، ببرهان أنّ الحکم لا یتأخر عن موضوعه، فلاحظ</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یظهر لک أنّ ما اخذ معرّفا و مشیرا إلی ما هو الموضوع الواقعی یکون صالحا للانطباق علی من انقضی عنه التلبس، فلو فرضنا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أخذنا عنوان المعمم معرّفا و مشیرا إلی من هو موضوع وهم زید و عمرو و بکر إلخ، إلّا أنّ تلک الأفراد تختلف قلّة و کثرة باعتبار ذلک العنوان الذی اخذ معرّفا لها أعنی المعمم، فان کان هو مطلق المعمم و لو انقضی عنه المبدأ کان المشار إلیه بذلک العنوان أوسع منه فیما لو أخذناه لخصوص المتلبس، فإنّ خالدا الذی خلع العمامة مثلا یکون علی الأول من جملة المشار إلیهم، بخلافه ما لو أخذناه علی الثانی فإنّه حینئذ لا یکون من جملة المشار إلیهم فیکون داخلا فی محل النزاع و ذلک واضح، هذا</w:t>
      </w:r>
      <w:r>
        <w:rPr>
          <w:rFonts w:eastAsia="IRNazanin" w:cs="IRNazanin"/>
          <w:color w:val="111111"/>
          <w:sz w:val="28"/>
          <w:szCs w:val="28"/>
          <w:rtl w:val="true"/>
          <w:lang w:bidi="fa-IR"/>
        </w:rPr>
        <w:t>.</w:t>
      </w:r>
      <w:bookmarkStart w:id="502" w:name="pg19834_212387"/>
    </w:p>
    <w:p>
      <w:pPr>
        <w:pStyle w:val="BookText"/>
        <w:rPr/>
      </w:pPr>
      <w:bookmarkEnd w:id="502"/>
      <w:r>
        <w:rPr>
          <w:rFonts w:ascii="IRNazanin" w:hAnsi="IRNazanin" w:eastAsia="IRNazanin"/>
          <w:color w:val="111111"/>
          <w:sz w:val="28"/>
          <w:sz w:val="28"/>
          <w:szCs w:val="28"/>
          <w:rtl w:val="true"/>
          <w:lang w:bidi="fa-IR"/>
        </w:rPr>
        <w:t xml:space="preserve">و الذی یظهر مما حررته عنه قدّس سرّه هو دخول العنوان المعرّف فی محل النزاع، کما أنّا لم نضبط البرهان العقلی الذی أفاده فی وجه عدم إمکان إرادة من انقضی عنه المبدأ فیما اخذ موضوعا، فراجع ما حررته عنه قدّس سرّه </w:t>
      </w:r>
      <w:r>
        <w:rPr>
          <w:rStyle w:val="FootnoteAnchor"/>
          <w:rtl w:val="true"/>
        </w:rPr>
        <w:footnoteReference w:id="647"/>
      </w:r>
      <w:r>
        <w:rPr>
          <w:rFonts w:ascii="IRNazanin" w:hAnsi="IRNazanin" w:eastAsia="IRNazanin"/>
          <w:color w:val="111111"/>
          <w:sz w:val="28"/>
          <w:sz w:val="28"/>
          <w:szCs w:val="28"/>
          <w:rtl w:val="true"/>
          <w:lang w:bidi="fa-IR"/>
        </w:rPr>
        <w:t xml:space="preserve">فی التنبیه و تأمل فیه، کما ینبغی مراجعة ما حرره عنه المرحوم الشیخ محمد علی خصوصا ما حرره فی صفحة </w:t>
      </w:r>
      <w:r>
        <w:rPr>
          <w:rFonts w:eastAsia="IRNazanin" w:cs="IRNazanin"/>
          <w:color w:val="111111"/>
          <w:sz w:val="28"/>
          <w:szCs w:val="28"/>
          <w:lang w:bidi="fa-IR"/>
        </w:rPr>
        <w:t>65</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3493785_2314609296"/>
      <w:bookmarkStart w:id="504" w:name="_Toc185"/>
      <w:bookmarkEnd w:id="503"/>
      <w:r>
        <w:rPr>
          <w:rtl w:val="true"/>
        </w:rPr>
        <w:t>[</w:t>
      </w:r>
      <w:r>
        <w:rPr>
          <w:rtl w:val="true"/>
        </w:rPr>
        <w:t>أخذ المشتقات لا بشرط، و الکلام فی صفاته تعالی</w:t>
      </w:r>
      <w:bookmarkEnd w:id="50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بحسب اللحاظ فقد تؤخذ لا بشرط و یصح حمل بعضها علی بعض و اخری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أخذ المبدأ لا بشرط أو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إنّما هو بالقیاس إلی الذات أو النسبة و الحمل علیها، و لیس هو بالقیاس إلی صفة اخری و مبدأ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لک التأمل فیما شرحه فی المثال، فإنه إنّما یفید فی اتحاد إحدی الصفتین أعنی العلم و القدرة بالاخری، و هو لا ینتج الاتحاد بین الصفة و الذات، و علی کل حال أنّ کلامنا فی المفاهیم اللفظیة و هی لا دخل لها باتحاد واقع تلک الصفات فیه تعالی مع الذات، و سواء قلنا بالاتحاد أو قلنا بزیادتها علی الذات، فذلک مبحث آخر لا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651"/>
      </w:r>
      <w:r>
        <w:rPr>
          <w:rFonts w:ascii="IRNazanin" w:hAnsi="IRNazanin" w:eastAsia="IRNazanin"/>
          <w:color w:val="111111"/>
          <w:sz w:val="28"/>
          <w:sz w:val="28"/>
          <w:szCs w:val="28"/>
          <w:rtl w:val="true"/>
          <w:lang w:bidi="fa-IR"/>
        </w:rPr>
        <w:t>بعالم مفاهیم الألفاظ</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یمکن أن یقال إنّه لو بنینا علی ترکّب المشتق، فحیث إنّه مشتمل علی النسبة الناقصة التقییدیة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w:t>
      </w:r>
    </w:p>
    <w:p>
      <w:pPr>
        <w:pStyle w:val="BookText"/>
        <w:rPr/>
      </w:pPr>
      <w:r>
        <w:rPr>
          <w:rFonts w:ascii="IRNazanin" w:hAnsi="IRNazanin" w:eastAsia="IRNazanin"/>
          <w:color w:val="111111"/>
          <w:sz w:val="28"/>
          <w:sz w:val="28"/>
          <w:szCs w:val="28"/>
          <w:rtl w:val="true"/>
          <w:lang w:bidi="fa-IR"/>
        </w:rPr>
        <w:t xml:space="preserve">قلنا ببساطته فحیث إنّه عار من النسبة فیکون حاله حال المبدأ بل 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إنّ المشتق بسیط لم یکن التجوز فی النسبة التی دلت علیها الهیئة فی الفعل موجبا للتجوز فی المشتق، لأنه بناء علی هذا القول لا یکون إلّا مفهوما بسیطا منطبقا علی الذات باعتبار أخذ المبدأ فیها عرضیا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انطباق ذلک المفهوم البسیط و حمله علی غیر ما هو له کما إذا قلت النهر جار، انطباق و حمل علی غیر من هو له، فیکون هذا الحمل و الانطباق مجازا عقلیا، و أین هذا من التجوز فی نفس مفهوم المشتق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النسبة فی الفعل من قبیل المجاز العقلی لکونها نسبة إلی غیر ما هو له، لا یکون مستلزما لکون استعمال مفهوم المشتق من هذا القبیل أعنی المجاز العقلی، و إن استلزم کون حمل ذلک المشتق علی من لم یکن له من قبیل المجاز العقلی لکونه حملا له علی غیر من هو له، فلا ربط لأحد التجوزین بالآخر، فالمجازیة المذکورة لا تسری من الفعل إلی مفهوم المشتق بناء علی کونه بسیطا بل یمکن أن یقال إنّ هذا التجوز لا یسری إلی مفهوم المشتق و لو قلنا بکونه مرکبا، بأن یکون المراد من کونه مرکبا هو الترکیب الانحلالی من جهة انحلال مفهومه عقلا إلی ذات ثبت لها المبدأ و إن کان بحسب الصورة بسیطا، نعم لو قلنا بالترکیب بمعنی دلالة هیئة المشتق علی النسبة الناقصة کان التجوز فی الفعل مستلزما للتجوز بالنسبة فی هیئة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یتوهم تحقق الملازمة بین التجوزین حتی لو قلنا بالبساطة التی هی مختاره قدّس سرّه بتخیّل أنّه لا ریب فی دلالة هیئة المشتق علی أخذ العرض عرضیا، و لا ریب أنّ مثل الجریان إنّما یکون عرضیا بالنسبة إلی ما هو له، و أمّا بالنسبة إلی غیر ما هو له فلا یکون عرضیا له إلّا بنحو من ذلک التجوز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مفاد هیئة المشتق إنما هو کون العرض عرضیا، و لا ریب أن هذا المعنی متحقق فی مثل النهر جار، و إنما وقع التجوز فی مفاد الجار و المجرور من قولنا عرضیا له، و لا ربط لهذا المفاد بمفاد هیئة المشتق، و إنما یرجع مفاد هذا الجار و المجرور إلی حمل ذلک المشتق علی الذات، فان حمل علی غیر ما هو له کان الحمل مجازیا، و إلّا کان الحمل حقیقیا بلا دخل لذلک فی مفاد هیئة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حمل المشتق علی الذات نظرین،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أنّه متلبس فعلا بالمبدإ أو أنّه قد انقضی عنه المبدأ، و هذا النظر تابع لما وضعت له هیئة المشتق، فان قلنا إن الهیئة موضوعة لخصوص المتلبس الفعلی، کان حمله علی من انقضی عنه المبدأ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النظر إلی نسبة الحدث إلی الذات، فإن کانت النسبة حقیقیة کان الحمل حقیقیا و إلّا کان الحمل مجازیا، و ربما اجتمع التجوزان کما لو انقضی الجریان عن الماء و قیل النهر جار، فإنّ هناک تجوزین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التجوز فی النسبة الحملیة و التجوز فی مفاد الهیئة، و ربما ینفرد الأول عن الثانی کما فی قولک الماء جار بعد انقضاء الجریان عنه، و ربما انفرد الثانی عن الاول کما فی قولک النهر جار فی حال جریان الماء فیه</w:t>
      </w:r>
      <w:r>
        <w:rPr>
          <w:rFonts w:eastAsia="IRNazanin" w:cs="IRNazanin"/>
          <w:color w:val="111111"/>
          <w:sz w:val="28"/>
          <w:szCs w:val="28"/>
          <w:rtl w:val="true"/>
          <w:lang w:bidi="fa-IR"/>
        </w:rPr>
        <w:t>.</w:t>
      </w:r>
      <w:bookmarkStart w:id="505" w:name="pg19834_212390"/>
    </w:p>
    <w:p>
      <w:pPr>
        <w:pStyle w:val="Heading2"/>
        <w:numPr>
          <w:ilvl w:val="1"/>
          <w:numId w:val="1"/>
        </w:numPr>
        <w:rPr/>
      </w:pPr>
      <w:bookmarkStart w:id="506" w:name="__RefHeading___Toc3493787_2314609296"/>
      <w:bookmarkStart w:id="507" w:name="_Toc186"/>
      <w:bookmarkEnd w:id="505"/>
      <w:bookmarkEnd w:id="506"/>
      <w:r>
        <w:rPr>
          <w:rtl w:val="true"/>
        </w:rPr>
        <w:t>[</w:t>
      </w:r>
      <w:r>
        <w:rPr>
          <w:rtl w:val="true"/>
        </w:rPr>
        <w:t>المقصد الأول</w:t>
      </w:r>
      <w:r>
        <w:rPr>
          <w:rtl w:val="true"/>
        </w:rPr>
        <w:t>:] [</w:t>
      </w:r>
      <w:r>
        <w:rPr>
          <w:rtl w:val="true"/>
        </w:rPr>
        <w:t>مبحث الأوامر</w:t>
      </w:r>
      <w:r>
        <w:rPr>
          <w:rtl w:val="true"/>
        </w:rPr>
        <w:t>]</w:t>
      </w:r>
      <w:bookmarkEnd w:id="507"/>
    </w:p>
    <w:p>
      <w:pPr>
        <w:pStyle w:val="Heading3"/>
        <w:numPr>
          <w:ilvl w:val="2"/>
          <w:numId w:val="1"/>
        </w:numPr>
        <w:rPr/>
      </w:pPr>
      <w:bookmarkStart w:id="508" w:name="__RefHeading___Toc3493789_2314609296"/>
      <w:bookmarkStart w:id="509" w:name="_Toc187"/>
      <w:bookmarkEnd w:id="508"/>
      <w:r>
        <w:rPr>
          <w:rtl w:val="true"/>
        </w:rPr>
        <w:t>[</w:t>
      </w:r>
      <w:r>
        <w:rPr>
          <w:rtl w:val="true"/>
        </w:rPr>
        <w:t>فیما یتعلق بمادة الأمر</w:t>
      </w:r>
      <w:r>
        <w:rPr>
          <w:rtl w:val="true"/>
        </w:rPr>
        <w:t>]</w:t>
      </w:r>
      <w:bookmarkEnd w:id="509"/>
    </w:p>
    <w:p>
      <w:pPr>
        <w:pStyle w:val="Heading4"/>
        <w:numPr>
          <w:ilvl w:val="3"/>
          <w:numId w:val="1"/>
        </w:numPr>
        <w:rPr/>
      </w:pPr>
      <w:bookmarkStart w:id="510" w:name="__RefHeading___Toc3493791_2314609296"/>
      <w:bookmarkStart w:id="511" w:name="_Toc188"/>
      <w:bookmarkEnd w:id="510"/>
      <w:r>
        <w:rPr>
          <w:rtl w:val="true"/>
        </w:rPr>
        <w:t>[</w:t>
      </w:r>
      <w:r>
        <w:rPr>
          <w:rtl w:val="true"/>
        </w:rPr>
        <w:t>معانی الأمر</w:t>
      </w:r>
      <w:r>
        <w:rPr>
          <w:rtl w:val="true"/>
        </w:rPr>
        <w:t>]</w:t>
      </w:r>
      <w:bookmarkEnd w:id="51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بمادة الأمر، و قد ذکر لها بحسب اللغة معان متعددة، منها الشی‌ء و الطلب و الحادثة و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زاد فی الکفایة الفعل و الفعل العجیب و الشأن </w:t>
      </w:r>
      <w:r>
        <w:rPr>
          <w:rStyle w:val="FootnoteAnchor"/>
          <w:rtl w:val="true"/>
        </w:rPr>
        <w:footnoteReference w:id="654"/>
      </w:r>
      <w:r>
        <w:rPr>
          <w:rFonts w:ascii="IRNazanin" w:hAnsi="IRNazanin" w:eastAsia="IRNazanin"/>
          <w:color w:val="111111"/>
          <w:sz w:val="28"/>
          <w:sz w:val="28"/>
          <w:szCs w:val="28"/>
          <w:rtl w:val="true"/>
          <w:lang w:bidi="fa-IR"/>
        </w:rPr>
        <w:t>، و لکنّه قدّس سرّه أسقط أربعة بدعوی کونها من اشتباه المفهوم بالمصداق، و هی الحادثة و الفعل العجیب و الغرض و الشأن،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دعوی کونه حقیقة فی الطلب فی الجملة، و فی بعض النسخ إلحاق الشی‌ء بالطلب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یتعرض لما هو المستعمل فیه فی الأربعة المذکورة التی أنکرها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نظره أنّ المستعمل فیه فیها هو الشی‌ء، کما ربما یستفاد ذلک من تسلیمه أنّه حقیقة فیه و فی الطلب فی الجملة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دعوی کونه حقیقة فی الطلب فی الجملة و الشی‌ء، انتهی علی ما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 یتعرض لرد دعوی استعمالها فی الفعل مثل قوله تعالی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أمر فرعون برشید</w:t>
      </w:r>
      <w:r>
        <w:rPr>
          <w:rStyle w:val="FootnoteAnchor"/>
          <w:rtl w:val="true"/>
        </w:rPr>
        <w:footnoteReference w:id="655"/>
      </w:r>
      <w:r>
        <w:rPr>
          <w:rFonts w:ascii="IRNazanin" w:hAnsi="IRNazanin" w:eastAsia="IRNazanin"/>
          <w:color w:val="111111"/>
          <w:sz w:val="28"/>
          <w:sz w:val="28"/>
          <w:szCs w:val="28"/>
          <w:rtl w:val="true"/>
          <w:lang w:bidi="fa-IR"/>
        </w:rPr>
        <w:t>و لعل نظره أنه مثل استعمالها فی الفعل العجیب فی کونه من قبیل اشتباه المفهوم بالمصداق بناء علی أنّ المستعمل فیه فی الآیة الشریفة هو الشی‌ء أیضا، لکنّه ینطبق علیه مفهوم الفعل أیضا</w:t>
      </w:r>
    </w:p>
    <w:p>
      <w:pPr>
        <w:pStyle w:val="BookText"/>
        <w:rPr/>
      </w:pPr>
      <w:r>
        <w:rPr>
          <w:rFonts w:ascii="IRNazanin" w:hAnsi="IRNazanin" w:eastAsia="IRNazanin"/>
          <w:color w:val="111111"/>
          <w:sz w:val="28"/>
          <w:sz w:val="28"/>
          <w:szCs w:val="28"/>
          <w:rtl w:val="true"/>
          <w:lang w:bidi="fa-IR"/>
        </w:rPr>
        <w:t>فیکون من باب اشتباه المفهوم بالمصداق، و تخیّل أنّها مستعملة فی ذلک المفهوم المنطبق علی المستعمل فیه أعنی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کلّه فقد قال بعد ذلک کلّه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استعمل فی غیر واحد من المعانی فی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مع أنّه بعد تقدیم ما قدّمه بأنّ جمیع تلک الموارد من باب الخلط بین المصداق و المفهوم و أنّها لم یثبت استعمالها إلّا فی الطلب و الشی‌ء، کیف یصح أن یقول إنها استعملت فی غیر واحد من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لأجل ذلک حصر شیخنا قدّس سرّه موارد استعمالها فی الطلب، و فی الواقعة التی لها أهمیة فی الجملة، بل جعل الطلب داخلا فی المعنی الثانی، فیکون المستعمل فیه فی جمیع تلک الموارد هو الواقعة التی لها 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 تستعمل فی مفهوم الواقعة ذات الأهمیة، و إنّما استعملت فی الشی‌ء، غایته أنّ ذلک الشی‌ء الذی استعملت فیه یکون مصداقا لما هو ذو الأهمیة، و حینئذ فلا یخرج ذلک عن کونه من باب إدخال المفهوم فی مصداقه الذی استعملت فیه، و لعل شرح موارد استعمال هذه اللفظة أعنی لفظة الأمر یتضح بالقیاس إلی لفظ الشی‌ء فانّه مصدر شاء یشاء، و أما إطلاقه علی ما فی الخارج من جواهر و أعراض من قبیل إطلاق المصدر علی المفعول مثل الخلق علی المخلوق و اللفظ علی الملفوظ و القول علی المقول، بل ورد فی الروایات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بینهما ثلاثة أیام، فان قبّضه بیعه، و إلّا فلا 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الخیار 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بیعا فمضت ثلاثة أیام و لم یجی‌ء فلا بیع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المتقدم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خیار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بیع ما لم یقبض صحیحة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یبیع البیع قبل أن یقبضه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أحکام العقود 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اشتری بیعا لیس فیه کیل و لا وزن أ له أن یبیعه مرابحة قبل أن یقبضه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المتقدم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البیع علی</w:t>
      </w:r>
    </w:p>
    <w:p>
      <w:pPr>
        <w:pStyle w:val="BookText"/>
        <w:rPr/>
      </w:pPr>
      <w:r>
        <w:rPr>
          <w:rFonts w:ascii="IRNazanin" w:hAnsi="IRNazanin" w:eastAsia="IRNazanin"/>
          <w:color w:val="111111"/>
          <w:sz w:val="28"/>
          <w:sz w:val="28"/>
          <w:szCs w:val="28"/>
          <w:rtl w:val="true"/>
          <w:lang w:bidi="fa-IR"/>
        </w:rPr>
        <w:t>المبیع فی کثیر من روایات خیار التأخیر و غیره فراجع، فإنّ جمیع تلک الموارد یصدق علیها أنّها شی‌ء بمعنی مشاء، فإنّها مشاءة إما بنفسها أو بما یتعلق بها بنحو من التوسع، حتی بالنسبة إلی ذاته تعالی فإنّها شی‌ء باعتبار ارادة معرفتها و نحو ذلک من التوسع المصحح للتعبیر عنها بأنّها شی‌ء بمعنی مشاء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التفصیل بعینه یتأتّی فی الأمر فإنّه مصدر من أمر یأمر بمعنی طلب، و صدقه علی جمیع الموارد المذکورة فی الکفایة و غیرها باعتبار أنّ الأمر بمعنی الطلب، و أن کل واحد من تلک الموارد مطلوب، فیکون استعمال الأمر فیها من قبیل استعمال المصدر بمعنی اسم المفعول، و صدق المطلوب علی تلک الأشیاء بنحو من التوسع علی حذو ما ذکرناه فی لفظ الشی‌ء، غیر أن الشی‌ء یطلق علی کل موجود سواء کان جوهرا أو عرضا، و الأمر لم یثبت إطلاقه علی الجواهر، لکن هذا المقدار من التفاوت لا یضر بالمقایسة المذکورة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جمع الأمر بمعنی الطلب علی أوامر و بالمعانی الأخر علی امور، ففیه أنّه خلاف ما یظهر من القاموس </w:t>
      </w:r>
      <w:r>
        <w:rPr>
          <w:rStyle w:val="FootnoteAnchor"/>
          <w:rtl w:val="true"/>
        </w:rPr>
        <w:footnoteReference w:id="657"/>
      </w:r>
      <w:r>
        <w:rPr>
          <w:rFonts w:ascii="IRNazanin" w:hAnsi="IRNazanin" w:eastAsia="IRNazanin"/>
          <w:color w:val="111111"/>
          <w:sz w:val="28"/>
          <w:sz w:val="28"/>
          <w:szCs w:val="28"/>
          <w:rtl w:val="true"/>
          <w:lang w:bidi="fa-IR"/>
        </w:rPr>
        <w:t>من کون الامور جمعا للکل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الأوامر إنّما هی جمع الآمرة بمعنی الصیغة الآمرة کالنواهی جمع</w:t>
      </w:r>
    </w:p>
    <w:p>
      <w:pPr>
        <w:pStyle w:val="BookText"/>
        <w:rPr/>
      </w:pPr>
      <w:r>
        <w:rPr>
          <w:rFonts w:ascii="IRNazanin" w:hAnsi="IRNazanin" w:eastAsia="IRNazanin"/>
          <w:color w:val="111111"/>
          <w:sz w:val="28"/>
          <w:sz w:val="28"/>
          <w:szCs w:val="28"/>
          <w:rtl w:val="true"/>
          <w:lang w:bidi="fa-IR"/>
        </w:rPr>
        <w:t xml:space="preserve">الصیغة الناهیة کذلک </w:t>
      </w:r>
      <w:r>
        <w:rPr>
          <w:rStyle w:val="FootnoteAnchor"/>
          <w:rtl w:val="true"/>
        </w:rPr>
        <w:footnoteReference w:id="658"/>
      </w:r>
      <w:r>
        <w:rPr>
          <w:rFonts w:ascii="IRNazanin" w:hAnsi="IRNazanin" w:eastAsia="IRNazanin"/>
          <w:color w:val="111111"/>
          <w:sz w:val="28"/>
          <w:sz w:val="28"/>
          <w:szCs w:val="28"/>
          <w:rtl w:val="true"/>
          <w:lang w:bidi="fa-IR"/>
        </w:rPr>
        <w:t xml:space="preserve">جمع الصاحبة علی صواحب و شاعرة علی شواعر و لیس هو جمع الصاحب و الشاعر، و فی تاج العروس </w:t>
      </w:r>
      <w:r>
        <w:rPr>
          <w:rStyle w:val="FootnoteAnchor"/>
          <w:rtl w:val="true"/>
        </w:rPr>
        <w:footnoteReference w:id="659"/>
      </w:r>
      <w:r>
        <w:rPr>
          <w:rFonts w:ascii="IRNazanin" w:hAnsi="IRNazanin" w:eastAsia="IRNazanin"/>
          <w:color w:val="111111"/>
          <w:sz w:val="28"/>
          <w:sz w:val="28"/>
          <w:szCs w:val="28"/>
          <w:rtl w:val="true"/>
          <w:lang w:bidi="fa-IR"/>
        </w:rPr>
        <w:t>بحث مفصل فی جمع الأمر بمعنی الطلب علی أوامر،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لا یبعد أن تکون الأوامر جمع الآمرة، و هی إما بمعنی الأمر نظیر ما ذکراه من استعمال الفاعلة بمعنی المصدر کالعاقبة، أو هی بمعنی الصیغة الآمرة، و الثانی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ذلک یکون أظهر تلک الموارد هو الطلب، لأنّ انطباق الأمر علیه یکون علی وفق الوضع الأولی أعنی المصدریة، و إطلاقه علی غیره من تلک الموارد یحتاج إلی عنایة کونه من باب </w:t>
      </w:r>
      <w:r>
        <w:rPr>
          <w:rStyle w:val="FootnoteAnchor"/>
          <w:rtl w:val="true"/>
        </w:rPr>
        <w:footnoteReference w:id="660"/>
      </w:r>
      <w:r>
        <w:rPr>
          <w:rFonts w:ascii="IRNazanin" w:hAnsi="IRNazanin" w:eastAsia="IRNazanin"/>
          <w:color w:val="111111"/>
          <w:sz w:val="28"/>
          <w:sz w:val="28"/>
          <w:szCs w:val="28"/>
          <w:rtl w:val="true"/>
          <w:lang w:bidi="fa-IR"/>
        </w:rPr>
        <w:t>استعمال المصدر بمعنی 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بعد مجال النظر؛ لأنّا إنّما نصحّح استعمال المصدر فی مورد اسم المفعول فی خصوص ما لو کان المفعول هو نتیجة ذلک المصدر مثل الخلق و المخلوق و اللفظ و الملفوظ، دون مثل ما نحن فیه، سیما فیما کان اسم المفعول فیه ناقصا یحتاج إلی متعلق أعنی المأمور به، لکن ینافیه استعمال البیع فی المبیع</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الأمر لا یرادف الطلب، لأنّ الطلب یتعدی إلی المکلف المطلوب منه بمن و إلی المطلوب بنفسه، بخلاف الأمر فإنّ مثل أمر یأمر یتعدی إلی المطلوب منه بنفسه و إلی الفعل المطلوب بالباء، فالأشبه أن یکون قد اشرب فیه معنی الالزام</w:t>
      </w:r>
      <w:r>
        <w:rPr>
          <w:rFonts w:eastAsia="IRNazanin" w:cs="IRNazanin"/>
          <w:color w:val="111111"/>
          <w:sz w:val="28"/>
          <w:szCs w:val="28"/>
          <w:rtl w:val="true"/>
          <w:lang w:bidi="fa-IR"/>
        </w:rPr>
        <w:t>.</w:t>
      </w:r>
      <w:bookmarkStart w:id="512" w:name="pg19834_212394"/>
    </w:p>
    <w:p>
      <w:pPr>
        <w:pStyle w:val="BookText"/>
        <w:rPr/>
      </w:pPr>
      <w:bookmarkEnd w:id="512"/>
      <w:r>
        <w:rPr>
          <w:rFonts w:ascii="IRNazanin" w:hAnsi="IRNazanin" w:eastAsia="IRNazanin"/>
          <w:color w:val="111111"/>
          <w:sz w:val="28"/>
          <w:sz w:val="28"/>
          <w:szCs w:val="28"/>
          <w:rtl w:val="true"/>
          <w:lang w:bidi="fa-IR"/>
        </w:rPr>
        <w:t>و فیه تأمل، لأنّ مجرد التوافق فی التعدیة لا یوجب الاتحاد فی المفهوم کما فی مادة حتمت علیه أن یفعل، فإنّه موافق لمادة الطلب فی التعدی بنفسه إلی المطلوب، مع أنّه نص فی اللزوم و الوجوب، بخلاف مادة الطلب، فتأمل</w:t>
      </w:r>
      <w:r>
        <w:rPr>
          <w:rFonts w:eastAsia="IRNazanin" w:cs="IRNazanin"/>
          <w:color w:val="111111"/>
          <w:sz w:val="28"/>
          <w:szCs w:val="28"/>
          <w:rtl w:val="true"/>
          <w:lang w:bidi="fa-IR"/>
        </w:rPr>
        <w:t>.</w:t>
      </w:r>
    </w:p>
    <w:p>
      <w:pPr>
        <w:pStyle w:val="Heading4"/>
        <w:numPr>
          <w:ilvl w:val="3"/>
          <w:numId w:val="1"/>
        </w:numPr>
        <w:rPr/>
      </w:pPr>
      <w:bookmarkStart w:id="513" w:name="__RefHeading___Toc3493793_2314609296"/>
      <w:bookmarkStart w:id="514" w:name="_Toc189"/>
      <w:bookmarkEnd w:id="513"/>
      <w:r>
        <w:rPr>
          <w:rtl w:val="true"/>
        </w:rPr>
        <w:t>[</w:t>
      </w:r>
      <w:r>
        <w:rPr>
          <w:rtl w:val="true"/>
        </w:rPr>
        <w:t>دلالة الأمر علی الوجوب</w:t>
      </w:r>
      <w:bookmarkEnd w:id="51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یقال بدلالة الصیغة علی الوجوب دون الأمر أو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یتأمل فی العکس، فإنّه بناء علی کون الصیغة للأعم و الأمر للوجوب لا ینطبق الأمر علی مطلق الصیغة، و إنما ینطبق علی خصوص ما کان منها للوجوب، 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کون مادة الأمر للوجوب و کذلک إثبات کون صیغة افعل للوجوب، إن کان کل منهما بدلیله الخاص أو بدلیل واحد جار فی کل منهما مثل التمسک بالاطلاق أو الانصراف، فلا وجه لکون إثبات أحدهما موجبا لاثبات الآخر، و لکن بعد أن ثبت أنّ ما تحدثه الصیغة یکون مصداقا خارجیا لمفهوم الأمر، لا بمعنی أن مصداق أحدهما یکون مصداقا للآخر کما تراه فیما بین مفهوم الأمر و مفهوم الطلب، فإن الاتحاد فیهما بحسب المصداق لا یکشف عن کون أحد المفهومین عین المفهوم الآخر علی وجه لو کان التحتم و الوجوب داخلا فی أحدهما یکون قهرا داخلا فی المفهوم الآخر، فإنّ هذه الدعوی ممنوعة أشد المنع، لأنّ الاتحاد بین المفهومین فی مصداق یجتمع مع کون النسبة بینهما هی العموم من وجه أو العموم المطلق، و لا ینحصر ذلک بالتساوی بین المفهومین، بل المراد فی هذا المقام هو أنّ مفاد الصیغة لا یکون إلّا مصداقا</w:t>
      </w:r>
    </w:p>
    <w:p>
      <w:pPr>
        <w:pStyle w:val="BookText"/>
        <w:rPr/>
      </w:pPr>
      <w:r>
        <w:rPr>
          <w:rFonts w:ascii="IRNazanin" w:hAnsi="IRNazanin" w:eastAsia="IRNazanin"/>
          <w:color w:val="111111"/>
          <w:sz w:val="28"/>
          <w:sz w:val="28"/>
          <w:szCs w:val="28"/>
          <w:rtl w:val="true"/>
          <w:lang w:bidi="fa-IR"/>
        </w:rPr>
        <w:t>خارجیا، و بعد أن کان هذا المصداق الخارجی مما ینطبق علیه مفهوم الأمر یکون ذلک موجبا للتلازم، بمعنی أنا لو ثبت عندنا أنّ ما تحدثه الصیغة هو الطلب الوجوبی، یلزمنا القول بأنّ مفهوم الأمر المنطبق علی ذلک المصداق الخارجی من الطلب هو عین الوجوب، إذ لا یمکننا القول بأن ما تحدثه الصیغة هو الوجوب لکن مفهوم الأمر للأعم من الوجوب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المصداقیة إن کانت من الطرفین، بمعنی أنّ کل ما تحدثه الصیغة ینطبق علیه مفهوم الأمر، و کلما وجد مفهوم الأمر صح إیجاد الصیغة فی مورده، فلو ثبت کون ما تحدثه الصیغة هو الوجوب کان لازم ذلک هو کون مفهوم الأمر للوجوب، کما أنه لو ثبت کون مفهوم الأمر هو الوجوب کان لازم ذلک هو کون ما تحدثه الصیغة هو الوجوب و ذلک واضح لا غبار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ذلک هو المراد لشیخنا قدّس سرّه کما یظهر ممّا حررته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الملازمة بین کون الظاهر هو الوجوب من مصداق مفهوم الأمر الذی هو نفس صیغة افعل، و بین کون الظاهر من نفس هذا المفهوم هو الوجوب، لأن حصر المصداق فی شی‌ء یکون موجبا لحصر المفهوم المنطبق علی ذلک المصداق فی ذلک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هذه العبارة غیر وافیة بما هو المراد من التلازم بین الطرفین، و الأولی تحریره بنحو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مصداقیة الصیغة لمفهوم الأمر لیست علی حذو المصادیق للمفاهیم الکلیة کی یقال إن اشتمال المصداق علی خصوصیة لا یوجب أخذ تلک الخصوصیة فی ذلک المفهوم، لجواز کون المفهوم أوسع منطقة من مصداقه، بل إن هذه المصداقیة هی مصداقیة المعنی الحرفی للمفهوم الاسمی الذی یکون ما یوجده الحرف مصداقا له، نظیر مصداقیة ما توجده أداة الاستفهام کلفظة هل لمفهوم الاستفهام، فان</w:t>
      </w:r>
    </w:p>
    <w:p>
      <w:pPr>
        <w:pStyle w:val="BookText"/>
        <w:rPr/>
      </w:pPr>
      <w:r>
        <w:rPr>
          <w:rFonts w:ascii="IRNazanin" w:hAnsi="IRNazanin" w:eastAsia="IRNazanin"/>
          <w:color w:val="111111"/>
          <w:sz w:val="28"/>
          <w:sz w:val="28"/>
          <w:szCs w:val="28"/>
          <w:rtl w:val="true"/>
          <w:lang w:bidi="fa-IR"/>
        </w:rPr>
        <w:t>صیغة افعل إنّما توجد مفهوم الطلب أو مفهوم الأمر فلا یمکن أن یکون ما توجده الصیغة من هذا المفاد مخالفا لذلک المفاد 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ینوجد بالصیغة ینطبق علیه مفهوم الأمر، و کلما وجدت مادة الأمر کان من الممکن إیجاد الصیغة فی مورده، فلا یکون التخالف بینهما من حیث السعة و الضیق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التقریبین یتم ما أفاده شیخنا قدّس سرّه من استحالة التفکیک بین مفاد الصیغة و مفاد مفهوم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منعنا الملازمة من الطرف الثانی بأن لا یکون لدینا من البرهان إلّا أنّ ما تحدثه الصیغة مصداق من مصادیق الأمر من دون الالتزام بأنه کلما وجد الأمر أمکن إیجاد الصیغة مکانه، فلا إشکال فی أنّه لو ثبت کون مفهوم الأمر هو الوجوب یکون لازمه کون ما تحدثه الصیغة الذی ینطبق علیه مفهوم الأمر للوجوب أیضا، إذ لو لم یکن ما تحدثه الصیغة هو الوجوب، فان کان ما أحدثته هو الندب فکیف ینطبق علیه مفهوم الأمر الذی هو عبارة عن الوجوب، و ان کان ما أحدثته الصیغة هو نفس الطلب معرّی عن الوجوب و الندب لم یکن أیضا مصداقا لمفهوم الأمر الذی هو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کون ما تحدثه الصیغة هو مطلق الطلب الذی هو القدر الجامع غیر معقول، لعدم إمکان وجوده بنفسه خارجا معرّی عن جهة الوجوب و الاستحباب، هذا من طرف الأمر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طرف الصیغة بأن یکون الثابت کونه للوجوب هو الصیغة لا الأمر، فالظاهر أنّ ذلک أعنی ثبوت کون ما تحدثه الصیغة هو الوجوب لا یوجب کون مفهوم الأمر المفروض انطباقه علیه للوجوب، لجواز کون مفهوم الأمر هو مطلق الطلب و قد انطبق علی هذا الطلب الحتمی الذی أحدثته الصیغة کانطباق الجنس علی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إنّما یتجه لو کان ما تحدثه الصیغة مرکبا من الطلب و المنع من الترک، أما لو لم یکن إلا بسیطا فلا یکون الطلب جنسا له کی یصح انطباقه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تحدثه الصیغة و إن کان بسیطا إلّا أنّ مفهوم الأمر لمّا کان هو مطلق الطلب کان منطبقا قهرا علی الطلب الوجوبی و علی الطلب الندبی، و هما و إن کانا عند حدوثهما بالصیغة بسیطین، إلّا أنّ ما به الاشتراک فی کل منهما عین ما به الامتیاز کما هو الشأن فی البسائط إذا کان لها قدر جامع، فلاحظ و تأمل، و سیأتی </w:t>
      </w:r>
      <w:r>
        <w:rPr>
          <w:rStyle w:val="FootnoteAnchor"/>
          <w:rtl w:val="true"/>
        </w:rPr>
        <w:footnoteReference w:id="662"/>
      </w:r>
      <w:r>
        <w:rPr>
          <w:rFonts w:ascii="IRNazanin" w:hAnsi="IRNazanin" w:eastAsia="IRNazanin"/>
          <w:color w:val="111111"/>
          <w:sz w:val="28"/>
          <w:sz w:val="28"/>
          <w:szCs w:val="28"/>
          <w:rtl w:val="true"/>
          <w:lang w:bidi="fa-IR"/>
        </w:rPr>
        <w:t>لذلک مزید توضیح إن شاء اللّه تعالی عند الکلام علی ظهور الصیغة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یشبه الانصراف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w:t>
      </w:r>
      <w:r>
        <w:rPr>
          <w:rStyle w:val="FootnoteAnchor"/>
          <w:rtl w:val="true"/>
        </w:rPr>
        <w:footnoteReference w:id="664"/>
      </w:r>
      <w:r>
        <w:rPr>
          <w:rFonts w:ascii="IRNazanin" w:hAnsi="IRNazanin" w:eastAsia="IRNazanin"/>
          <w:color w:val="111111"/>
          <w:sz w:val="28"/>
          <w:sz w:val="28"/>
          <w:szCs w:val="28"/>
          <w:rtl w:val="true"/>
          <w:lang w:bidi="fa-IR"/>
        </w:rPr>
        <w:t>إن شاء اللّه تعالی أن الوجوب یکفی فیه الجعل الواحد و هو الطلب، و الاستحباب یحتاج إلی جعل الطلب و جعل الترخیص فی الترک، و ما لم یتحقق الجعل الثانی یکون مقتضی الجعل الأول هو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تدل مادة الأمر علی الوجوب أیضا بتلک الدلالة و إن لم یکن الاستعمال فی غیره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مادة الأمر فیها دلالة علی الوجوب لما تقدّم </w:t>
      </w:r>
      <w:r>
        <w:rPr>
          <w:rStyle w:val="FootnoteAnchor"/>
          <w:rtl w:val="true"/>
        </w:rPr>
        <w:footnoteReference w:id="666"/>
      </w:r>
      <w:r>
        <w:rPr>
          <w:rFonts w:ascii="IRNazanin" w:hAnsi="IRNazanin" w:eastAsia="IRNazanin"/>
          <w:color w:val="111111"/>
          <w:sz w:val="28"/>
          <w:sz w:val="28"/>
          <w:szCs w:val="28"/>
          <w:rtl w:val="true"/>
          <w:lang w:bidi="fa-IR"/>
        </w:rPr>
        <w:t xml:space="preserve">من جهة مرادفتها للالزام، أو من جهة دلالة الأدلة الأخر مثل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تأمرنی</w:t>
      </w:r>
      <w:bookmarkStart w:id="515" w:name="pg19834_212398"/>
    </w:p>
    <w:p>
      <w:pPr>
        <w:pStyle w:val="BookText"/>
        <w:rPr/>
      </w:pPr>
      <w:bookmarkEnd w:id="515"/>
      <w:r>
        <w:rPr>
          <w:rFonts w:ascii="IRNazanin" w:hAnsi="IRNazanin" w:eastAsia="IRNazanin"/>
          <w:color w:val="111111"/>
          <w:sz w:val="28"/>
          <w:sz w:val="28"/>
          <w:szCs w:val="28"/>
          <w:rtl w:val="true"/>
          <w:lang w:bidi="fa-IR"/>
        </w:rPr>
        <w:t>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أنا شافع</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و نحو ذلک مما ذکروه، علی وجه یکون تطبیق الأمر علی صیغة الطلب دلیلا علی أنها للوجوب و إن لم یثبت دلالة الصیغة بنفسها علی الطلب، و لأجل ذلک جعلوا النزاع فی دلالة مادة الأمر علی الوجوب نزاعا آخر غیر النزاع فی دلالة الصیغة علیه</w:t>
      </w:r>
      <w:r>
        <w:rPr>
          <w:rFonts w:eastAsia="IRNazanin" w:cs="IRNazanin"/>
          <w:color w:val="111111"/>
          <w:sz w:val="28"/>
          <w:szCs w:val="28"/>
          <w:rtl w:val="true"/>
          <w:lang w:bidi="fa-IR"/>
        </w:rPr>
        <w:t>.</w:t>
      </w:r>
    </w:p>
    <w:p>
      <w:pPr>
        <w:pStyle w:val="Heading3"/>
        <w:numPr>
          <w:ilvl w:val="2"/>
          <w:numId w:val="1"/>
        </w:numPr>
        <w:rPr/>
      </w:pPr>
      <w:bookmarkStart w:id="516" w:name="__RefHeading___Toc3493795_2314609296"/>
      <w:bookmarkStart w:id="517" w:name="_Toc190"/>
      <w:bookmarkEnd w:id="516"/>
      <w:r>
        <w:rPr>
          <w:rtl w:val="true"/>
        </w:rPr>
        <w:t>[</w:t>
      </w:r>
      <w:r>
        <w:rPr>
          <w:rtl w:val="true"/>
        </w:rPr>
        <w:t>فیما یتعلق بصیغة الأمر</w:t>
      </w:r>
      <w:r>
        <w:rPr>
          <w:rtl w:val="true"/>
        </w:rPr>
        <w:t>]</w:t>
      </w:r>
      <w:bookmarkEnd w:id="517"/>
    </w:p>
    <w:p>
      <w:pPr>
        <w:pStyle w:val="Heading4"/>
        <w:numPr>
          <w:ilvl w:val="3"/>
          <w:numId w:val="1"/>
        </w:numPr>
        <w:rPr/>
      </w:pPr>
      <w:bookmarkStart w:id="518" w:name="__RefHeading___Toc3493797_2314609296"/>
      <w:bookmarkStart w:id="519" w:name="_Toc191"/>
      <w:bookmarkEnd w:id="518"/>
      <w:r>
        <w:rPr>
          <w:rtl w:val="true"/>
        </w:rPr>
        <w:t>[</w:t>
      </w:r>
      <w:r>
        <w:rPr>
          <w:rtl w:val="true"/>
        </w:rPr>
        <w:t>التأمل فی عدم صدق الأمر علی الطلب من المساوی أو السافل</w:t>
      </w:r>
      <w:bookmarkEnd w:id="51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أنّ الصیغة مطلقة لیست من مصادیق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یتأمل فی عدم صدق الأمر علی الطلب من المساوی أو السافل، فإنّ عدم وجوب إطاعة المساوی أو العالی لا دخل له بصدق عنوان الأمر، و الأمر لا دلیل علی أنّه یعتبر فیه أزید من التحتیم و إن کان صادرا من السافل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الطلب إلی الأمر و الالتماس و الدعاء، لعل الأولی فیه تقسیم الأمر إلی إلزام و التماس و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عدم صدق الأمر علی الالتماس و الدعاء، فلا ینبغی الریب فی صدقه علی کل ما یصدر من العالی من الطلب و لو کان ارشادیا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المولویة لیست معتبرة فی صدق عنوان الأمر</w:t>
      </w:r>
      <w:r>
        <w:rPr>
          <w:rFonts w:eastAsia="IRNazanin" w:cs="IRNazanin"/>
          <w:color w:val="111111"/>
          <w:sz w:val="28"/>
          <w:szCs w:val="28"/>
          <w:rtl w:val="true"/>
          <w:lang w:bidi="fa-IR"/>
        </w:rPr>
        <w:t>.</w:t>
      </w:r>
    </w:p>
    <w:p>
      <w:pPr>
        <w:pStyle w:val="Heading4"/>
        <w:numPr>
          <w:ilvl w:val="3"/>
          <w:numId w:val="1"/>
        </w:numPr>
        <w:rPr/>
      </w:pPr>
      <w:bookmarkStart w:id="520" w:name="__RefHeading___Toc3493799_2314609296"/>
      <w:bookmarkStart w:id="521" w:name="_Toc192"/>
      <w:bookmarkEnd w:id="520"/>
      <w:r>
        <w:rPr>
          <w:rtl w:val="true"/>
        </w:rPr>
        <w:t>[</w:t>
      </w:r>
      <w:r>
        <w:rPr>
          <w:rtl w:val="true"/>
        </w:rPr>
        <w:t>فی الکلام عن هیئة الماضی و أنها قد تأتی لانشاء تحقق المادة فی عالم التشریع</w:t>
      </w:r>
      <w:bookmarkEnd w:id="52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لإنشاء تحقّق المادّة فی عالم التشریع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 من صلاته سجد سجدتی السهو و نحو ذلک، لیکون علی الضد من النفی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 xml:space="preserve">فإنّ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ینفی </w:t>
      </w:r>
      <w:r>
        <w:rPr>
          <w:rStyle w:val="FootnoteAnchor"/>
          <w:rtl w:val="true"/>
        </w:rPr>
        <w:footnoteReference w:id="671"/>
      </w:r>
      <w:r>
        <w:rPr>
          <w:rFonts w:ascii="IRNazanin" w:hAnsi="IRNazanin" w:eastAsia="IRNazanin"/>
          <w:color w:val="111111"/>
          <w:sz w:val="28"/>
          <w:sz w:val="28"/>
          <w:szCs w:val="28"/>
          <w:rtl w:val="true"/>
          <w:lang w:bidi="fa-IR"/>
        </w:rPr>
        <w:t>الرهبانیة فی الاسلام باعتبار أنّها غیر داخلة فی قوانینه، و هذا</w:t>
      </w:r>
      <w:bookmarkStart w:id="522" w:name="pg19834_212399"/>
    </w:p>
    <w:p>
      <w:pPr>
        <w:pStyle w:val="BookText"/>
        <w:rPr/>
      </w:pPr>
      <w:bookmarkEnd w:id="522"/>
      <w:r>
        <w:rPr>
          <w:rFonts w:ascii="IRNazanin" w:hAnsi="IRNazanin" w:eastAsia="IRNazanin"/>
          <w:color w:val="111111"/>
          <w:sz w:val="28"/>
          <w:sz w:val="28"/>
          <w:szCs w:val="28"/>
          <w:rtl w:val="true"/>
          <w:lang w:bidi="fa-IR"/>
        </w:rPr>
        <w:t>یثبت السجود و یحققه فی الشریعة باعتبار دخوله فی قانونها الذی هو الوجوب مثلا،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مثل ذلک أعنی الاثبات و النفی باعتبار الدخول فی عالم التشریع إنّما یحسن فی نفس الفعل، بأن یقال لا رهبانیة فی الاسلام،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التزوج موجود فی الاسلام، بخلاف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تزوجت، بل الأقرب فیه أنه کنایة عن الأمر، لأن الأمر و البعث یستدعی الانبعاث، و الانبعاث یستدعی وجود المبعوث إلیه، و تحققه من الشخص المبعوث، فجعلت هذه النتیجة کنایة عن أصلها الذی هو البعث، فلاحظ</w:t>
      </w:r>
      <w:r>
        <w:rPr>
          <w:rFonts w:eastAsia="IRNazanin" w:cs="IRNazanin"/>
          <w:color w:val="111111"/>
          <w:sz w:val="28"/>
          <w:szCs w:val="28"/>
          <w:rtl w:val="true"/>
          <w:lang w:bidi="fa-IR"/>
        </w:rPr>
        <w:t>.</w:t>
      </w:r>
    </w:p>
    <w:p>
      <w:pPr>
        <w:pStyle w:val="Heading4"/>
        <w:numPr>
          <w:ilvl w:val="3"/>
          <w:numId w:val="1"/>
        </w:numPr>
        <w:rPr/>
      </w:pPr>
      <w:bookmarkStart w:id="523" w:name="__RefHeading___Toc3493801_2314609296"/>
      <w:bookmarkStart w:id="524" w:name="_Toc193"/>
      <w:bookmarkEnd w:id="523"/>
      <w:r>
        <w:rPr>
          <w:rtl w:val="true"/>
        </w:rPr>
        <w:t>[</w:t>
      </w:r>
      <w:r>
        <w:rPr>
          <w:rtl w:val="true"/>
        </w:rPr>
        <w:t>الکلام فی مفاد صیغة الأمر</w:t>
      </w:r>
      <w:r>
        <w:rPr>
          <w:rtl w:val="true"/>
        </w:rPr>
        <w:t>]</w:t>
      </w:r>
      <w:bookmarkEnd w:id="52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ظهر أنّ الموضوع له للهیئة لیس إلّا النسبة الایقاعیة الإنشائیة، ظهر لک أنّ القول بکون الموضوع له هو الطلب الانشائی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الهیئة إذا استعملت فی معناها تکون من مصادیق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مفاد الهیئة إذا کان هو النسبة الایقاعیة، یعنی إیقاع المادة فی عالم التشریع علی عاتق المکلف الذی هو عبارة عن بعثه إلیها، فإن کان ذلک البعث بداعی انبعاث المکلف، بحیث کان انبعاثه إلیها هو العلّة الغائیة من ذلک البعث الانشائی و یعبّر عنه بالغرض من ذلک البعث، کان ذلک مصداقا لمفهوم الطلب، و إن کان بداعی التهدید و الاختبار أو التهکم، کان مصداقا لمفهوم التهدید أو الاختبار أو التهکم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لیست الهیئة موضوعة لایجاد الطلب الانشائی کما یستفاد من الکفایة</w:t>
      </w:r>
      <w:r>
        <w:rPr>
          <w:rStyle w:val="FootnoteAnchor"/>
          <w:rtl w:val="true"/>
        </w:rPr>
        <w:footnoteReference w:id="673"/>
      </w:r>
      <w:r>
        <w:rPr>
          <w:rFonts w:ascii="IRNazanin" w:hAnsi="IRNazanin" w:eastAsia="IRNazanin"/>
          <w:color w:val="111111"/>
          <w:sz w:val="28"/>
          <w:sz w:val="28"/>
          <w:szCs w:val="28"/>
          <w:rtl w:val="true"/>
          <w:lang w:bidi="fa-IR"/>
        </w:rPr>
        <w:t xml:space="preserve">کی یکون حالها فی ذلک حال حرف الجر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الموضوعة لایجاد الابتداء، و یکون</w:t>
      </w:r>
    </w:p>
    <w:p>
      <w:pPr>
        <w:pStyle w:val="BookText"/>
        <w:rPr/>
      </w:pPr>
      <w:r>
        <w:rPr>
          <w:rFonts w:ascii="IRNazanin" w:hAnsi="IRNazanin" w:eastAsia="IRNazanin"/>
          <w:color w:val="111111"/>
          <w:sz w:val="28"/>
          <w:sz w:val="28"/>
          <w:szCs w:val="28"/>
          <w:rtl w:val="true"/>
          <w:lang w:bidi="fa-IR"/>
        </w:rPr>
        <w:t xml:space="preserve">إعمالها فیه مصداقا لمفهوم الابتداء، و یکون الفرق بین إعمال الصیغة فی إیجاد الطلب و مفهوم الطلب هو الفرق بین ما توجد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مفهوم لفظ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هی بالنسبة إلی ما توجده من النسبة الایقاعیة و مفهوم النسبة من قبیل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الابتداء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لفظة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لفظة الصیغة لم تکن موضوعة للطلب أو لایجاده إنشاء کی یکون الفرق بینها و بین مفاد لفظ الطلب هو الفرق بین لفظة یا و لفظ النداء، و یکون الفرق بین الصیغة فی مقام الطلب الجدی و بینها فی مقام الطلب الصوری هو کون إنشاء الطلب فی الأول کان بداعی الطلب النفسانی القائم بالنفس، و فی الثانی لم یکن انشاء الطلب بذلک الداعی أعنی الطلب النفسانی بل کان بداعی السخریة أو التهدید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الفرق بینهما إنّما هو باعتبار أنّ ما توجده الصیغة من البعث فی الأول کان بداعی الانبعاث و فی الثانی لم یکن بداعیه بل کان بداعی السخریة، بمعنی أنّ الغرض و العلة الغائیة من ذلک البعث هو الانبعاث فی الأول و السخریة فی الثانی، و یکون الأول حینئذ مصداقا للطلب، و یکون إعمالها بداعی الانبعاث موجبا لتحقق الطلب فی عالم التشریع، غایته أنّ البعث بداعی الانبعاث إذا کان صادرا من الحکیم فلا بد أن یکون مسبوقا بقیام الطلب أو الارادة فی نفسه، بحیث کان قیامه فی نفسه علة لصدور البعث عنه بداعی الانبعاث، و تسمیة ذلک الطلب النفسانی داعیا لذلک البعث لا یخلو من مسامحة، لأنّ الداعی علی الفعل إنّما هو العلّة الغائیة المترتبة علیه کالانبعاث فیما نحن فیه، فتسمیة علّة صدور الفعل بالداعی لا یخلو من مسامحة، بل إن تسمیة ذلک الطلب النفسانی الذی هو الارادة النفسانیة علّة لذلک البعث الانشائی لا یخلو عن مسامحة، فإنّ تلک الارادة</w:t>
      </w:r>
    </w:p>
    <w:p>
      <w:pPr>
        <w:pStyle w:val="BookText"/>
        <w:rPr/>
      </w:pPr>
      <w:r>
        <w:rPr>
          <w:rFonts w:ascii="IRNazanin" w:hAnsi="IRNazanin" w:eastAsia="IRNazanin"/>
          <w:color w:val="111111"/>
          <w:sz w:val="28"/>
          <w:sz w:val="28"/>
          <w:szCs w:val="28"/>
          <w:rtl w:val="true"/>
          <w:lang w:bidi="fa-IR"/>
        </w:rPr>
        <w:t>النفسانیة المتعلّقة بفعل المکلف إنّما تکون علّة لتعلّق إرادة الآمر بانشاء البعث، فتکون إرادة إنشاء البعث معلولة لتلک الارادة النفسانیة المتعلقة بنفس الفعل، لا أنّ البعث بنفسه معلول ابتداء لتلک الارادة النفسانیة، فتسمیة تلک الارادة النفسانیة بکونها علّة لنفس البعث لا تخلو عن تسامح، لأنّها إنّما تکون علة لارادة ذلک الانشاء، و إرادة ذلک الانشاء تلک علّة للانشاء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المتعلقة بنفس الفعل لا تکون علّة لما یتوصل به إلی صدور ذلک الفعل من المقدمات، و إنما تکون علّة لتعلق إرادة ثانیة بتلک المقدمات، و تکون هذه الارادة الثانیة مترشحة من الارادة الاولی، فلا یصح أن یقال إنّ الارادة الاولی علّة لنفس المقدمات، لأنّ ذلک مناف لاختیاریة تلک المقدمات و صدور الفعل بالارادة، و إنّما لا ینافی اختیاریته إذا کانت تلک الارادة متعلقة بنفس ذلک لا فیما إذا کانت متعلقة بفعل آخر و کان حصول ذلک الفعل الآخر متوقفا علی ذلک الفعل، فإنّ ذلک الفعل لا یکون معلولا لتلک الارادة و إنما یکون معلولا للارادة المتعلقة بنفسه، و إن کانت تلک الارادة معلولة و ناشئة عن إرادة اخری متعلقة بما یتوقف علیه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إعمال الصیغة فی إیجاد البعث إن کان بداعی الانبعاث کان طلبا حقیقیا لا إنشائیا محضا، نعم لا بد أنّ تکون العلّة فی إیجاد ذلک البعث بداعی الانبعاث هو الطلب أو الارادة النفسانیة، و إن لم یکن البعث بداعی الانبعاث بل کان بداعی السخریة مثلا لم یکن من قبیل الطلب أصلا لا حقیقیا و لا إنشائیا، إذ لا یصدق علیه أنّه طلب بقول مطلق بل یصدق علیه أنه تهکم و سخریة، فلیست الصیغة موضوعة لانشاء الطلب و إیجاده، و أن إنشاء الطلب بها إن کان بعلّة الارادة النفسانیة و الطلب النفسانی کان طلبا حقیقیا، و إن لم یکن بتلک العلة کان طلبا إنشائیا کما یظهر من الکفایة فی</w:t>
      </w:r>
    </w:p>
    <w:p>
      <w:pPr>
        <w:pStyle w:val="BookText"/>
        <w:rPr/>
      </w:pPr>
      <w:r>
        <w:rPr>
          <w:rFonts w:ascii="IRNazanin" w:hAnsi="IRNazanin" w:eastAsia="IRNazanin"/>
          <w:color w:val="111111"/>
          <w:sz w:val="28"/>
          <w:sz w:val="28"/>
          <w:szCs w:val="28"/>
          <w:rtl w:val="true"/>
          <w:lang w:bidi="fa-IR"/>
        </w:rPr>
        <w:t xml:space="preserve">هذا المقام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عبّر فی أول مبحث الصیغة</w:t>
      </w:r>
      <w:r>
        <w:rPr>
          <w:rStyle w:val="FootnoteAnchor"/>
          <w:rtl w:val="true"/>
        </w:rPr>
        <w:footnoteReference w:id="675"/>
      </w:r>
      <w:r>
        <w:rPr>
          <w:rFonts w:ascii="IRNazanin" w:hAnsi="IRNazanin" w:eastAsia="IRNazanin"/>
          <w:color w:val="111111"/>
          <w:sz w:val="28"/>
          <w:sz w:val="28"/>
          <w:szCs w:val="28"/>
          <w:rtl w:val="true"/>
          <w:lang w:bidi="fa-IR"/>
        </w:rPr>
        <w:t>عن ذلک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الصیغة موضوعة لانشاء الطلب، فان کان بداعی البعث و التحریک کان طلبا حقیقیا، و إن لم یکن بذلک الداعی بل کان بداعی التهدید کان طلبا انشائیا فأخذ الداعی بمعنی العلة الغائیة، بخلاف الداعی فیما تقدم منه فی مادة الأمر فإنّه أخذه بمعنی العلة الموجدة، و کیف کان فهذا التعبیر أهون من تعبیره فی مادة الأمر</w:t>
      </w:r>
      <w:r>
        <w:rPr>
          <w:rStyle w:val="FootnoteAnchor"/>
          <w:rtl w:val="true"/>
        </w:rPr>
        <w:footnoteReference w:id="676"/>
      </w:r>
      <w:r>
        <w:rPr>
          <w:rFonts w:ascii="IRNazanin" w:hAnsi="IRNazanin" w:eastAsia="IRNazanin"/>
          <w:color w:val="111111"/>
          <w:sz w:val="28"/>
          <w:sz w:val="28"/>
          <w:szCs w:val="28"/>
          <w:rtl w:val="true"/>
          <w:lang w:bidi="fa-IR"/>
        </w:rPr>
        <w:t>من جعل الداعی علی إنشاء الطلب فی الطلب الحقیقی هو الطلب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علیه ما تقدم مما استفدناه من شیخنا قدّس سرّه من عدم کون الصیغة موضوعة لانشاء الطلب بل هی موضوعة لایقاع المادة علی المکلف أعنی البعث، و أن المائز بین الطلب الجدی و الصوری هو کون البعث بداعی الانبعاث و کونه لا بهذا الداعی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البعث و التحریک من أفعال الباعث و المحرّک الذی هو الطالب فلا یحسن التعبیر بأخذه علة غائیة و غرضا لفعله الذی هو الطلب الانشائی، فإنّ الغرض من الفعل الذی هو علّة غائیة له لا بد أن لا یکون مقدورا له ابتداء و لو بواسطة کونه عنوانا ثانویا، فان ذلک الغرض لو کان مقدورا ابتداء بلا واسطة حتی مثل العنوان الأولی لم یکن حاجة فی التوصل إلیه إلی فعل شی‌ء آخر، بل یفعله الفاعل ابتداء من دون أن یعمد إلی فعل یترتب ذلک الغرض علیه، و من الواضح أن البعث و التحریک مقدور للآمر بلا واسطة، لما عرفت من أن الصیغة آلة للبعث و التحریک، فهو بایجاده لتلک الآلة</w:t>
      </w:r>
    </w:p>
    <w:p>
      <w:pPr>
        <w:pStyle w:val="BookText"/>
        <w:rPr/>
      </w:pPr>
      <w:r>
        <w:rPr>
          <w:rFonts w:ascii="IRNazanin" w:hAnsi="IRNazanin" w:eastAsia="IRNazanin"/>
          <w:color w:val="111111"/>
          <w:sz w:val="28"/>
          <w:sz w:val="28"/>
          <w:szCs w:val="28"/>
          <w:rtl w:val="true"/>
          <w:lang w:bidi="fa-IR"/>
        </w:rPr>
        <w:t>یکون موجدا للبعث و التحریک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الغائیة أعنی الغرض المعبّر عنه بالداعی یخالف العلة الفاعلة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لا بد أن یکون بوجوده الواقعی معلولا للفعل و إن کان بوجوده العلمی علّة للفعل، بخلاف العلة الفاعلة فإنّها إنّما تکون علّة بوجودها الواقعی لا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الداعی یکون بوجوده الواقعی متأخرا عن الفعل و لو رتبة بخلاف العلّة الفاعلة فانّها لا بد من تقدمها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أعنی العلّة الغائیة إنّما یکون علّة فی الفعل الاختیاری، دون العلّة الفاعلة فإنّها تکون علّة فی الفعل غیر الاختیاری، و السر فی ذلک هو ما عرفت من کون الاولی أعنی العلّة الغائیة جزءا من مقدمات الاختیار فی الفعل، بخلاف الثانیة فإنّها علّة فی الفعل نفسه دون إرادته و اختیاره حتی فی مثل إرادة الفعل بناء علی کونها علّة فیه فإنّها إنّما تؤثر فی الفعل نفسه لا أنّها من مقدمات اختیاره و إن کانت هی عین اختیاره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الاولی أعنی العلّة الغائیة لا بد أن لا تکون فعلا بلا واسطة للفاعل، إذ لو کانت فعلا له بلا واسطة لم یکن له حاجة إلی التوصل إلیها بواسطة فعل آخر، بل لا یعقل أن یکون فعل آخر مقدمة لها و متوصلا به إلیها، لما عرفت من کونها فعلا للفاعل و أنها مقدورة له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بعد اطلاعک علی هذه التفاصیل تعلم أنه بعد البناء علی کون الصیغة لانشاء الطلب لا وجه للقول بأنه صادر بداعی الطلب النفسانی أو أنّه صادر بداعی البعث و الطلب، سواء فسّرنا الداعی فی هذا التعبیر بالعلة الفاعلة أو فسّرناه بالعلة الغائیة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الارادة النفسانیة المتعلقة بفعل المکلف تکون علّة لارادة المولی إنشاء الطلب المتعلق بذلک، لا أنّها تکون ابتداء علة لنفس إنشاء الطلب إلا بنحو من المسامحة، و حینئذ یکون صدور ذلک الفعل من المکلف أو انبعاثه إلیه علة غائیة لذلک الانشاء، و تکون الارادة النفسانیة المتعلقة بذلک الفعل علة لارادة ذلک الانشاء، و بناء علی ما ذکرناه من کون معنی الصیغة هو انشاء البعث، فالأولی التعبیر عن الغرض حینئذ بالانبعاث و الحرکة لیکون صدور الطلب الانشائی منه بداعی انبعاث المأمور و حرکته نحو المأمور به، فیرجع إلی ما ذکرناه، غیر أنّه جعل الفعل الانشائی الذی هو المغیی طلبا إنشائیا، بخلاف ما ذکرناه فان الفعل الصادر من الآمر هو البعث و غایته هو الانبعاث، و إذا کان صادرا بتلک الغایة کان طلبا حقیقیا، و کان لازمه ثبوت صفة الطلب و قیامها بنفس الطالب</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تسمیة هذه الامور بالدواعی إنّما هو بالنظر إلی حصولها بایقاع تلک النسبة الإلقائیة فی مقام أحد هذه الامور، فإنّ إیقاع تلک النسبة فی مقام بعث العبد و تحریکه یکون بعثا له علی المادة و تحریکا له نحوها، و ذلک عین الطلب الذی تقدم أنّه عبارة عن کون الشخص بصدد تحصیل مراده، فتسمیته بالداعی علی إیجاد الصیغة نظرا إلی کونه حاصلا بذلک إذا کان إیجادها فی ذلک المقام، فتکون الغایة من إلقاء الصیغة فی ذلک المقام هو تحقق الطلب، و من الواضح أنّ الغایة المترتبة علی صدور الشی‌ء تکون داعیا و باعثا علی صدوره، و هکذا الحال فی بقیة هذه الدواعی، لا أنّ هذه الامور تکون صفات نفسانیة قائمة بالنفس و یکون قیامها بالنفس داعیا إلی إلقاء الصیغة کما یستفاد من الکفایة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bookmarkStart w:id="525" w:name="pg19834_212405"/>
    </w:p>
    <w:p>
      <w:pPr>
        <w:pStyle w:val="BookText"/>
        <w:rPr/>
      </w:pPr>
      <w:bookmarkEnd w:id="52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هو ما تقدم من أن الداعی علی البعث الذی هو إلقاء الصیغة إن کان هو الانبعاث کان ذلک مصداقا للطلب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المطلب بعد وضوح المراد سهل فتأمل، و إلّا فکیف یمکن أن یکون تحقق الطلب فی عالم التشریع غایة لایجاد البعث المفروض عدم ترتبه علیه إلّا مع قصده منه، فیکون الحاصل أن فعل البعث بداعی ترتیب الطلب علیه یتوقف علی کونه مترتبا علی ذلک البعث، و ترتبه علیه یتوقف علی قصده منه الذی هو فعله بداعی الطلب</w:t>
      </w:r>
      <w:r>
        <w:rPr>
          <w:rFonts w:eastAsia="IRNazanin" w:cs="IRNazanin"/>
          <w:color w:val="111111"/>
          <w:sz w:val="28"/>
          <w:szCs w:val="28"/>
          <w:rtl w:val="true"/>
          <w:lang w:bidi="fa-IR"/>
        </w:rPr>
        <w:t>.</w:t>
      </w:r>
    </w:p>
    <w:p>
      <w:pPr>
        <w:pStyle w:val="Heading4"/>
        <w:numPr>
          <w:ilvl w:val="3"/>
          <w:numId w:val="1"/>
        </w:numPr>
        <w:rPr/>
      </w:pPr>
      <w:bookmarkStart w:id="526" w:name="__RefHeading___Toc3493803_2314609296"/>
      <w:bookmarkStart w:id="527" w:name="_Toc194"/>
      <w:bookmarkEnd w:id="526"/>
      <w:r>
        <w:rPr>
          <w:rtl w:val="true"/>
        </w:rPr>
        <w:t>[</w:t>
      </w:r>
      <w:r>
        <w:rPr>
          <w:rtl w:val="true"/>
        </w:rPr>
        <w:t>الکلام فی اتحاد الطلب مع الارادة</w:t>
      </w:r>
      <w:r>
        <w:rPr>
          <w:rtl w:val="true"/>
        </w:rPr>
        <w:t>]</w:t>
      </w:r>
      <w:bookmarkEnd w:id="52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الارادة باتفاق الکل عبارة عن الکیف النفسانی القائم بالنفس، و أمّا الطلب فهو موضوع لتصدی تحصیل شی‌ء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إنّها أعنی الارادة من مقولة الفعل، و لعل النزاع المذکور، أعنی کونها من مقولة الکیف أو من مقولة الفعل لفظی، فمن یدعی أنّها من مقولة الکیف عنی بها الشوق المؤکد، و من یدعی أنها من مقولة الفعل عنی بها الاختیار نفسه الذی هو المقدمة الأخیرة المتوسطة بین الفعل و الشوق المؤکد، و لا ریب أنّه أعنی الاختیار الذی عبّرنا عنه بالطلب من مقولة الفعل، و لا أظن أحدا یدعی أنّ ذلک الاختیار من مقولة الکیف، کما أنی لا أظن أحدا یدعی أنّ الشوق المؤکد من مقولة الفعل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اندفاع الجبر بما تقدم أو سیأتی تفصیله </w:t>
      </w:r>
      <w:r>
        <w:rPr>
          <w:rStyle w:val="FootnoteAnchor"/>
          <w:rtl w:val="true"/>
        </w:rPr>
        <w:footnoteReference w:id="679"/>
      </w:r>
      <w:r>
        <w:rPr>
          <w:rFonts w:ascii="IRNazanin" w:hAnsi="IRNazanin" w:eastAsia="IRNazanin"/>
          <w:color w:val="111111"/>
          <w:sz w:val="28"/>
          <w:sz w:val="28"/>
          <w:szCs w:val="28"/>
          <w:rtl w:val="true"/>
          <w:lang w:bidi="fa-IR"/>
        </w:rPr>
        <w:t>واضح إذا کان تقریبه بأن الفعل معلول للارادة و هی غیر اختیاریة، لما عرفت من أنّه غیر</w:t>
      </w:r>
    </w:p>
    <w:p>
      <w:pPr>
        <w:pStyle w:val="BookText"/>
        <w:rPr/>
      </w:pPr>
      <w:r>
        <w:rPr>
          <w:rFonts w:ascii="IRNazanin" w:hAnsi="IRNazanin" w:eastAsia="IRNazanin"/>
          <w:color w:val="111111"/>
          <w:sz w:val="28"/>
          <w:sz w:val="28"/>
          <w:szCs w:val="28"/>
          <w:rtl w:val="true"/>
          <w:lang w:bidi="fa-IR"/>
        </w:rPr>
        <w:t>معلول للارادة التی هی عبارة عن نفس الشوق المؤکد، لوجود ذلک الشوق بنفسه أو بما هو آکد و أقوی منه فی الشوق إلی الممتنع مثل الشوق إلی ملاقاة الحبیب المیت، أو الشوق إلی بعض المحرمات مع وجود حاجز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لو قرّب الجبر بالانتهاء إلی الارادة الأزلیة التکوینیة، فإن الفعل الخارجی لم یستند إلیها و لم یکن ذلک الفعل مخلوقا لها کما یدعیه أهل الجبر من أن أفعال العباد مخلوقة له تعالی، غایته أنه تعالی خلق الفاعل و أوجده لا أنه تعالی خلق فعله أیضا، نعم کانت الارادة التکوینیة التی هی العلم بصلاح النظام، قد تعلقت بصدور ذلک الفعل من فاعله باختیاره، و قد صدر منه کذلک، غایته أنّه لا بد من صدوره منه باختیاره لا أنه مجبور علی صدوره، فإنّ التحتم غیر الجبر، هذا إذا کانت الارادة التکوینیة هی مجرد العلم بالصلاح المتعلق بالنظام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عبارة عن العلة الموجدة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نسلّم تعلّقها بالفعل، و إنّما أقصی ما فی البین هو تعلقها بایجاد الفاعل، غایته أنّ ذلک الفاعل یختار الفعل و یوجده باختیاره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قرّب الجبر بالانتهاء إلی النفس و الذات و هما غیر اختیاریین، فهو أوضح فسادا، فإنّ فعل النفس بالاختیار هو الذی یکون محط التکلیف و العقاب و قد صدر الفعل منها بالاختیار، و وجود النفس لیس علة لذلک الفعل و الاختیار، بل إن ذلک الاختیار فعلته النفس و أوجدته و لا تعاقب إلا علی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السؤال عن أنّه لم أوجدته النفس؟ فلنا أن نقول فی جوابه إنّها أوجدته و فعلته بلا علّة و بلا سبب یوجب علیها إیجاده، بل فعلته من تلقاء ذاتها أو بمرجح رجح لها ذلک، و هو ذلک الشوق المؤکد، لا أن</w:t>
      </w:r>
    </w:p>
    <w:p>
      <w:pPr>
        <w:pStyle w:val="BookText"/>
        <w:rPr/>
      </w:pPr>
      <w:r>
        <w:rPr>
          <w:rFonts w:ascii="IRNazanin" w:hAnsi="IRNazanin" w:eastAsia="IRNazanin"/>
          <w:color w:val="111111"/>
          <w:sz w:val="28"/>
          <w:sz w:val="28"/>
          <w:szCs w:val="28"/>
          <w:rtl w:val="true"/>
          <w:lang w:bidi="fa-IR"/>
        </w:rPr>
        <w:t>الشوق المذکور کان علّة فی ذلک الاختیار لما عرفت من تعلقه بالممتنع،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صیغة الأمر فهی دالة علی النسبة الانشائیة الایقاعیة فقط، فما لم تصدر الصیغة لا یتصف المکلف بأنّه وقع علیه المادة فی عالم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کأنه قدّس سرّه یری أن مفاد الهیئة هو إلقاء المادة علی عاتق المکلف، فتکون الصیغة آلة ذلک الالقاء، و الأقرب أنها آلة بعث و تحریک نحو المادة، و عن ذلک البعث و التحریک التشریعی ینتزع کون المادة علی عاتقه أو انشغال ذمته بها، و الأمر فی ذلک سهل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الکلام فی اتحاد الطلب و الإرادة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البحث تعرض له فی الکفایة</w:t>
      </w:r>
      <w:r>
        <w:rPr>
          <w:rStyle w:val="FootnoteAnchor"/>
          <w:rtl w:val="true"/>
        </w:rPr>
        <w:footnoteReference w:id="682"/>
      </w:r>
      <w:r>
        <w:rPr>
          <w:rFonts w:ascii="IRNazanin" w:hAnsi="IRNazanin" w:eastAsia="IRNazanin"/>
          <w:color w:val="111111"/>
          <w:sz w:val="28"/>
          <w:sz w:val="28"/>
          <w:szCs w:val="28"/>
          <w:rtl w:val="true"/>
          <w:lang w:bidi="fa-IR"/>
        </w:rPr>
        <w:t xml:space="preserve">و التزم فی إرادة المکلفین لأفعالهم الاختیاریة بعدم توسط شی‌ء بین الارادة و الفعل، کما أنه فی إرادة الآمرین التزم باتحاد الطلب و الارادة الواقعیین و الانشائیین، لکن شیخنا قدّس سرّه </w:t>
      </w:r>
      <w:r>
        <w:rPr>
          <w:rStyle w:val="FootnoteAnchor"/>
          <w:rtl w:val="true"/>
        </w:rPr>
        <w:footnoteReference w:id="683"/>
      </w:r>
      <w:r>
        <w:rPr>
          <w:rFonts w:ascii="IRNazanin" w:hAnsi="IRNazanin" w:eastAsia="IRNazanin"/>
          <w:color w:val="111111"/>
          <w:sz w:val="28"/>
          <w:sz w:val="28"/>
          <w:szCs w:val="28"/>
          <w:rtl w:val="true"/>
          <w:lang w:bidi="fa-IR"/>
        </w:rPr>
        <w:t>التزم بالواسطة بین إرادة الفاعل و بین فعله و سمی تلک الواسطة بالطلب النفسانی الذی هو فعل النفس، و التزم بأنّه غیر الارادة التی هی صفة قائمة بالنفس و أنّها من مقولة الکیف، و ذلک الطلب الذی هو فعل من أفعال النفس من مقولة الفعل، و لم یتعرض للارادة و الطلب الانشائیین، و إنما تعرض للارادة و الطلب الواقعیین و جعل أحدهما مغایرا للآخر، و قاس</w:t>
      </w:r>
    </w:p>
    <w:p>
      <w:pPr>
        <w:pStyle w:val="BookText"/>
        <w:rPr/>
      </w:pPr>
      <w:r>
        <w:rPr>
          <w:rFonts w:ascii="IRNazanin" w:hAnsi="IRNazanin" w:eastAsia="IRNazanin"/>
          <w:color w:val="111111"/>
          <w:sz w:val="28"/>
          <w:sz w:val="28"/>
          <w:szCs w:val="28"/>
          <w:rtl w:val="true"/>
          <w:lang w:bidi="fa-IR"/>
        </w:rPr>
        <w:t>الارادة الشرعیة الواقعیة الآمریة علی إرادة المأمور، فجعل الارادة من الآمر المتعلقة بقیام زید مثلا من الصفات النفسانیة، و جعل صدور الأمر تحریکا للمأمور، و سمی ذلک الأمر من سنخ الطلب النفسانی الذی هو فعل من أفعال النفس المحرّک لعضلات المرید، و جعل المأمور بمنزلة عضلات نفس المرید، إلی آخر ما أفاده فی هذا المقام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النفس شی‌ء من هذا القیاس، فانک لو أردت قیام عبدک عن مجلسک، فهناک إرادة منک نفسانیة تعلقت بقیام عبدک، فلو فرضنا أنه لا یقوم إلّا بأن تتناوم و تنطرح علی فراشک فعلت ذلک، إلّا أن نومک علی فراشک فعل اختیاری لک قد صدر عنک بالارادة المنبعثة عن إرادتک القیام، فهذه الارادة الثانیة منک المتعلقة بالنوم یتعقبها طلبک النوم الذی هو طلب نفسانی للنوم، فهناک إرادة نفسانیة و طلب نفسانی للنوم و النوم الخارجی، فإذا تمت هذه الامور وقع مطلوبک الأصلی الذی هو قیام العبد، و حینئذ لا یکون منک بالنسبة إلی القیام إلّا مجرد تعلق الارادة النفسانیة به، و لیس هناک حملة نفس و لا طلب نفسانی یتعلق منک بالقیام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أن تسمی هذه الامور أعنی إرادة النوم و طلب نفسک النوم و النوم نفسه أنها سعی و طلب للقیام، لکنّه لیس هو ذلک الطلب النفسانی الذی أراده شیخنا قدّس سرّه و جعله واسطة بین إرادة القیام و القیام الخارجی، و هذا باب واسع ضابطه هو أن کل من تعلقت إرادته بصدور الفعل الفلانی من الغیر باختیاره ینحصر طریقه إلی صدور ذلک الفعل من ذلک الغیر باختیاره و إرادته باحداث الداعی لذلک الغیر بالنسبة إلی ذلک الفعل، و إحداث الداعی له یختلف باختلاف حال ذلک الغیر، فربما کان حدوث الداعی لذلک الغیر منحصرا بمثل ما ذکرناه من إظهار ذلک المرید کسله و أنه یرید النوم، و ربما کان لا</w:t>
      </w:r>
    </w:p>
    <w:p>
      <w:pPr>
        <w:pStyle w:val="BookText"/>
        <w:rPr/>
      </w:pPr>
      <w:r>
        <w:rPr>
          <w:rFonts w:ascii="IRNazanin" w:hAnsi="IRNazanin" w:eastAsia="IRNazanin"/>
          <w:color w:val="111111"/>
          <w:sz w:val="28"/>
          <w:sz w:val="28"/>
          <w:szCs w:val="28"/>
          <w:rtl w:val="true"/>
          <w:lang w:bidi="fa-IR"/>
        </w:rPr>
        <w:t xml:space="preserve">یحدث له الداعی إلا بایجاد ما یکرهه ذلک الغیر من مثل إحداث العجاج فی المحل أو إحضار من یکرهه ذلک الغیر، إلی غیر ذلک من الأمثلة المختلفة الداخلة تحت جامع واحد، و هو ما یوجب حدوث الداعی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بالنسبة إلی ذلک الفعل المراد، و من جملة ما یوجب حدوث الداعی هو مجرد أمره بالقیام، و کل ذلک یتوقف علی إرادة ثانیة من ذلک المرید للقیام تکون متعلقة بذلک الفعل الموجب لحدوث الداعی لذلک الغیر، و تتعقب هذه الارادة المتعلقة بذلک الفعل الموجب لحدوث الداعی حملة النفس علیه و بعدهما یحصل الفعل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فیما نحن فیه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الآمر لفعل عبده المأمور یولّد إرادة تتعلق بأمره به الذی هو فعل اختیاری للآمر، و عن هذه الارادة المتعلقة بالأمر المذکور یتولد طلب نفسانی یتعلق بحرکة عضلات الآمر نحو الأمر فیأمر و یصدر الأمر لعبده بذلک الفعل، و حینئذ لم تکن إرادة الآمر مقرونة بطلب نفسانی الذی هو حرکة النفس نحو الفعل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مجموع هذه الامور، أعنی إرادة الآمر و طلبه النفسانی و صدور الأمر هو سعی و طلب و تحصیل للفعل من المأمور، إلّا أن ذلک لیس هو طلب نفسانی متعلق بفعل المأمور الذی تعلقت به الارادة الأولیة من الآمر، فلاحظ و تدبر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مجموع هذه الامور سعی و طلب لذلک الفعل الذی تعلقت الارادة به ابتداء، إلّا أنّ توسط هذه الامور بین الارادة و الفعل المراد مختص بخصوص ما لو کان الفعل المراد فعلا للغیر، فالاحتیاج فی حصول ذلک</w:t>
      </w:r>
    </w:p>
    <w:p>
      <w:pPr>
        <w:pStyle w:val="BookText"/>
        <w:rPr/>
      </w:pPr>
      <w:r>
        <w:rPr>
          <w:rFonts w:ascii="IRNazanin" w:hAnsi="IRNazanin" w:eastAsia="IRNazanin"/>
          <w:color w:val="111111"/>
          <w:sz w:val="28"/>
          <w:sz w:val="28"/>
          <w:szCs w:val="28"/>
          <w:rtl w:val="true"/>
          <w:lang w:bidi="fa-IR"/>
        </w:rPr>
        <w:t xml:space="preserve">المراد إلی هذه الامور التی یکون مجموعها طلبا و سعیا فی حصول المراد لا یکون برهانا علی جریان ذلک فیما لو کان المراد فعلا من 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فإنّ هذه الجهات أعنی کون الارادة التشریعیة عین الطلب أو أنّها غیره لا أهمیة له، إنّما الأهمیة فی الارادة المتعلقة بفعل المرید و هل أنّها بنفسها علّة فی حصول ذلک الفعل منه بحیث إنّه لا واسطة بینها و بین ذلک الفعل، أو أنّ فی البین واسطة و هی المسماة بطلب الفعل و حرکة النفس نحوه، و هذه المعرکة هی معرکة الجبر و التفویض و الأمر بین الأمرین، و وجهة البحث هی لزوم الجبر علی الأول لانتهاء الفعل إلی الارادة و هی إلی الذات، بخلافه علی الثانی، و للجبریین شبهة اخری و هی تعلق الارادة التکوینیة منه تعالی لأفعال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هذه الشبهة بأیّ طریق کانت لا دخل لها بمسألة اتحاد واقع الارادة و الطلب فی جانب الشارع المقدس، فإنّ المعروف هو ابتناء القول بالتغایر علی الکلام النفسی و جعل الطلب من سنخ الکلام النفسی، و ابتناء القول بالاتحاد علی إنکار الکلام النفسی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بعضهم بنی التغایر بینهما علی أنّ المراد بالطلب الطلب الانشائی، و المراد بالارادة هو الارادة الواقعیة، و لکن شیخنا قدّس سرّه </w:t>
      </w:r>
      <w:r>
        <w:rPr>
          <w:rStyle w:val="FootnoteAnchor"/>
          <w:rtl w:val="true"/>
        </w:rPr>
        <w:footnoteReference w:id="686"/>
      </w:r>
      <w:r>
        <w:rPr>
          <w:rFonts w:ascii="IRNazanin" w:hAnsi="IRNazanin" w:eastAsia="IRNazanin"/>
          <w:color w:val="111111"/>
          <w:sz w:val="28"/>
          <w:sz w:val="28"/>
          <w:szCs w:val="28"/>
          <w:rtl w:val="true"/>
          <w:lang w:bidi="fa-IR"/>
        </w:rPr>
        <w:t>مع إنکاره الکلام النفسی، و مع التزامه بأنّ المراد من الطلب هو الطلب الواقعی لا الانشائی قال بالتغایر بینهما، من جهة ما أفاده من أنّ الطلب من مقولة فعل النفس و أنه غیر الارادة التی هی کیف للنفس، و ربما سلّمنا ذلک فی إرادة الشخص المتعلقة بفعل نفسه، أمّا إرادته فعل الغیر فقد عرفت انحصار الطریق إلی</w:t>
      </w:r>
    </w:p>
    <w:p>
      <w:pPr>
        <w:pStyle w:val="BookText"/>
        <w:rPr/>
      </w:pPr>
      <w:r>
        <w:rPr>
          <w:rFonts w:ascii="IRNazanin" w:hAnsi="IRNazanin" w:eastAsia="IRNazanin"/>
          <w:color w:val="111111"/>
          <w:sz w:val="28"/>
          <w:sz w:val="28"/>
          <w:szCs w:val="28"/>
          <w:rtl w:val="true"/>
          <w:lang w:bidi="fa-IR"/>
        </w:rPr>
        <w:t>ذلک الفعل باحداث الداعی علی الفعل فی حق ذلک الغیر، و من جملة ما یحدث له الداعی هو الأمر، و لیس الأمر لذلک الغیر من قبیل تحریک السیارة أو الفرس للوصول إلی الغایة المرادة أوّلا التی هی حصول المرید فی المکان الفلانی، أو فراره عن المکان الحالی لیکون الأمر من قبیل فعل النفس و حملتها نحو ذلک المراد، بل إنّ الأمر المحدث لذلک الداعی من قبیل سائر أفعال المرید التی یتوصل بها إلی إحداث الداعی فی کونه فعلا اختیاریا للمرید تتعلق به إرادته لأجل الوصول إلی تلک الغایة، بل یمکننا القول بذلک حتی فی مثل تحریک السیارة أو الفرس، نعم بینهما فرق و هو أنّ تحریک السیارة أو الفرس إنما یراد لأجل التوصل إلی حصول المرید فی المکان الفلانی أو إلی بعده عن المکان الحالی و فراره عنه، فیمکننا القول بأنّ هذا التحریک من مقولة حملة النفس و طلبها إلی ذلک الفعل أعنی الحصول فی المکان الفلانی أو الفرار عن المکان الحالی، بخلاف الأمر فانه لا یتوصل به إلی فعل المرید، و إنما یتوصل به إلی حصول الفعل من المأمور بارادته و اختیاره، فلا یکون من قبیل حملة النفس، بل یکون من قبیل ما عرفته من النوم و نحوه مما یکون فعلا مرادا غایته أنه ارید للتوصل إلی حدوث الداعی لذلک الغیر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الغیر باختیاره لا یکون قابلا لتعلق الارادة التکوینیة به، و إنّما أقصی ما فی البین هو تعلق الارادة بمقدماته الاعدادیة کما ذکروه فی مبحث الشروط فی ضمن العقد فی اشتراط صیرورة الزرع سنبلا، فمن مال إلی صدور فعل من عبده باختیاره لا وجه لتعلق إرادته التکوینیة بذلک الفعل من العبد، و أقصی ما فی البین هو تعلق إرادته التکوینیة بالمقدمات الاعدادیة لصدور ذلک الفعل من عبده و لو بأمره به، فان</w:t>
      </w:r>
    </w:p>
    <w:p>
      <w:pPr>
        <w:pStyle w:val="BookText"/>
        <w:rPr/>
      </w:pPr>
      <w:r>
        <w:rPr>
          <w:rFonts w:ascii="IRNazanin" w:hAnsi="IRNazanin" w:eastAsia="IRNazanin"/>
          <w:color w:val="111111"/>
          <w:sz w:val="28"/>
          <w:sz w:val="28"/>
          <w:szCs w:val="28"/>
          <w:rtl w:val="true"/>
          <w:lang w:bidi="fa-IR"/>
        </w:rPr>
        <w:t>الأمر من السید یکون مقدمة إعدادیة لفعل العبد باختیاره، لأنه یولّد الداعی إلی اختیار العبد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إرادة فعل الغیر باختیار لیست من الارادة التکوینیة، و أقصی ما فی البین هو الارادة التی هی من سنخ الارادة التشریعیة، و هی لیست من کیفیات النفس و لا من أفعالها، بل هی من سنخ الأحکام التی تنجعل بالجعل، نظیر الوجوب و الزوجیة و نحوهما من الأحکام، و إن شئت فسمّها طلبا و إن شئت فسمّها وجوبا أو أمرا أو إرادة تشریعیة، إذ لا مشاحة فی التسمیة، بل واقع الأمر أن الارادة التشریعیة عین الطلب، و هو عین الوجوب الذی لا ریب فی کونه من المجعولات الشرعیة، و من ذلک کلّه یظهر لک التأمل فیما أفاده فی الکفایة بل فیما أفاده شیخنا قدّس سرّه فلاحظ و تأمل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بتقریب أوضح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687"/>
      </w:r>
      <w:r>
        <w:rPr>
          <w:rFonts w:ascii="IRNazanin" w:hAnsi="IRNazanin" w:eastAsia="IRNazanin"/>
          <w:color w:val="111111"/>
          <w:sz w:val="28"/>
          <w:sz w:val="28"/>
          <w:szCs w:val="28"/>
          <w:rtl w:val="true"/>
          <w:lang w:bidi="fa-IR"/>
        </w:rPr>
        <w:t>هذا التحریر أعنی کون الارادة عین الطلب، أو کونها غیر الطلب، إن کان المراد بها الارادة التکوینیة، فلا یحسن التعبیر بالطلب الظاهر فی أنّ هناک مطلوبا منه، بل ینبغی تحریر النزاع هکذا، و هو أنّه هل یتوسط بین الارادة و الفعل المراد مرتبة اخری هی فعل النفس المعبّر عنها بالاختیار أو أنّه لا واسطة فی البین و أنّ الاختیار هو عین الارادة، و إن کان المراد بالارادة الارادة التشریعیة المحتاجة إلی من یراد منه، فلا شبهة فی أنّها من سنخ الأحکام الشرعیة و أنّها عین الطلب، بل هی عین الوجوب أیضا، و لیست هی من صفات النفس و لا من أفعالها، بل هی من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أمر آخر و هو أنّ الوجوب من سنخ الأحکام الوضعیة و هکذا الحال فی الحرمة، فهل هو المجعول ابتداء و أنّ البعث و الزجر یکون تابعا له نظیر الجزئیة بناء علی أنّها هی المجعولة ابتداء، و یتبعها الأمر بالجزء فی ضمن الأمر بالمرکب، أو أنّ الأمر بالعکس بأن یکون المجعول أوّلا هو البعث المستفاد من صیغة افعل و الزجر المستفاد من صیغة لا تفعل، و یتبعهما الحکم الوضعی الذی هو الوجوب و الحرمة، کما أنّ المجعول ابتداء هو الأمر بالجزء فی ضمن الأمر بالمرکب و عنه تنتزع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تحقق الارادة من الآمر فیما لو أمر عبده بالفعل، إن کان المراد بها هو الارادة التکوینیة، فقد عرفت أنه لا معنی لتعلق ارادة الشخص تکوینا بفعل غیره اختیاریا إلّا علی نحو الاجبار و سلب الاختیار، و إن کان المراد هو الارادة الشرعیة، فإن کان المراد بها الطلب و الوجوب فقد عرفت أنها تنجعل بالجعل و أنّها لیست من صفات النفس و لا من أفعالها، ففی الحقیقة لا یکون فی البین إلّا العلم بالمصلحة و جعل الوجوب أو الطلب أو الارادة التشریعیة علی طبقها، و ما لم یکن فی البین جعل لا یکون هناک وجوب و لا طلب و لا إرادة تشریعیة بالمعنی المذکور، و ذلک نظیر ما إذا لم یوقع و لم ینشئ البیع أو الهبة مثلا، لا یکون فی البین بیع و لا هبة و لو أرادهما المالک بألف إرادة و اشتاق إلیهما بأقصی مراتب الاشتیاق، و لو ارید بالارادة الشرعیة معنی غیر الارادة التکوینیة و غیر الوجوب و الطلب، فذلک لا واقعیة له و لا بد من تصوره أوّلا ثم الکلام علی وجوده و عدمه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مطلب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أوّلا هل هو الوجوب، و یتبعه الأمر بالصیغة الذی هو عبارة عن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باب أن الشی‌ء إذا</w:t>
      </w:r>
    </w:p>
    <w:p>
      <w:pPr>
        <w:pStyle w:val="BookText"/>
        <w:rPr/>
      </w:pPr>
      <w:r>
        <w:rPr>
          <w:rFonts w:ascii="IRNazanin" w:hAnsi="IRNazanin" w:eastAsia="IRNazanin"/>
          <w:color w:val="111111"/>
          <w:sz w:val="28"/>
          <w:sz w:val="28"/>
          <w:szCs w:val="28"/>
          <w:rtl w:val="true"/>
          <w:lang w:bidi="fa-IR"/>
        </w:rPr>
        <w:t>تحتم فی الشریعة علی المکلف حکم عقله بلزوم الاتیان به من باب الاطاعة، فیکون قول الشارع صلّ بعد قوله جعلت الوجوب للصلاة إرشادا إلی ذلک، أو أنّ ذلک البعث بقوله صلّ بعث مولوی، غایته أنّه متفرع علی جعل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المجعول أوّلا هو البعث و التحریک الحاصل بقوله صلّ، و عنه ینتزع الحکم بأنّ الصلاة واجبة، لیکون ذلک نظیر ما ذکروه فی مبحث الجزئیة من أنّ المجعول هو الحکم الوضعی ثم یتبعه التکلیف، أو أنّ الأمر بالعکس و یمکننا القول بأنّ نفس البعث المولوی کنایة عن جعل الحکم الوضعی الذی هو الوجوب فجعله عبارة اخری عن جعل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الأساس فی الجعل هو جعل الوجوب و أمّا البعث فهو کنایة عنه أو إرشاد إلیه، و هذا النزاع یثمر فی مسألة الترکیب و البساطة، فعلی الأول أعنی کون المجعول هو الوجوب و الاستحباب یکون کل منهما حکما وضعیا بسیطا مباینا للآخر، و لا معنی حینئذ للقول بأنّ الوجوب مرکب من طلب الفعل بمعنی البعث إلیه مع المنع من الترک، لأن المفروض أن الوجوب سابق فی الرتبة علی البعث فکیف یکون مرکبا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إن المجعول أوّلا هو البعث و أنّ الوجوب منتزع منه و متأخر عنه رتبة، یتصور النزاع المذکور و هو أنّه هل الوجوب منتزع من البعث إلی الفعل مع المنع عن الترک، أو أنّه یکفی فی انتزاعه تحقق البعث المولوی نحو الفعل، و علی ذلک یتخرج ترکب الاستحباب من طلب الفعل مع تجویز الترک، و أنّه بعد تمامیة الأمرین أعنی البعث إلی الفعل و تجویز ترکه ینتزع عنوان الاستحباب، بخلاف الوجوب فانّه یکفی فیه تحقق البعث المولوی إذا لم یلحقه الترخیص فی الترک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نفس الأمر و الطلب و الوجوب و غیرها من الأحکام</w:t>
      </w:r>
    </w:p>
    <w:p>
      <w:pPr>
        <w:pStyle w:val="BookText"/>
        <w:rPr/>
      </w:pPr>
      <w:r>
        <w:rPr>
          <w:rFonts w:ascii="IRNazanin" w:hAnsi="IRNazanin" w:eastAsia="IRNazanin"/>
          <w:color w:val="111111"/>
          <w:sz w:val="28"/>
          <w:sz w:val="28"/>
          <w:szCs w:val="28"/>
          <w:rtl w:val="true"/>
          <w:lang w:bidi="fa-IR"/>
        </w:rPr>
        <w:t>الوضعیة و التکلیفیة هی من الأفعال الاختیاریة للشارع، فلا تصدر منه إلّا بعد تعلق إرادته التکوینیة بها کسائر أفعاله الاختیاریة لا تصدر منه إلّا بعد تعلق إرادته التکوینیة بها، و هذا جار فی کل فاعل مختار، لکن ذلک أعنی تعلق الارادة التکوینیة مطلب آخر غیر ما نحن بصدده من کون المراد الشرعی متعلقا لارادة الشارع،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یظهر لک التأمل فیما یقال من أن الانشاءات إبراز لما فی صقع النفس، فانّک قد عرفت أنه لیس فی صقع نفس الآمر بالنسبة إلی الفعل المأمور به سوی العلم بالصلاح، و لو کان فی البین میل أو حب أو شوق إلی ذلک الفعل فلیس هو من سنخ الارادة، و لو فرضنا أن هناک شیئا علی طبق المنشأ، و أنّ الانشاء الخارجی إبراز له، کان اعتبار ذلک الانشاء طریقا صرفا إلیه، و کان ینبغی ترتیب الأثر عند العلم بما فی صقع نفس الآمر و إن لم یدخل فی صقع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البیع و نحوه فلیس فی البین إلّا تعلق الارادة التکوینیة بجعله و خلقه فی عالم الاعتبار بانشائه، لا أن البائع یوجد البیع فی صقع نفسه ثم یبرزه بالانشاء بقوله بعت، و إلّا لتحقق البیع بذلک و إن لم یدخل فی صقع الانشاء، إذ لا یکون الانشاء علی هذا الوجه إلّا مبرزا له و طریقا إلی تحققه فی نفس البائع، و لا یبعد أن تکون هذه الدعوی من شعب الکلام النفسی الذی تخیله الأشاعرة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یمکننا القول بأنّ تسمیة الشوق المؤکد بالارادة التکوینیة لا یخلو من تسامح، إذ لا ریب فی تحقق الشوق المؤکد و تعلقه بفعل الشخص نفسه أو بفعل الغیر، إلّا أنه وحده لا یکفی فی تحقق الفعل و صدوره حتی لو کان متعلقا بفعل نفسه، بل لا بد من تحقق تلک المرتبة</w:t>
      </w:r>
    </w:p>
    <w:p>
      <w:pPr>
        <w:pStyle w:val="BookText"/>
        <w:rPr/>
      </w:pPr>
      <w:r>
        <w:rPr>
          <w:rFonts w:ascii="IRNazanin" w:hAnsi="IRNazanin" w:eastAsia="IRNazanin"/>
          <w:color w:val="111111"/>
          <w:sz w:val="28"/>
          <w:sz w:val="28"/>
          <w:szCs w:val="28"/>
          <w:rtl w:val="true"/>
          <w:lang w:bidi="fa-IR"/>
        </w:rPr>
        <w:t>الرابعة التی سمّاها شیخنا بالاختیار أو الطلب التی هی من أفعال النفس، 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المرتبة الرابعة هی الارادة التکوینیة و لیست هی عین الشوق المؤکد، بل إنّها إنّما تتحقق بعد تحقق ذلک الشوق المؤکد فیما لو کان ذلک الشوق المؤکد من الشخص متعلقا بفعله الذی یمکنه أن یفعله، أما ما لا یمکنه أن یفعله و لو من جهة کونه فعلا للغیر صادرا عن ذلک الغیر باختیاره، فلا یمکن أن یکون متعلقا لتلک المرتبة الرابعة، إذ لا یتصور صدور تلک المرتبة التی هی اختیار الفعل ممن لا یقدر علی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الذی یمکن بالنسبة إلی فعل الغیر بعد تحقق الشوق المؤکد إلیه هو طلبه من ذلک الغیر و أمره به و إیجابه علیه، و هذا أعنی طلبه منه الصادر بعد الشوق المؤکد إلیه هو عبارة عن الارادة التشریعیة، و قد عرفت أنّها مجعولة للطالب لا أنّها هی ذلک الشوق المؤکد و إن کانت هی مسبوقة به، کما أنّها لیست هی تلک المرتبة التی هی الاختیار، فلیست هی من صفات النفس و لا من أفعالها، بل هی کما عرفت من المجعولات الشرعیة و إن کانت مسبوقة بذلک الشوق المؤکد، فنحن لا نقول إن الارادة التشریعیة عاریة من المیل و الحب و الشوق المؤکد، بل نقول إنّها مسبوقة بذلک لا أنّها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أنّ هذه الجهة لا دخل لها بما هو محل البحث فی الجبر و التفویض و الأمر بین الأمرین، فان هذا البحث إنما هو فی إرادة العبد لفعل نفسه، و هل تکون علة لفعله أو أنّ العلة فیه أمر آخر متوسط بین الارادة و الفعل، و ذلک الأمر الآخر هو حملة النفس الذی عبّر عنه شیخنا قدّس سرّه بالطلب، هذا کلّه بناء علی أنّ الارادة هی نفس الشوق المؤکد لتکون من مقولة الکیف</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قلنا بأنّ الشوق المؤکد سابق علی الارادة و أن الارادة متأخرة</w:t>
      </w:r>
    </w:p>
    <w:p>
      <w:pPr>
        <w:pStyle w:val="BookText"/>
        <w:rPr/>
      </w:pPr>
      <w:r>
        <w:rPr>
          <w:rFonts w:ascii="IRNazanin" w:hAnsi="IRNazanin" w:eastAsia="IRNazanin"/>
          <w:color w:val="111111"/>
          <w:sz w:val="28"/>
          <w:sz w:val="28"/>
          <w:szCs w:val="28"/>
          <w:rtl w:val="true"/>
          <w:lang w:bidi="fa-IR"/>
        </w:rPr>
        <w:t>عنه، و هی أعنی الارادة المتعلقة بالفعل فعل من أفعال النفس، فیمکننا القول بأنّه لا واسطة بینها و بین الفعل حینئذ و أنّها هی الاختیار نفسه، فإنّ شئت فسمّها اختیارا و إن شئت فسمها طلبا أو شئت فسمّها إرادة، کان کل ذلک صحیحا بعد فرض کونها فعلا من أفعال النفس متأخرا عن ذلک الشوق المؤکد، و لعل ذلک هو مراد صاحب الکفایة من تسمیة الارادة فیما یظهر من جملة من کلماته هنا</w:t>
      </w:r>
      <w:r>
        <w:rPr>
          <w:rStyle w:val="FootnoteAnchor"/>
          <w:rtl w:val="true"/>
        </w:rPr>
        <w:footnoteReference w:id="688"/>
      </w:r>
      <w:r>
        <w:rPr>
          <w:rFonts w:ascii="IRNazanin" w:hAnsi="IRNazanin" w:eastAsia="IRNazanin"/>
          <w:color w:val="111111"/>
          <w:sz w:val="28"/>
          <w:sz w:val="28"/>
          <w:szCs w:val="28"/>
          <w:rtl w:val="true"/>
          <w:lang w:bidi="fa-IR"/>
        </w:rPr>
        <w:t xml:space="preserve">و فی مسألة التعبدی </w:t>
      </w:r>
      <w:r>
        <w:rPr>
          <w:rStyle w:val="FootnoteAnchor"/>
          <w:rtl w:val="true"/>
        </w:rPr>
        <w:footnoteReference w:id="689"/>
      </w:r>
      <w:r>
        <w:rPr>
          <w:rFonts w:ascii="IRNazanin" w:hAnsi="IRNazanin" w:eastAsia="IRNazanin"/>
          <w:color w:val="111111"/>
          <w:sz w:val="28"/>
          <w:sz w:val="28"/>
          <w:szCs w:val="28"/>
          <w:rtl w:val="true"/>
          <w:lang w:bidi="fa-IR"/>
        </w:rPr>
        <w:t xml:space="preserve">و فی مبحث التجری </w:t>
      </w:r>
      <w:r>
        <w:rPr>
          <w:rStyle w:val="FootnoteAnchor"/>
          <w:rtl w:val="true"/>
        </w:rPr>
        <w:footnoteReference w:id="690"/>
      </w:r>
      <w:r>
        <w:rPr>
          <w:rFonts w:ascii="IRNazanin" w:hAnsi="IRNazanin" w:eastAsia="IRNazanin"/>
          <w:color w:val="111111"/>
          <w:sz w:val="28"/>
          <w:sz w:val="28"/>
          <w:szCs w:val="28"/>
          <w:rtl w:val="true"/>
          <w:lang w:bidi="fa-IR"/>
        </w:rPr>
        <w:t>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أنّ الوجدان یشهد بأنّ الانسان عند ما یتصور الفعل و یصدّق بفوائده و انتفاء موانعه یشتاق و یمیل إلیه کمال المیل، و بعد هذا الاشتیاق و المیل یختاره و یفعله، و هذا الاختیار هو الارادة و هو الطلب، أمّا تسمیة الشوق المؤکد بالارادة فلعله لا وجه له، إذ ربما اشتاق الانسان إلی شی‌ء لکن لا تتعلق به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شک حینئذ فی کون ذلک الفعل صادرا بالاختیار، أما کونه مرادا له تعالی بالارادة التکوینیة و لو بأن تتعلق باختیار العبد ذلک الفعل أو بذلک الفعل باختیاره، و کذلک کون ذلک الاختیار ناشئا عن مقدماته المنتهیة إلی نفس الفاعل، أو أنّ ذلک الاختیار لیس بالاختیار و أنّ العقاب معلول لذلک الفعل الصادر بالاختیار و أنّه لیس من قبیل التأدیب و لا من قبیل التشفی و غیر ذلک من المباحث، فکل ذلک خارج عن هذا الفن و راجع إلی فن آخر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الطوسی قدّس سرّه فی متن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 منا یفتقر إلی</w:t>
      </w:r>
    </w:p>
    <w:p>
      <w:pPr>
        <w:pStyle w:val="BookText"/>
        <w:rPr/>
      </w:pPr>
      <w:r>
        <w:rPr>
          <w:rFonts w:ascii="IRNazanin" w:hAnsi="IRNazanin" w:eastAsia="IRNazanin"/>
          <w:color w:val="111111"/>
          <w:sz w:val="28"/>
          <w:sz w:val="28"/>
          <w:szCs w:val="28"/>
          <w:rtl w:val="true"/>
          <w:lang w:bidi="fa-IR"/>
        </w:rPr>
        <w:t>تصور جزئی لیتخصص به الفعل ثم شوق ثم إرادة ثم حرکة من العضلات لیقع منا الفعل،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قدّس سرّه فی آخر شرح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تصور جزئی یتخصص به الفعل فیصیر جزئیا، فإذا حصل التصور بالنفع الحاصل من الأثر اشتاقت النفس إلی تحصیله، فحصلت الارادة الجازمة بعد التردد فتحرکت العضلات إلی الفعل فوجد، انتهی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فی مباحث مقولة الکیف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الارادة و الکراهة و هما نوعان من العلم،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قدّس سرّه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الکیفیات النفسانیة الارادة و الکراهة و هما نوعان من العلم بالمعنی الأعم، و ذلک لأن الارادة عبارة عن علم الحی أو اعتقاده أو ظنه بما فی الفعل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آخرون إن الارادة و الکراهة زائدتان علی هذا العلم مترتبتان علیه، لأنا نجد من أنفسنا میلا إلی الشی‌ء أو عنه مترتبا علی هذا العلم و هو یفارق الشهوة، فان المریض یرید شرب الدواء و لا یشتهیه، انتهی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أراد من الشوق فی عبارته الاولی أول درجة منه و من الارادة التی قال عنها ثم إرادة هی الدرجة الثانیة و هی المعبّر عنها بالشوق المؤکد، و حینئذ تنطبق عبارته الاولی علی عبارته الثانیة المتضمنة لکون الارادة نوعا من العلم الذی هو من مقولة الکیف</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الصیغة من الجهة</w:t>
      </w:r>
      <w:bookmarkStart w:id="528" w:name="pg19834_212419"/>
    </w:p>
    <w:p>
      <w:pPr>
        <w:pStyle w:val="BookText"/>
        <w:rPr/>
      </w:pPr>
      <w:bookmarkEnd w:id="528"/>
      <w:r>
        <w:rPr>
          <w:rFonts w:ascii="IRNazanin" w:hAnsi="IRNazanin" w:eastAsia="IRNazanin"/>
          <w:color w:val="111111"/>
          <w:sz w:val="28"/>
          <w:sz w:val="28"/>
          <w:szCs w:val="28"/>
          <w:rtl w:val="true"/>
          <w:lang w:bidi="fa-IR"/>
        </w:rPr>
        <w:t>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الصیغة علی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المقام الثانی الذی ذکره سابقا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فیما یتعلق بصیغة الأمر و یقع الکلام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 جهة شرح اللفظ، و الثانی من الجهة الاصولیة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یخفی أنّ صاحب الکفایة قدّس سرّه </w:t>
      </w:r>
      <w:r>
        <w:rPr>
          <w:rStyle w:val="FootnoteAnchor"/>
          <w:rtl w:val="true"/>
        </w:rPr>
        <w:footnoteReference w:id="695"/>
      </w:r>
      <w:r>
        <w:rPr>
          <w:rFonts w:ascii="IRNazanin" w:hAnsi="IRNazanin" w:eastAsia="IRNazanin"/>
          <w:color w:val="111111"/>
          <w:sz w:val="28"/>
          <w:sz w:val="28"/>
          <w:szCs w:val="28"/>
          <w:rtl w:val="true"/>
          <w:lang w:bidi="fa-IR"/>
        </w:rPr>
        <w:t>رتب الفصل الثانی المتعلق بالصیغة علی أبحاث،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أنّها تستعمل للطلب و التهدید و کذا و کذا، و أفاد أنّ هذه لیست من معانیها و إنّما هی من الدواعی علی ما استعملت فیه و هو إنشاء الطلب، و قصاری ما یمکن أن یدعی أنّها موضوعة لانشاء الطلب فیما إذا کان بداعی البعث و التحریک لا بداع آخر، فیکون إنشاء الطلب بها بعثا حقیقة و بداع آخر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هذا الفرق الذی أبداه بینهما فی مقام الوضع فقط کما صنعه فی المعنی الاسمی و الحرفی، لأنّ ذلک لا یوجب المجازیة و قد التزم بها هنا، فدل علی أن مراده هو دعوی کون الموضوع له هو إنشاء الطلب الناشئ عن الطلب الحقیقی، و إن أمکن القول بأنّها 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إنشاء الطلب </w:t>
      </w:r>
      <w:r>
        <w:rPr>
          <w:rStyle w:val="FootnoteAnchor"/>
          <w:rtl w:val="true"/>
        </w:rPr>
        <w:footnoteReference w:id="696"/>
      </w:r>
      <w:r>
        <w:rPr>
          <w:rFonts w:ascii="IRNazanin" w:hAnsi="IRNazanin" w:eastAsia="IRNazanin"/>
          <w:color w:val="111111"/>
          <w:sz w:val="28"/>
          <w:sz w:val="28"/>
          <w:szCs w:val="28"/>
          <w:rtl w:val="true"/>
          <w:lang w:bidi="fa-IR"/>
        </w:rPr>
        <w:t>و أن المنصرف عند الاطلاق هو کونه بداعی الطلب الحقیقی، نظیر الانصراف إلی الجد دون الهزل</w:t>
      </w:r>
      <w:r>
        <w:rPr>
          <w:rFonts w:eastAsia="IRNazanin" w:cs="IRNazanin"/>
          <w:color w:val="111111"/>
          <w:sz w:val="28"/>
          <w:szCs w:val="28"/>
          <w:rtl w:val="true"/>
          <w:lang w:bidi="fa-IR"/>
        </w:rPr>
        <w:t>.</w:t>
      </w:r>
    </w:p>
    <w:p>
      <w:pPr>
        <w:pStyle w:val="Heading4"/>
        <w:numPr>
          <w:ilvl w:val="3"/>
          <w:numId w:val="1"/>
        </w:numPr>
        <w:rPr/>
      </w:pPr>
      <w:bookmarkStart w:id="529" w:name="__RefHeading___Toc3493805_2314609296"/>
      <w:bookmarkStart w:id="530" w:name="_Toc195"/>
      <w:bookmarkEnd w:id="529"/>
      <w:r>
        <w:rPr>
          <w:rtl w:val="true"/>
        </w:rPr>
        <w:t>[</w:t>
      </w:r>
      <w:r>
        <w:rPr>
          <w:rtl w:val="true"/>
        </w:rPr>
        <w:t>دلالة الصیغة علی الوجوب</w:t>
      </w:r>
      <w:bookmarkEnd w:id="530"/>
    </w:p>
    <w:p>
      <w:pPr>
        <w:pStyle w:val="BookText"/>
        <w:rPr/>
      </w:pPr>
      <w:r>
        <w:rPr>
          <w:rFonts w:ascii="IRNazanin" w:hAnsi="IRNazanin" w:eastAsia="IRNazanin"/>
          <w:color w:val="111111"/>
          <w:sz w:val="28"/>
          <w:sz w:val="28"/>
          <w:szCs w:val="28"/>
          <w:rtl w:val="true"/>
          <w:lang w:bidi="fa-IR"/>
        </w:rPr>
        <w:t>ثم ذکر المبحث الثانی و أفاد أنّها للوجوب بدلیل التبادر</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کونها موضوعة لخصوص الوجوب فرع کونها موضوعة</w:t>
      </w:r>
      <w:bookmarkStart w:id="531" w:name="pg19834_212420"/>
    </w:p>
    <w:p>
      <w:pPr>
        <w:pStyle w:val="BookText"/>
        <w:rPr/>
      </w:pPr>
      <w:bookmarkEnd w:id="531"/>
      <w:r>
        <w:rPr>
          <w:rFonts w:ascii="IRNazanin" w:hAnsi="IRNazanin" w:eastAsia="IRNazanin"/>
          <w:color w:val="111111"/>
          <w:sz w:val="28"/>
          <w:sz w:val="28"/>
          <w:szCs w:val="28"/>
          <w:rtl w:val="true"/>
          <w:lang w:bidi="fa-IR"/>
        </w:rPr>
        <w:t>لما إذا کانت للطلب الانشائی الصادر عن الطلب الحقیقی، و قد تقدم التردد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المبحث الثالث فی الجمل المستعملة فی مقام الانشاء، ثم ذکر المبحث الرابع، و هو أنا لو سلّمنا عدم وضع الصیغة للوجوب فهل تکون ظاهرة فیه للکثرة أو للأکملیة، و بعد أن منع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فیما کان الآمر بصدد البیان فقضیة مقدمات الحکمة هو الحمل علی الوجوب، فان الندب کأنه یحتاج إلی مئونة بیان التحدید و التقیید بعدم المنع من الترک، بخلاف الوجوب فانه لا تحدید فیه للطلب و لا تقیید، فاطلاق اللفظ و عدم تقییده مع کون المطلق فی مقام البیان کاف فی بیانه، فافهم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3493807_2314609296"/>
      <w:bookmarkStart w:id="533" w:name="_Toc196"/>
      <w:bookmarkEnd w:id="532"/>
      <w:r>
        <w:rPr>
          <w:rtl w:val="true"/>
        </w:rPr>
        <w:t>[</w:t>
      </w:r>
      <w:r>
        <w:rPr>
          <w:rtl w:val="true"/>
        </w:rPr>
        <w:t>الفرق بین الوجوب و الاستحباب</w:t>
      </w:r>
      <w:bookmarkEnd w:id="533"/>
    </w:p>
    <w:p>
      <w:pPr>
        <w:pStyle w:val="BookText"/>
        <w:rPr/>
      </w:pPr>
      <w:r>
        <w:rPr>
          <w:rFonts w:ascii="IRNazanin" w:hAnsi="IRNazanin" w:eastAsia="IRNazanin"/>
          <w:color w:val="111111"/>
          <w:sz w:val="28"/>
          <w:sz w:val="28"/>
          <w:szCs w:val="28"/>
          <w:rtl w:val="true"/>
          <w:lang w:bidi="fa-IR"/>
        </w:rPr>
        <w:t>و شیخنا قدّس سرّه قدّم لهذا المبحث مقدمة، و هی بیان الفرق بین الوجوب و الاستحباب، و منع من کونهما مرکبین کما منع من اختلافهما بالشدة و الضعف</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هناک وجه ثالث یفرق به بینهما، و هو دعوی کونهما بسیطین مختلفین بالهویة و لا قدر جامع بینهما، نظیر مقولة الکم مثلا و مقولة الکیف مع عدم الجنس المشترک بینهما و إن شملهما مفهوم العرض، لأن ما به الاشتراک فی البسائط عین ما به الامتیاز، و هکذا الحال فی الوجوب و الاستحباب فانهما بسیطان متباینان بالهویة و إن اشترکا بمفهوم الطلب إلّا أنه من قبیل أن ما به الاشتراک عین ما به الامتیاز، و حیث إنّ هذا القدر المشترک الذی هو مطلق الطلب لا یمکن أن ینوجد مجردا، یکون مفاد صیغة افعل مرددا بین الوجوب و الندب، و حیث إن الثانی محتاج إلی مئونة</w:t>
      </w:r>
    </w:p>
    <w:p>
      <w:pPr>
        <w:pStyle w:val="BookText"/>
        <w:rPr/>
      </w:pPr>
      <w:r>
        <w:rPr>
          <w:rFonts w:ascii="IRNazanin" w:hAnsi="IRNazanin" w:eastAsia="IRNazanin"/>
          <w:color w:val="111111"/>
          <w:sz w:val="28"/>
          <w:sz w:val="28"/>
          <w:szCs w:val="28"/>
          <w:rtl w:val="true"/>
          <w:lang w:bidi="fa-IR"/>
        </w:rPr>
        <w:t>زائدة یکون الأول هو المتعین عند إطلاق الصیغة کما هو الشأن فی کل ما لو تردد المطلق بین نوعین و کان أحدهما محتاجا إلی مئونة زائدة دون الآخر، و حینئذ فیمکن تنزیل ما أفاده فی الکفایة علی هذا الوجه لا علی القول بالترکیب و لا علی القول بالاختلاف بالشدة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شیخنا قدّس سرّه لم یرتض هذا الوجه لما یأتی </w:t>
      </w:r>
      <w:r>
        <w:rPr>
          <w:rStyle w:val="FootnoteAnchor"/>
          <w:rtl w:val="true"/>
        </w:rPr>
        <w:footnoteReference w:id="698"/>
      </w:r>
      <w:r>
        <w:rPr>
          <w:rFonts w:ascii="IRNazanin" w:hAnsi="IRNazanin" w:eastAsia="IRNazanin"/>
          <w:color w:val="111111"/>
          <w:sz w:val="28"/>
          <w:sz w:val="28"/>
          <w:szCs w:val="28"/>
          <w:rtl w:val="true"/>
          <w:lang w:bidi="fa-IR"/>
        </w:rPr>
        <w:t xml:space="preserve">من مسلکه قدّس سرّه من عدم الاختلاف بین الطلب الوجوبی و الطلب الندبی و أن الطلب فیهما واحد لا یختلف حاله، کما أن الظاهر منه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Style w:val="FootnoteAnchor"/>
          <w:rtl w:val="true"/>
        </w:rPr>
        <w:footnoteReference w:id="699"/>
      </w:r>
      <w:r>
        <w:rPr>
          <w:rFonts w:ascii="IRNazanin" w:hAnsi="IRNazanin" w:eastAsia="IRNazanin"/>
          <w:color w:val="111111"/>
          <w:sz w:val="28"/>
          <w:sz w:val="28"/>
          <w:szCs w:val="28"/>
          <w:rtl w:val="true"/>
          <w:lang w:bidi="fa-IR"/>
        </w:rPr>
        <w:t xml:space="preserve">لم یرتض الوجه الرابع الذی شرحناه فیما سیأتی </w:t>
      </w:r>
      <w:r>
        <w:rPr>
          <w:rStyle w:val="FootnoteAnchor"/>
          <w:rtl w:val="true"/>
        </w:rPr>
        <w:footnoteReference w:id="700"/>
      </w:r>
      <w:r>
        <w:rPr>
          <w:rFonts w:ascii="IRNazanin" w:hAnsi="IRNazanin" w:eastAsia="IRNazanin"/>
          <w:color w:val="111111"/>
          <w:sz w:val="28"/>
          <w:sz w:val="28"/>
          <w:szCs w:val="28"/>
          <w:rtl w:val="true"/>
          <w:lang w:bidi="fa-IR"/>
        </w:rPr>
        <w:t>إن شاء اللّه تعالی من کون المرکب هو الندب دون الوجوب، بتخریج الترخیص فی الترک علی متمم الجعل، بأن یکون الاختلاف فی قوة المصلحة و ضعفها هو الموجب للاکتفاء فی الواجبات بجعل واحد و هو الطلب بخلاف المندوبات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هو الذی جرینا علیه فیما تقدم، و کنا نحتمل تنزیل کلام شیخنا قدّس سرّه علیه، لکن تنزیل کلامه فی هذا التحریر علیه بعید جدا، بل إن ما فی هذا التحریر ظاهر بل صریح بانحصار الفرق بین الوجوب و الاستحباب باختلاف المصلحة قوة و ضعفا، و أن نفس الطلب کاف فی تحقق الوجوب الذی هو حکم عقلی، و أنه لا یجوّز العقل ترک ذلک المطلوب إلّا بقرینة الترخیص الدالة علی ضعف المصلحة، فهو لا یرید أن یجعل الترخیص فی الترک حکما شرعیا بل یجعله قرینة علی ضعف المصلحة، و أن المصلحة إذا کانت ضعیفة لم یحکم العقل بلزوم ذلک الفعل المطلوب بطلب ناش</w:t>
      </w:r>
    </w:p>
    <w:p>
      <w:pPr>
        <w:pStyle w:val="BookText"/>
        <w:rPr/>
      </w:pPr>
      <w:r>
        <w:rPr>
          <w:rFonts w:ascii="IRNazanin" w:hAnsi="IRNazanin" w:eastAsia="IRNazanin"/>
          <w:color w:val="111111"/>
          <w:sz w:val="28"/>
          <w:sz w:val="28"/>
          <w:szCs w:val="28"/>
          <w:rtl w:val="true"/>
          <w:lang w:bidi="fa-IR"/>
        </w:rPr>
        <w:t>عن تلک المصلحة الضعیفة، و لعل هذا خلاف مسلکه قدّس سرّه فی أنّ المدار فی الاطاعة الحاکم بها العقل علی الالزامات الشرعیة و لا شغل للعبد بالمصالح و المفاسد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 ذلک، أعنی کون الترخیص قرینة علی ضعف المصلحة، و أن الطلب الناشئ عن المصلحة الضعیفة لا یکون وجوبیا ینحصر الوجوب بالطلب الناشئ عن المصلحة القویة من دون حاجة إلی إخراج الوجوب عن کونه شرعیا إلی کونه عقلیا من باب لزوم الاطاعة کما یظهر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الصیغة متی صدرت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الثبوت فی عالم التشریع، فما هو ثابت بنفسه نفس إطاعة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الخوض فی بیان ما هو الحق فی المقام ینبغی تقدیم مقدمة، و هی أنّ المتقدمین من الأصحاب ذهبوا إلی ترکب الوجوب و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النظر إلی الوجوب و الاستحباب تارة یکون من ناحیة کونهما أحد الأحکام الخمسة، و هما بهذا النظر ملحقان بالأحکام الوضعیة القابلة للانجعال بالجعل الابتدائی، و حینئذ یکون بینهما کمال التباین کالتباین بین أحدهما و الحرمة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بهذا النظر لا یکونان إلا بسیطین فی أقصی درجات البساطة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یکون النظر إلیهما من ناحیة استفادتهما من الصیغة أعنی صیغة افعل، و قد عرفت أنها آلة البعث و التحریک، أو أنّها آلة إلقاء المادة</w:t>
      </w:r>
    </w:p>
    <w:p>
      <w:pPr>
        <w:pStyle w:val="BookText"/>
        <w:rPr/>
      </w:pPr>
      <w:r>
        <w:rPr>
          <w:rFonts w:ascii="IRNazanin" w:hAnsi="IRNazanin" w:eastAsia="IRNazanin"/>
          <w:color w:val="111111"/>
          <w:sz w:val="28"/>
          <w:sz w:val="28"/>
          <w:szCs w:val="28"/>
          <w:rtl w:val="true"/>
          <w:lang w:bidi="fa-IR"/>
        </w:rPr>
        <w:t xml:space="preserve">علی عاتق المکلف، و هی من هذه الناحیة لا تکون إلّا مصداقا للبعث و التحریک أو مصداقا لالقاء المادة علی عاتق المکلف علی حذو مصداقیة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للاستفهام، أعنی مصداقیة المعنی الحرفی للمفهوم الاسمی المنطبق علیه علی ما مر</w:t>
      </w:r>
      <w:r>
        <w:rPr>
          <w:rStyle w:val="FootnoteAnchor"/>
          <w:rtl w:val="true"/>
        </w:rPr>
        <w:footnoteReference w:id="703"/>
      </w:r>
      <w:r>
        <w:rPr>
          <w:rFonts w:ascii="IRNazanin" w:hAnsi="IRNazanin" w:eastAsia="IRNazanin"/>
          <w:color w:val="111111"/>
          <w:sz w:val="28"/>
          <w:sz w:val="28"/>
          <w:szCs w:val="28"/>
          <w:rtl w:val="true"/>
          <w:lang w:bidi="fa-IR"/>
        </w:rPr>
        <w:t xml:space="preserve">فی المعنی الحرفی من الفرق بین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بین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یکون ما ینوجد بالصیغة مصداقا للطلب و لا للوجوب إلّا إذا قلنا إنها آلة إیجاد الطلب لیکون معناها الحرفی هو الطلب الآلی، و حینئذ ینطبق علیها مفهوم الطلب انطباق المفهوم الاسمی علی ما أوجده الحرف، و حیث إنه قد تحقق أنّها آلة البعث و التحریک فلا یکون المنطبق علیها إلّا مفهوم البعث و التحریک، أما الطلب فهو منتزع منها نظیر انتزاع الحکم الوضعی من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انطباق مفهوم الوجوب أو مفهوم الاستحباب علی ما أحدثته الصیغة من البعث و التحریک، فیکون مفهوم الوجوب منتزعا عمّا أحدثته الصیغة انتزاع الحکم الوضعی من الحکم التکلیفی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بساطة البعث الذی توجده الصیغة و أنه بعث واحد لا ترکیب فیه، و لا اختلاف فیه أیضا بالشدة و الضعف، کما أنها حقیقة واحدة لا تعدد فیها لیکون لنا بعث وجوبی و بعث 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الطلب المنتزع منها أو المنطبق علیها لو قلنا إنها آلة الطلب، أما الوجوب و الاستحباب فقد عرفت تباینهما و بساطة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هذا البعث أو هذا الطلب لو خلی و نفسه و لم یتعقبه أو لم یقترن به ترخیص فی الترک انتزع منه الوجوب، و لو اقترن به الترخیص فی الترک أو تعقبه انتزع منه عنوان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فیکون ملاک الوجوب المجعول ابتداء أو المجعول انتزاعا من صیغة افعل بناء علی إفادتها البعث أو بناء علی إفادتها الطلب ممّا یکفی فیه الجعل الواحد، بأن یجعل الوجوب للفعل ابتداء أو یجعل البعث و یخلقه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الندب فانه و إن أمکن وفاء الجعل الواحد به لکن ذلک فیما لو جعله ابتداء بأن یقول جعلت الفعل الفلانی مندوبا، أما لو کان جعله بغیر ذلک مثل جعل البعث أو جعل الطلب فلا یکفی فیه الجعل الواحد، بل لا بد فیه من الجعلین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هو جعل البعث و الثانی هو جعل الترخیص فی الترک، و لک أن تسمی هذا الجعل الثانی متمّما للجعل الأول علی حذو ما أفاده شیخنا قدّس سرّه فی التعبدی و التوصلی </w:t>
      </w:r>
      <w:r>
        <w:rPr>
          <w:rStyle w:val="FootnoteAnchor"/>
          <w:rtl w:val="true"/>
        </w:rPr>
        <w:footnoteReference w:id="704"/>
      </w:r>
      <w:r>
        <w:rPr>
          <w:rFonts w:ascii="IRNazanin" w:hAnsi="IRNazanin" w:eastAsia="IRNazanin"/>
          <w:color w:val="111111"/>
          <w:sz w:val="28"/>
          <w:sz w:val="28"/>
          <w:szCs w:val="28"/>
          <w:rtl w:val="true"/>
          <w:lang w:bidi="fa-IR"/>
        </w:rPr>
        <w:t>، و إن کان بینهما فرق فی الجملة، فان الجعل الأول فی ذلک الباب یکون أقل من المصلحة فلا یکفی فیها، بل لا بد فی استیفائها من ضم الجعل الثانی إلیه، بخلاف ما نحن فیه فان الجعل الأول فیه یکون زائدا علی المصلحة الباعثة علی جعل الحکم الاستحبابی المفروض کونها غیر مقتضیة إلّا للحکم غیر الالزامی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الطلب وحده یکون موجبا لکون الحکم إلزامیا، فیکون الآمر مضطرا لأن یجعل جعلا آخر یتضمن جواز الترک، لیتم بذلک الحکم غیر الالزامی الذی هو ناش عن المصلحة غیر الالزامیة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یعلم أن هذا</w:t>
      </w:r>
    </w:p>
    <w:p>
      <w:pPr>
        <w:pStyle w:val="BookText"/>
        <w:rPr/>
      </w:pPr>
      <w:r>
        <w:rPr>
          <w:rFonts w:ascii="IRNazanin" w:hAnsi="IRNazanin" w:eastAsia="IRNazanin"/>
          <w:color w:val="111111"/>
          <w:sz w:val="28"/>
          <w:sz w:val="28"/>
          <w:szCs w:val="28"/>
          <w:rtl w:val="true"/>
          <w:lang w:bidi="fa-IR"/>
        </w:rPr>
        <w:t>التجویز غیر مناقض لطلب الفعل و البعث و نحوه، لأنه إنما یناقضه إذا بقی علی إطلاقه،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یمکننا القول بأنّ المجعول الأولی فی الحقیقة إنما هو نفس الوجوب و التحریم و الاباحة و الاستحباب و الکراهة بما أنها من سنخ الأحکام الوضعیة، و هذه الأوامر و النواهی و البواعث و الزواجر کلها فی مقام الاثبات و فی مقام الکشف عن ذلک المجعول الأولی، فهی أشبه شی‌ء بالارشاد إلی ما یلزم العقل به من الانزجار و الانبعاث أو الارشاد إلی ما حکم به أوّلا من الوجوب و التحریم، أو أنها من اللوازم القهریة نظیر لزوم وجوب المقدمة عند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لا یکون الوجوب محتاجا إلی أزید من البعث و التحریک أو الطلب الانشائی، و هذا بخلاف الاستحباب فانه فی ذلک المقام یحتاج إلی زیادة الترخیص فی الترک،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هذه الطریقة هی المتعیّنة فی الواجبات و المندوبات الشرعیة، و یجری مجراها المحرمات و المکروهات، و أنّ المجعول الأولی هو الوجوب و الندب و الحرمة و الکراهة علی حذو الأحکام الوضعیة، و أن الوصول إلی مفاد الصیغة الذی هو مقام البعث و الزجر إنّما هو بعد الفراغ عن جعل الحکم الواقعی، لما قرر فی محله من أنّ مرتبة البعث و الزجر متأخرة عن مرتبة جعل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المرتبة بمنزلة الارشاد إلی نفس الحکم الواقعی، أو شئت فقل إنها لازمة للحکم الواقعی متأخرة عنه رتبة، لکونها معلولة له نظیر معلولیة وجوب المقدمة عن وجوب ذیها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الوجوبات الصادرة من الموالی بالنسبة إلی عبیدهم أو الآباء</w:t>
      </w:r>
    </w:p>
    <w:p>
      <w:pPr>
        <w:pStyle w:val="BookText"/>
        <w:rPr/>
      </w:pPr>
      <w:r>
        <w:rPr>
          <w:rFonts w:ascii="IRNazanin" w:hAnsi="IRNazanin" w:eastAsia="IRNazanin"/>
          <w:color w:val="111111"/>
          <w:sz w:val="28"/>
          <w:sz w:val="28"/>
          <w:szCs w:val="28"/>
          <w:rtl w:val="true"/>
          <w:lang w:bidi="fa-IR"/>
        </w:rPr>
        <w:t>بالنسبة إلی أبنائهم، کما یمکن فیها هذه الطریقة فکذلک یمکن فیها العکس بأن یکون المجعول و الصادر أوّلا هو البعث، فان کان عن مصلحة قویة اقتصر علیه، و ان کان عن مصلحة ضعیفة أضاف إلیه الترخیص فی الترک، و یکون الأول منشأ عقلائیا لاعتبار الوجوب، و الثانی منشأ عقلائیا لاعتبار الندب، فیکونان جهتین اعتباریتین، و المنشأ فی الاعتبار الأول هو مجرد البعث و الطلب، و المنشأ فی الثانی هو ذلک مع الاقتران بالترخیص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هذا الاعتبار العقلائی إلّا نظیر اعتبارهم الملکیة من الحیازة أو اعتبارهم الولایة من نصب من له النصب، لا أنّ الوجوب منطبق علی ذلک الطلب و متحد معه انطباق الکلی الطبیعی علی أفراده و اتحاده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فلیس الوجوب المعتبر فی هذه المرحلة من باب حکم العقل بالاطاعة، بل هو توأم مع الندب منتزع اعتبارا من ذلک البعث المجرد أو من ذلک البعث المقرون بالترخیص، فنراهم ینسبونه إلی الباعث الذی هو السید أو الأب لا إلی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حکم العقل بلزوم الاطاعة أو وجوبها إنّما هو بعد ذلک الانتزاع،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فی التکوینیات یکون ثبوت شی‌ء تارة بنفسه و اخری بغیره، و ما کان بالغیر لا بد و أن ینتهی إلی ما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المرحوم الشیخ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لیس معناه لغة إلّا الثبوت، و منه قولهم الواجب بالذات و الواجب بالغیر، فإنّ معنی کونه واجبا بالذات هو أنّ ثبوته یکون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یظهر أو اللازم من هذه التحاریر هو إنکار الوجوب الشرعی أو الندب الشرعی، إذ لیس لنا ممّا هو المجعول للشارع إلّا الطلب و هو واحد لا یختلف، و انما تختلف مصلحته شدة و ضعفا، فذو المصلحة الشدیدة یحکم العقل بلزوم إطاعته بخلاف ذی المصلحة الضعیفة، و أنّ الطلب بنفسه قاض بحکم العقل بلزوم الاطاعة، إلّا إذا قامت قرینة علی أنه لا تلزم إطاعته، فتکون هذه القرینة کاشفة عن کون مصلحته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التأمل فی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خلاف ما استقر علیه الأصحاب بل الکل، من کون الوجوب و الندب من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حکومة العقل بلزوم الاطاعة لیس المدار فیها علی المصلحة و إنّما المدار علی الطلب، فما لم یکن الترخیص حکما شرعیا لا یسوّغ العقل الترخیص لمجرد ضعف المصلحة مع فرض تحقق الطلب من المولی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وحدة الطلب فیهما و أن الاختلاف فی المصلحة، لم یکن ذلک موجبا لانکار کون الوجوب حکما شرعیا و کذلک الندب، بل یکونان حکمین شرعیین مجعولین بسیطین متباینین، و عنهما ینشأ البعث المجرد فی الأول و المقرون بالترخیص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المجعول أوّلا هو البعث و کانا منتزعین منه، أمکن القول بأنّ البعث فی الأول کاف فی المصلحة، بخلاف الثانی فانّه یحتاج البعث فیه إلی ضم الترخیص کما عرفت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الأمر کما أفاده قدّس سرّه فلا داعی لانکار شرعیة الوجوب، لامکان أن یقال إن الطلب و إن کان بسیطا و کان واحدا لا تعدد فی</w:t>
      </w:r>
    </w:p>
    <w:p>
      <w:pPr>
        <w:pStyle w:val="BookText"/>
        <w:rPr/>
      </w:pPr>
      <w:r>
        <w:rPr>
          <w:rFonts w:ascii="IRNazanin" w:hAnsi="IRNazanin" w:eastAsia="IRNazanin"/>
          <w:color w:val="111111"/>
          <w:sz w:val="28"/>
          <w:sz w:val="28"/>
          <w:szCs w:val="28"/>
          <w:rtl w:val="true"/>
          <w:lang w:bidi="fa-IR"/>
        </w:rPr>
        <w:t>هویته، إلّا أنه من الممکن أن یقال إن الطلب الناشئ عن المصلحة القویة هو الوجوب الشرعی و الناشئ عن المصلحة الضعیفة هو الندب، علی تأمل فی ذلک، إذ مع وحدة الطلب و بساطته لا وجه لکون الأول وجوبا و الثانی ندبا،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ذلک أن الوجوب لغة بمعنی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التأمل فی ثبوت کون الوجوب لغة بمعنی الثبوت </w:t>
      </w:r>
      <w:r>
        <w:rPr>
          <w:rStyle w:val="FootnoteAnchor"/>
          <w:rtl w:val="true"/>
        </w:rPr>
        <w:footnoteReference w:id="709"/>
      </w:r>
      <w:r>
        <w:rPr>
          <w:rFonts w:ascii="IRNazanin" w:hAnsi="IRNazanin" w:eastAsia="IRNazanin"/>
          <w:color w:val="111111"/>
          <w:sz w:val="28"/>
          <w:sz w:val="28"/>
          <w:szCs w:val="28"/>
          <w:rtl w:val="true"/>
          <w:lang w:bidi="fa-IR"/>
        </w:rPr>
        <w:t>، و أیّ داع لهذه الدعوی، أ فلا یکفینا أن نقول إن الوجوب بمعنی اللزوم، أما نفس الفعل المأمور به کالصلاة مثلا فلیس انطباق الوجوب علیها من جهة انطباق الاطاعة علیها، لأنّ ذلک إنما هو فی الوجوب العقلی بمعنی اللزوم العقلی و نحن نتکلم فی الوجوب الشرعی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یظهر من هذه الجمل هو أنّ الوجوب المبحوث عنه هو الوجوب العقلی الذی یکون بمقتضی لزوم الاطاعة، و لازم ذلک أنّ المندوب ما حکم العقل بجوازه بمعنی أنّ ما یدل علیه الدلیل المنفصل هو جواز الترک عقلا مع فرض عدم تفاوت فی الطلبین لا من حیث الشدة و الضعف و لا من حیث الترکب، و أنه لا منشأ لذلک اللزوم العقلی و لا لذلک الجواز العقلی إلّا کون المصلحة فی الأول مصلحة ملزمة و فی الثانی غیر ملزمة، و واضح أنّ ذلک خلاف ما استقرت علیه کلمتهم من کون الوجوب و الاستحباب من الأحکام الشرعیة دون الأحکام العقلیة التی هی عبارة عن وجوب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یمکن القول بأنّ هذا الطلب الشرعی واجب</w:t>
      </w:r>
    </w:p>
    <w:p>
      <w:pPr>
        <w:pStyle w:val="BookText"/>
        <w:rPr/>
      </w:pPr>
      <w:r>
        <w:rPr>
          <w:rFonts w:ascii="IRNazanin" w:hAnsi="IRNazanin" w:eastAsia="IRNazanin"/>
          <w:color w:val="111111"/>
          <w:sz w:val="28"/>
          <w:sz w:val="28"/>
          <w:szCs w:val="28"/>
          <w:rtl w:val="true"/>
          <w:lang w:bidi="fa-IR"/>
        </w:rPr>
        <w:t>الاطاعة عقلا من دون اطلاع العقل علی أنّ ذلک الطلب 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بد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بینهما و ان کان بحسب قوة المصلحة و ضعفها أو بحسب وجود ما یزاحمها، إلا أنّ مصلحة الوجوب یکفی فیه مجرد الطلب بخلاف مصلحة الندب فإنّ جعل الطلب یکون أضیق منها، فلا بد للشارع حینئذ من سلوک طریق متمم الجعل، بأن یجعل الطلب ثم بعد ذلک یرخّص فی ترک ذلک المطلوب ترخیصا شرعیا، فتکون مصلحة الحکم الاستحبابی محتاجة إلی جعلین فی مقام الطلب و إن کان یمکنه استیفاؤها بجعل واحد فی غیر مقام الطلب، نظیر أن یقول هذا مندوب أو مستحب أو مستحسن عندی أو ما أشبه ذلک ممّا یکون ملحقا بجعل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الصیغة الواحدة فی استعمال واحد کیف یمکن أن یستعمل فی مطلق الطلب من دون أن یتفصّل بفصل، أو کیف یمکن أن یوجد طلب فی الخارج غیر محدود بحد الشدة و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الاشکال الأول وارد علی القائلین بالترکیب، و أنّ الوجوب مرکب من طلب الفعل مع المنع من الترک، و الاستحباب مرکب من طلب الفعل و جواز الترک، فإنّه بناء علی ذلک یکون کل من المنع من الترک و جواز الترک فصلا منوّعا لطلب الفعل، و یتکون الوجوب من انضمام المنع من الترک إلی طلب الفعل، کما أن الاستحباب یتکون من انضمام جواز الترک إلی طلب الفعل، و من الواضح أنه لا یمکن أن یکون المنشأ و المجعول فی مثل قوله صلّی اللّه علیه و آله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اغتسل هو مطلق الطلب غیر متفصل بأحد فصلیه، لاستحالة وجود الجنس</w:t>
      </w:r>
    </w:p>
    <w:p>
      <w:pPr>
        <w:pStyle w:val="BookText"/>
        <w:rPr/>
      </w:pPr>
      <w:r>
        <w:rPr>
          <w:rFonts w:ascii="IRNazanin" w:hAnsi="IRNazanin" w:eastAsia="IRNazanin"/>
          <w:color w:val="111111"/>
          <w:sz w:val="28"/>
          <w:sz w:val="28"/>
          <w:szCs w:val="28"/>
          <w:rtl w:val="true"/>
          <w:lang w:bidi="fa-IR"/>
        </w:rPr>
        <w:t>بدون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من قبیل استعمال المفهوم الکلی من الطلب فی القدر الجامع بینهما، بل هو إیجاد خارجی للطلب الخارجی، و یستحیل وجود الجنس خارجا بدون واحد من فصوله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توضیح الاشکال علی القول الثانی، أعنی الاختلاف بینهما فی الشدة و الضعف، لاستحالة وجود الکلی فی الخارج غیر محدود بأحد حدیه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أن یعلم أن القول بترکب الوجوب من طلب الفعل مع المنع من الترک لا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711"/>
      </w:r>
      <w:r>
        <w:rPr>
          <w:rFonts w:ascii="IRNazanin" w:hAnsi="IRNazanin" w:eastAsia="IRNazanin"/>
          <w:color w:val="111111"/>
          <w:sz w:val="28"/>
          <w:sz w:val="28"/>
          <w:szCs w:val="28"/>
          <w:rtl w:val="true"/>
          <w:lang w:bidi="fa-IR"/>
        </w:rPr>
        <w:t>بما سیأتی فی مسألة دلالة الأمر بالشی‌ء علی النهی عن ضده العام بمعنی الترک التزاما أو تضمنا أو مطابقة، بناء علی أن الأمر بالشی‌ء عین النهی عن ضده العام، فإنّ تلک الدلالة علی النهی عن ضده العام علی وتیرة طلب الفعل، إن کانت لزوما فلزوم أو استحبابا فاستحباب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الغرض هناک أن الأمر بالشی‌ء یکون له دلالة علی طلب ترک ترکه علی وتیرة الأمر المتعلق بذلک الفعل من حیث التحتم و عدمه، فیکون الأمر الاستحبابی داخلا فی تلک الدلالة، بخلاف القول بالترکیب هنا فإنّه مبنی علی شی‌ء آخر و هو کون الوجوب مرکبا من جعلین أحدهما طلب الفعل بقول مطلق و الآخر حرمة ترک ذلک الفعل، کما أن الاستحباب یکون مرکبا من أمرین أحدهما ذلک الطلب و الآخر الترخیص فی الترک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إلی المنع من الترک فی تلک المسألة باعتبار کونه من لوازم الطلب المتعلق بالفعل أو أنه عینه أو أنه جزء مدلول الأمر، سواء کان ذلک الطلب وجوبیا أو استحبابیا، و یکون تحتم ذلک المنع من الترک</w:t>
      </w:r>
    </w:p>
    <w:p>
      <w:pPr>
        <w:pStyle w:val="BookText"/>
        <w:rPr/>
      </w:pPr>
      <w:r>
        <w:rPr>
          <w:rFonts w:ascii="IRNazanin" w:hAnsi="IRNazanin" w:eastAsia="IRNazanin"/>
          <w:color w:val="111111"/>
          <w:sz w:val="28"/>
          <w:sz w:val="28"/>
          <w:szCs w:val="28"/>
          <w:rtl w:val="true"/>
          <w:lang w:bidi="fa-IR"/>
        </w:rPr>
        <w:t>و عدم تحتمه تابعا لذلک الطلب المتعلق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إلیه هنا باعتبار کون الوجوب مرکبا من حکمین أحدهما طلب الفعل و الآخر حرمة ترکه، کما أن الاستحباب مرکب أیضا من طلب الفعل و جواز الترک، فلا ربط لاحدی المسألتین بالاخری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الترکیب المذکور لو بنینا علیه لا یکون مصحّحا لدعوی کون الاطلاق و عدم بیان الترخیص فی الترک دلیلا علی إرادة الوجوب، لما عرفت من أنه بناء علیه یکون القدر المشترک هو الطلب، و أنّ تفصّله بأحد الفصلین المتقابلین محتاج إلی بیان، سواء کان ذلک الفصل هو حرمة الترک أو کان هو الترخیص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الأمر کذلک لو قلنا بالفرق بینهما بالشدة و الضعف، فإنّه أیضا لا وجه حینئذ لجعل الاطلاق دلیلا علی المرتبة الشدیدة منه أعنی الوجوب، إذ لیس ذلک إلا نظیر ما نقله فی الکفایة</w:t>
      </w:r>
      <w:r>
        <w:rPr>
          <w:rStyle w:val="FootnoteAnchor"/>
          <w:rtl w:val="true"/>
        </w:rPr>
        <w:footnoteReference w:id="712"/>
      </w:r>
      <w:r>
        <w:rPr>
          <w:rFonts w:ascii="IRNazanin" w:hAnsi="IRNazanin" w:eastAsia="IRNazanin"/>
          <w:color w:val="111111"/>
          <w:sz w:val="28"/>
          <w:sz w:val="28"/>
          <w:szCs w:val="28"/>
          <w:rtl w:val="true"/>
          <w:lang w:bidi="fa-IR"/>
        </w:rPr>
        <w:t>من دعوی ظهور الصیغة فی الوجوب لکونه أکمل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الأمر کذلک بناء علی ما أفاده شیخنا قدّس سرّه </w:t>
      </w:r>
      <w:r>
        <w:rPr>
          <w:rStyle w:val="FootnoteAnchor"/>
          <w:rtl w:val="true"/>
        </w:rPr>
        <w:footnoteReference w:id="713"/>
      </w:r>
      <w:r>
        <w:rPr>
          <w:rFonts w:ascii="IRNazanin" w:hAnsi="IRNazanin" w:eastAsia="IRNazanin"/>
          <w:color w:val="111111"/>
          <w:sz w:val="28"/>
          <w:sz w:val="28"/>
          <w:szCs w:val="28"/>
          <w:rtl w:val="true"/>
          <w:lang w:bidi="fa-IR"/>
        </w:rPr>
        <w:t>من الفرق بینهما بحسب کون المصلحة ملزمة أو غیر ملزمة، فانه بناء علی ذلک لا وجه لحمل إطلاق الطلب علی ما یکون ناشئا عن المصلحة الملزمة بعد فرض کون الطلب فی حد نفسه واحدا، و أن المصلحة علی قسمین لازمة الاستیفاء و غیر لازمة، و أنّ الدلیل الدال علی جواز الترک لا یکون إلا من مجرد بیان أنّ هذه المصلحة غیر 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افید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ذلک فاعلم أن الصیغة متی صدرت من المولی فالعقل یحکم بلزوم امتثاله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14"/>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یتّضح وجهه بعد فرض ذلک التقسیم للمصلحة، و أن التی یلزم بها العقل هی المصلحة الملزمة دون غیرها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العقلی بعد فرض ذلک التقسیم للمصلحة إن کان من باب الموضوعیة فلا وجه له، و إن کان من باب الاحتیاط لاحتمال کون المصلحة ملزمة فلم یتضح الوجه فی لزوم هذا الاحتیاط، و أیضا یبقی السؤال فی ذلک الدلیل الدال علی جواز الترک، إن کان من قبیل الاخبار بکون تلک المصلحة غیر لازمة الاستیفاء، فلا یکون تصرفا شرعیا، فهو خلاف ما هو المعروف من کون الاستحباب أحد الاحکام الشرعیة، و إن کان حکما شرعیا لزم کون الاستحباب مرکبا کما شرحناه</w:t>
      </w:r>
      <w:r>
        <w:rPr>
          <w:rFonts w:eastAsia="IRNazanin" w:cs="IRNazanin"/>
          <w:color w:val="111111"/>
          <w:sz w:val="28"/>
          <w:szCs w:val="28"/>
          <w:rtl w:val="true"/>
          <w:lang w:bidi="fa-IR"/>
        </w:rPr>
        <w:t>.</w:t>
      </w:r>
      <w:bookmarkStart w:id="534" w:name="pg19834_212433"/>
    </w:p>
    <w:p>
      <w:pPr>
        <w:pStyle w:val="Heading3"/>
        <w:numPr>
          <w:ilvl w:val="2"/>
          <w:numId w:val="1"/>
        </w:numPr>
        <w:rPr/>
      </w:pPr>
      <w:bookmarkStart w:id="535" w:name="__RefHeading___Toc3493809_2314609296"/>
      <w:bookmarkStart w:id="536" w:name="_Toc197"/>
      <w:bookmarkEnd w:id="534"/>
      <w:bookmarkEnd w:id="535"/>
      <w:r>
        <w:rPr>
          <w:rtl w:val="true"/>
        </w:rPr>
        <w:t>[</w:t>
      </w:r>
      <w:r>
        <w:rPr>
          <w:rtl w:val="true"/>
        </w:rPr>
        <w:t>أقسام الواجب</w:t>
      </w:r>
      <w:bookmarkEnd w:id="536"/>
    </w:p>
    <w:p>
      <w:pPr>
        <w:pStyle w:val="Heading4"/>
        <w:numPr>
          <w:ilvl w:val="3"/>
          <w:numId w:val="1"/>
        </w:numPr>
        <w:rPr/>
      </w:pPr>
      <w:bookmarkStart w:id="537" w:name="__RefHeading___Toc3493811_2314609296"/>
      <w:bookmarkStart w:id="538" w:name="_Toc198"/>
      <w:bookmarkEnd w:id="537"/>
      <w:r>
        <w:rPr>
          <w:rtl w:val="true"/>
        </w:rPr>
        <w:t>[</w:t>
      </w:r>
      <w:r>
        <w:rPr>
          <w:rtl w:val="true"/>
        </w:rPr>
        <w:t>التعبدی و التوصلی</w:t>
      </w:r>
      <w:bookmarkEnd w:id="538"/>
    </w:p>
    <w:p>
      <w:pPr>
        <w:pStyle w:val="Heading5"/>
        <w:numPr>
          <w:ilvl w:val="4"/>
          <w:numId w:val="1"/>
        </w:numPr>
        <w:rPr/>
      </w:pPr>
      <w:bookmarkStart w:id="539" w:name="__RefHeading___Toc3493813_2314609296"/>
      <w:bookmarkStart w:id="540" w:name="_Toc199"/>
      <w:bookmarkEnd w:id="539"/>
      <w:r>
        <w:rPr>
          <w:rtl w:val="true"/>
        </w:rPr>
        <w:t>[</w:t>
      </w:r>
      <w:r>
        <w:rPr>
          <w:rtl w:val="true"/>
        </w:rPr>
        <w:t>الکلام فی التوصلی بمعنی ما یسقط و لو بفعل الغیر</w:t>
      </w:r>
      <w:r>
        <w:rPr>
          <w:rtl w:val="true"/>
        </w:rPr>
        <w:t>]</w:t>
      </w:r>
      <w:bookmarkEnd w:id="54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یطلق التوصلی علی معنی یعم بعض التعبدیات أیضا و هو ما یسقط أمره بمطلق وجوده فی الخارج و لو کان بفعل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السقوط بفعل الغیر تارة لا یکون متوقفا علی قصد النیابة کما فی غسل الثوب و تطهیره، و اخری یکون متوقفا علی قصد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النیابة فی هذا تارة تکون تبرعیة و اخری تکون بالاجارة و الاستیناب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یکون بالاستیناب لو کان نفس الاستیناب فیه کافیا فی السقوط عن المکلف نظیر الضامن الذی یضمن ما فی ذمة الشخص فی کونه موجبا لانتقال المضمون إلی ذمة الضامن و براءة ذمة المضمون عنه، فالظاهر لامثال له فی الواجبات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لو فرض وقوع الشک فی أنّ هذا الفعل الواجب هل أنه واجب بنفسه أو أن المکلف مخیر شرعا بین نفس الفعل و الاستنابة فیه، کانت المسألة من دوران الأمر بین التعیین و التخییر الشرعی، و الوظیفة من حیث الأصل اللفظی أو العملی فی ذلک معلومة واضحة کما حرر فی محله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فرض الکلام فیما نحن فیه إنما هو فی القسم الثانی و هو ما لا یکفی فیه الاستنابة بل لا بد من وقوع الفعل من النائب، فقد یتخیل أنه من قبیل الدوران بین تعیّن الفعل و بین التخییر بین الفعل نفسه و التسبیب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المسألة أجنبیة عن باب التسبیب، لما أفاده شیخنا قدّس سرّه </w:t>
      </w:r>
      <w:r>
        <w:rPr>
          <w:rStyle w:val="FootnoteAnchor"/>
          <w:rtl w:val="true"/>
        </w:rPr>
        <w:footnoteReference w:id="716"/>
      </w:r>
      <w:r>
        <w:rPr>
          <w:rFonts w:ascii="IRNazanin" w:hAnsi="IRNazanin" w:eastAsia="IRNazanin"/>
          <w:color w:val="111111"/>
          <w:sz w:val="28"/>
          <w:sz w:val="28"/>
          <w:szCs w:val="28"/>
          <w:rtl w:val="true"/>
          <w:lang w:bidi="fa-IR"/>
        </w:rPr>
        <w:t>من أنّ التسبیب إنّما یکون فیما لو کانت إرادة الفاعل مندکة أو کانت معدومة کما فی البهائم و الأطفال، بل لعل الآمر أیضا مسبّب کما فی أمر الآمر البنّاء ببناء المسجد، فإنّ ذلک الآمر هو الداخل فی عمارة المسجد دون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من باب النیابة فی شی‌ء، کما أن باب النیابة لیس من باب التسبیب بل هو باب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إنه من باب التنزیل، و أن النائب ینزّل نفسه منزلة المنوب عنه، فیکون المنوب عنه مخیرا بین أن یفعل الفعل ببدنه الحقیقی أو ببدنه التنزیلی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من أن باب النیابة لیس من باب التنزیل کما حققناه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التنزیل لم یکن احتماله من قبیل الدوران بین التعیین و التخییر، لأن تنزیل النائب نفسه منزلة المنوب عنه لیس بفعل من أفعال المنوب عنه کی یدخله التخییر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أنه فعله ببدنه التنزیلی لا یخفی ما فیها، لأن ذلک لا یدخله فی اختیاره علی وجه یکون عدلا فی الوجوب التخییری لفعله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أنّ التنزیل غیر نافع فی امتثال الأمر المتوجه إلی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دل الدلیل علی صحة هذا التنزیل کان مقتضاه هو قصد النائب امتثال الأمر لنفسه بعد التنزیل، و لا وجه لقوله فی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أفعله عن زید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غایة ما یمکن تصوره هو کون التنزیل موجبا لکون فعل النائب</w:t>
      </w:r>
    </w:p>
    <w:p>
      <w:pPr>
        <w:pStyle w:val="BookText"/>
        <w:rPr/>
      </w:pPr>
      <w:r>
        <w:rPr>
          <w:rFonts w:ascii="IRNazanin" w:hAnsi="IRNazanin" w:eastAsia="IRNazanin"/>
          <w:color w:val="111111"/>
          <w:sz w:val="28"/>
          <w:sz w:val="28"/>
          <w:szCs w:val="28"/>
          <w:rtl w:val="true"/>
          <w:lang w:bidi="fa-IR"/>
        </w:rPr>
        <w:t>فعلا للمنوب عنه و لذلک یکون رافعا للموضوع فی تکلیف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الاشکال فی قصد القربة، إذ لم تقع لا من النائب و لا من المنوب عنه، إلّا أن نقول إنها من النائب بمنزلتها من المنوب عنه،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کون الاستنابة طرفا للتخییر فقد أشکل علیه شیخنا قدّس سرّه </w:t>
      </w:r>
      <w:r>
        <w:rPr>
          <w:rStyle w:val="FootnoteAnchor"/>
          <w:rtl w:val="true"/>
        </w:rPr>
        <w:footnoteReference w:id="717"/>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الاستنابة لا یفرغ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التبرع بالنیابة فی الفعل فتفرغ الذمة و لا 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لکون فعل الغیر من أطراف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قدّس سرّه یقول لا بد فی التفریغ من فعل الغیر و لا معنی لکون فعل الغیر طرفا فی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ملخص مختاره کما فی هذا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النیابة هی تنزیل عمل الغیر منزلة عمل المنوب عنه و کون الفعل فعله، فیکون الواجب علی المنوب عنه ذا جهات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جهة المادة مع قطع النظر عن جهة الاصدار تعیینیا، بمعنی أنّ الآمر یرید أصل وجود المادة فی الخارج و لا تسقط بالاستنابة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فی جهة الاصدار بین إصدارها بالمباشرة و إصدارها بالاستنابة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وجوبها مشروطا بعدم فعل الغیر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الجهة إنما تنفع فیما لو کانت نیابة بلا استنابة أو صدر الفعل من الغیر بلا نیابة، فکان مفرّغا لذمة من 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فالنحو الثانی من الواجبات المذکورة فی الجهة الثانیة یکون من جهة الاصدار تخییریا و إن کان من جهة المادة تعیینیا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توجه الخطاب إلی المکلف یرفع الشک</w:t>
      </w:r>
    </w:p>
    <w:p>
      <w:pPr>
        <w:pStyle w:val="BookText"/>
        <w:rPr/>
      </w:pP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الظهور أقوی من ظهور الصیغة فی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نظره أنه لو ثبت التخییر من جهة الاصدار یسقط ظهور المادة من جهة التعیین، و إلّا فانّهما متوافقان لکون النتیجة فی کل منهما هی تعیّن المادة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السقوط بفعل الغیر من دون الاستنابة و هو المشار إلیه فی الجهة الثالثة، فینفیه إطلاق الصیغة أیضا، فإن مرجع ذلک إلی کون فعل الغیر رافعا للموضوع أو لملاکه، فیکون التکلیف مشروطا بعدم فعل الغیر، و إطلاق الخطاب ینفی الاشتراط، و الخطاب و إن کان غیر متعرض للموضوع إلّا أن الموضوع راجع إلی الشرط، و إذا ثبت الاطلاق ثبت بقاء الموضوع و أنه لا یرتفع بفعل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رافع الموضوع إنّما هو مثل إسقاط فعل الأجنبی ما علی المیت وجوب القضاء عن ولیه، فان الواجب علی الولی هو قضاء ما فی ذمة أبیه، فإذا فرغت ذمة أبیه بفعل الغیر ارتفع موضوع الوجوب علی الولی، هذا حاصل أو تلخیص ما أفاده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رافع الموضوع لا ینبغی التکلم فیه، إذ لا ریب فی ارتفاع التکلیف عند حدوثه، فلا إشکال فی سقوط تکلیف الولی عند حصول فراغ ذمة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کیف یکون عمل النائب مفرّغا لذمة الوالد و هذا یدخل فی الجهة الثانیة، و حیث إن المفروض کونه من قبیل النیابة بلا استنابة من المکلف فیدخل فی رافع الملاک، هذا فیما علم الموضوع و علم أن الفعل من الغیر رافع</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شک فی کونه رافعا له فمرجعه إلی الشک فی الموضوع، بمعنی أن الولی یشک فی أن تکلیفه هو النیابة و إن لم یکن تفریغا لذمة</w:t>
      </w:r>
    </w:p>
    <w:p>
      <w:pPr>
        <w:pStyle w:val="BookText"/>
        <w:rPr/>
      </w:pPr>
      <w:r>
        <w:rPr>
          <w:rFonts w:ascii="IRNazanin" w:hAnsi="IRNazanin" w:eastAsia="IRNazanin"/>
          <w:color w:val="111111"/>
          <w:sz w:val="28"/>
          <w:sz w:val="28"/>
          <w:szCs w:val="28"/>
          <w:rtl w:val="true"/>
          <w:lang w:bidi="fa-IR"/>
        </w:rPr>
        <w:t>المیت، کما لو شک الشخص فی أنه مکلف باسالة الماء علی ثوبه و إن لم یکن تطهیرا له من النجاسة، فلا ینفع فیه ما لو أزال عنه النجاسة غیره، کان المتبع هو کیفیة توجه التکلیف إلیه لا إطلاقه من حیث اشتراط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إن رافعیة الموضوع لا تتأتی فی النیابة بل هی لو صحت تکون محققة لامتثال المنوب عنه، فلا تکون من قبیل رافع الموضوع و لا من قبیل رافع الملاک بل لا یکون إلّا من قبیل استیفاء الملاک،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شیخنا قدّس سرّه </w:t>
      </w:r>
      <w:r>
        <w:rPr>
          <w:rStyle w:val="FootnoteAnchor"/>
          <w:rtl w:val="true"/>
        </w:rPr>
        <w:footnoteReference w:id="718"/>
      </w:r>
      <w:r>
        <w:rPr>
          <w:rFonts w:ascii="IRNazanin" w:hAnsi="IRNazanin" w:eastAsia="IRNazanin"/>
          <w:color w:val="111111"/>
          <w:sz w:val="28"/>
          <w:sz w:val="28"/>
          <w:szCs w:val="28"/>
          <w:rtl w:val="true"/>
          <w:lang w:bidi="fa-IR"/>
        </w:rPr>
        <w:t>أفاد فی توجیه الشک فی بقاء الموضوع عند فعل الغیر من ناحیة اخری غیر راجعة إلی الشک فی الموضوع، و تلک الجهة هی الشک فی اعتبار المباشرة فی مثل قوله أزل النجاسة عن ثوبک، فان الشک فی اعتبار مباشرة صاحب الثوب علی وجه أن النجاسة لا تزول إلا بمباشرة المکلف بازالتها عن ثوبه، یوجب الشک فی بقاء النجاسة عند غسل الغیر للثوب، سواء کان غسله بعنوان النیابة أو لا بعنوان النیابة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ما أفاده قدّس سرّه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کلّف بازالة النجاسة عن ثوبه لا ریب فی أن نجاسة ثوبه هی موضوع لذلک التکلیف، فإن کانت المباشرة قیدا فی ذلک الفعل کان محصّله أن تلک النجاسة لا تزول إلّا بفعله و لا یزیلها فعل الغیر، و أنّ ذلک الثوب لو غسله غیره ألف مرة فنجاسته تبقی بحالها و لا تزول إلّا بأن یکون هو المباشر لغسلها دون غیره لیکون قوله أزل النجاسة عن ثوبک أو بدنک نظیر قوله أزل الحدث عن نفسک فی باب الوضوء المستفاد من قوله تعالی إذا قمتم إلی الصلاة فاغسلوا وجوهکم و أیدیکم </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بخلاف ما لو لم تکن المباشرة قیدا فی ذلک</w:t>
      </w:r>
    </w:p>
    <w:p>
      <w:pPr>
        <w:pStyle w:val="BookText"/>
        <w:rPr/>
      </w:pPr>
      <w:r>
        <w:rPr>
          <w:rFonts w:ascii="IRNazanin" w:hAnsi="IRNazanin" w:eastAsia="IRNazanin"/>
          <w:color w:val="111111"/>
          <w:sz w:val="28"/>
          <w:sz w:val="28"/>
          <w:szCs w:val="28"/>
          <w:rtl w:val="true"/>
          <w:lang w:bidi="fa-IR"/>
        </w:rPr>
        <w:t>الفعل الواجب، فإنّ لازم عدم التقیید بالمباشرة هو ارتفاع النجاسة لو غسله الغیر، و حینئذ تکون النتیجة هی أنه علی الأول أعنی التقیید بالمباشرة یکون الوجوب علی صاحب الثوب مطلقا غیر مشروط بعدم فعل الغیر، بل یکون صاحب الثوب مأمورا بغسله سواء غسله الغیر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علی الثانی أعنی عدم التقیید بالمباشرة فإنّه بناء علیه یکون ذلک الوجوب المتوجه إلی صاحب الثوب مشروطا بعدم قیام الغیر بغسله، و حینئذ یکون لازم إطلاق الوجوب و أنّه غیر مشروط بعدم غسل الغیر هو بقاء النجاسة بحالها عند قیام الغیر بغسله، فیکون لازم إطلاق الوجوب هو بقاء الموضوع، لا أنّ نفس إطلاق الوجوب یکون مثبتا للموضوع ابتداء کی یشکل علیه بأنّ إطلاق الوجوب لا یمکن أن یکون مثبتا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ذلک الوجوب المتوجه إلی الولی المتعلق بتفریغ ذمة والده، فإنّ موضوعه و إن کان هو انشغال ذمة الوالد، إلّا أنا حیث نحتمل قید المباشرة فی حصول فراغ ذمة الوالد، یکون ذلک موجبا للشک فی حصول فراغها بفعل الغیر، و حینئذ نقول إنّه لو کانت المباشرة قیدا کان الوجوب المتوجه إلی الولی مطلقا سواء قام به الغیر أو لم یقم، بخلاف ما لو لم تکن المباشرة قیدا فان الوجوب المتوجه إلی الولی یکون مشروطا بعدم قیام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الاول یکون انشغال ذمة الوالد الذی هو موضوع التکلیف باقیا بحاله بعد قیام الغیر بذلک الفعل، بخلافه علی الثانی فإنّه بناء علیه یکون قیام الغیر به موجبا لفراغ ذمة الوالد و ارتفاع موضوع التکلیف المتوجه إلی الولی، فاطلاق الوجوب یلزمه بقاء الموضوع، فنتمسک بهذا الاطلاق علی أنّ فعل الغیر لا یکون رافعا للموضوع</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اعتبار المباشرة فی إزالة النجاسة عن الثوب</w:t>
      </w:r>
    </w:p>
    <w:p>
      <w:pPr>
        <w:pStyle w:val="BookText"/>
        <w:rPr/>
      </w:pPr>
      <w:r>
        <w:rPr>
          <w:rFonts w:ascii="IRNazanin" w:hAnsi="IRNazanin" w:eastAsia="IRNazanin"/>
          <w:color w:val="111111"/>
          <w:sz w:val="28"/>
          <w:sz w:val="28"/>
          <w:szCs w:val="28"/>
          <w:rtl w:val="true"/>
          <w:lang w:bidi="fa-IR"/>
        </w:rPr>
        <w:t>مثلا یلزمه الشک فی بقاء النجاسة بعد فعل الغیر، کما أنه یلزمه الشک فی بقاء الوجوب بعد فعل الغیر، و هذا الشک أعنی الشک فی بقاء الوجوب بعد فعل الغیر ملازم للشک فی إطلاق الوجوب و شموله لحالة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الاطلاق اللفظی الجاری فی هذا الشک الأخیر یزیل تلک الشکوک کلها، و بمقتضی ذلک الاطلاق یحکم باعتبار المباشرة و بقاء النجاسة بحالها و بقاء الوجوب بحاله أیضا بعد فعل الغیر، و النتیجة أنه لا أثر لفعل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الطریقة تتأتی فی فعل الغیر سواء کان بعنوان النیابة أو لم یکن بعنوان النیابة عن ذلک الذی توجه إلیه التکلیف أعنی الولی مثلا، بل إنها جاریة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Style w:val="FootnoteAnchor"/>
          <w:rtl w:val="true"/>
        </w:rPr>
        <w:footnoteReference w:id="720"/>
      </w:r>
      <w:r>
        <w:rPr>
          <w:rFonts w:ascii="IRNazanin" w:hAnsi="IRNazanin" w:eastAsia="IRNazanin"/>
          <w:color w:val="111111"/>
          <w:sz w:val="28"/>
          <w:sz w:val="28"/>
          <w:szCs w:val="28"/>
          <w:rtl w:val="true"/>
          <w:lang w:bidi="fa-IR"/>
        </w:rPr>
        <w:t>الشک فی رافعیة فعل الغیر للملاک، بناء علی أنّ بقاء التکلیف منوط ببقاء ملاکه کاناطته ببقاء موضوعه، فإنّ عین العملیة فی تلک الشکوک الجاریة فی صورة احتمال کون فعل الغیر رافعا للموضوع جاریة فی احتمال کونه رافعا للملاک، بل هی جاریة حتی فی النیابة الناشئة عن الاستنابة لو لم تکن الاستنابة نافعة فی إدخاله تحت الوجوب التخییری بناء علی ما سیأتی ذکره من الاشکال علیه بکون المتقرب حینئذ هو المنوب عنه، أو الاشکال علیه بأنه راجع إلی التسبیب إلی جهة الاصدار، أو الاشکال علیه بأنّ إدخال فعل الغیر و لو بطریق الاستنابة فی الاصدار یوجب عدم تأتّی الوجوب التخییری فیه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 و هو إرجاع الاستنابة إلی جهة الاصدار و جعل التخییر فی ناحیة الاصدار بین کون إصداره بنفسه أو بنائبه، ففیه إشکال أنّ النائب کیف یتقرب بالأمر المتوجه إلی المنوب عنه، فإنّ لازم هذا التقریب هو أنّ</w:t>
      </w:r>
    </w:p>
    <w:p>
      <w:pPr>
        <w:pStyle w:val="BookText"/>
        <w:rPr/>
      </w:pPr>
      <w:r>
        <w:rPr>
          <w:rFonts w:ascii="IRNazanin" w:hAnsi="IRNazanin" w:eastAsia="IRNazanin"/>
          <w:color w:val="111111"/>
          <w:sz w:val="28"/>
          <w:sz w:val="28"/>
          <w:szCs w:val="28"/>
          <w:rtl w:val="true"/>
          <w:lang w:bidi="fa-IR"/>
        </w:rPr>
        <w:t>الاصدار یکون منسوبا إلی المنوب عنه، فهل یکون المتقرب هو المنوب عنه بهذا الاصدار الذی انتسب إلیه بواسطة الاستنابة، و لا یکون النائب متقربا و إنّما یأتی بذات العمل مجردا عن قصد القربة، هذا مضافا إلی أنه لا یسلم من الاشکال علی طریقة التسبیب، و کذلک لا یسلم من الاشکال بادخال فعل الغیر فی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شرط الوجوب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حدوثه موجبا لحدوث الوجوب و لبقائه،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الماء لو لاقی النجاسة فاجتنبه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حدوثه موجبا للحدوث، و بقاء الوجوب الحادث منوط ببقائه، لیکون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إذا بلغ کرا لم ینجّسه شی‌ء، فإنّ بقاء الاعتصام و عدم التنجیس یکون منوطا ببقاء الکریة، و الاطلاق یکون نافیا لکل من الشرطین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یکون إطلاق الوجوب فی مثل اغسل ثوبک بالنسبة إلی غسل الغیر له نافیا لاشتراط وجوب الغسل بعدم غسل الغیر، و إن کان هذا العدم المحتمل الشرطیة لو کان شرطا تکون شرطیته من قبیل النحو الثانی لا النحو الأول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ذلک إنما هو فیما لو لم یکن ذلک المأخوذ عدمه شرطا بالنسبة إلی الوجوب من قبیل المسقط، بل کان من مجرد کون عدمه شرطا فی الوجوب، لأن عدمه دخیل فی الملاک حدوثا و بقاء، أما إذا لم یکن الملاک متوقفا علی العدم بل کان نقیضه الذی هو الوجود رافعا للملاک، فلا یکون العدم من مقولة الشرط فی ذلک التکلیف، بل یکون الوجود من قبیل رافع التکلیف، فلا یکون إلّا من قبیل المسقط للتکلیف کما فیما نحن فیه، فإنّ فعل الغیر علی تقدیر کونه مؤثرا فانّما یؤثر من جهة کونه مسقطا</w:t>
      </w:r>
    </w:p>
    <w:p>
      <w:pPr>
        <w:pStyle w:val="BookText"/>
        <w:rPr/>
      </w:pPr>
      <w:r>
        <w:rPr>
          <w:rFonts w:ascii="IRNazanin" w:hAnsi="IRNazanin" w:eastAsia="IRNazanin"/>
          <w:color w:val="111111"/>
          <w:sz w:val="28"/>
          <w:sz w:val="28"/>
          <w:szCs w:val="28"/>
          <w:rtl w:val="true"/>
          <w:lang w:bidi="fa-IR"/>
        </w:rPr>
        <w:t xml:space="preserve">للتکلیف لا من جهة أنّ عدمه له المدخلیة فی الملاک، و قد حقق فی محلّه </w:t>
      </w:r>
      <w:r>
        <w:rPr>
          <w:rStyle w:val="FootnoteAnchor"/>
          <w:rtl w:val="true"/>
        </w:rPr>
        <w:footnoteReference w:id="721"/>
      </w:r>
      <w:r>
        <w:rPr>
          <w:rFonts w:ascii="IRNazanin" w:hAnsi="IRNazanin" w:eastAsia="IRNazanin"/>
          <w:color w:val="111111"/>
          <w:sz w:val="28"/>
          <w:sz w:val="28"/>
          <w:szCs w:val="28"/>
          <w:rtl w:val="true"/>
          <w:lang w:bidi="fa-IR"/>
        </w:rPr>
        <w:t>أن ما هو من قبیل المسقط لا یعقل أخذ عدمه شرطا شرعیا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إنه یرفع التکلیف قهرا لکونه مسقطا له نظیر فعل المکلف نفسه و قد حقق فی محله </w:t>
      </w:r>
      <w:r>
        <w:rPr>
          <w:rStyle w:val="FootnoteAnchor"/>
          <w:rtl w:val="true"/>
        </w:rPr>
        <w:footnoteReference w:id="722"/>
      </w:r>
      <w:r>
        <w:rPr>
          <w:rFonts w:ascii="IRNazanin" w:hAnsi="IRNazanin" w:eastAsia="IRNazanin"/>
          <w:color w:val="111111"/>
          <w:sz w:val="28"/>
          <w:sz w:val="28"/>
          <w:szCs w:val="28"/>
          <w:rtl w:val="true"/>
          <w:lang w:bidi="fa-IR"/>
        </w:rPr>
        <w:t>عدم معقولیة إطلاق التکلیف بالنسبة إلی ما یسقطه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الایرادات إنّما نشأت من سلوک هذا الطریق الصعب أعنی التمسّک باطلاق الوجوب و عدم اشتراطه بعدم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أنا لو أمکننا القول بأنه لو کانت المباشرة معتبرة کان مقتضاه هو تحقق الوجوب سواء قام به الغیر أو لم یقم، و لو کانت المباشرة غیر معتبرة لکان مقتضاه عدم تحقق الوجوب أو عدم بقائه عند قیام الغیر به، و بعبارة اخری کان مقتضاه انحصار بقاء الوجوب بما إذا لم یقم به الغیر، و بعد تمامیة هذه الجهات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إطلاق الوجوب و شموله لما إذا قام به الغیر هو کون المباشرة معتبرة، فلم لا تجری عین هذه العملیة فیما لو شککنا فی اعتبار التعمّم فی الصلاة بأن نقول لو کان التعمم معتبرا فی الصلاة لکان مقتضاه هو تحقق وجوبها و بقاءه، سواء جاء بالصلاة فاقدة للتعمم أو أنه لم یأت بالصلاة المذکورة أعنی الفاقدة للتعمم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التعمم غیر معتبر فیها لکان مقتضاه عدم تحقق الوجوب أو عدم بقائه عند الاتیان بالصلاة فاقدة للتعمم، لیکون مقتضی ذلک هو انحصار بقاء الوجوب بما إذا لم یأت بالصلاة الفاقدة للتعمم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تمامیة هذه الجهات یکون الحاصل هو أنّ مقتضی إطلاق</w:t>
      </w:r>
    </w:p>
    <w:p>
      <w:pPr>
        <w:pStyle w:val="BookText"/>
        <w:rPr/>
      </w:pPr>
      <w:r>
        <w:rPr>
          <w:rFonts w:ascii="IRNazanin" w:hAnsi="IRNazanin" w:eastAsia="IRNazanin"/>
          <w:color w:val="111111"/>
          <w:sz w:val="28"/>
          <w:sz w:val="28"/>
          <w:szCs w:val="28"/>
          <w:rtl w:val="true"/>
          <w:lang w:bidi="fa-IR"/>
        </w:rPr>
        <w:t>الوجوب و شموله لما إذا أتی بها فاقدة للتعمم أو لم یأت بالفاقدة لتکون النتیجة هی عدم سقوط الوجوب عند ما یاتی بها فاقدة للتعمم، و یکون خلاصة ذلک هو اعتبار التعمم فی الصلاة، و حیث إنّه لم یتفوه أحد بذلک کشف عن أنه لا مجال لاطلاق الوجوب فی هذه المقامات الراجعة إلی مرحلة المسقط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طریقة اخری هی أسهل من هذه الطریقة، فإنّ الحجر الأساسی إنّما هو هل یعتبر المباشرة أو یکفی فعل الغیر، سواء کان بالنیابة و الاستنابة، أو کان بالنیابة التبرعیة مجردا عن الاستنابة، أو کان من مجرد فعل الغیر و ان لم یکن فی البین استنابة و لا 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یکفینا فی اعتبار المباشرة إطلاق نسبة الفعل إلی المکلف بمثل قوله اغسل ثوبک، فإن مقتضی الاطلاق هو المباشرة و أن یکون المکلف هو الفاعل للغسل، و أنّ توسعة الأمر إلی الاکتفاء بفعل الغیر یحتاج إلی مئونة زائدة علی نفس ما یقتضیه قوله اغسل ثوبک من انتساب الغسل إلی المخاطب من دون فرق فی ذلک بین کون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رافعا للموضوع أو رافعا للملاک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هذه الطریقة یکون مقتضی الأصل اللفظی هو اعتبار قید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المسألة إحدی ما یقال إنّه ربما کان الاطلاق مثبتا للتقیید و نافیا للاطلاق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ناحیة الأصل العملی فبناء علی هذه الطریقة تکون المسألة من باب الشک فی الأقل و الأکثر مع کونه من قبیل الشک فی الشرطیة، لأنّ أصل العمل مطلوب و کونه مقیدا بقید المباشرة مشکوک، فیکون حاله حال التعمم فی الصلاة لو شک فی کونه قیدا، و جریان البراءة</w:t>
      </w:r>
    </w:p>
    <w:p>
      <w:pPr>
        <w:pStyle w:val="BookText"/>
        <w:rPr/>
      </w:pPr>
      <w:r>
        <w:rPr>
          <w:rFonts w:ascii="IRNazanin" w:hAnsi="IRNazanin" w:eastAsia="IRNazanin"/>
          <w:color w:val="111111"/>
          <w:sz w:val="28"/>
          <w:sz w:val="28"/>
          <w:szCs w:val="28"/>
          <w:rtl w:val="true"/>
          <w:lang w:bidi="fa-IR"/>
        </w:rPr>
        <w:t>فیه واضح علی ما حقق فی محله خصوصا فیما لو کان الواجب توصلیا لا یعتبر فیه قصد القربة و الامتثال، من دون فرق فی ذلک بین مصادفة الخطاب لفعل الغیر أو کونه أعنی الخطاب متأخرا عنه أو کونه متقدما علیه، و لا مورد فیه للاستصحاب أصلا و لا للتمسک بقاعدة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الغالب فی التکالیف تحقق الأصل اللفظی فیها القاضی باعتبار المباشرة فلا تصل النوبة فیها إلی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الأصل اللفظی القاضی باعتبار المباشرة یکون مزیلا لبقیة الشکوک التی قررناها فی تقریب ما أفاده شیخنا قدّس سرّه فإنّه یزیل الشک فی بقاء الموضوع و بقاء التکلیف، و کذلک الشک فی إطلاق نفس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عدم إجراء الأصل اللفظی فی المقام کیف قلتم إنّ المرجع هو البراءة مع أنّ إطلاق الوجوب قاض بتحققه عند فعل الغیر الملازم لاعتبار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اغضی النظر عن ذلک فلا أقل من استصحاب الوجوب فیما لو فعله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إطلاق الوجوب لفظیا،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هو وصول النوبة إلی الاصول العملیة و عدم الاصول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فعل الغیر من قبیل المسقط فلا یکون الاطلاق جاریا فیه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استصحاب الوجوب بعد فعل الغیر،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کاستصحاب الوجوب فیما لو صلّی بلا تحنک فی ظرف الشک فی اعتباره فی الصلاة و إجراء أصالة البراءة، و قد حقق فی محله </w:t>
      </w:r>
      <w:r>
        <w:rPr>
          <w:rStyle w:val="FootnoteAnchor"/>
          <w:rtl w:val="true"/>
        </w:rPr>
        <w:footnoteReference w:id="724"/>
      </w:r>
      <w:r>
        <w:rPr>
          <w:rFonts w:ascii="IRNazanin" w:hAnsi="IRNazanin" w:eastAsia="IRNazanin"/>
          <w:color w:val="111111"/>
          <w:sz w:val="28"/>
          <w:sz w:val="28"/>
          <w:szCs w:val="28"/>
          <w:rtl w:val="true"/>
          <w:lang w:bidi="fa-IR"/>
        </w:rPr>
        <w:t>المنع من هذا الاستصحاب لکونه من قبیل الاعتماد علی استصحاب الوجوب فی مقام أصالة الاشتغال،</w:t>
      </w:r>
      <w:bookmarkStart w:id="541" w:name="pg19834_212444"/>
    </w:p>
    <w:p>
      <w:pPr>
        <w:pStyle w:val="BookText"/>
        <w:rPr/>
      </w:pPr>
      <w:bookmarkEnd w:id="541"/>
      <w:r>
        <w:rPr>
          <w:rFonts w:ascii="IRNazanin" w:hAnsi="IRNazanin" w:eastAsia="IRNazanin"/>
          <w:color w:val="111111"/>
          <w:sz w:val="28"/>
          <w:sz w:val="28"/>
          <w:szCs w:val="28"/>
          <w:rtl w:val="true"/>
          <w:lang w:bidi="fa-IR"/>
        </w:rPr>
        <w:t>یعنی أنّه حینئذ لاحراز ما هو محرز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الحاصل فیما نحن فیه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اللفظی هو اعتبار المباشرة بخلاف مقتضی الأصل العملی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الأصل اللفظی إنّما نشأ من إطلاق النسبة البعثیة و إن کان إطلاق نفس المادة قاضیا بالشمول لعدم المباشرة، إلّا أنّ قضیة وقوع المادة فی حیّز النسبة الطلبیة 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إطلاق الوجوب فهو لو تمّ و سلم عن إشکال عدم جریانه فی المقام لکونه من قبیل مقام الاسقاط، یکون فی النتیجة موافقا لما ذکرناه من الأصل اللفظی القاضی باعتبار المباشرة،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 علی قول شیخنا قدّس سرّه فیما حکاه عنه بقوله القسم الأول و هو السقوط بفعل الغیر ینقسم إلی السقوط بفعل الغیر مع الاستنابة و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وقع لهذا 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3493815_2314609296"/>
      <w:bookmarkStart w:id="543" w:name="_Toc200"/>
      <w:bookmarkEnd w:id="542"/>
      <w:r>
        <w:rPr>
          <w:rtl w:val="true"/>
        </w:rPr>
        <w:t>[</w:t>
      </w:r>
      <w:r>
        <w:rPr>
          <w:rtl w:val="true"/>
        </w:rPr>
        <w:t>مناقشة المصنف قدّس سرّه للسید الخوئی قدّس سرّه فی المقام</w:t>
      </w:r>
      <w:bookmarkEnd w:id="543"/>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شیخنا قدّس سرّه إنما قسّم هذا التقسیم أعنی النیابة مع الاستنابة و بدونها لیرتّب علیه قول من قال إن المقام من باب التسبیب، و هو قدّس سرّه و إن ردّ هذا القول إلا أنه إنما یتصور هذا القول فی الاستنابة دون مجرد النیابة، ثم بعد ردّ هذا القول رتّب علیه مسلکه من إرجاع الاستنابة فی الاصدار إلی کونه أحد طرفی الواجب التخییری لتدخل المسألة فی مسألة الواجب التخییری و التمسک لنفیه باطلاق الخطاب القاضی بالتعیین، کلّ علی مسلکه فی الواجب التخییری، و من الواضح أن هذا أعنی کونه من قبیل الواجب التخییری إنما یتأتی فی الاستنابة دون النیابة المجردة، أما النیابة المجردة أو الفعل المجرد عن النیابة فطریقة التمسک لنفیه بالاطلاق لیست هی طریقة نفی</w:t>
      </w:r>
      <w:bookmarkStart w:id="544" w:name="pg19834_212445"/>
    </w:p>
    <w:p>
      <w:pPr>
        <w:pStyle w:val="BookText"/>
        <w:rPr/>
      </w:pPr>
      <w:bookmarkEnd w:id="544"/>
      <w:r>
        <w:rPr>
          <w:rFonts w:ascii="IRNazanin" w:hAnsi="IRNazanin" w:eastAsia="IRNazanin"/>
          <w:color w:val="111111"/>
          <w:sz w:val="28"/>
          <w:sz w:val="28"/>
          <w:szCs w:val="28"/>
          <w:rtl w:val="true"/>
          <w:lang w:bidi="fa-IR"/>
        </w:rPr>
        <w:t xml:space="preserve">الوجوب التخییری، بل راجعة إلی التمسک باطلاق الوجوب و عدم اشتراطه بعدم فعل الغیر، نعم إن قول المحشی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فکما أن قولنا صام زید له ظهور فی صدور الصوم من نفس زید فکذلک قولنا فلیصم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و قد شرحنا هذه الطریقة فیما تقدم </w:t>
      </w:r>
      <w:r>
        <w:rPr>
          <w:rStyle w:val="FootnoteAnchor"/>
          <w:rtl w:val="true"/>
        </w:rPr>
        <w:footnoteReference w:id="726"/>
      </w:r>
      <w:r>
        <w:rPr>
          <w:rFonts w:ascii="IRNazanin" w:hAnsi="IRNazanin" w:eastAsia="IRNazanin"/>
          <w:color w:val="111111"/>
          <w:sz w:val="28"/>
          <w:sz w:val="28"/>
          <w:szCs w:val="28"/>
          <w:rtl w:val="true"/>
          <w:lang w:bidi="fa-IR"/>
        </w:rPr>
        <w:t>، إلّا أنه تمسک باطلاق النسبة و هی المباشریة، و لا دخل لذلک باشتراط الوجوب، فلا وقع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ینصب قرینة علی اشتراط الوجوب بعدم صوم غیره فیتمسک باطلاق کلامه فی دفع احتمال الاشتراط المزبور</w:t>
      </w:r>
      <w:r>
        <w:rPr>
          <w:rFonts w:eastAsia="IRNazanin" w:cs="IRNazanin"/>
          <w:color w:val="111111"/>
          <w:sz w:val="28"/>
          <w:szCs w:val="28"/>
          <w:rtl w:val="true"/>
          <w:lang w:bidi="fa-IR"/>
        </w:rPr>
        <w:t>.</w:t>
      </w:r>
    </w:p>
    <w:p>
      <w:pPr>
        <w:pStyle w:val="Heading5"/>
        <w:numPr>
          <w:ilvl w:val="4"/>
          <w:numId w:val="1"/>
        </w:numPr>
        <w:rPr/>
      </w:pPr>
      <w:bookmarkStart w:id="545" w:name="__RefHeading___Toc3493817_2314609296"/>
      <w:bookmarkStart w:id="546" w:name="_Toc201"/>
      <w:bookmarkEnd w:id="545"/>
      <w:r>
        <w:rPr>
          <w:rtl w:val="true"/>
        </w:rPr>
        <w:t>[</w:t>
      </w:r>
      <w:r>
        <w:rPr>
          <w:rtl w:val="true"/>
        </w:rPr>
        <w:t>المناقشة فی فرع فقهی تعرض له المحقق النائینی قدّس سرّه</w:t>
      </w:r>
      <w:bookmarkEnd w:id="546"/>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یکن هناک إطلاق فالمرجع هو استصحاب بقاء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محل تأمل، لأن ذلک إنما هو فیما لو تقدم عدم فعل الغیر، أما لو لم یتقدم بل قارن توجه التکلیف فعل الغیر أو تقدم فعل الغیر فلا یجری فیه الاستصحاب، بل یکون المرجع هو البراءة کما أشار إلیه شیخنا قدّس سرّه فیما نقله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التحقیق أن الشک فی الاشتراط و الاطلاق إن کان من أوّل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لا یتصور له مثال فیما نحن فیه کما یشعر به کلام شیخنا قدّس سرّه و لذلک التجأ إلی التمثیل لذلک بمسألة الأقل و الأکثر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حکما فیما إذا لم یکن کذلک کما إذا شککنا فی أنّ الحج الواجب علی المریض غیر المتمکن من المباشرة هل یسقط بفعل الغیر تبرعا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فی فرض المسألة من کون الاستطاعة فی حال المرض لیکون</w:t>
      </w:r>
    </w:p>
    <w:p>
      <w:pPr>
        <w:pStyle w:val="BookText"/>
        <w:rPr/>
      </w:pPr>
      <w:r>
        <w:rPr>
          <w:rFonts w:ascii="IRNazanin" w:hAnsi="IRNazanin" w:eastAsia="IRNazanin"/>
          <w:color w:val="111111"/>
          <w:sz w:val="28"/>
          <w:sz w:val="28"/>
          <w:szCs w:val="28"/>
          <w:rtl w:val="true"/>
          <w:lang w:bidi="fa-IR"/>
        </w:rPr>
        <w:t>الخطاب متوجها إلیه باعتبار الطرف الآخر من التخییر و هو الاستنابة فی الاصدار، فإذا فعله الغیر عنه بلا استنابة یکون الشک متعلقا ببقاء ذلک الوجوب و یلزمه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إنما یتم علی مسلک شیخنا</w:t>
      </w:r>
      <w:r>
        <w:rPr>
          <w:rStyle w:val="FootnoteAnchor"/>
          <w:rtl w:val="true"/>
        </w:rPr>
        <w:footnoteReference w:id="729"/>
      </w:r>
      <w:r>
        <w:rPr>
          <w:rFonts w:ascii="IRNazanin" w:hAnsi="IRNazanin" w:eastAsia="IRNazanin"/>
          <w:color w:val="111111"/>
          <w:sz w:val="28"/>
          <w:sz w:val="28"/>
          <w:szCs w:val="28"/>
          <w:rtl w:val="true"/>
          <w:lang w:bidi="fa-IR"/>
        </w:rPr>
        <w:t>من إرجاع الاستنابة إلی أحد عدلی الواجب التخییری لیکون ذلک أعنی الاستنابة هو المتعین بعد فرض عدم التمکن من المباشرة للمرض أو الموت بالنسبة إلی التکالیف الحادثة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إذ سددنا باب الوجوب یشکل علینا الحال فی هذه النیابات التی یکون التکلیف فیها ساقطا عن المنوب عنه لمرض کما فی الحج لو کان الاستطاعة بعد المرض أو لموت کما فی النیابة عن المیت قبل سنین فی مثل صلاة الظهر من هذا الیوم أو فی مثل زیارة عرفة من هذه السنة، و لا مندوحة لنا إلّا الالتزام بأنه بعد ورود الدلیل علی صحة هذه النیابة نستکشف منه کفایة الملاک فی التقرب، و إن لم یکن ذلک الملاک مؤثرا فی توجه التکلیف الی المنوب عنه لمانع من تکلیفه أعنی المرض أو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فی البین ذلک الدلیل فلا نحکم بصحة النیابة لعدم إحراز الملاک أوّلا، و لعدم صلاحیته للتقرب و الامتثال ثانیا، هذا کله فیما لو کان حصول الاستطاعة المالیة بعد ابتلائه بالمرض</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کانت قبل ذلک و لکنه عصی و أخر حتی ابتلی بالمرض المزمن فلیس الکلام فیه منحصرا بالنیابة، بل إن محل الکلام فیه هو أنّه هل لا یصح له الاستنابة و لا النیابة، بل یبقی مشغول الذمة حتی الموت و یقضی عنه بعد وفاته نظیر الصوم الذی انشغلت ذمته به و لا یمکنه قضاؤه بنفسه لأجل المرض، أو أنه تشرع له الاستنابة، و حینئذ یکون حاله حال من</w:t>
      </w:r>
    </w:p>
    <w:p>
      <w:pPr>
        <w:pStyle w:val="BookText"/>
        <w:rPr/>
      </w:pPr>
      <w:r>
        <w:rPr>
          <w:rFonts w:ascii="IRNazanin" w:hAnsi="IRNazanin" w:eastAsia="IRNazanin"/>
          <w:color w:val="111111"/>
          <w:sz w:val="28"/>
          <w:sz w:val="28"/>
          <w:szCs w:val="28"/>
          <w:rtl w:val="true"/>
          <w:lang w:bidi="fa-IR"/>
        </w:rPr>
        <w:t>استطاع فی حال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یستنب لکن قد تبرع بعض الناس بالنیابة عنه فهل یجزئه ذلک أو لا بد من الاستنابة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الشک فی عدم وجوبها لعارض بقاء، فمقتضی القاعدة هو استصحاب وجوب الصلاة مع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لو شککنا فی أنّ الاستعجال مسقط لوجوبها، و لکن لیس فی البین خصوصیة لوجوب السورة فی ضمن مسألة الأقل و الأکثر، بل کل ما هو محتمل الوجوب إذا کان أصل وجوبه مشکوکا یکون موردا للبراءة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ثبت وجوبه و لکن طرأت حالة یحتمل معها سقوط ذلک الوجوب، فإنّ الاستصحاب الجاری فی بقاء الوجوب حاکم ببقائه ما لم یکن فی البین شبهة تبدل الموضوع</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لو کان المقام أعنی فعل الغیر من باب کونه مسقطا للتکلیف صحّ فیه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من باب کون عدمه شرطا فی التکلیف، فالتکلیف المعلوم الجعل إنّما هو فی حال عدم فعل الغیر، و لم یعلم جعله فی حال انتقاض ذلک العدم بالوجود، فیشکل جریان الاستصحاب فیه، لا من جهة کونه شکا فی المقتضی، لأن یجاب عنه بأن المراد به ما لم یحدث حادث یوجب الشک، بل لاحتمال مدخلیة العدم فیه، فیکون من قبیل الشک فی الموضوع، إلّا أن یجاب عنه بالاتحاد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مسألة السورة، فإن کان احتمال سقوطها لأجل احتمال کون وجوبها مشروطا بعدم الاستعجال یأتی فیه إشکال تبدل الموضوع، و إن کان احتمال سقوطها من جهة کون الاستعجال رافعا لملاک</w:t>
      </w:r>
      <w:bookmarkStart w:id="547" w:name="pg19834_212448"/>
    </w:p>
    <w:p>
      <w:pPr>
        <w:pStyle w:val="BookText"/>
        <w:rPr/>
      </w:pPr>
      <w:bookmarkEnd w:id="547"/>
      <w:r>
        <w:rPr>
          <w:rFonts w:ascii="IRNazanin" w:hAnsi="IRNazanin" w:eastAsia="IRNazanin"/>
          <w:color w:val="111111"/>
          <w:sz w:val="28"/>
          <w:sz w:val="28"/>
          <w:szCs w:val="28"/>
          <w:rtl w:val="true"/>
          <w:lang w:bidi="fa-IR"/>
        </w:rPr>
        <w:t>وجوبها، کان حاله حال الشک فی المسقط فیجری فیها الاستصحاب بلا مانع</w:t>
      </w:r>
      <w:r>
        <w:rPr>
          <w:rFonts w:eastAsia="IRNazanin" w:cs="IRNazanin"/>
          <w:color w:val="111111"/>
          <w:sz w:val="28"/>
          <w:szCs w:val="28"/>
          <w:rtl w:val="true"/>
          <w:lang w:bidi="fa-IR"/>
        </w:rPr>
        <w:t>.</w:t>
      </w:r>
    </w:p>
    <w:p>
      <w:pPr>
        <w:pStyle w:val="Heading5"/>
        <w:numPr>
          <w:ilvl w:val="4"/>
          <w:numId w:val="1"/>
        </w:numPr>
        <w:rPr/>
      </w:pPr>
      <w:bookmarkStart w:id="548" w:name="__RefHeading___Toc3493819_2314609296"/>
      <w:bookmarkStart w:id="549" w:name="_Toc202"/>
      <w:bookmarkEnd w:id="548"/>
      <w:r>
        <w:rPr>
          <w:rtl w:val="true"/>
        </w:rPr>
        <w:t>[</w:t>
      </w:r>
      <w:r>
        <w:rPr>
          <w:rtl w:val="true"/>
        </w:rPr>
        <w:t>دلالة صیغة افعل علی الاختیاریة من وجهین</w:t>
      </w:r>
      <w:bookmarkEnd w:id="54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تمتاز صیغة افعل عن سائر الأفعال فی الدلالة علی الاختیاریة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الانصاف أن هذین الوجهین خصوصا الثانی منهما من أقوی أدلة القول بأنّ مقتضی الأصل اللفظی هو العبادیة کما سیأتی إن شاء اللّه تعالی </w:t>
      </w:r>
      <w:r>
        <w:rPr>
          <w:rStyle w:val="FootnoteAnchor"/>
          <w:rtl w:val="true"/>
        </w:rPr>
        <w:footnoteReference w:id="732"/>
      </w:r>
      <w:r>
        <w:rPr>
          <w:rFonts w:ascii="IRNazanin" w:hAnsi="IRNazanin" w:eastAsia="IRNazanin"/>
          <w:color w:val="111111"/>
          <w:sz w:val="28"/>
          <w:sz w:val="28"/>
          <w:szCs w:val="28"/>
          <w:rtl w:val="true"/>
          <w:lang w:bidi="fa-IR"/>
        </w:rPr>
        <w:t>، لأنّ الغرض إذا کان هو جعل الداعی و کان ذلک موجبا لتقید الفعل به کان ذلک عبارة اخری عن تعلق الارادة به بداعی الأمر و یکون التقید بذلک تقیدا قهریا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الأول فهو و إن لم یقتض إلّا الحسن الفاعلی المتوقف علی القصد إلّا أن القصد لمّا لم یکن قابلا لتعلق الأمر به کان الوصول إلی تحققه منحصرا بایجاد الداعی، فیرجع الأول إلی الثانی، هذا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ینبغی هو خروج الوجوب التعبدی عن هذا البحث، إذ لا إشکال فی أنّ مقتضی عبادیته هو اعتبار القصد فیه و زیادة قصد القربة أو کونه بداعی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قطع النظر عن هذه الجهات یمکننا القول فی هذا المقام بعین ما قلناه فی المباشرة، و أن الظاهر إطلاق مفاد الصیغة و تعلقها بالمادة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إطلاق النسبة البعثیة و التحریکیة هو دخول القصد فی المبعوث إلیه علی وجه یکون الاکتفاء بنفس المادة العاریة عن القصد محتاجا إلی مئونة زائدة علی أصل النسبة البعثیة إلی المادة، و حیث لم تتحقق تلک العنایة یکون اللازم فی الاکتفاء و تسدید حساب الآمر هو تقیدها بالقصد، هذا من ناحیة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من ناحیة الأصل العملی، فإنّ المرجع فیه هو البراءة من التقیید المذکور علی حذو ما تقدم فی مسألة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یظهر لک التأمل فیما أفاده شیخنا قدّس سرّه </w:t>
      </w:r>
      <w:r>
        <w:rPr>
          <w:rStyle w:val="FootnoteAnchor"/>
          <w:rtl w:val="true"/>
        </w:rPr>
        <w:footnoteReference w:id="733"/>
      </w:r>
      <w:r>
        <w:rPr>
          <w:rFonts w:ascii="IRNazanin" w:hAnsi="IRNazanin" w:eastAsia="IRNazanin"/>
          <w:color w:val="111111"/>
          <w:sz w:val="28"/>
          <w:sz w:val="28"/>
          <w:szCs w:val="28"/>
          <w:rtl w:val="true"/>
          <w:lang w:bidi="fa-IR"/>
        </w:rPr>
        <w:t>فی کون المرجع من الاصول اللفظیة هو إطلاق الوجوب، و من العملیة هو الاستصحاب علی حذو ما ذکره فی اعتبار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بالفرق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و إن قلنا بأن المباشرة قید فی الفعل المأمور به یقتضیه إطلاقه، إلّا أنه قدّس سرّه </w:t>
      </w:r>
      <w:r>
        <w:rPr>
          <w:rStyle w:val="FootnoteAnchor"/>
          <w:rtl w:val="true"/>
        </w:rPr>
        <w:footnoteReference w:id="734"/>
      </w:r>
      <w:r>
        <w:rPr>
          <w:rFonts w:ascii="IRNazanin" w:hAnsi="IRNazanin" w:eastAsia="IRNazanin"/>
          <w:color w:val="111111"/>
          <w:sz w:val="28"/>
          <w:sz w:val="28"/>
          <w:szCs w:val="28"/>
          <w:rtl w:val="true"/>
          <w:lang w:bidi="fa-IR"/>
        </w:rPr>
        <w:t>أفاد هناک أن المسألة راجعة إلی الشک فی إطلاق الوجوب، و هذا إنما یکون له صورة فی المباشرة المقابلة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نحن فیه من الاختیاریة و القصد فی قبال فعل الشخص نفسه لکنه من دون قصد و اختیار، فإنّ المتعین فیه هو الاطلاق فی ناحیة المادة و النسبة البعثیة، و تکون المقابلة بین الفعل القصدی و الفعل غیر القصدی عین المقابلة بین الصلاة إلی القبلة و الصلاة لا إلی القبلة، فلا یکون المقام إلّا من قبیل الشک فی تقید المأمور به، فإن کان فی البین إطلاق یقتضی تقیده و هو ما ذکرناه من إطلاق النسبة البعثیة القاضیة باعتبار القصد و الارادة، و إلّا کان المرجع هو اصالة البراءة، فلا تکون مسألتنا الا من قبیل مسألة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تزید علیها إلا من ناحیة وجود الأصل اللفظی القاضی باعتبار القصد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اللفظی من ناحیة إطلاق النسبة البعثیة إذا سقط، یکون المرجع هو إطلاق المادة، و هو قاض بعدم اعتبار القصد، و لا یرجع إلی أصالة البراءة من لزوم القید إلّا بعد سقوط هذا الأصل اللفظی</w:t>
      </w:r>
    </w:p>
    <w:p>
      <w:pPr>
        <w:pStyle w:val="BookText"/>
        <w:rPr/>
      </w:pPr>
      <w:r>
        <w:rPr>
          <w:rFonts w:ascii="IRNazanin" w:hAnsi="IRNazanin" w:eastAsia="IRNazanin"/>
          <w:color w:val="111111"/>
          <w:sz w:val="28"/>
          <w:sz w:val="28"/>
          <w:szCs w:val="28"/>
          <w:rtl w:val="true"/>
          <w:lang w:bidi="fa-IR"/>
        </w:rPr>
        <w:t>الثانی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الحسن الفعلی أو الفاعلی إنّما هو فی العبادیات دون التوصلیات، إذ لا یعتبر فیها إلّا المصلحة و لیست هی متقومة بالقصد، بل إن أصل اعتبار القصد إنما یتم فی العبادیات، إذ لا إشکال فی اعتباره فیها، أما التوصلیات فانما یظهر الکلام فیها فیما لم یکن مذهبا للموضوع کتطهیر الثوب و نحوه علی وجه لو قلنا باعتبار القصد و وقعت من المکلف بلا قصد کان اللازم علیه الاعادة، و فعلا لا أتخطّر مثالا لذلک لیظهر الأثر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لهذا النزاع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التوصلی و إن لم یکن قابلا للاعادة إلّا أنا لو قلنا باعتبار القصد فیه کان ترک القصد فیه نظیر ترک الواجب الذی لا قضاء له فی أنه لا أثر له إلّا العصیان، و لکن مع هذا التکلف لا یتم، إذ لا یعقل أن یکون ترک القصد مولدا للعصیان لعدم کونه 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إسقاط هذا الأمر الثانی کما أن الأولی إسقاط الأمر الثالث لعدم الأثر فی العبادیات، أما التوصلیات فلا یکون فیها ما هو مأمور به و منهی عنه، و فی الترکیب الانضمامی لا یکون فی البین ما یوجب فساد المأمور به التوصلی کما سیأتی توضیحه إن شاء اللّه تعالی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محل البحث إنما هو فی اعتبار کون الفعل مرادا فی قبال کونه واقعا منه سهوا أو نوما أو قهرا علیه علی وجه لا تتعلق به إرادته کما لو حمل و اخرج فی مسألة التفرق عن مجلس البیع، و لیس هو فی قبال الفعل الممتنع علی المکلف أعنی ما لا یکون مقدورا للمکلف، و حینئذ فلو التزمنا بأنّ الفعل المأمور به لا بد أن یکون حسنا فی نفسه، و لا بد أن یکون</w:t>
      </w:r>
    </w:p>
    <w:p>
      <w:pPr>
        <w:pStyle w:val="BookText"/>
        <w:rPr/>
      </w:pPr>
      <w:r>
        <w:rPr>
          <w:rFonts w:ascii="IRNazanin" w:hAnsi="IRNazanin" w:eastAsia="IRNazanin"/>
          <w:color w:val="111111"/>
          <w:sz w:val="28"/>
          <w:sz w:val="28"/>
          <w:szCs w:val="28"/>
          <w:rtl w:val="true"/>
          <w:lang w:bidi="fa-IR"/>
        </w:rPr>
        <w:t>ذا مصلحة و ذا ملاک بناء علی المذهب المنصور من أن الأحکام الشرعیة تابعة للمصالح و المفاسد فی المتعلق، و أن ما یحکم العقل بحسنه یحکم الشرع بوجوبه، و أن الواجبات الشرعیة ألطاف فی الواجبات العقلیة، فلا بد لنا من الالتزام بأنه لا یتصف بذلک الحسن حتی تتعلق به الارادة، و إلّا فإنّ الفعل من الساهی و النائم لا یتصف بحسن و لا بقبح، و من الواضح أن الفعل الذی یکون حسنا فی نفسه لو صدر بالارادة یکون واجدا للحسن الفاعلی کما أنه واجد للحسن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مناقشة شیخنا قدّس سرّه من جهة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الحسن الفعلی لا یتخلف عن الفعل سواء صدر بالاختیار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36"/>
      </w:r>
      <w:r>
        <w:rPr>
          <w:rFonts w:ascii="IRNazanin" w:hAnsi="IRNazanin" w:eastAsia="IRNazanin"/>
          <w:color w:val="111111"/>
          <w:sz w:val="28"/>
          <w:sz w:val="28"/>
          <w:szCs w:val="28"/>
          <w:rtl w:val="true"/>
          <w:lang w:bidi="fa-IR"/>
        </w:rPr>
        <w:t>، فإنّک قد عرفت أن الحسن الفعلی منوط بالارادة أیضا، اللّهم إلّا أن یرید بالحسن الفعلی هو مجرد المصلحة فی الفعل فی حد نفسه و إن لم یکن حسنا لکنه بعید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لک التأمل من جهة اخری و هی أنّ لنا قضیتین، و هما أن الأحکام تابعة للمصالح فی المتعلقات، و أنّ ما حکم العقل بحسنه حکم الشرع بوجوبه، و الناتج من ذلک هو أن ما یحکم الشرع بوجوبه لا بد فیه من وجود صلاح، أما أنّه لا بد من کونه حسنا فعلا أو فاعلیا فذلک أمر آخر یحتاج فی إثباته الی دعوی أن کل ما حکم الشرع بوجوبه فهو حسن بحکم العقل و هو موجب للحسن الفعلی و الفاعلی، و هذه الدعوی غیر معلومة الثبوت إلّا إذا ادعینا أنّ کل ما فیه مصلحة من الأفعال فهو حسن بحکم العقل، و هی غیر بعیدة، فنحن بعد علمنا بوجوب الفعل الفلانی نستکشف أن فیه مصلحة، و کل ما فیه مصلحة هو حسن فعلا، و کل ما هو حسن فعلا</w:t>
      </w:r>
      <w:bookmarkStart w:id="550" w:name="pg19834_212452"/>
    </w:p>
    <w:p>
      <w:pPr>
        <w:pStyle w:val="BookText"/>
        <w:rPr/>
      </w:pPr>
      <w:bookmarkEnd w:id="550"/>
      <w:r>
        <w:rPr>
          <w:rFonts w:ascii="IRNazanin" w:hAnsi="IRNazanin" w:eastAsia="IRNazanin"/>
          <w:color w:val="111111"/>
          <w:sz w:val="28"/>
          <w:sz w:val="28"/>
          <w:szCs w:val="28"/>
          <w:rtl w:val="true"/>
          <w:lang w:bidi="fa-IR"/>
        </w:rPr>
        <w:t>لا بد فیه من القصد و هو ملازم لحسنه الفاعلی</w:t>
      </w:r>
      <w:r>
        <w:rPr>
          <w:rFonts w:eastAsia="IRNazanin" w:cs="IRNazanin"/>
          <w:color w:val="111111"/>
          <w:sz w:val="28"/>
          <w:szCs w:val="28"/>
          <w:rtl w:val="true"/>
          <w:lang w:bidi="fa-IR"/>
        </w:rPr>
        <w:t>.</w:t>
      </w:r>
    </w:p>
    <w:p>
      <w:pPr>
        <w:pStyle w:val="Heading5"/>
        <w:numPr>
          <w:ilvl w:val="4"/>
          <w:numId w:val="1"/>
        </w:numPr>
        <w:rPr/>
      </w:pPr>
      <w:bookmarkStart w:id="551" w:name="__RefHeading___Toc3493821_2314609296"/>
      <w:bookmarkStart w:id="552" w:name="_Toc203"/>
      <w:bookmarkEnd w:id="551"/>
      <w:r>
        <w:rPr>
          <w:rtl w:val="true"/>
        </w:rPr>
        <w:t>[</w:t>
      </w:r>
      <w:r>
        <w:rPr>
          <w:rtl w:val="true"/>
        </w:rPr>
        <w:t>مناقشات المصنف قدّس سرّه مع السید الخوئی قدّس سرّه فی المقام</w:t>
      </w:r>
      <w:bookmarkEnd w:id="552"/>
    </w:p>
    <w:p>
      <w:pPr>
        <w:pStyle w:val="BookText"/>
        <w:rPr/>
      </w:pPr>
      <w:r>
        <w:rPr>
          <w:rFonts w:ascii="IRNazanin" w:hAnsi="IRNazanin" w:eastAsia="IRNazanin"/>
          <w:color w:val="111111"/>
          <w:sz w:val="28"/>
          <w:sz w:val="28"/>
          <w:szCs w:val="28"/>
          <w:rtl w:val="true"/>
          <w:lang w:bidi="fa-IR"/>
        </w:rPr>
        <w:t>و بناء علی ذلک لا یرد علیه ما فی الحاشیة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لا موجب لاعتبار الحسن الفاعلی فی اتصاف الفعل الخارجی بکونه مصداقا للواجب بعد ما کان الوجوب ناشئا عن الملاک القائم بالفعل و من حسنه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37"/>
      </w:r>
      <w:r>
        <w:rPr>
          <w:rFonts w:ascii="IRNazanin" w:hAnsi="IRNazanin" w:eastAsia="IRNazanin"/>
          <w:color w:val="111111"/>
          <w:sz w:val="28"/>
          <w:sz w:val="28"/>
          <w:szCs w:val="28"/>
          <w:rtl w:val="true"/>
          <w:lang w:bidi="fa-IR"/>
        </w:rPr>
        <w:t>إلا إذا أمکننا التفکیک بین المصلحة و الحسن الفعلی، أما بعد الالتزام بکون الأمر قاضیا بالملاک أعنی المصلحة و بالحسن الفعلی فلا مندوحة عن الالتزام بالحسن الفاعلی، لما عرفت من توقف الحسن الفعلی علی القصد، و هو أعنی کون الفعل مقرونا بالقصد عین الحسن الفاعلی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حصل التفکیک بین الحسن الفعلی و الحسن الفاعلی فیما لو انضم الی الفعل فعل آخر کما فی مسألة الاجتماع علی القول بالجواز من الجهة الاولی فانّه قدّس سرّه </w:t>
      </w:r>
      <w:r>
        <w:rPr>
          <w:rStyle w:val="FootnoteAnchor"/>
          <w:rtl w:val="true"/>
        </w:rPr>
        <w:footnoteReference w:id="738"/>
      </w:r>
      <w:r>
        <w:rPr>
          <w:rFonts w:ascii="IRNazanin" w:hAnsi="IRNazanin" w:eastAsia="IRNazanin"/>
          <w:color w:val="111111"/>
          <w:sz w:val="28"/>
          <w:sz w:val="28"/>
          <w:szCs w:val="28"/>
          <w:rtl w:val="true"/>
          <w:lang w:bidi="fa-IR"/>
        </w:rPr>
        <w:t>قد ادعی عدم صحة الصلاة لعدم الحسن الفاعلی و إن کانت مشتملة علی الحسن الفعلی فراجع</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قد عرفت أن قوام الحسن الفاعلی هو القصد الی الفعل فی قبال کونه عن سهو أو عن نوم، و لا دخل لذلک بقصد القربة الذی هو قوام العبادیة الذی هو عبارة عن القصد بداعی الأمر، فإنّه بناء علی اعتبار الحسن الفاعلی المتوقف علی القصد و الارادة یکون ذلک قدرا مشترکا بین التعبدی و التوصلی، و یزید التعبدی علی التوصلی أنه لا بد فیه من کون ذلک القصد واقعا بداعی الأمر، فلا یرد علیه ما فی الحاشیة المذکورة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لازم ذلک أن لا یتصف الفعل الخارجی إذا لم یؤت به بداعی التقرب بکونه مصداق الواجب و لو کان الوجوب توصلیا، ضرورة أن مجرد صدور الفعل</w:t>
      </w:r>
    </w:p>
    <w:p>
      <w:pPr>
        <w:pStyle w:val="BookText"/>
        <w:rPr/>
      </w:pPr>
      <w:r>
        <w:rPr>
          <w:rFonts w:ascii="IRNazanin" w:hAnsi="IRNazanin" w:eastAsia="IRNazanin"/>
          <w:color w:val="111111"/>
          <w:sz w:val="28"/>
          <w:sz w:val="28"/>
          <w:szCs w:val="28"/>
          <w:rtl w:val="true"/>
          <w:lang w:bidi="fa-IR"/>
        </w:rPr>
        <w:t xml:space="preserve">عن الاختیار لا یکفی فی اتصافه بالحسن الفاعلی مع أنّه واضح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739"/>
      </w:r>
      <w:r>
        <w:rPr>
          <w:rFonts w:ascii="IRNazanin" w:hAnsi="IRNazanin" w:eastAsia="IRNazanin"/>
          <w:color w:val="111111"/>
          <w:sz w:val="28"/>
          <w:sz w:val="28"/>
          <w:szCs w:val="28"/>
          <w:rtl w:val="true"/>
          <w:lang w:bidi="fa-IR"/>
        </w:rPr>
        <w:t>لما عرفت من أن صدور الفعل الحسن مقرونا بالقصد و الاختیار هو عین الحسن الفاعلی، و لا دخل لذلک بقصد القربة الراجعة إلی کون ذلک القصد واقعا بداعی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یدعی أن هذا القصد لمّا کان ناشئا عن داعی الأمر باعتبار کون الأمر مولدا للداعی علی قصد الفعل و إرادته یکون موجبا للعبادیة، لکنه بحث آخر هو راجع الی الوجه الثانی و لا دخل له بما تضمنته الحاشیة المذکورة من توقف الحسن الفاعلی الذی قوامه الاقتران بالقصد علی حصوله بداعی التقرب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المراد بالحسن الفاعلی هو الاتیان بالفعل بقصد الطاعة، فإذا أتی به المکلف و لو مع القصد و الشعور و الارادة لا یکون ذلک محققا للحسن الفاعلی، و لازم ذلک أن لا ینطبق الواجب التوصلی علی ذلک الفعل لخلوّه عن الطاعة التی هی حینئذ عبارة عن الحسن الفاعلی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الحسن الفاعلی لا یتوقف علی الطاعة، فإنّ الملحد یلتزم بالحسن الفعلی و بالحسن الفاعلی مع أنّه لا یقول بلزوم الاطاعة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لو سلّمنا توقف الحسن الفاعلی علی قصد الطاعة، کان القول باعتبار الحسن الفاعلی فی الواجب عبارة اخری عن اعتبار الطاعة فی کل واجب، فلا یحتاج فی ردّه إلی هذا التطویل، بل یکفی فی ردّه المنع من اقتضاء کل أمر لاعتبار الطاعة فی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الطاعة من</w:t>
      </w:r>
    </w:p>
    <w:p>
      <w:pPr>
        <w:pStyle w:val="BookText"/>
        <w:rPr/>
      </w:pPr>
      <w:r>
        <w:rPr>
          <w:rFonts w:ascii="IRNazanin" w:hAnsi="IRNazanin" w:eastAsia="IRNazanin"/>
          <w:color w:val="111111"/>
          <w:sz w:val="28"/>
          <w:sz w:val="28"/>
          <w:szCs w:val="28"/>
          <w:rtl w:val="true"/>
          <w:lang w:bidi="fa-IR"/>
        </w:rPr>
        <w:t>جملة الأفعال التی یحکم العقل بحسنها، إلّا أنّها لمّا کانت قصدیة کان حسنها الفعلی عین حسنها الفاعلی، فلاحظ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فی صدر البحث أن الواجب التعبدی خارج عن هذا البحث، لأنّ دلیل عبادیته یتکفل باثبات اعتبار ما فوق القصد المجرد باتیانه بداعی التقرب أو بداعی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الاشکال فیما تضمنته الحاشیة المذکورة من الایراد علی الوجه الثانی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سقوط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40"/>
      </w:r>
      <w:r>
        <w:rPr>
          <w:rFonts w:ascii="IRNazanin" w:hAnsi="IRNazanin" w:eastAsia="IRNazanin"/>
          <w:color w:val="111111"/>
          <w:sz w:val="28"/>
          <w:sz w:val="28"/>
          <w:szCs w:val="28"/>
          <w:rtl w:val="true"/>
          <w:lang w:bidi="fa-IR"/>
        </w:rPr>
        <w:t>فان سقوط التکلیف فیما إذا أتی بالفعل سهوا لأجل دلیل یدل علی ذلک لا ینافی ما أفاده شیخنا من الوجه الثانی و انه لو خلی و نفسه یقتضی اعتبار القصد فی متعلق الأمر، إذ لا ریب فی أنه مع الدلیل الخاص یرفع الید عما یقتضیه الأمر من عدم سقوطه إلا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تمسک به المحشی من إطلاق المادة و أن التقیید بالقدرة عقلی، فقد عرفت أن ظهور الأمر فی القصد ینفی إطلاق المادة فی شمولها لما لا قصد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اعترف به شیخنا قدّس سرّه </w:t>
      </w:r>
      <w:r>
        <w:rPr>
          <w:rStyle w:val="FootnoteAnchor"/>
          <w:rtl w:val="true"/>
        </w:rPr>
        <w:footnoteReference w:id="741"/>
      </w:r>
      <w:r>
        <w:rPr>
          <w:rFonts w:ascii="IRNazanin" w:hAnsi="IRNazanin" w:eastAsia="IRNazanin"/>
          <w:color w:val="111111"/>
          <w:sz w:val="28"/>
          <w:sz w:val="28"/>
          <w:szCs w:val="28"/>
          <w:rtl w:val="true"/>
          <w:lang w:bidi="fa-IR"/>
        </w:rPr>
        <w:t xml:space="preserve">فی مسألة الضد من صدق المأمور به فیما لو حصلت المادة مع عدم القدرة فذلک أمر آخر لا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742"/>
      </w:r>
      <w:r>
        <w:rPr>
          <w:rFonts w:ascii="IRNazanin" w:hAnsi="IRNazanin" w:eastAsia="IRNazanin"/>
          <w:color w:val="111111"/>
          <w:sz w:val="28"/>
          <w:sz w:val="28"/>
          <w:szCs w:val="28"/>
          <w:rtl w:val="true"/>
          <w:lang w:bidi="fa-IR"/>
        </w:rPr>
        <w:t>بما لو صدرت لا عن قصد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المحشی فی الحاشیة المذکورة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الدعوی المزبورة إنما تتم علی مذهب من یری أن المنشأ بالصیغة إنما هو مفهوم الطلب أو البعث أو النسبة الایقاعیة أو ما یقاربها من المفاهیم، و أما علی ما حققناه من أنّه لیس إلّا إظهار اعتبار کون المادة علی ذمة المکلف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الخدشة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ذلک المبنی و إلا لعاد الانشاء إخبارا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اعتبار کون المادة فی ذمة المکلف لا یکون إلّا بجعلها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لو سلّمنا صحة ذلک المبنی لتأتی فیه عین التقریب الذی أجراه شیخنا قدّس سرّه </w:t>
      </w:r>
      <w:r>
        <w:rPr>
          <w:rStyle w:val="FootnoteAnchor"/>
          <w:rtl w:val="true"/>
        </w:rPr>
        <w:footnoteReference w:id="744"/>
      </w:r>
      <w:r>
        <w:rPr>
          <w:rFonts w:ascii="IRNazanin" w:hAnsi="IRNazanin" w:eastAsia="IRNazanin"/>
          <w:color w:val="111111"/>
          <w:sz w:val="28"/>
          <w:sz w:val="28"/>
          <w:szCs w:val="28"/>
          <w:rtl w:val="true"/>
          <w:lang w:bidi="fa-IR"/>
        </w:rPr>
        <w:t>فی الصیغة بناء علی أنّها لانشاء الطلب و البعث من التمسک بجعل الداعی، فکما یکون الغرض من إنشاء البعث و الطلب هو جعل الداعی و به یتم المطلوب، فکذلک یکون الغرض من إظهار اعتبار المادة فی ذمة المکلف هو جعل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اعتبار المادة فی ذمة المکلف و من إظهار ذلک الاعتبار هو جعل الداعی و تولیده فی ناحیة المکلف علی وجه یکون ذلک مولدا للداعی فی ناحیة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فاستوت الطریقتان فی أن الغرض من التکلیف هو جعل الداعی و تولیده، و إذا وصلت النوبة إلی ذلک یتم المطلوب المدعی الذی هو کون القصد داخلا فی حیّز المأمور به علی وجه لو أوجد المکلف الفعل ساهیا أو نائما لم یکن المأمور به منطبقا علیه، بل کان خارجا عن هذه السلسلة أعنی إحداث الداعی و المدعو إلیه علی ما أفاده شیخنا قدّس سرّه فیما حرّره عنه فی الوجه الثانی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الوجه الثانی و کذلک الوجه الأول لو تمّا کانا من أدلة کون الأصل اللفظی قاضیا بالعبادیة علی ما سیأتی بیانه فیما بعد</w:t>
      </w:r>
      <w:r>
        <w:rPr>
          <w:rStyle w:val="FootnoteAnchor"/>
          <w:rtl w:val="true"/>
        </w:rPr>
        <w:footnoteReference w:id="745"/>
      </w:r>
      <w:r>
        <w:rPr>
          <w:rFonts w:ascii="IRNazanin" w:hAnsi="IRNazanin" w:eastAsia="IRNazanin"/>
          <w:color w:val="111111"/>
          <w:sz w:val="28"/>
          <w:sz w:val="28"/>
          <w:szCs w:val="28"/>
          <w:rtl w:val="true"/>
          <w:lang w:bidi="fa-IR"/>
        </w:rPr>
        <w:t>عن الحاج الکلباسی قدّس سرّه فی الاشارات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ما حققناه من أنّه لیس إلّا إظهار اعتبار کون المادة علی ذمة المکلف، فلا موجب لاشتراط التکلیف بالقدرة أصلا، غایة الأمر أن العقل یعتبرها فی موضوع حکمه فی مرحلة الالزام بالامتثال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کلامه مع شیخنا قدّس سرّه إنما هو فی اعتبار القصد و الاختیار فی قبال الفعل الصادر سهوا و نوما، و لا دخل لذلک بمسألة القدرة و أنها شرط فی الأمر أو قید فی المأمور به أولا هذا و لا ذاک، و إنما هی بحکم العقل بمعنی کونه شرطا فی وجوب الطاعة الذی یحکم به العقل، أو أنّها شرط فی الخطاب الشرعی لا فی الملاک، هذه أبحاث أخر لا ربط لها بما هو محل البحث فی هذا المقام أعنی کون المأمور به منحصرا بالقصد و الاختیار، و لا یشمل ما یقع سهوا و نوما و نحو ذلک من سوالب القصد و الارادة و الاختیار، فإن ذلک أعنی ما یصدر سهوا أو نوما و إن کان غیر مقدور، إلا أن محل البحث فیه لیس من ناحیة کونه غیر مقدور و إلا کان الأمر فیه سهلا باعتبار کونه مشمولا للمأمور به لفظا و خروجه بحکم العقل کما سیأتی البحث فیه مع المحقق الثانی فی أوائل الترتب </w:t>
      </w:r>
      <w:r>
        <w:rPr>
          <w:rStyle w:val="FootnoteAnchor"/>
          <w:rtl w:val="true"/>
        </w:rPr>
        <w:footnoteReference w:id="747"/>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إن البحث فیه من ناحیة کونه فاقدا للقصد، و المدعی هو أن متعلق الوجوب و الطلب مقید بکونه صادرا عن القصد، و أنه لو اتفق صدور الفعل الواجب فی حال السهو أو النوم لم یکن مجزیا و لم ینطبق علیه المأمور به، فلا مورد للسؤال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لا لجوابه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فائدته اجتزاء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19834_212457"/>
    </w:p>
    <w:p>
      <w:pPr>
        <w:pStyle w:val="BookText"/>
        <w:rPr/>
      </w:pPr>
      <w:bookmarkEnd w:id="553"/>
      <w:r>
        <w:rPr>
          <w:rFonts w:ascii="IRNazanin" w:hAnsi="IRNazanin" w:eastAsia="IRNazanin"/>
          <w:color w:val="111111"/>
          <w:sz w:val="28"/>
          <w:sz w:val="28"/>
          <w:szCs w:val="28"/>
          <w:rtl w:val="true"/>
          <w:lang w:bidi="fa-IR"/>
        </w:rPr>
        <w:t>ثم إنه قال فی آخر الحاشیة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أنه لا مانع من إثبات عدم اعتبار تقید المأمور به بالقدرة شرعا باطلاق الدلیل إن کان، و إلا فالمرجع هی أصالة البراءة للشک فی اعتبار أمر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748"/>
      </w:r>
      <w:r>
        <w:rPr>
          <w:rFonts w:ascii="IRNazanin" w:hAnsi="IRNazanin" w:eastAsia="IRNazanin"/>
          <w:color w:val="111111"/>
          <w:sz w:val="28"/>
          <w:sz w:val="28"/>
          <w:szCs w:val="28"/>
          <w:rtl w:val="true"/>
          <w:lang w:bidi="fa-IR"/>
        </w:rPr>
        <w:t>الکلام فی أنه لو تمّ ما أفاده شیخنا قدّس سرّه من الوجهین لکان مقتضاهما هو کون الفعل عبادیا، و إن لم یتم شی‌ء منهما یمکننا إجراء عین الطریقة التی ذکرناها فی مسألة اعتبار المباشرة بدعوی أن قضیة النسبة البعثیة هو الصدور عن قصد و اختیار، و أن الاکتفاء بنفس صدور الفعل لا عن قصد و اختیار محتاج إلی المئونة الزائدة، فیکون مقتضی الأصل اللفظی من ناحیة النسبة البعثیة هو التقید بالقصد و الاختیار، و إن کان نفس المادة لا تقیید فیها بمعنی أنها غیر مقیدة بالقصد لکونها فی حدّ نفسها شاملة للمقصود و غیره لا أنها شاملة للمقدور و غیره، لما عرفت من أنه لیس المقام براجع إلی اعتبار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الاطلاق من ناحیتها من أی جهة کان یکون ساقطا بازاء إطلاق النسبة البعثیة القاضیة باعتبار القصد، و مع قطع النظر عن قضیة إطلاق النسبة البعثیة القاضی باعتبار القصد یکون المرجع هو إطلاق المادة القاضی بعدم اعتبار القصد، و لو سقط هذا الاطلاق أیضا کان المرجع فی اعتبار القصد و الاختیار هو البراءة کما ذکرناه فی مسألة اعتبار المباشرة، فلاحظ و تدبر</w:t>
      </w:r>
      <w:r>
        <w:rPr>
          <w:rFonts w:eastAsia="IRNazanin" w:cs="IRNazanin"/>
          <w:color w:val="111111"/>
          <w:sz w:val="28"/>
          <w:szCs w:val="28"/>
          <w:rtl w:val="true"/>
          <w:lang w:bidi="fa-IR"/>
        </w:rPr>
        <w:t>.</w:t>
      </w:r>
    </w:p>
    <w:p>
      <w:pPr>
        <w:pStyle w:val="Heading5"/>
        <w:numPr>
          <w:ilvl w:val="4"/>
          <w:numId w:val="1"/>
        </w:numPr>
        <w:rPr/>
      </w:pPr>
      <w:bookmarkStart w:id="554" w:name="__RefHeading___Toc3493823_2314609296"/>
      <w:bookmarkStart w:id="555" w:name="_Toc204"/>
      <w:bookmarkEnd w:id="554"/>
      <w:r>
        <w:rPr>
          <w:rtl w:val="true"/>
        </w:rPr>
        <w:t>[</w:t>
      </w:r>
      <w:r>
        <w:rPr>
          <w:rtl w:val="true"/>
        </w:rPr>
        <w:t>سقوط الواجب بفعل المحرّم</w:t>
      </w:r>
      <w:bookmarkEnd w:id="55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القسم الثالث و هو السقوط بفعل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المقصود من فعل المحرم هو ما یکون متحدا معه و منطبقا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اختصاص هذا البحث بالواجب التوصلی، أما الواجب التعبدی فلا ریب فی تقیده بأن لا یکون محرما لعدم معقولیة</w:t>
      </w:r>
    </w:p>
    <w:p>
      <w:pPr>
        <w:pStyle w:val="BookText"/>
        <w:rPr/>
      </w:pPr>
      <w:r>
        <w:rPr>
          <w:rFonts w:ascii="IRNazanin" w:hAnsi="IRNazanin" w:eastAsia="IRNazanin"/>
          <w:color w:val="111111"/>
          <w:sz w:val="28"/>
          <w:sz w:val="28"/>
          <w:szCs w:val="28"/>
          <w:rtl w:val="true"/>
          <w:lang w:bidi="fa-IR"/>
        </w:rPr>
        <w:t>التقرب بالمحرم، و حینئذ نقول لو کان دلیل التحریم أخص مثل اغسل ثوبک و لا تغسله بالمغصوب خرج الثانی من الأول، و کذا لو کان العکس بأن کان دلیل الأمر أخص من النهی مثل النهی عن الکذب و الأمر به فیما إذا ترتب علیه إنجاء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بینهما عموم من وجه وقع بینهما التعارض مثل اغسل ثوبک و لا تغصب الماء و مثل خلّص المؤمن من القتل و لا تکذب أو مثل أصلح بین أخویک بالقیاس إلی قوله لا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البین تقدیم فهو، و إلا کان المرجع بعد التساقط هو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الترکب انضمامیا مثل الأمر بالریاضة البدنیة و لا تغصب و قد فعل ذلک فی الأرض المغصوبة، دخلت المسألة فی مبحث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بالامتناع یکون حالها حال الترکب الاتحادی، و علی الجواز من الجهة الاولی تدخل فی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یؤثر الحسن الفاعلی لکن فی خصوص ما لو کان الواجب من العبادات، أما التوصلیات فلا یؤثر علیها عدم الحسن الفاعلی أو القبح الفاعلی، بل یکون المورد مصداقا للواجب و إن کان من الجهة الاخری موردا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قلنا بأن صلاح الفعل عبارة عن حسنه، و أن اعتبار حسنه الفعلی یوجب اعتبار حسنه الفاعلی، کان المورد خارجا عن الواجب، لکنک قد عرفت </w:t>
      </w:r>
      <w:r>
        <w:rPr>
          <w:rStyle w:val="FootnoteAnchor"/>
          <w:rtl w:val="true"/>
        </w:rPr>
        <w:footnoteReference w:id="750"/>
      </w:r>
      <w:r>
        <w:rPr>
          <w:rFonts w:ascii="IRNazanin" w:hAnsi="IRNazanin" w:eastAsia="IRNazanin"/>
          <w:color w:val="111111"/>
          <w:sz w:val="28"/>
          <w:sz w:val="28"/>
          <w:szCs w:val="28"/>
          <w:rtl w:val="true"/>
          <w:lang w:bidi="fa-IR"/>
        </w:rPr>
        <w:t>المناقشة فی ذلک فی مسألة اعتبار القصد فلاحظ</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و هو موارد الترکب الاتحادی فلا مورد فیه للحسن الفاعلی، لأنّ خروج الغسل بالماء المغصوب عن عموم الأمر بغسله خروج واقعی و لا دخل فیه للقبح أو الحسن الفاعلیین، لکن لو احتملنا أن ما هو المحرّم</w:t>
      </w:r>
    </w:p>
    <w:p>
      <w:pPr>
        <w:pStyle w:val="BookText"/>
        <w:rPr/>
      </w:pPr>
      <w:r>
        <w:rPr>
          <w:rFonts w:ascii="IRNazanin" w:hAnsi="IRNazanin" w:eastAsia="IRNazanin"/>
          <w:color w:val="111111"/>
          <w:sz w:val="28"/>
          <w:sz w:val="28"/>
          <w:szCs w:val="28"/>
          <w:rtl w:val="true"/>
          <w:lang w:bidi="fa-IR"/>
        </w:rPr>
        <w:t>أعنی الغسل بالمغصوب یکون رافعا للنجاسة التی قد علمنا أنه لیس المطلوب بهذا الأمر إلّا رفعها، أو أنه یکون رافعا للملاک، لم یکن ذلک إلا من قبیل المسقط، و کان المرجع فیه هو أصالة الاشتغال أو استصحاب الوجوب أو استصحاب موضوع ذلک الوجوب أعنی النجاسة، و لا مجال فیه للتمسک باطلاق الوجوب و شموله لما إذا غسله بالمغصوب، لما عرفت من عدم جریان الاطلاق فی أمثال هذه المقامات ممّا یرجع إلی عالم المسقط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التأمل فیما فی الحاشیة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بناء علی الامتناع و تقدیم جانب النهی فلا مناص عن القول بعدم السقوط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51"/>
      </w:r>
      <w:r>
        <w:rPr>
          <w:rFonts w:ascii="IRNazanin" w:hAnsi="IRNazanin" w:eastAsia="IRNazanin"/>
          <w:color w:val="111111"/>
          <w:sz w:val="28"/>
          <w:sz w:val="28"/>
          <w:szCs w:val="28"/>
          <w:rtl w:val="true"/>
          <w:lang w:bidi="fa-IR"/>
        </w:rPr>
        <w:t>فإنّ النهی و إن أخرج مورده عن المأمور به فکان المأمور به مقیدا بما عداه، إلّا أنّ بحال الشک فی سقوطه بالمحرم باعتبار أنه و إن لم یکن من المأمور به إلّا أنه من المحتمل إسقاطه الأمر بأحد الأنحاء التی ذکرناها، لم یکن لنا بدّ من نفی الاعتناء بهذا الاحتمال باستصحاب الوجوب أو استصحاب موضوعه، أو لا أقل من الرجوع إلی أصالة الاشتغال،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من أنّ مقتضی القاعدة هو السقوط فی مورد الاجتماع بناء علی الجواز، ففیه ما تقدمت الاشارة إلیه من أن ذلک إنما یتم لو کان الوجوب توصلیا، أما لو کان تعبدیا فانه لا بد من الالتزام بعدم السقوط للقبح الفاعلی المانع من قصد القربة کما حقق فی محله فی مبحث الاجتماع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ذلک یظهر لک التأمل فیما أفاده شیخنا قدّس سرّه من کون</w:t>
      </w:r>
      <w:bookmarkStart w:id="556" w:name="pg19834_212460"/>
    </w:p>
    <w:p>
      <w:pPr>
        <w:pStyle w:val="BookText"/>
        <w:rPr/>
      </w:pPr>
      <w:bookmarkEnd w:id="556"/>
      <w:r>
        <w:rPr>
          <w:rFonts w:ascii="IRNazanin" w:hAnsi="IRNazanin" w:eastAsia="IRNazanin"/>
          <w:color w:val="111111"/>
          <w:sz w:val="28"/>
          <w:sz w:val="28"/>
          <w:szCs w:val="28"/>
          <w:rtl w:val="true"/>
          <w:lang w:bidi="fa-IR"/>
        </w:rPr>
        <w:t>المرجع من الاصول اللفظیة هو إطلاق الوجوب، لما عرفت من أنه لا مورد فی هذه المقامات لاطلاق دلیل الوجوب بعد فرض خروج المحرم عن تحت الواجب، و إنما یحصل الشک فی کون المحرّم مسقطا للوجوب، و حینئذ یکون المرجع فی هذا الشک هو استصحاب الوجوب أو أصالة الاشتغال</w:t>
      </w:r>
      <w:r>
        <w:rPr>
          <w:rFonts w:eastAsia="IRNazanin" w:cs="IRNazanin"/>
          <w:color w:val="111111"/>
          <w:sz w:val="28"/>
          <w:szCs w:val="28"/>
          <w:rtl w:val="true"/>
          <w:lang w:bidi="fa-IR"/>
        </w:rPr>
        <w:t>.</w:t>
      </w:r>
    </w:p>
    <w:p>
      <w:pPr>
        <w:pStyle w:val="Heading5"/>
        <w:numPr>
          <w:ilvl w:val="4"/>
          <w:numId w:val="1"/>
        </w:numPr>
        <w:rPr/>
      </w:pPr>
      <w:bookmarkStart w:id="557" w:name="__RefHeading___Toc3493825_2314609296"/>
      <w:bookmarkStart w:id="558" w:name="_Toc205"/>
      <w:bookmarkEnd w:id="557"/>
      <w:r>
        <w:rPr>
          <w:rtl w:val="true"/>
        </w:rPr>
        <w:t>[</w:t>
      </w:r>
      <w:r>
        <w:rPr>
          <w:rtl w:val="true"/>
        </w:rPr>
        <w:t>عدم معقولیة کون الأمر بنفسه داعیا للمکلف</w:t>
      </w:r>
      <w:bookmarkEnd w:id="55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إن التعبد أمر قصدی فلا محالة یکون بأحد الدواعی القربیة منها قصد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التقرب المعتبر فی التعبدی إن کان بمعنی قصد الامتثال و الاتیان بالواجب بداعی أمره، کان ممّا یعتبر فی الطاعة عقلا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754"/>
      </w:r>
      <w:r>
        <w:rPr>
          <w:rFonts w:ascii="IRNazanin" w:hAnsi="IRNazanin" w:eastAsia="IRNazanin"/>
          <w:color w:val="111111"/>
          <w:sz w:val="28"/>
          <w:sz w:val="28"/>
          <w:szCs w:val="28"/>
          <w:rtl w:val="true"/>
          <w:lang w:bidi="fa-IR"/>
        </w:rPr>
        <w:t xml:space="preserve">قد شرحنا فی أوائل القطع فی مبحث جواز الاحتیاط فی العبادات </w:t>
      </w:r>
      <w:r>
        <w:rPr>
          <w:rStyle w:val="FootnoteAnchor"/>
          <w:rtl w:val="true"/>
        </w:rPr>
        <w:footnoteReference w:id="755"/>
      </w:r>
      <w:r>
        <w:rPr>
          <w:rFonts w:ascii="IRNazanin" w:hAnsi="IRNazanin" w:eastAsia="IRNazanin"/>
          <w:color w:val="111111"/>
          <w:sz w:val="28"/>
          <w:sz w:val="28"/>
          <w:szCs w:val="28"/>
          <w:rtl w:val="true"/>
          <w:lang w:bidi="fa-IR"/>
        </w:rPr>
        <w:t>، أن الأمر بنفسه لا یعقل کونه داعیا للمکلف، لأن الداعی عبارة عما یکون بوجوده الواقعی معلولا لفعلک، و بوجوده العلمی التصوری علة لارادتک المتعلقة بفعلک، بمعنی أن تصورک لتلک الثمرة المترتبة علی فعلک یکون داعیا لارادتک ذلک الفعل، و من الواضح أن الأمر بوجوده الواقعی لا یکون معلولا لفعلک، فلا بد أن یکون الداعی هو امتثال الأمر و جعل الداعی هو نفس الأمر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ذلک عطف فی الکفایة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شیخنا قدّس سرّه من قصد الامتثال هو هذا المعنی، یعنی کون الامتثال بوجوده التصوری داعیا و محرکا لارادة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إنا فرضنا من جملة الأجزاء و القیود نفس قصد الامتثال</w:t>
      </w:r>
      <w:bookmarkStart w:id="559" w:name="pg19834_212461"/>
    </w:p>
    <w:p>
      <w:pPr>
        <w:pStyle w:val="BookText"/>
        <w:rPr/>
      </w:pPr>
      <w:bookmarkEnd w:id="559"/>
      <w:r>
        <w:rPr>
          <w:rFonts w:ascii="IRNazanin" w:hAnsi="IRNazanin" w:eastAsia="IRNazanin"/>
          <w:color w:val="111111"/>
          <w:sz w:val="28"/>
          <w:sz w:val="28"/>
          <w:szCs w:val="28"/>
          <w:rtl w:val="true"/>
          <w:lang w:bidi="fa-IR"/>
        </w:rPr>
        <w:t xml:space="preserve">الذی هو عبارة عن دعوة شخص ذلک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الأمر لیس من الدواعی بالمعنی المذکور أعنی ما یکون ترتبه علی الفعل هو المقصود من ذلک الفعل بل إنّ امتثاله هو من 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هذه العبائر أن قصد الأمر عبارة اخری عن قصد امتثاله، و معنی قصد الامتثال هو کون الامتثال غایة من الاقدام علی الفعل، فیکون ذلک هو الداعی الذی یکون بوجوده الواقعی مولّدا عن الفعل و بوجوده التصوری موجبا لتولد الارادة المتعلقة بالفعل</w:t>
      </w:r>
      <w:r>
        <w:rPr>
          <w:rFonts w:eastAsia="IRNazanin" w:cs="IRNazanin"/>
          <w:color w:val="111111"/>
          <w:sz w:val="28"/>
          <w:szCs w:val="28"/>
          <w:rtl w:val="true"/>
          <w:lang w:bidi="fa-IR"/>
        </w:rPr>
        <w:t>.</w:t>
      </w:r>
    </w:p>
    <w:p>
      <w:pPr>
        <w:pStyle w:val="Heading5"/>
        <w:numPr>
          <w:ilvl w:val="4"/>
          <w:numId w:val="1"/>
        </w:numPr>
        <w:rPr/>
      </w:pPr>
      <w:bookmarkStart w:id="560" w:name="__RefHeading___Toc3493827_2314609296"/>
      <w:bookmarkStart w:id="561" w:name="_Toc206"/>
      <w:bookmarkEnd w:id="560"/>
      <w:r>
        <w:rPr>
          <w:rtl w:val="true"/>
        </w:rPr>
        <w:t>[</w:t>
      </w:r>
      <w:r>
        <w:rPr>
          <w:rtl w:val="true"/>
        </w:rPr>
        <w:t>توهم کون المراد من داعویة الأمر هی المحرکیة و السوق الخارجی</w:t>
      </w:r>
      <w:bookmarkEnd w:id="561"/>
    </w:p>
    <w:p>
      <w:pPr>
        <w:pStyle w:val="BookText"/>
        <w:rPr/>
      </w:pPr>
      <w:r>
        <w:rPr>
          <w:rFonts w:ascii="IRNazanin" w:hAnsi="IRNazanin" w:eastAsia="IRNazanin"/>
          <w:color w:val="111111"/>
          <w:sz w:val="28"/>
          <w:sz w:val="28"/>
          <w:szCs w:val="28"/>
          <w:rtl w:val="true"/>
          <w:lang w:bidi="fa-IR"/>
        </w:rPr>
        <w:t>أما توهم کون المراد من کون الأمر داعیا هو المحرکیة و السوق الخارجی، بمعنی أنه لمّا کان عبارة عن البعث و التحریک کان حرکة العبد نحو الفعل بتحریکه، فلیس ذلک من سنخ الدواعی بل هو سنخ علل الفعل</w:t>
      </w:r>
      <w:r>
        <w:rPr>
          <w:rFonts w:eastAsia="IRNazanin" w:cs="IRNazanin"/>
          <w:color w:val="111111"/>
          <w:sz w:val="28"/>
          <w:szCs w:val="28"/>
          <w:rtl w:val="true"/>
          <w:lang w:bidi="fa-IR"/>
        </w:rPr>
        <w:t>.</w:t>
      </w:r>
    </w:p>
    <w:p>
      <w:pPr>
        <w:pStyle w:val="Heading5"/>
        <w:numPr>
          <w:ilvl w:val="4"/>
          <w:numId w:val="1"/>
        </w:numPr>
        <w:rPr/>
      </w:pPr>
      <w:bookmarkStart w:id="562" w:name="__RefHeading___Toc3493829_2314609296"/>
      <w:bookmarkStart w:id="563" w:name="_Toc207"/>
      <w:bookmarkEnd w:id="562"/>
      <w:r>
        <w:rPr>
          <w:rtl w:val="true"/>
        </w:rPr>
        <w:t>[</w:t>
      </w:r>
      <w:r>
        <w:rPr>
          <w:rtl w:val="true"/>
        </w:rPr>
        <w:t>توهم کون الأمر یعطی الفعل عنوانا حسنا یکون داعیا للمأمور</w:t>
      </w:r>
      <w:r>
        <w:rPr>
          <w:rtl w:val="true"/>
        </w:rPr>
        <w:t>]</w:t>
      </w:r>
      <w:bookmarkEnd w:id="563"/>
    </w:p>
    <w:p>
      <w:pPr>
        <w:pStyle w:val="BookText"/>
        <w:rPr/>
      </w:pPr>
      <w:r>
        <w:rPr>
          <w:rFonts w:ascii="IRNazanin" w:hAnsi="IRNazanin" w:eastAsia="IRNazanin"/>
          <w:color w:val="111111"/>
          <w:sz w:val="28"/>
          <w:sz w:val="28"/>
          <w:szCs w:val="28"/>
          <w:rtl w:val="true"/>
          <w:lang w:bidi="fa-IR"/>
        </w:rPr>
        <w:t>و کذلک توهم کون الأمر یعطی الفعل عنوانا حسنا مرغوبا للمأمور و هو کونه مأمورا به، و هذا العنوان یوجب رغبة المأمور بذلک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إرجاع الوجهین إلی الوجه الأول أعنی ما یکون بوجوده الخارجی معلولا للفعل و بوجوده العلمی علة للارادة، فإن کون عنوان المأمور به داعیا عبارة اخری عن کون الحصول علی المأمور به فی الخارج داعیا، و کذلک کون الأمر سائقا فإنّه إنما یسوق المکلف إلی الفعل لأنّه یولد فی حقه الداعی إلی الفعل الذی هو کون الفعل محصلا للاطاعة و الامتثال</w:t>
      </w:r>
      <w:r>
        <w:rPr>
          <w:rFonts w:eastAsia="IRNazanin" w:cs="IRNazanin"/>
          <w:color w:val="111111"/>
          <w:sz w:val="28"/>
          <w:szCs w:val="28"/>
          <w:rtl w:val="true"/>
          <w:lang w:bidi="fa-IR"/>
        </w:rPr>
        <w:t>.</w:t>
      </w:r>
    </w:p>
    <w:p>
      <w:pPr>
        <w:pStyle w:val="Heading5"/>
        <w:numPr>
          <w:ilvl w:val="4"/>
          <w:numId w:val="1"/>
        </w:numPr>
        <w:rPr/>
      </w:pPr>
      <w:bookmarkStart w:id="564" w:name="__RefHeading___Toc3493831_2314609296"/>
      <w:bookmarkStart w:id="565" w:name="_Toc208"/>
      <w:bookmarkEnd w:id="564"/>
      <w:r>
        <w:rPr>
          <w:rtl w:val="true"/>
        </w:rPr>
        <w:t>[</w:t>
      </w:r>
      <w:r>
        <w:rPr>
          <w:rtl w:val="true"/>
        </w:rPr>
        <w:t>ما یظهر من کلام السید البروجردی قدّس سرّه فی المقام و نقده</w:t>
      </w:r>
      <w:bookmarkEnd w:id="56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یظهر من تقریر درس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هو أخذ داعویة الأمر بهذا المعنی أعنی السوق و التحریک الخارجی، و لأجل</w:t>
      </w:r>
    </w:p>
    <w:p>
      <w:pPr>
        <w:pStyle w:val="BookText"/>
        <w:rPr/>
      </w:pPr>
      <w:r>
        <w:rPr>
          <w:rFonts w:ascii="IRNazanin" w:hAnsi="IRNazanin" w:eastAsia="IRNazanin"/>
          <w:color w:val="111111"/>
          <w:sz w:val="28"/>
          <w:sz w:val="28"/>
          <w:szCs w:val="28"/>
          <w:rtl w:val="true"/>
          <w:lang w:bidi="fa-IR"/>
        </w:rPr>
        <w:t>ذلک جعل الملکات الخمسة أعنی ملکة الشکر و ملکة المیل إلی طاعة الخالق و ملکة المیل إلی ثوابه و ملکة الخوف من عقابه من قبیل الدواعی إلی فعل المأمور به، و إن کان تحریکها متوقفا علی وجود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جعل الأمر داعیا للفعل و سائقا للعبد نحوه، و أفاد أنّ هذا السوق و التحریک غیر منحصر بالسوق نحو ذات المأمور به، بل جعله سائقا للعبد إلی کل ما یتوقف علیه وجود المأمور به من مقدمات عقلیة و تکوینیة و شرعیة، و بذلک أنکر ما هو المشهور من أن الأمر لا یدعو إلّا إلی ما 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جعل جمیع المقدمات عبادیة بالنظر إلی أنها إنما یؤتی بها بداعی الأمر، و أنّ ذلک أعنی عبادیتها لا یتوقف علی القول بأنّها مأمور بها شرعا،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قلنا بوجوب المقدمة و تعلق أمر غیری بها، أمکن أن یقال أیضا بعدم کفایة قصده فی عبادیة متعلقه، لعدم کونه أمرا حقیقیا بل هو نحو من الأمر یساوق وجوده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58"/>
      </w:r>
      <w:r>
        <w:rPr>
          <w:rFonts w:ascii="IRNazanin" w:hAnsi="IRNazanin" w:eastAsia="IRNazanin"/>
          <w:color w:val="111111"/>
          <w:sz w:val="28"/>
          <w:sz w:val="28"/>
          <w:szCs w:val="28"/>
          <w:rtl w:val="true"/>
          <w:lang w:bidi="fa-IR"/>
        </w:rPr>
        <w:t>و ذلک لما أفاده من أن قصد الأمر المتعلق بذیها کاف فی عبادیتها لکونها فی طریق إطاعة الأمر المتعلق بذیها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دفع إشکال عدم القدرة، فان العبد یأتی بذات الصلاة بداعی أمرها الذی نالها من ناحیة الأمر بالمرکب أعنی الصلاة بداعی أمرها، و بذلک یکون قد حصل علی الاتیان بالصلاة بداعی أمرها، و یتحقق الجزء الأول و هو ذات الصلاة و الجزء الثانی و هو کونها بداعی أمرها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نظیر ما یجاب به عن إشکال المصنّف علی دخول اللحاظ الآلی فی المعنی الحرفی، من أنّه بناء علیه لا بد من لحاظ آخر</w:t>
      </w:r>
    </w:p>
    <w:p>
      <w:pPr>
        <w:pStyle w:val="BookText"/>
        <w:rPr/>
      </w:pPr>
      <w:r>
        <w:rPr>
          <w:rFonts w:ascii="IRNazanin" w:hAnsi="IRNazanin" w:eastAsia="IRNazanin"/>
          <w:color w:val="111111"/>
          <w:sz w:val="28"/>
          <w:sz w:val="28"/>
          <w:szCs w:val="28"/>
          <w:rtl w:val="true"/>
          <w:lang w:bidi="fa-IR"/>
        </w:rPr>
        <w:t>متعلق بما هو ملحوظ بهذا اللحاظ، بداهة أن تصور المستعمل فیه ممّا لا بدّ منه فی استعمال الألفاظ، فقد اجیب عنه بأنّ اللحاظ الذی هو شرط الاستعمال کاف فی تحقق اللحاظ الذی هو جزء المعنی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الطریقة دفع الدور فی مقام الامتثال، فإنّ حاصل ذلک الدور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داعویة الأمر إلی الفعل المأمور به تتوقف علی اتصافه بکونه مأمورا به، و اتصاف الفعل بکونه مأمورا به یتوقف علی داعویة الأمر إلی الفعل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داعویة الأمر إلی الفعل المأمور به لا تتوقف علی اتصافه بکونه مأمورا به قبل الداعویة، بل یکفی فی ذلک اتصافه بذلک و لو بعد الداعویة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قدّمه من أنّ ذات الفعل یتصف بکونه مأمورا به و لو بالأمر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ذلک کله، مع أنّه غیر واف بدفع روح الاشکال الذی هو فی مقام الجعل، و أنّ ما هو فی مرتبة الحکم أو متأخر عنه لا یعقل أخذه فی مقام جعل الحکم فی موضوع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یعقل لحاظ الحکم فی الموضوع فی مرتبة جعل الحکم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الاشکال نظیر ما أشکله صاحب الکفایة قدّس سرّه </w:t>
      </w:r>
      <w:r>
        <w:rPr>
          <w:rStyle w:val="FootnoteAnchor"/>
          <w:rtl w:val="true"/>
        </w:rPr>
        <w:footnoteReference w:id="759"/>
      </w:r>
      <w:r>
        <w:rPr>
          <w:rFonts w:ascii="IRNazanin" w:hAnsi="IRNazanin" w:eastAsia="IRNazanin"/>
          <w:color w:val="111111"/>
          <w:sz w:val="28"/>
          <w:sz w:val="28"/>
          <w:szCs w:val="28"/>
          <w:rtl w:val="true"/>
          <w:lang w:bidi="fa-IR"/>
        </w:rPr>
        <w:t>علی أخذ الآلیة فی المعنی الحرفی فی المستعمل فیه، باعتبار کون اللحاظ الآلی من شئون الاستعمال فلا یعقل أخذه فی المستعمل فیه، لأنّ مرتبة المستعمل فیه متقدمة علی مرتبة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أنّا قد قررنا مطلبه فی الحصول علی ذات الصلاة بداعی الأمر المتعلق بها و لو فی ضمن الأمر المتعلق بالکل المرکب منها و من داعی الأمر، و ذلک مبنی علی کون داعی الأمر جزءا، و أمّا بناء علی کونه قیدا فله طریقة اخری هی المتحصّل ممّا أفاده بعد نقل ما فی الکفایة من أنّ الجزء التحلیلی لا یکون مأمورا به، قال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نحتاج فی إیجاد الصلاة بداعی الأمر إلی تعلق أمر بذات الصلاة کما هو محط نظره قدّس سرّه بل نفس الأمر بالمقید یدعو إلیها أیضا، و یکفی أیضا فی مقربیتها و عبادیتها إتیانها بداعی هذا الأمر، و ذلک لما عرفت فی المقدمة الثانیة من أنه یکفی فی عبادیة الأجزاء التحلیلیة و الخارجیة و المقدمات الوجودیة و العلمیة إتیانها بداعی الأمر المتعلق بالکل و بذی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یدعو الأمر إلّا إلی ما تعلق به لا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الفساد، فإن الأمر کما یکون داعیا إلی نفس متعلقه کذلک یکون داعیا إلی کل ما له دخل فی تحققه من غیر احتیاج فی مدعویتها للأمر إلی تعلق أمر بها علی 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سلّمه اللّه تعالی یری أنّ معنی داعویة الأمر هو کونه سائقا للمکلف علی الحصول علی متعلقه، و هو أعنی الأمر کما یسوق المکلف إلی نفس متعلقه فکذلک یسوقه إلی کل ما یتوقف علیه وجوده من المقدمات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الصلاة بذاتها و إن لم یتعلق بها الأمر بذاتها إلّا أنها یتوقف وجوده فی الخارج علیها، فهی فی الحقیقة مقدمة وجودیة للمأمور به، فللمکلف أن یأتی بهذه المقدمة بداعی و سائق الأمر المتعلق بذیها، و إذا</w:t>
      </w:r>
    </w:p>
    <w:p>
      <w:pPr>
        <w:pStyle w:val="BookText"/>
        <w:rPr/>
      </w:pPr>
      <w:r>
        <w:rPr>
          <w:rFonts w:ascii="IRNazanin" w:hAnsi="IRNazanin" w:eastAsia="IRNazanin"/>
          <w:color w:val="111111"/>
          <w:sz w:val="28"/>
          <w:sz w:val="28"/>
          <w:szCs w:val="28"/>
          <w:rtl w:val="true"/>
          <w:lang w:bidi="fa-IR"/>
        </w:rPr>
        <w:t>أتی المکلف بها بذلک الداعی یکون قد حصل علی ذات المأمور به أعنی الصلاة المقیدة بداعی الأمر، و بذلک تنقلب المقدمة و تصیر بعینها هی ذا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هو کون الأمر المتعلق بالصلاة المقیدة بداعی الأمر التی هی ذو المقدمة أمرا صوریا لیتمکن المکلف من الحصول علی ذی المقدمة بالاتیان بالمقدمة بداعی الأمر المتعلق بذی المقدمة، و بذلک تنقلب المقدمة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أنّا و إن فسرنا الداعی فی کلماته بالسائق المشابه للسائق التکوینی نظیر قول الحسین علیه السّلام لأخیه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دعاک إلی الصلح مع هذا 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الحسن 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الذی دعا أباک إلی التحکیم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یمکن أن یکون مراده به الداعی الاصطلاحی أعنی الغایة المترتبة علی الفعل، و یکون المراد من کون الأمر داعیا هو کون امتثاله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الداعی أعنی الحصول علی امتثال الأمر کما یحرک إرادة العبد نحو نفس المأمور به، فکذلک یحرک إرادته نحو ما یتوقف علیه المأمور به من المقدمات بأسرها، بل لعل المراد بالداعی فی کلامهما علیهما السّلام هو هذا المعنی، فلاحظ</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إطلاقه الداعی علی الملکات الخمس لا بد أن یکون المراد هو ما یساوق السائق التکوینی، و لا بد حینئذ من التسامح فی ذلک و إلّا فهو قد أطلق الداعی علی الأمر، و قد عرفت إمکان کونه علی الاصطلاح من أخذ امتثاله فی الداعویة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کان إطلاقه الداعی علی الملکات من باب التسامح، فلا یرد علیه ما أورده علیه المقرّر فی حاشیته </w:t>
      </w:r>
      <w:r>
        <w:rPr>
          <w:rStyle w:val="FootnoteAnchor"/>
          <w:rtl w:val="true"/>
        </w:rPr>
        <w:footnoteReference w:id="76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bookmarkStart w:id="566" w:name="pg19834_212466"/>
    </w:p>
    <w:p>
      <w:pPr>
        <w:pStyle w:val="BookText"/>
        <w:rPr/>
      </w:pPr>
      <w:bookmarkEnd w:id="566"/>
      <w:r>
        <w:rPr>
          <w:rFonts w:ascii="IRNazanin" w:hAnsi="IRNazanin" w:eastAsia="IRNazanin"/>
          <w:color w:val="111111"/>
          <w:sz w:val="28"/>
          <w:sz w:val="28"/>
          <w:szCs w:val="28"/>
          <w:rtl w:val="true"/>
          <w:lang w:bidi="fa-IR"/>
        </w:rPr>
        <w:t>یمکن التأویل فی إطلاق الداعی علی هذه الملکات، باعتبار أنّ من له ملکة الشکر یتوخی و یتطلب من فعله ما یترتب علیه من حصول شکر المنعم، و هکذا بالنسبة إلی البواقی،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عرفت أنه لو سلّم ذلک کله فهو لا یدفع الاشکال الوارد فی أصل الجعل من عدم معقولیة لحاظ نفس الحکم فی مرتبة لحاظ موضوع ذلک الحکم</w:t>
      </w:r>
      <w:r>
        <w:rPr>
          <w:rFonts w:eastAsia="IRNazanin" w:cs="IRNazanin"/>
          <w:color w:val="111111"/>
          <w:sz w:val="28"/>
          <w:szCs w:val="28"/>
          <w:rtl w:val="true"/>
          <w:lang w:bidi="fa-IR"/>
        </w:rPr>
        <w:t>.</w:t>
      </w:r>
    </w:p>
    <w:p>
      <w:pPr>
        <w:pStyle w:val="Heading5"/>
        <w:numPr>
          <w:ilvl w:val="4"/>
          <w:numId w:val="1"/>
        </w:numPr>
        <w:rPr/>
      </w:pPr>
      <w:bookmarkStart w:id="567" w:name="__RefHeading___Toc3493833_2314609296"/>
      <w:bookmarkStart w:id="568" w:name="_Toc209"/>
      <w:bookmarkEnd w:id="567"/>
      <w:r>
        <w:rPr>
          <w:rtl w:val="true"/>
        </w:rPr>
        <w:t>[</w:t>
      </w:r>
      <w:r>
        <w:rPr>
          <w:rtl w:val="true"/>
        </w:rPr>
        <w:t>دعوی انحلال الأمر إلی حصة متعلقة بالذات و اخری متعلقة بداعویة الحصة الاولی و نقدها</w:t>
      </w:r>
      <w:r>
        <w:rPr>
          <w:rtl w:val="true"/>
        </w:rPr>
        <w:t>]</w:t>
      </w:r>
      <w:bookmarkEnd w:id="568"/>
    </w:p>
    <w:p>
      <w:pPr>
        <w:pStyle w:val="BookText"/>
        <w:rPr/>
      </w:pPr>
      <w:r>
        <w:rPr>
          <w:rFonts w:ascii="IRNazanin" w:hAnsi="IRNazanin" w:eastAsia="IRNazanin"/>
          <w:color w:val="111111"/>
          <w:sz w:val="28"/>
          <w:sz w:val="28"/>
          <w:szCs w:val="28"/>
          <w:rtl w:val="true"/>
          <w:lang w:bidi="fa-IR"/>
        </w:rPr>
        <w:t>و أما ما تضمنته الحاشیة علی تحریر درس شیخنا قدّس سرّه من قوله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فالأمر بالصلاة مثلا المقیدة بقصد الأمر یکون أمرا بالمجموع المرکب من الفعل الخارجی و النفسانی، و من الواضح أن الأمر بالمرکب ینحل إلی الأمر بکل من الجزءین، فیکون ذات الفعل متعلقا لحصته من الأمر الفعلی لا محالة، کما أن جعل هذه الحصة من الأمر داعیا إلی الفعل متعلق للحصة الثانیة من الأمر، فاذا اتی بالفعل بداعی الأمر المتعلق به فی ضمن الأمر بالمرکب فقد تحقق تمام المرکب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63"/>
      </w:r>
      <w:r>
        <w:rPr>
          <w:rFonts w:ascii="IRNazanin" w:hAnsi="IRNazanin" w:eastAsia="IRNazanin"/>
          <w:color w:val="111111"/>
          <w:sz w:val="28"/>
          <w:sz w:val="28"/>
          <w:szCs w:val="28"/>
          <w:rtl w:val="true"/>
          <w:lang w:bidi="fa-IR"/>
        </w:rPr>
        <w:t xml:space="preserve">فلعله لیس براجع إلی ما أفاده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نقلناه عن تحریر درسه من التشبث بذیل أن المقدمة و إن کانت جزءا تکون قابلة للاتیان بها بداعی امتثال الأمر المتعلق بذیها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کأنّه یرید بذلک مطلبا آخر، و هو أن المرکب هو مجموع الصلاة و قصد أمرها، و الأمر المتعلق بالمجموع المرکب منهما أمر توصلی غیر مقید بالاتیان بذلک المرکب بداعیه، بل هو فی حد نفسه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تکون لنا حصتان من الأمر، و قد تعلقت الحصة الاولی من ذلک الأمر بذات الصلاة، و الحصة الثانیة من الأمر تعلقت بالاتیان</w:t>
      </w:r>
    </w:p>
    <w:p>
      <w:pPr>
        <w:pStyle w:val="BookText"/>
        <w:rPr/>
      </w:pPr>
      <w:r>
        <w:rPr>
          <w:rFonts w:ascii="IRNazanin" w:hAnsi="IRNazanin" w:eastAsia="IRNazanin"/>
          <w:color w:val="111111"/>
          <w:sz w:val="28"/>
          <w:sz w:val="28"/>
          <w:szCs w:val="28"/>
          <w:rtl w:val="true"/>
          <w:lang w:bidi="fa-IR"/>
        </w:rPr>
        <w:t>بالصلاة بداعی تلک الحصة من الأمر، فإذا أتی المکلف بذات الصلاة التی هی جزء المأمور به بداعی تلک الحصة من الأمر المتعلقة بذاتها فقد حصل المکلف علی تمام المرکب، و بذلک یکون قد امتثل تمام الأمر بالمرکب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هذا الوجه من تحریر درس الاستاذ العراقی قدّس سرّه للآملی فراجعه فی جواب الوجه الثانی و فی جواب الوجه الثالث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یظهر ذلک من المقالة،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الأمر المتعلق بالجمیع و إن کان واحدا، و لکن بملاحظة قابلیة التحلیل بقطعة متعلقة بالذات و قطعة اخری متعلقة بالدعوة، کان العلم بکل قطعة علما علی حدة، فأحدهما محرک لمحرکیة الآخر، و حینئذ من أین یلزم محرکیة الأمر إلی محرکیة نفسه کی یجی‌ء ما ذکرت من المحذور</w:t>
      </w:r>
      <w:r>
        <w:rPr>
          <w:rStyle w:val="FootnoteAnchor"/>
          <w:rtl w:val="true"/>
        </w:rPr>
        <w:footnoteReference w:id="765"/>
      </w:r>
      <w:r>
        <w:rPr>
          <w:rFonts w:ascii="IRNazanin" w:hAnsi="IRNazanin" w:eastAsia="IRNazanin"/>
          <w:color w:val="111111"/>
          <w:sz w:val="28"/>
          <w:sz w:val="28"/>
          <w:szCs w:val="28"/>
          <w:rtl w:val="true"/>
          <w:lang w:bidi="fa-IR"/>
        </w:rPr>
        <w:t>قال ذلک فی مقام الرد علی ما أفاده المرحوم الشیخ محمد حسین الاصفهانی قدّس سرّه فی حاشیته علی الکفایة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التحقیق فی خصوص المقام أن الانشاء حیث إنه بداعی جعل الداعی، فجعل الأمر داعیا إلی جعل الأمر داعیا یوجب علیّة الشی‌ء لعلیة نفسه، و کون الامر محرکا الی محرکیة نفسه، و هو کعلیة الشی‌ء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فإنه عبارة عن کون الآمر فی حال إیجاده الأمر بالکل ناظرا إلی لزوم الاتیان بأحد جزأی المأمور به المرکب بداعی الحصة التی نالته من الأمر بالمرکب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بالأخرة أن هذه الحصة من الأمر یکون متعلقها معتبرا فیه الاتیان بداعی تلک الحصة من الأمر، لأن المرکب</w:t>
      </w:r>
    </w:p>
    <w:p>
      <w:pPr>
        <w:pStyle w:val="BookText"/>
        <w:rPr/>
      </w:pPr>
      <w:r>
        <w:rPr>
          <w:rFonts w:ascii="IRNazanin" w:hAnsi="IRNazanin" w:eastAsia="IRNazanin"/>
          <w:color w:val="111111"/>
          <w:sz w:val="28"/>
          <w:sz w:val="28"/>
          <w:szCs w:val="28"/>
          <w:rtl w:val="true"/>
          <w:lang w:bidi="fa-IR"/>
        </w:rPr>
        <w:t>الارتباطی یکون کل جزء منه مقیدا بالجزء الآخر، و حینئذ یعود الاشکال الذی فررنا منه، أعنی کون متعلق الأمر معتبرا فیه الاتیان بمتعلقه بداعیه، غایته أن هذا الاشکال لم یکن بنحو التقیید محضا بل کان بنحو الترکیب الارتباطی فی ناحیة المأمور به و فی ناحیة الأمر، مضافا إلی أنّ الآمر بالمرکب فی حال جعله الأمر علی ذلک المرکب لا ینظر إلّا إلی نفس الأمر و نفس المجموع الذی تعلق به أمره، و لا یعقل النظر منه فی ذلک الحال إلی حصص الأمر و حصص المأمور به، و أن الجزء الثانی من المأمور به یکون عبارة عن الاتیان بالحصة الاولی بداعی الحصة الاولی من ذلک الأمر المتعلق بالمرکب، لیکون حاصله هو أن الحصة الثانیة من المأمور به و الحصة الثانیة من ذلک الأمر المتعلقة بالحصة الثانیة من المأمور به تصرفا فی الحصة الاولی من المأمور به التی تعلق بها الحصة الاولی من الأمر، فکانت الحصة الثانیة من الأمر تصرفا فی الحصة الاولی من ذلک الأمر المتعلق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الخلل فیما ذکره بعد هذه العبارة و ذلک قوله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بناء علی الانحلال المزبور یکون أحد الأمرین الضمنیین داعیا إلی داعویة الأمر الضمنی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67"/>
      </w:r>
      <w:r>
        <w:rPr>
          <w:rFonts w:ascii="IRNazanin" w:hAnsi="IRNazanin" w:eastAsia="IRNazanin"/>
          <w:color w:val="111111"/>
          <w:sz w:val="28"/>
          <w:sz w:val="28"/>
          <w:szCs w:val="28"/>
          <w:rtl w:val="true"/>
          <w:lang w:bidi="fa-IR"/>
        </w:rPr>
        <w:t xml:space="preserve">فان ذلک إنما یتصور فی الأمرین المستقلین، بأن یعلّق الأمر أوّلا بالصلاة ثم یأمر ثانیا بالاتیان بتلک الصلاة بداعی ذلک الأمر الأول کما أفاده شیخنا قدّس سرّه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الأمر الواحد المتعلق بالکل فلا یعقل فیه أن تکون إحدی الحصتین من الأمر المتعلق بالمجموع داعیة إلی داعویة الحصة الاخری، فإن الحصة الداعیة إلی داعویة الحصة</w:t>
      </w:r>
    </w:p>
    <w:p>
      <w:pPr>
        <w:pStyle w:val="BookText"/>
        <w:rPr/>
      </w:pPr>
      <w:r>
        <w:rPr>
          <w:rFonts w:ascii="IRNazanin" w:hAnsi="IRNazanin" w:eastAsia="IRNazanin"/>
          <w:color w:val="111111"/>
          <w:sz w:val="28"/>
          <w:sz w:val="28"/>
          <w:szCs w:val="28"/>
          <w:rtl w:val="true"/>
          <w:lang w:bidi="fa-IR"/>
        </w:rPr>
        <w:t>الاخری تکون متأخرة رتبة عن الحصة الاولی، فلا یعقل جعلهما بایجاب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هذا الأمر المتعلق بالمجموع المرکب من الصلاة و داعی الأمر إن کان تعبدیا بمعنی أنه یعتبر فی ذلک المجموع المرکب الاتیان به بداعی ذلک الأمر المتعلق بذلک المجموع، کان الاشکال باقیا بحاله و زاد الطین بلة من ناحیة دعوة الأمر إلی داعی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توصلیا فلما ذا یکون اللازم هو الاتیان بأحد جزأی ذلک المتعلق و هو الصلاة بداعی الحصة المتعلقة به من الأمر، و لا بد أن یکون الجواب هو أنّ الحصة الثانیة من الأمر المتعلقة بالجزء الثانی الذی هو قصد امتثال أمر الصلاة هی القاضیة بلزوم الاتیان بالصلاة بداعی الحصة المتعلقة بها من الأمر بالمجموع، و حینئذ تکون الحصة الثانیة من الأمر متأخرة عن الحصة الاولی منه لکونها تصرفا فی امتثال الأول و لا یعقل جعلهما بجعل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الواجب المرکب من الصلاة و داعی أمرها ارتباطی و هو قاض بتقید الجزء الأول بالجزء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الحاصل أن نفس الصلاة التی تعلقت بها حصتها من الأمر تکون مقیدة بوجود الجزء الثانی من ذلک المرکب الذی هو کون الاتیان بها بداعی تلک الحصة، فیعود الاشکال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للقول بأنّ هذا المرکب غیر ارتباطی، لأن لازمه هو أنه لو جاء بذات الصلاة کان ذلک مسقطا لتلک الحصة من الأمر المتعلقة بها فی ضمن الأمر المتعلق بالکل، کل ذلک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جریان أصل الاشکال أیضا من ناحیة اخری، و هی أن لازم ذلک أن تکون الصلاة فی رتبة تعلق تلک الحصة من الأمر بها ملحوظا بها قصد الأمر، لأن هذا اللحاظ جاءها من ناحیة الحصة الثانیة من الأمر،</w:t>
      </w:r>
    </w:p>
    <w:p>
      <w:pPr>
        <w:pStyle w:val="BookText"/>
        <w:rPr/>
      </w:pPr>
      <w:r>
        <w:rPr>
          <w:rFonts w:ascii="IRNazanin" w:hAnsi="IRNazanin" w:eastAsia="IRNazanin"/>
          <w:color w:val="111111"/>
          <w:sz w:val="28"/>
          <w:sz w:val="28"/>
          <w:szCs w:val="28"/>
          <w:rtl w:val="true"/>
          <w:lang w:bidi="fa-IR"/>
        </w:rPr>
        <w:t>و هی فی مرتبة الحصة الاولی لکونهما بقالب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کون الحصتین مجعولا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یقاس ذلک علی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رکوعا بعده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المثال من باب تقیید الرکوع بوجود السجود بعده، فلیس فی البین أمر واحد منبسط علی مجموع الاثنین 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بداعی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من قبیل التقیید و لیس ذلک من قبیل الترکیب،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توجه الاشکال علی هذه الحاشیة و علی ما أفاده الاستاذ العراقی فی المقالة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الأمر المتعلق بالجمیع و إن کان واحدا و لکن بملاحظة قابلیة التحلیل بقطعة متعلقة بالذات و قطعة اخری متعلقة بالدعوة کان العلم بکل قطعة علما علی حدة، فأحدهما محرک لمحرکیة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69"/>
      </w:r>
      <w:r>
        <w:rPr>
          <w:rFonts w:ascii="Amiri" w:hAnsi="Amiri" w:eastAsia="Amiri" w:cs="Amiri"/>
          <w:color w:val="111111"/>
          <w:sz w:val="28"/>
          <w:sz w:val="28"/>
          <w:szCs w:val="28"/>
          <w:rtl w:val="true"/>
          <w:lang w:bidi="ar-SA"/>
        </w:rPr>
        <w:t>من وجوه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القطعة الثانیة من الأمر المتعلق بالمجموع لا یعقل أن تکون ناظرة إلی القطعة الاولی من ذلک الأمر أعنی بها القطعة المتعلقة بذات الصلاة و حاکمة علیها مع کونهما مجعولین بجعل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فرض کون المجعول واحدا و هو الوجوب الواحد، غایة الأمر أن العقل یحلّل ذلک الوجوب إلی قطعتین، فلا یعقل أن یکون البعض من ذلک الوجوب حاکما علی البعض الآخر أو شارحا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الواجب المرکب و إن کان توصلیا إلّا أنّ أجزاءه ارتباطیة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الارتباط هو کون الجزء الأول منه مقیدا بالجزء الثانی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النتیجة هی أن الجزء الأول الذی هو ذات الصلاة التی تعلق بها</w:t>
      </w:r>
    </w:p>
    <w:p>
      <w:pPr>
        <w:pStyle w:val="BookText"/>
        <w:rPr/>
      </w:pPr>
      <w:r>
        <w:rPr>
          <w:rFonts w:ascii="IRNazanin" w:hAnsi="IRNazanin" w:eastAsia="IRNazanin"/>
          <w:color w:val="111111"/>
          <w:sz w:val="28"/>
          <w:sz w:val="28"/>
          <w:szCs w:val="28"/>
          <w:rtl w:val="true"/>
          <w:lang w:bidi="fa-IR"/>
        </w:rPr>
        <w:t>الحصة الاولی من ذلک الوجوب تکون مقیدة بالجزء الثانی الذی هو قصد الأمر المتعلق بها أعنی الحصة المتعلقة بالصلاة، فیعود المحذور و هو کون متعلق تلک الحصة من الطلب أعنی الحصة الاولی من الطلب مقیدا بداعی تلک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الحصة الثانیة من الوجوب تکون فی رتبة الحصة الاولی منه، لما عرفت من کون الجعل و المجعول واحدا، فکانت ذات الصلاة فی رتبة تعلق تلک الحصة من الطلب بها مطلوبا بها 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کان طلب قصد الامتثال بالصلاة مقارنا فی الرتبة لتعلق الحصة من الطلب بها، ففی رتبة تعلق الحصة من الطلب بها یکون الآمر طالبا قصد امتثال الأمر بها، و أهم هذه الاشکالات هو الأول و الثانی،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هذه الطریقة هو کون الحصة الثانیة من الأمر بالمرکب مشروطة بالحصة الاولی منه، لأن الحصة الثانیة متعلقة بالاتیان بالصلاة بداعی الحصة الاولی من الأمر التی هی متعلقة بذات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أخذ الحصة الاولی مفروضة الحصول بالنسبة إلی الحصة الثانیة، و حینئذ یکون بعض الأمر الواحد المتعلق بالمرکب الارتباطی شرطا فی البعض الآخر منه، و لیس هو إلّا أمرا واحدا جعلا و مجعولا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حاصل الاشکال الذی ذکره المحشی بقوله،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قصد الأمر فی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70"/>
      </w:r>
      <w:r>
        <w:rPr>
          <w:rFonts w:ascii="IRNazanin" w:hAnsi="IRNazanin" w:eastAsia="IRNazanin"/>
          <w:color w:val="111111"/>
          <w:sz w:val="28"/>
          <w:sz w:val="28"/>
          <w:szCs w:val="28"/>
          <w:rtl w:val="true"/>
          <w:lang w:bidi="fa-IR"/>
        </w:rPr>
        <w:t>لکنّه صرفه إلی الاشکال فی قدرة المکلف، فأجاب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بما أن قصد الأمر و جعله داعیا إلی الفعل الخارجی من أفعال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قد عرفت أن الاشکال متوجه إلی</w:t>
      </w:r>
      <w:bookmarkStart w:id="569" w:name="pg19834_212472"/>
    </w:p>
    <w:p>
      <w:pPr>
        <w:pStyle w:val="BookText"/>
        <w:rPr/>
      </w:pPr>
      <w:bookmarkEnd w:id="569"/>
      <w:r>
        <w:rPr>
          <w:rFonts w:ascii="IRNazanin" w:hAnsi="IRNazanin" w:eastAsia="IRNazanin"/>
          <w:color w:val="111111"/>
          <w:sz w:val="28"/>
          <w:sz w:val="28"/>
          <w:szCs w:val="28"/>
          <w:rtl w:val="true"/>
          <w:lang w:bidi="fa-IR"/>
        </w:rPr>
        <w:t>الجعل لا إلی قدرة المکلف</w:t>
      </w:r>
      <w:r>
        <w:rPr>
          <w:rFonts w:eastAsia="IRNazanin" w:cs="IRNazanin"/>
          <w:color w:val="111111"/>
          <w:sz w:val="28"/>
          <w:szCs w:val="28"/>
          <w:rtl w:val="true"/>
          <w:lang w:bidi="fa-IR"/>
        </w:rPr>
        <w:t>.</w:t>
      </w:r>
    </w:p>
    <w:p>
      <w:pPr>
        <w:pStyle w:val="Heading5"/>
        <w:numPr>
          <w:ilvl w:val="4"/>
          <w:numId w:val="1"/>
        </w:numPr>
        <w:rPr/>
      </w:pPr>
      <w:bookmarkStart w:id="570" w:name="__RefHeading___Toc3493835_2314609296"/>
      <w:bookmarkStart w:id="571" w:name="_Toc210"/>
      <w:bookmarkEnd w:id="570"/>
      <w:r>
        <w:rPr>
          <w:rtl w:val="true"/>
        </w:rPr>
        <w:t>[</w:t>
      </w:r>
      <w:r>
        <w:rPr>
          <w:rtl w:val="true"/>
        </w:rPr>
        <w:t>دعوی کون القید داعویة الأمر الکلی و نقدها</w:t>
      </w:r>
      <w:r>
        <w:rPr>
          <w:rtl w:val="true"/>
        </w:rPr>
        <w:t>]</w:t>
      </w:r>
      <w:bookmarkEnd w:id="571"/>
    </w:p>
    <w:p>
      <w:pPr>
        <w:pStyle w:val="BookText"/>
        <w:rPr/>
      </w:pPr>
      <w:r>
        <w:rPr>
          <w:rFonts w:ascii="IRNazanin" w:hAnsi="IRNazanin" w:eastAsia="IRNazanin"/>
          <w:color w:val="111111"/>
          <w:sz w:val="28"/>
          <w:sz w:val="28"/>
          <w:szCs w:val="28"/>
          <w:rtl w:val="true"/>
          <w:lang w:bidi="fa-IR"/>
        </w:rPr>
        <w:t xml:space="preserve">هذا کله علی تقدیر کون المراد بالأمر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المأمور به هو الصلاة المقیدة بداعی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شخص الأمر المتعلق بالصلاة المقیدة بداعی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کان المراد به هو طبیعة الأمر الذی یکون أحد مصادیقه هو ذلک الأمر المتعلق بها، بدعوی أن الصلاح إنما هو فی الصلاة المأتی بها بداعی الأمر الکلی، و یسری ذلک إلی ذلک الشخص من الأمر سرایة قهریة لکونه أحد مصادیق الطبیعة، فلا یرد علیه الاشکالات السابقة فی أخذ شخص ذلک الأمر فی متعلقه حتی علی طریقة شیخنا قدّس سرّه </w:t>
      </w:r>
      <w:r>
        <w:rPr>
          <w:rStyle w:val="FootnoteAnchor"/>
          <w:rtl w:val="true"/>
        </w:rPr>
        <w:footnoteReference w:id="771"/>
      </w:r>
      <w:r>
        <w:rPr>
          <w:rFonts w:ascii="IRNazanin" w:hAnsi="IRNazanin" w:eastAsia="IRNazanin"/>
          <w:color w:val="111111"/>
          <w:sz w:val="28"/>
          <w:sz w:val="28"/>
          <w:szCs w:val="28"/>
          <w:rtl w:val="true"/>
          <w:lang w:bidi="fa-IR"/>
        </w:rPr>
        <w:t>من أخذ الأمر مفروض الوجود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الطریقة أعنی کون الأمر هو طبیعة الأمر قد سلکها سیدنا الاستاذ السید أبو الحسن قدّس سرّه کما حررته عنه فی درسه، و نظّر ذلک بمثل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خبری صادق، فی شموله لنفس هذا القول، مع فرض أنه لم یصدر منه إلّا ذلک الخبر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سلکها أیضا الاستاذ العراقی قدّس سرّه فی مقالته </w:t>
      </w:r>
      <w:r>
        <w:rPr>
          <w:rStyle w:val="FootnoteAnchor"/>
          <w:rtl w:val="true"/>
        </w:rPr>
        <w:footnoteReference w:id="772"/>
      </w:r>
      <w:r>
        <w:rPr>
          <w:rFonts w:ascii="IRNazanin" w:hAnsi="IRNazanin" w:eastAsia="IRNazanin"/>
          <w:color w:val="111111"/>
          <w:sz w:val="28"/>
          <w:sz w:val="28"/>
          <w:szCs w:val="28"/>
          <w:rtl w:val="true"/>
          <w:lang w:bidi="fa-IR"/>
        </w:rPr>
        <w:t>و نظّر ذلک بشمول صدّق العادل للوسائط فی باب حجیّة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التنظیر الأول أولی، لأنه عین مسألتنا، حیث إنّ المأخوذ فی الصلاة و إن کان هو داعی طبیعة الأمر، إلّا أنه لا أمر هناک إلا هذا الأمر الذی تعلق بما اخذ فیه ذلک القید، فیکون حاله حال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w:t>
      </w:r>
      <w:r>
        <w:rPr>
          <w:rStyle w:val="FootnoteAnchor"/>
          <w:rtl w:val="true"/>
        </w:rPr>
        <w:footnoteReference w:id="773"/>
      </w:r>
      <w:r>
        <w:rPr>
          <w:rFonts w:ascii="IRNazanin" w:hAnsi="IRNazanin" w:eastAsia="IRNazanin"/>
          <w:color w:val="111111"/>
          <w:sz w:val="28"/>
          <w:sz w:val="28"/>
          <w:szCs w:val="28"/>
          <w:rtl w:val="true"/>
          <w:lang w:bidi="fa-IR"/>
        </w:rPr>
        <w:t>خبری صادق فی قصد طبیعة الخبر مع أنّک لم یصدر منک إلّا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وجوب التصدیق فی</w:t>
      </w:r>
    </w:p>
    <w:p>
      <w:pPr>
        <w:pStyle w:val="BookText"/>
        <w:rPr/>
      </w:pPr>
      <w:r>
        <w:rPr>
          <w:rFonts w:ascii="IRNazanin" w:hAnsi="IRNazanin" w:eastAsia="IRNazanin"/>
          <w:color w:val="111111"/>
          <w:sz w:val="28"/>
          <w:sz w:val="28"/>
          <w:szCs w:val="28"/>
          <w:rtl w:val="true"/>
          <w:lang w:bidi="fa-IR"/>
        </w:rPr>
        <w:t>حق الشیخ بمعنی رتب الأثر، فإنّه و إن انحصر الأثر فیه بلزوم التصدیق إلّا أنه فی حق المفید لا فی حق الشیخ، فیمکن التعدد أو التغایر بین الموضوع و الحکم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فی نفس المثال الذی ذکره السید قدّس سرّه مناقشة خاصة، و هی أنه مع فرض أنه لم تصدر منه إلّا تلک الجملة لا تکون تلک الجملة متصفة بصدق و لا بکذب، إذ لا واقع لها کی تکون مطابقة له أو غیر مطابقة کما حققناه فیما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جملة تسمعها من زید هی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أخبرک ذلک المخبر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إشکال فی المثال و لا یتأتی فیما نحن فیه أعنی طبیعة الأمر، و لک أن تغیّر المثال إلی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کلامی عربی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أن هذه الطریقة لو التزمنا بها لا یبقی إشکال فی البین إلّا إشکال عدم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بالترکیب المذکور و جعل الأمر متعلقا بالمجموع المرکب، و الالتزام بتقطیع الأمر إلی قطعة متعلقة بذات الصلاة و قطعة متعلقة بداعی الأمر الکلی الذی یکون مصداقه قهرا هو القطعة الاولی من الأمر المتعلقة بذات الصلاة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علی ذلک ما سیأتی </w:t>
      </w:r>
      <w:r>
        <w:rPr>
          <w:rStyle w:val="FootnoteAnchor"/>
          <w:rtl w:val="true"/>
        </w:rPr>
        <w:footnoteReference w:id="775"/>
      </w:r>
      <w:r>
        <w:rPr>
          <w:rFonts w:ascii="IRNazanin" w:hAnsi="IRNazanin" w:eastAsia="IRNazanin"/>
          <w:color w:val="111111"/>
          <w:sz w:val="28"/>
          <w:sz w:val="28"/>
          <w:szCs w:val="28"/>
          <w:rtl w:val="true"/>
          <w:lang w:bidi="fa-IR"/>
        </w:rPr>
        <w:t>إن شاء اللّه تعالی من أنّ الداعی الذی هو عبارة عن تصور العنوان الباعث علی الارادة لیس هو من أفعال النفس بل هو من انفعالاتها أو من کیفیاتها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قصد العنوان بالفعل الخارجی من أفعال النفس و لیس هو عبارة عن نفس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یظهر من المحشی أنه جعلهما شیئا واحدا، فعطف جعل الأمر داعیا علی</w:t>
      </w:r>
    </w:p>
    <w:p>
      <w:pPr>
        <w:pStyle w:val="BookText"/>
        <w:rPr/>
      </w:pPr>
      <w:r>
        <w:rPr>
          <w:rFonts w:ascii="IRNazanin" w:hAnsi="IRNazanin" w:eastAsia="IRNazanin"/>
          <w:color w:val="111111"/>
          <w:sz w:val="28"/>
          <w:sz w:val="28"/>
          <w:szCs w:val="28"/>
          <w:rtl w:val="true"/>
          <w:lang w:bidi="fa-IR"/>
        </w:rPr>
        <w:t>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ما یظهر من الاستاذ العراقی قدّس سرّه فی مقالته فانه ظاهر فی أن متعلق الأمر الثانی هو الدعوة، و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قطعة اخری متعلقة بالدعوة</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 xml:space="preserve">و سیأتی إن شاء اللّه تعالی </w:t>
      </w:r>
      <w:r>
        <w:rPr>
          <w:rStyle w:val="FootnoteAnchor"/>
          <w:rtl w:val="true"/>
        </w:rPr>
        <w:footnoteReference w:id="777"/>
      </w:r>
      <w:r>
        <w:rPr>
          <w:rFonts w:ascii="IRNazanin" w:hAnsi="IRNazanin" w:eastAsia="IRNazanin"/>
          <w:color w:val="111111"/>
          <w:sz w:val="28"/>
          <w:sz w:val="28"/>
          <w:szCs w:val="28"/>
          <w:rtl w:val="true"/>
          <w:lang w:bidi="fa-IR"/>
        </w:rPr>
        <w:t>أنّ مرحلة کون عنوان الامتثال داعیا غیر مرحلة کونه مقصودا من الفعل بواسطة کونه عنوانا ثانویا له، و أن المرحلة القابلة لتعلق التکلیف هی الثانیة دون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فنحن بناء علی هذه الطریقة أعنی کون المراد بالأمر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المأمور به هو الصلاة بداعی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طبیعة الأمر التی یکون أحد مصادیقها هو نفس ذلک الأمر المتعلق بالصلاة، نکون فی راحة من إشکال أخذ نفس الحکم فی موضوعه لنحتاج فی دفعه إلی حدیث التوأمیة المستفادة من قول المقرر الآملی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فالتحقیق فی الجواب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نحتاج إلی حدیث التوأمیة فی دفع اشکال القدرة، و تقریبه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صلّ بداعی طبیعة الأمر المتعلق بذات الصلاة یتضمن إیجاد وجوبین، أحدهما متعلق بذات الصلاة و الآخر متعلق بالاتیان بها بداعی طبیعة الأمر المنطبق علی الوجوب الأول المتعلق بذات الصلاة، فکان ذات الوجوب الأول موضوعا للوجوب الثانی، و یکون حالهما من هذه الجهة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وجوب التصدیق فی حق الشیخ، فی حین أن موضوعه الذی هو الأثر هو عین صدّق المفید، و قد تعرض الآملی لذلک مفصلا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ذلک لا 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ذات الصلاة التی تعلقت بها الحصة الاولی من الوجوب کما ذکره </w:t>
      </w:r>
      <w:r>
        <w:rPr>
          <w:rStyle w:val="FootnoteAnchor"/>
          <w:rtl w:val="true"/>
        </w:rPr>
        <w:footnoteReference w:id="780"/>
      </w:r>
      <w:r>
        <w:rPr>
          <w:rFonts w:ascii="IRNazanin" w:hAnsi="IRNazanin" w:eastAsia="IRNazanin"/>
          <w:color w:val="111111"/>
          <w:sz w:val="28"/>
          <w:sz w:val="28"/>
          <w:szCs w:val="28"/>
          <w:rtl w:val="true"/>
          <w:lang w:bidi="fa-IR"/>
        </w:rPr>
        <w:t xml:space="preserve">لیست هی مطلق الصلاة و لا الصلاة المقیدة، بل هی الحصة من طبیعة الصلاة أعنی الصلاة المقترنة بدعوة الأمر إلیها، بحیث إن المکلف لو فعل الصلاة لا بداعی أمرها لما کان ممتثلا لأمرها و إن قلنا بخروج قصد الامتثال عن حیّز ذلک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إلی ذلک یشیر فیما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هذه العبارة و نحوها إنشاء لوجوبین، أحدهما متعلق بالحصة المقارنة لدعوة الأمر أو لقصد امتثال الأمر من طبیعة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هذه التوأمیة محتاج إلیها حتی لو صرفنا قید الامتثال عن مرحلة الداعی إلی مرحلة القصد، فإنّ أقصی ما فی البین حینئذ هو تعلق الوجوب بالصلاة التی یقصد بالاتیان بها امتثال طبیعة الأمر المتعلق بها، فإن صرف قید الامتثال من مرحلة الداعی إلی مرحلة القصد إنما یدفع إشکال کون الداعی غیر قابل لتعلق التکلیف به جزءا کان أو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جعل الأمر الذی اعتبر قصد امتثاله هو طبیعة الأمر إنما یدفع إشکال أخذ الحکم موضوعا لنفسه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هاتین المرحلتین أعنی صرف الامتثال من الداعویة إلی مرحلة القصد و جعل الأمر الذی اعتبر امتثاله طبیعة الأمر لا شخص الأمر المتعلق بذات الصلاة، یتوجه إشکال عدم القدرة، و یندفع بالترکیب و جعل الحصة الاولی من الأمر موضوعا للحصة الثانیة، و لازم ذلک هو کون متعلق الحصة الاولی من الوجوب هو ذات الصلاة، أعنی الحصة من طبیعة الصلاة التی</w:t>
      </w:r>
      <w:bookmarkStart w:id="572" w:name="pg19834_212476"/>
    </w:p>
    <w:p>
      <w:pPr>
        <w:pStyle w:val="BookText"/>
        <w:rPr/>
      </w:pPr>
      <w:bookmarkEnd w:id="572"/>
      <w:r>
        <w:rPr>
          <w:rFonts w:ascii="IRNazanin" w:hAnsi="IRNazanin" w:eastAsia="IRNazanin"/>
          <w:color w:val="111111"/>
          <w:sz w:val="28"/>
          <w:sz w:val="28"/>
          <w:szCs w:val="28"/>
          <w:rtl w:val="true"/>
          <w:lang w:bidi="fa-IR"/>
        </w:rPr>
        <w:t>تکون توأما مع قصد الامتثال، فلاحظ و تدبر،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المطلب بعد هذا کله لا یخلو عن الاشکال، لأنا و إن قلنا بأن متعلق الأمر هو الصلاة المقیدة بداعی طبیعة الأمر، فذات الصلاة لم تقع موردا للأمر إلّا بتحویل التقیید إلی الترکیب، لیکون الأمر واردا علی ذات الصلاة و داعی الأمر، أو الصلاة و قصد امتثال الأمر، فنحن ننقل الکلام إلی تلک الحصة من الأمر الواردة علی ذات الصلاة التی هی أحد جزأی المأمور به، و نقول إن ذلک الجزء و هو ذات الصلاة مقید بالجزء الآخر الذی هو قصد الامتثال أو داعی الامتثال، لأن الفرض هو ارتباطیة الأجزاء، فعاد الاشکال، و هو أن ذات الصلاة لم تکن مأمورا بها و لو بتلک الحصة من الأمر، و إنّما المأمور به فی تلک الحصة هو الصلاة المقیدة بالجزء الآخر، فلو حوّلنا متعلق تلک الحصة إلی الترکیب عاد محذور الحصة، و أنّ متعلقها لیس هو ذات الصلاة لفرض الارتباطیة، و هکذا إلی ما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بأنّ ذات الصلاة مأمور بها فی ضمن الأمر المتعلق بالمقید من دون إرجاعه إلی الترکیب، لقلنا بمنع ذلک، و أن الذات لا یناله الأمر فی ضمن الأمر بالمقید، و لو تمّ ذلک لقلنا به من أول الأمر بلا حاجة إلی التحویل من التقیید إلی الترکیب،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فرضنا عدم التفات الآمر الجاهل إلی انقسام الجیران إلی صدیق و عدو، فلا یکون حینئذ إطلاق و تقیید فی مقام الثبوت أیضا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3493837_2314609296"/>
      <w:bookmarkStart w:id="574" w:name="_Toc211"/>
      <w:bookmarkEnd w:id="573"/>
      <w:r>
        <w:rPr>
          <w:rtl w:val="true"/>
        </w:rPr>
        <w:t>[</w:t>
      </w:r>
      <w:r>
        <w:rPr>
          <w:rtl w:val="true"/>
        </w:rPr>
        <w:t>هل یمکن الاهمال فی مقام الثبوت بالنسبة للآمر الجاهل بالانقسام</w:t>
      </w:r>
      <w:bookmarkEnd w:id="57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هل یتحقق الاهمال فی مقام الثبوت علی وجه یتوقف المأمور</w:t>
      </w:r>
      <w:bookmarkStart w:id="575" w:name="pg19834_212477"/>
    </w:p>
    <w:p>
      <w:pPr>
        <w:pStyle w:val="BookText"/>
        <w:rPr/>
      </w:pPr>
      <w:bookmarkEnd w:id="575"/>
      <w:r>
        <w:rPr>
          <w:rFonts w:ascii="IRNazanin" w:hAnsi="IRNazanin" w:eastAsia="IRNazanin"/>
          <w:color w:val="111111"/>
          <w:sz w:val="28"/>
          <w:sz w:val="28"/>
          <w:szCs w:val="28"/>
          <w:rtl w:val="true"/>
          <w:lang w:bidi="fa-IR"/>
        </w:rPr>
        <w:t>فی إکرام عدوه بل یتوقف أیضا فی إکرام صدیقه، إذ لیس المقام من باب القدر المتیقن، لأن ذلک إنما هو فی مقام الاثبات و کلامنا فی مقام الثبوت، أو یکون الاطلاق ذاتیا و تکون السرایة قهریة علی الآمر و إن لم یقصدها، فیکون اللازم علی المأمور إکرام صدیقه کما یلزمه إکرام عدوه؟ محل تأمل 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لو أوصی بمال أو وقف للعلماء أو علی العلماء و لکن الواقف أو الموصی کان جاهلا بانقسامهم إلی أخباریین و اصولیین، لأنه لا یعرف هذا التقسیم، أو کان غافلا عنه علی وجه لو نبّهه علی ذلک منبّه فلربما أطلق أو ربما قیّد بأحد القسمین فلا یکون فی البین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إن القدر المتیقن من کان الموصی أو الواقف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بالقدر المتیقن إنما هو فی مقام الاثبات لا فی مقام الثبوت، و یتضح ذلک بما لو کان هو أعنی الموصی أو الواقف خارجا عن القسمین مثل الانقسام إلی القائلین بالانفتاح و القائلین بالانسداد</w:t>
      </w:r>
      <w:r>
        <w:rPr>
          <w:rFonts w:eastAsia="IRNazanin" w:cs="IRNazanin"/>
          <w:color w:val="111111"/>
          <w:sz w:val="28"/>
          <w:szCs w:val="28"/>
          <w:rtl w:val="true"/>
          <w:lang w:bidi="fa-IR"/>
        </w:rPr>
        <w:t>.</w:t>
      </w:r>
    </w:p>
    <w:p>
      <w:pPr>
        <w:pStyle w:val="Heading5"/>
        <w:numPr>
          <w:ilvl w:val="4"/>
          <w:numId w:val="1"/>
        </w:numPr>
        <w:rPr/>
      </w:pPr>
      <w:bookmarkStart w:id="576" w:name="__RefHeading___Toc3493839_2314609296"/>
      <w:bookmarkStart w:id="577" w:name="_Toc212"/>
      <w:bookmarkEnd w:id="576"/>
      <w:r>
        <w:rPr>
          <w:rtl w:val="true"/>
        </w:rPr>
        <w:t>[</w:t>
      </w:r>
      <w:r>
        <w:rPr>
          <w:rtl w:val="true"/>
        </w:rPr>
        <w:t>استحالة تقیید موضوع الحکم بحال العلم بالحکم للزوم الدور</w:t>
      </w:r>
      <w:r>
        <w:rPr>
          <w:rtl w:val="true"/>
        </w:rPr>
        <w:t>]</w:t>
      </w:r>
      <w:bookmarkEnd w:id="57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الطرف الآخر جعلی، و هو توقف فعلیة الحکم علی وجود العلم، لأخذه فی الموضوع شرعا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أنا لو أخذنا العلم بالحرمة جزءا من موضوعها لیکون مرکب الحرمة هو الخمر المعلوم الحرمة، یکون تحقق الحرمة متوقفا علی تحقق جزء موضوعها الذی هو العلم بالحرمة، و العلم بالحرمة یتوقف علی تحقق الحرمة، أمّا الأول فلکونه جزءا من موضوعها، و أمّا الثانی فلأن العلم بالشی‌ء یتوقف علی تحقق الشی‌ء، لأن المفروض هو کون العلم جزء الموضوع، نعم لو اخذ العلم تمام الموضوع لم یکن متوقفا علی الواقع</w:t>
      </w:r>
    </w:p>
    <w:p>
      <w:pPr>
        <w:pStyle w:val="BookText"/>
        <w:rPr/>
      </w:pPr>
      <w:r>
        <w:rPr>
          <w:rFonts w:ascii="IRNazanin" w:hAnsi="IRNazanin" w:eastAsia="IRNazanin"/>
          <w:color w:val="111111"/>
          <w:sz w:val="28"/>
          <w:sz w:val="28"/>
          <w:szCs w:val="28"/>
          <w:rtl w:val="true"/>
          <w:lang w:bidi="fa-IR"/>
        </w:rPr>
        <w:t>و تکون النتیجة هی أن تحقق الحرمة متوقف علی تحقق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هذا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إن تحقق الحرمة عبارة عن فعلیتها، لکن العلم بالحرمة لا یتوقف علی فعلیتها بل علی وجودها واقعا، و حینئذ تکون النتیجة هی أن فعلیة الحرمة تتوقف علی تحقق العلم بها و تحقق العلم بها لا یتوقف علی فعلیتها بل علی وجودها واقعا أو إنشاء، و یکون الحاصل أنک إذا علمت بوجود الحرمة إنشاء صارت فعلیة فی حقک، و حاصله ما فی الکفایة من أخذ العلم بالحکم فی مرتبة موضوعا له فی مرتبة اخری، و لکن ذلک مبنی علی المغایرة بین الحکم الانشائی و الفعلی علی تأمل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المغایرة لو تمت کان المورد خارجا عن مورد الدور، لأن الدور إنّما هو فیما لو کان الحکم المعلوم هو عین الحکم الذی اخذ العلم به موضوعا له کما 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یمکن أن یؤخذ القطع بحکم فی موضوع نفس هذا الحکم للزوم الدور، و لا مثله للزوم اجتماع المثلین، و لا ضده للزوم اجتماع الضدین، نعم یصح أخذ القطع بمرتبة من الحکم فی مرتبة اخری منه أو مثله أو ضده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المقام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لو ثبت فی بعض الأحکام تقیدها بالعلم کما یقال فی مسألة الجهر و الاخفات، فهل یجری فیه الدور المذکور أو أنّ ذلک لأجل أنه لیس من التقیید اللحاظی بل من باب نتیجة التقیید بطریقة متمم الجعل أو بطریقة اخری، فلا یتأتی فیه الدور المذکور، و إن شئت التفصیل فراجع ما علّقناه </w:t>
      </w:r>
      <w:r>
        <w:rPr>
          <w:rStyle w:val="FootnoteAnchor"/>
          <w:rtl w:val="true"/>
        </w:rPr>
        <w:footnoteReference w:id="785"/>
      </w:r>
      <w:r>
        <w:rPr>
          <w:rFonts w:ascii="IRNazanin" w:hAnsi="IRNazanin" w:eastAsia="IRNazanin"/>
          <w:color w:val="111111"/>
          <w:sz w:val="28"/>
          <w:sz w:val="28"/>
          <w:szCs w:val="28"/>
          <w:rtl w:val="true"/>
          <w:lang w:bidi="fa-IR"/>
        </w:rPr>
        <w:t>فی أوائل مباحث القطع، و راجع ما</w:t>
      </w:r>
    </w:p>
    <w:p>
      <w:pPr>
        <w:pStyle w:val="BookText"/>
        <w:rPr/>
      </w:pPr>
      <w:r>
        <w:rPr>
          <w:rFonts w:ascii="IRNazanin" w:hAnsi="IRNazanin" w:eastAsia="IRNazanin"/>
          <w:color w:val="111111"/>
          <w:sz w:val="28"/>
          <w:sz w:val="28"/>
          <w:szCs w:val="28"/>
          <w:rtl w:val="true"/>
          <w:lang w:bidi="fa-IR"/>
        </w:rPr>
        <w:t xml:space="preserve">حررناه فی هذا المقام أعنی مسألة التعبدی و التوصلی من درس شیخنا قدّس سرّه و ما علّقنا علیه هناک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 العلم بالحرمة إذا اخذ قیدا فی الموضوع، کأن یقول الخمر المعلوم الحرمة حرام، لا یلزم منه الدور و لا إشکال التقدم و التأخر، بل یلزم منه اجتماع المثلین مع اختلاف الرتبة، و الأول هو الحرمة الطارئة علی نفس الخمر و الثانی هو الطارئة بعد العلم بالاولی، فان کان اختلاف الرتبة مسوّغا لسوّغه فی الضدین أو النقیضین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بحرمة شرب الخمر وجب شربها، و هذا التفصیل بعینه جار فیما لو اخذ العلم بالحرمة قیدا فی المکلف، کأن یقول أیّها العالم بحرمة الخمر یحرم علیک شربها، و هکذا الحال فی ناحیة المتعلق مثل أیّها العالم بوجوب الصلاة یجب علیک الاتیان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لیس محل الکلام فی هذا النحو من أخذ العلم بالحکم قیدا فی الموضوع أو المکلف أو المتعلق، بل إنّما محل الکلام هو أخذ العلم بالحکم قیدا فی موضوع نفس ذلک الحکم أو المکلف أو المتعلق، بحیث تکون الحرمة المجعولة مقیدة موضوعا أو مکلفا أو متعلقا بالعلم بنفسها، و ذلک کما یقال إن وجوب الجهر فی القراءة مختص بالعالم بذلک الوجوب، و هذا هو الذی یقولون إنه یمتنع فیه الاطلاق اللحاظی و التقیید اللحاظی، لکنهم لم یمنعوا فیه الاطلاق الذاتی و التقیید الذاتی المعبّر عنه فی کلمات شیخنا بنتیجة الاطلاق أو نتیجة التقیید</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w:t>
      </w:r>
    </w:p>
    <w:p>
      <w:pPr>
        <w:pStyle w:val="BookText"/>
        <w:rPr/>
      </w:pPr>
      <w:r>
        <w:rPr>
          <w:rFonts w:ascii="IRNazanin" w:hAnsi="IRNazanin" w:eastAsia="IRNazanin"/>
          <w:color w:val="111111"/>
          <w:sz w:val="28"/>
          <w:sz w:val="28"/>
          <w:szCs w:val="28"/>
          <w:rtl w:val="true"/>
          <w:lang w:bidi="fa-IR"/>
        </w:rPr>
        <w:t>الأول أغلب الأحکام فانّها شاملة للعالمین بها کشمولها للجاهلین بها، و مثال الثانی مسألة القصر و الاتمام و الجهر و الاخفات، و هل یکون ذلک بطریقة متمم الجعل أو بطریقة اخری، فی ذلک أبحاث شرحناها فی أوائل مباحث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إن الدور اللازم فی التقیید اللحاظی غیر جار فیما هو نتیجة التقیید، و هکذا إشکال التقدم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الحجر الأساسی هو هذا الأخیر، أعنی إشکال التقدم و التأخر فی مقام الجعل کما شرحناه غیر مرّة و إلیه الاشارة فی الکفایة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لاستحالة أخذ ما لا یکاد یتأتی إلّا من قبل الأمر بشی‌ء فی متعلق ذاک الأمر</w:t>
      </w:r>
      <w:r>
        <w:rPr>
          <w:rStyle w:val="FootnoteAnchor"/>
          <w:rtl w:val="true"/>
        </w:rPr>
        <w:footnoteReference w:id="788"/>
      </w:r>
      <w:r>
        <w:rPr>
          <w:rFonts w:ascii="Amiri" w:hAnsi="Amiri" w:eastAsia="Amiri" w:cs="Amiri"/>
          <w:color w:val="111111"/>
          <w:sz w:val="28"/>
          <w:sz w:val="28"/>
          <w:szCs w:val="28"/>
          <w:rtl w:val="true"/>
          <w:lang w:bidi="ar-SA"/>
        </w:rPr>
        <w:t xml:space="preserve">و قد شرحه شیخنا قدّس سرّه </w:t>
      </w:r>
      <w:r>
        <w:rPr>
          <w:rStyle w:val="FootnoteAnchor"/>
          <w:rtl w:val="true"/>
        </w:rPr>
        <w:footnoteReference w:id="789"/>
      </w:r>
      <w:r>
        <w:rPr>
          <w:rFonts w:ascii="IRNazanin" w:hAnsi="IRNazanin" w:eastAsia="IRNazanin"/>
          <w:color w:val="111111"/>
          <w:sz w:val="28"/>
          <w:sz w:val="28"/>
          <w:szCs w:val="28"/>
          <w:rtl w:val="true"/>
          <w:lang w:bidi="fa-IR"/>
        </w:rPr>
        <w:t>بما لا مزید علیه، و حیث کان أصل الجعل ممتنعا لا تصل النوبة إلی مقام فعلیة الحکم التی هی مرکز الاشکال بالدور، فإن الدور و عدم القدرة التی ربما کان قوله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 تکن الصلاة متعلقة للأمر لا یکاد یمکن الاتیان بها بداعی ذلک الأمر </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إشارة إلیه، کل هذه الاشکالات متفرعة علی ذلک الاشکال فی مقام الجعل، و هو المانع من کل من الاطلاق و التقیید اللحاظیین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یرد علی القول بسقوطهما لزوم الاهمال فی الواقع، لما حققه شیخنا قدّس سرّه </w:t>
      </w:r>
      <w:r>
        <w:rPr>
          <w:rStyle w:val="FootnoteAnchor"/>
          <w:rtl w:val="true"/>
        </w:rPr>
        <w:footnoteReference w:id="791"/>
      </w:r>
      <w:r>
        <w:rPr>
          <w:rFonts w:ascii="IRNazanin" w:hAnsi="IRNazanin" w:eastAsia="IRNazanin"/>
          <w:color w:val="111111"/>
          <w:sz w:val="28"/>
          <w:sz w:val="28"/>
          <w:szCs w:val="28"/>
          <w:rtl w:val="true"/>
          <w:lang w:bidi="fa-IR"/>
        </w:rPr>
        <w:t>و شرحناه من کون التقابل بینهما من قبیل العدم و الملکة، فلا یمتنع سقوطهما فی المورد غیر القابل لهما کسقوط العمی و البصر عن الجدار</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سقوط الاطلاق و التقیید</w:t>
      </w:r>
    </w:p>
    <w:p>
      <w:pPr>
        <w:pStyle w:val="BookText"/>
        <w:rPr/>
      </w:pPr>
      <w:r>
        <w:rPr>
          <w:rFonts w:ascii="IRNazanin" w:hAnsi="IRNazanin" w:eastAsia="IRNazanin"/>
          <w:color w:val="111111"/>
          <w:sz w:val="28"/>
          <w:sz w:val="28"/>
          <w:szCs w:val="28"/>
          <w:rtl w:val="true"/>
          <w:lang w:bidi="fa-IR"/>
        </w:rPr>
        <w:t>اللحاظیین لا یلزمه الاهمال فی الواقع، بل یکون الثابت فی الواقع هو نتیجة الاطلاق کما عرفت فی أغلب الأحکام بالنسبة إلی العلم و الجهل المتعلقین بها، إلّا أنه محتاج إلی عملیة متمم الجعل و نحوه، إلّا أن تلک العملیات لا تسلم من الاهمال فی مقام الثبوت بأول درجة الجعل، إلّا أن ذلک الاهمال الثبوتی لا بد من الالتزام به فی أول درجة الجعل، لمحالیة الاطلاق و التقیید اللحاظیین، إلّا أن هذا الاهمال الثبوتی هو عین الاطلاق الذاتی، و الغرض إنّما هو نفی الاطلاق و التقیید اللحاظیین، فانهما یتوقفان علی النظر إلی القید وجودا و عدما أو وجودا فقط أو عدما فقط، و ذلک أعنی النظر إلی مثل تلک القیود محال فی مقام جعل الحکم، و إلّا فما الذی نصنعه فی القیود المتأخرة عن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یجری کل من التقیید اللحاظی و الذاتی مثل وجود المأمور به و الاطاعة و العصیان و نحو ذلک مما یستحیل فیه حتی الاطلاق و التقیید الذاتیین، فإن المکلف بالصلاة لا إشکال فی انقسامه إلی المطیع لذلک الأمر و العاصی له، فهل یتأتی فی مقام أمر الآمر بالصلاة المتوجه إلی المکلفین بالنسبة إلی من یطیع ذلک الأمر و من یعصیه إلّا الاهمال فی مقام الثبوت و عدم کل من اللحاظی و الذاتی، فلاحظ و تدبر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المتعین فی ذلک هو الاکتفاء بالاطلاق الذاتی و السرایة القهریة، غیر أنه عند العلم بالحکم یکون الحکم متحققا کما أن العلم به متحقق أیضا، و یکون الأول أعنی الحکم متقدما رتبة علی الثانی أعنی العلم کما فی اجتماع العلة و المعلول فی الزمان، و هکذا الحال بالنسبة إلی الجهل، و علی هذه الطریقة ینبغی الجریان فی داعی الأمر فانه و إن امتنع التقیید به لحاظا إلّا أن ذلک إنّما یوجب سدّ باب الاطلاق اللحاظی، و یبقی الاطلاق الذاتی القاضی بانطباق الطبیعة المأمور بها علی کل من المأتی به</w:t>
      </w:r>
      <w:bookmarkStart w:id="578" w:name="pg19834_212482"/>
    </w:p>
    <w:p>
      <w:pPr>
        <w:pStyle w:val="BookText"/>
        <w:rPr/>
      </w:pPr>
      <w:bookmarkEnd w:id="578"/>
      <w:r>
        <w:rPr>
          <w:rFonts w:ascii="IRNazanin" w:hAnsi="IRNazanin" w:eastAsia="IRNazanin"/>
          <w:color w:val="111111"/>
          <w:sz w:val="28"/>
          <w:sz w:val="28"/>
          <w:szCs w:val="28"/>
          <w:rtl w:val="true"/>
          <w:lang w:bidi="fa-IR"/>
        </w:rPr>
        <w:t>بداعی الأمر و المأتی به لا بهذا الداعی ما لم یکن قد تحقق الجعل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الانقسامات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لموضوعات التکالیف أو لمتعلقاتها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یعقل فیها التقیید، فلا یتصور فیها الاطلاق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3493841_2314609296"/>
      <w:bookmarkStart w:id="580" w:name="_Toc213"/>
      <w:bookmarkEnd w:id="579"/>
      <w:r>
        <w:rPr>
          <w:rtl w:val="true"/>
        </w:rPr>
        <w:t>[</w:t>
      </w:r>
      <w:r>
        <w:rPr>
          <w:rtl w:val="true"/>
        </w:rPr>
        <w:t>نقد ما ذکره السید الخوئی قدّس سرّه تعلیقا علی کلام الماتن من استحالة الاهمال فی الواقع</w:t>
      </w:r>
      <w:bookmarkEnd w:id="580"/>
    </w:p>
    <w:p>
      <w:pPr>
        <w:pStyle w:val="BookText"/>
        <w:rPr/>
      </w:pPr>
      <w:r>
        <w:rPr>
          <w:rFonts w:ascii="IRNazanin" w:hAnsi="IRNazanin" w:eastAsia="IRNazanin"/>
          <w:color w:val="111111"/>
          <w:sz w:val="28"/>
          <w:sz w:val="28"/>
          <w:szCs w:val="28"/>
          <w:rtl w:val="true"/>
          <w:lang w:bidi="fa-IR"/>
        </w:rPr>
        <w:t>أورد علیه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متعلق الشوق لا بد و أن یکون متعینا فی ظرف تعلقه به و لو بعنوانه الإجمالی، و یستحیل فرض الاهمال فی الواقع و تعلق الشوق بما لا تعین له فی مرحلة تعلقه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الشوق فی حقه تعالی فلا أعرف حقیقته، و علی کل حال هو من مقدمات الارادة أو هو عینها، و قد بنی شیخنا قدّس سرّه </w:t>
      </w:r>
      <w:r>
        <w:rPr>
          <w:rStyle w:val="FootnoteAnchor"/>
          <w:rtl w:val="true"/>
        </w:rPr>
        <w:footnoteReference w:id="794"/>
      </w:r>
      <w:r>
        <w:rPr>
          <w:rFonts w:ascii="IRNazanin" w:hAnsi="IRNazanin" w:eastAsia="IRNazanin"/>
          <w:color w:val="111111"/>
          <w:sz w:val="28"/>
          <w:sz w:val="28"/>
          <w:szCs w:val="28"/>
          <w:rtl w:val="true"/>
          <w:lang w:bidi="fa-IR"/>
        </w:rPr>
        <w:t>علی أن الطلب متأخر عنها و هو مغایر لها، و حینئذ لا یکون الشوق إلّا ناشئا عن الصلاح فی الفعل المشتاق إلیه، و هو لا شک فی کونه متعلقا بنفس الفعل الواجد للمصلحة، فلو کانت المصلحة مختصة بالفعل المقید بداعی الأمر و الطلب أو کانت شاملة لما هو بداعی الأمر و لما لم یکن بداعیه، یکون ذلک الشوق المزعوم تابعا لها، و یستحیل أن یکون متعلقه مهملا فی الواقع من هذه الجهة، لکن ذلک لا دخل له بمقام الطلب و الأمر بناء علی ما أفاده شیخنا قدّس سرّه من کون الطلب غیر الشوق و غیر الارادة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وحدة الجمیع، بمعنی أن الشوق و الارادة هما نفس الطلب و الأمر، لقلنا إنه فی صورة کون المصلحة مختصة بخصوص الفعل الصادر بداعی الأمر و الطلب یکون الشوق المفروض کونه عین الطلب</w:t>
      </w:r>
    </w:p>
    <w:p>
      <w:pPr>
        <w:pStyle w:val="BookText"/>
        <w:rPr/>
      </w:pPr>
      <w:r>
        <w:rPr>
          <w:rFonts w:ascii="IRNazanin" w:hAnsi="IRNazanin" w:eastAsia="IRNazanin"/>
          <w:color w:val="111111"/>
          <w:sz w:val="28"/>
          <w:sz w:val="28"/>
          <w:szCs w:val="28"/>
          <w:rtl w:val="true"/>
          <w:lang w:bidi="fa-IR"/>
        </w:rPr>
        <w:t>و الارادة متعلقا بالفعل الذی تعلق به الشوق، فهل تجد من وجدانک إمکان تعلق شوقک بالفعل المقید بکونه متعلقا لشوقک و لو کانت المصلحة شاملة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بداعی الشوق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متعلق الشوق المذکور هو الفعل الشامل لما تعلق به الشوق و ما لم یتعلق، فهل تجد من نفسک إمکان تعلق شوقک بالفعل، سواء کان متعلقا لشوقک أو لم یکن متعلقا له، بحیث إنّک تجد أنّ کلا من هذین القسمین من الفعل واقعا تحت شوقک المذکور، أو أنّک لا تجد إلّا أن نفس الفعل تحت شوقک، و لا تجد فی مرتبة تعلق شوقک بذلک الفعل أنّ ما هو متعلق شوقک کان قابلا لأن یتقید بکونه متعلقا لشوقک أو قابلا لأن یکون هو الأعم مما تعلق به شوقک و ما لم یتعلق به، و من الواضح أن صدور الفعل بداعی شوقک هو عبارة عن کونه مقیدا بکونه بشوقک، و صدور الفعل بالأعم من داعی شوقک أو بداع آخر هو عبارة عن کونه مطلقا من ناحیة تعلق شوقک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إنّما هو فی الانقسام المتأخر رتبة عن نفس الحکم، و الحکم لا یختص بما یکون راجعا إلی الشوق کما فی مثل الاباحة و مثل الأحکام الوضعیة کالطهارة و النجاسة و الصحة و الفساد و الملکیة و الرقیة و الزوجیة إلی غیر ذلک من الأحکام الوضعیة، فهل یمکن أن تکون تلک الأحکام مقیدة بالعلم بها أو تکون مطلقة من ناحیة العلم، و هل یصحح إطلاقها من هذه الناحیة أخذ الحکم بمعنی الشوق، و هل ینطبق مسلک الشوق علی مثل هذه الأحکام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أنا الحقیر القاصر النظر فلا أعرف للشوق فی حقه تعالی معنی محصلا فی الأحکام التکلیفیة الاقتضائیة فضلا عن مثل الإباحة و الطهارة و النجاسة، و ما هو الذی یجعلونه فی هذه الأحکام قائما مقام الشوق فی</w:t>
      </w:r>
      <w:bookmarkStart w:id="581" w:name="pg19834_212484"/>
    </w:p>
    <w:p>
      <w:pPr>
        <w:pStyle w:val="BookText"/>
        <w:rPr/>
      </w:pPr>
      <w:bookmarkEnd w:id="581"/>
      <w:r>
        <w:rPr>
          <w:rFonts w:ascii="IRNazanin" w:hAnsi="IRNazanin" w:eastAsia="IRNazanin"/>
          <w:color w:val="111111"/>
          <w:sz w:val="28"/>
          <w:sz w:val="28"/>
          <w:szCs w:val="28"/>
          <w:rtl w:val="true"/>
          <w:lang w:bidi="fa-IR"/>
        </w:rPr>
        <w:t>کون متعلقه یستحیل فیه الاهمال، نظری قاصر عن ذلک، و لا بد أن أکون معذورا فی جهلی بذلک الشوق و</w:t>
      </w:r>
      <w:r>
        <w:rPr>
          <w:rStyle w:val="FootnoteAnchor"/>
          <w:rtl w:val="true"/>
        </w:rPr>
        <w:footnoteReference w:id="795"/>
      </w:r>
      <w:r>
        <w:rPr>
          <w:rFonts w:ascii="IRNazanin" w:hAnsi="IRNazanin" w:eastAsia="IRNazanin"/>
          <w:color w:val="111111"/>
          <w:sz w:val="28"/>
          <w:sz w:val="28"/>
          <w:szCs w:val="28"/>
          <w:rtl w:val="true"/>
          <w:lang w:bidi="fa-IR"/>
        </w:rPr>
        <w:t>بما هو قائم مقامه فی تلک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یعرف الشوق إلّا من یکابده‌و لا الصبابة إلّا من یعانیها</w:t>
      </w:r>
    </w:p>
    <w:p>
      <w:pPr>
        <w:pStyle w:val="BookText"/>
        <w:rPr/>
      </w:pPr>
      <w:r>
        <w:rPr>
          <w:rFonts w:ascii="IRNazanin" w:hAnsi="IRNazanin" w:eastAsia="IRNazanin"/>
          <w:color w:val="111111"/>
          <w:sz w:val="28"/>
          <w:sz w:val="28"/>
          <w:szCs w:val="28"/>
          <w:rtl w:val="true"/>
          <w:lang w:bidi="fa-IR"/>
        </w:rPr>
        <w:t>قوله فی الحاشیة المشار إلیها فی مقام الجواب عن کون التقابل بین الاطلاق و التقیید من قبیل العدم و الملکة، و أنه لا بد فی العدم المقابل للملکة من قابلیة المحل للوجود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القابلیة المعتبرة فیه لا یلزم أن تکون شخصیة دائما، بل یجوز أن تکون صنفیة أو نوعیة أو جنسیة، أ لا تری أنّه یصدق علی الانسان أنّه جاهل بحقیقة ذات الواجب و صفاته مع أنّه یستحیل أن یکون عالما بها، فلو کان استحالة أحد المتقابلین تقابل العدم و الملکة مستلزمة لاستحالة الآخر، لزم استحالة الجهل فی مفروض المثال، مع أنّه ضروری وجدانا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3493843_2314609296"/>
      <w:bookmarkStart w:id="583" w:name="_Toc214"/>
      <w:bookmarkEnd w:id="582"/>
      <w:r>
        <w:rPr>
          <w:rtl w:val="true"/>
        </w:rPr>
        <w:t>[</w:t>
      </w:r>
      <w:r>
        <w:rPr>
          <w:rtl w:val="true"/>
        </w:rPr>
        <w:t>نقد ما ذکره السید الخوئی قدّس سرّه فی الجواب عن التقابل بین الاطلاق و التقیید</w:t>
      </w:r>
      <w:r>
        <w:rPr>
          <w:rtl w:val="true"/>
        </w:rPr>
        <w:t>]</w:t>
      </w:r>
      <w:bookmarkEnd w:id="583"/>
    </w:p>
    <w:p>
      <w:pPr>
        <w:pStyle w:val="BookText"/>
        <w:rPr/>
      </w:pPr>
      <w:r>
        <w:rPr>
          <w:rFonts w:ascii="IRNazanin" w:hAnsi="IRNazanin" w:eastAsia="IRNazanin"/>
          <w:color w:val="111111"/>
          <w:sz w:val="28"/>
          <w:sz w:val="28"/>
          <w:szCs w:val="28"/>
          <w:rtl w:val="true"/>
          <w:lang w:bidi="fa-IR"/>
        </w:rPr>
        <w:t>هذا أیضا ممّا لم أتوفق لفهمه، فان التقابل بین العدم و الملکة لا بد أن یکون له مورد یتقابلان فیه، فذلک المورد الذی تقابلا فیه لا بد فیه من القابلیة سواء کان شخصا أو کان صنفا أو کان نوعا، و لا معنی لأن یکون التقابل فی نوع مثلا و هو فی حد نفسه غیر واجد للقابلیة لکن جنسه مثلا یکون واجدا للقابلیة مع فرض کونهما أعنی الوجود و العدم غیر متقابلین فی الجنس و إنّما تقابلا فی النوع</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فیه القابلیة هو مرکز التقابل، و یستحیل تحقق التقابل بین العدم و الملکة فی شی‌ء هو غیر واجد للقابلیة بل کان جنسه مثلا واجدا للقابلیة، فإنّه عند ذاک یکون مرکز التقابل هو الجنس،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تحقق القابلیة فی الجنس موجب لتحققها فی النوع و إلّا لم یکن نوعا من ذلک الجنس، أما مسألة جهل الانسان بحقیقة الواجب تعالی و علمه بعد فرض کون تقابلهما تقابل العدم و الملکة، بمعنی کون الجهل عبارة عن عدم العلم ممن یکون من شأنه العلم، بمعنی عدم العلم ممن یتصور فی حقه العلم، أی عدم العلم ممن یمکن أن یکون عالما بحیث إنه لا یصدق علی الجدار مثلا، فلا ریب فی امتناع کل من العلم و الجهل بالمعنی المذکور فی حق الانسان بالنسبة إلیه، و کیف یمکن أن یقال إن الجهل فی حقه ضروری مع فرض کونه بمعنی عدم العلم ممن یمکن فی حقه العلم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أخذنا الجهل بمعنی العدم المحض، و قلنا إن مقابلته بالعلم من قبیل السلب و الایجاب، لکان نسبته إلی الانسان بالمعنی المذکور أعنی السلب المطلق بمکان من الامکان </w:t>
      </w:r>
      <w:r>
        <w:rPr>
          <w:rStyle w:val="FootnoteAnchor"/>
          <w:rtl w:val="true"/>
        </w:rPr>
        <w:footnoteReference w:id="797"/>
      </w:r>
      <w:r>
        <w:rPr>
          <w:rFonts w:ascii="IRNazanin" w:hAnsi="IRNazanin" w:eastAsia="IRNazanin"/>
          <w:color w:val="111111"/>
          <w:sz w:val="28"/>
          <w:sz w:val="28"/>
          <w:szCs w:val="28"/>
          <w:rtl w:val="true"/>
          <w:lang w:bidi="fa-IR"/>
        </w:rPr>
        <w:t>لکن أین هذا من الجهل المأخوذ بمعنی عدم العلم ممن یکون من شأنه عالما، و کیف یعقل أن یکون الانسان من شأنه أن یکون عالما بذاته تبارک و تعالی، و هل هذا إلّا خلف لما قلناه من استحالة کونه عالما بذاته تعالی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فرض عدم تحقق القابلیة فی الانسان تقابل العلم و الجهل فیه فمن هو الذی یراه المحشی واجدا لهذه القابلیة من الصنف أو النوع أو الجنس کی یکون هذا المثال مصدّقا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القابلیة المعتبرة فیه لا یلزم أن</w:t>
      </w:r>
    </w:p>
    <w:p>
      <w:pPr>
        <w:pStyle w:val="BookText"/>
        <w:rPr/>
      </w:pPr>
      <w:r>
        <w:rPr>
          <w:rFonts w:ascii="IRNazanin" w:hAnsi="IRNazanin" w:eastAsia="IRNazanin"/>
          <w:color w:val="111111"/>
          <w:sz w:val="28"/>
          <w:sz w:val="28"/>
          <w:szCs w:val="28"/>
          <w:rtl w:val="true"/>
          <w:lang w:bidi="fa-IR"/>
        </w:rPr>
        <w:t xml:space="preserve">تکون شخصیة دائما، بل یجوز أن تکون صنفیة أو نوعیة أو جنسیة، أ لا تری أنّه یصدق علی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المراد من الصنف أو النوع إنّما هو بالنسبة إلی نوع المعلوم و صنفه بالنسبة إلی هذا المعلوم الخاص و هو واجب الوجود تعالی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یخفی أن التقابل بین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الجهل </w:t>
      </w:r>
      <w:r>
        <w:rPr>
          <w:rStyle w:val="FootnoteAnchor"/>
          <w:rtl w:val="true"/>
        </w:rPr>
        <w:footnoteReference w:id="799"/>
      </w:r>
      <w:r>
        <w:rPr>
          <w:rFonts w:ascii="IRNazanin" w:hAnsi="IRNazanin" w:eastAsia="IRNazanin"/>
          <w:color w:val="111111"/>
          <w:sz w:val="28"/>
          <w:sz w:val="28"/>
          <w:szCs w:val="28"/>
          <w:rtl w:val="true"/>
          <w:lang w:bidi="fa-IR"/>
        </w:rPr>
        <w:t>إنما هو بالنسبة إلی ذاته تعالی و تقدس لا بالنسبة إلی غیره من المجهولات أو المعلومات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یمکن أن یتقابل المعلومیة و المجهولیة فی نوع الشی‌ء أو جنسه مع عدم تقابلهما فی نفس ذلک الشی‌ء،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تعالی لا نوع له و لا جنس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أخاله أن النزاع بین شیخنا قدّس سرّه و بین من یورد علیه ممّن تأخر عنه ینتهی إلی ما یشابه النزاع اللفظی، حیث إن شیخنا قدّس سرّه ینفی التقیید اللحاظی فی أمثال هذه المقامات، و لا ینکر التقیید الذاتی الذی یعبّر عنه بنتیجة التقیید، و حینئذ فطریقة توأمیة الذات مع داعی الأمر لو صحت لا یکون الناتج منها إلّا نتیجة التقیید لا التقیید اللحاظی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 سرّه </w:t>
      </w:r>
      <w:r>
        <w:rPr>
          <w:rStyle w:val="FootnoteAnchor"/>
          <w:rtl w:val="true"/>
        </w:rPr>
        <w:footnoteReference w:id="800"/>
      </w:r>
      <w:r>
        <w:rPr>
          <w:rFonts w:ascii="IRNazanin" w:hAnsi="IRNazanin" w:eastAsia="IRNazanin"/>
          <w:color w:val="111111"/>
          <w:sz w:val="28"/>
          <w:sz w:val="28"/>
          <w:szCs w:val="28"/>
          <w:rtl w:val="true"/>
          <w:lang w:bidi="fa-IR"/>
        </w:rPr>
        <w:t>بعد أن أثبت امتناع التقیید اللحاظی انتقل إلی امتناع الاطلاق اللحاظی، و مراده بذلک لحاظ الآمر وجود القید و عدمه، و جعل الحکم علی الطبیعة التی لاحظها ساریة فی کل منهما، لا أن کلا من القید و عدمه یکون تحت الحکم، بل إن الذی هو تحت الحکم هو نفس الطبیعة الموجودة فی کل من الموردین، و من الواضح أن استحالة هذا المعنی من</w:t>
      </w:r>
    </w:p>
    <w:p>
      <w:pPr>
        <w:pStyle w:val="BookText"/>
        <w:rPr/>
      </w:pPr>
      <w:r>
        <w:rPr>
          <w:rFonts w:ascii="IRNazanin" w:hAnsi="IRNazanin" w:eastAsia="IRNazanin"/>
          <w:color w:val="111111"/>
          <w:sz w:val="28"/>
          <w:sz w:val="28"/>
          <w:szCs w:val="28"/>
          <w:rtl w:val="true"/>
          <w:lang w:bidi="fa-IR"/>
        </w:rPr>
        <w:t>الاطلاق اللحاظی لازم قهری لاستحالة التقیید اللحاظی الناشئ عن استحالة النظر إلی القید المتأخر عن الحکم فی حال إصدار الحکم، و لا أظن أنّ أحدا یسوّغ الاطلاق اللحاظی فی هذا النحو من الطوارئ التی لا یمکن النظر إلیها فی مقام جعل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القول بالاطلاق الذاتی و السرایة القهریة المعبّر عنها فی کلماته بنتیجة الاطلاق، و هذا المقدار لا یمنعه شیخنا قدّس سرّه بل هو یصرّح بأن الممکن فی ذلک هو نتیجة الاطلاق دون التقیید و دون الإطلاق اللحاظی، و الشاهد علی ذلک هو مسلکه قدّس سرّه فی هذه المسألة، فانه بعد أن أثبت استحالة التقیید اللحاظی بداعی الأمر، التزم باثباته بجعل آخر سمّاه متمم الجعل، و جعل النتیجة هی نتیجة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یثبت الجعل الثانی فهل نلتزم بسقوط الأمر و عدم العمل به لکونه فی مقام الثبوت مهملا، أو نعمل به فی خصوص التعبد و نلتزم بقصد القربة من باب القدر المتیقن أو من باب الاحتیاط؟</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لم یلتزم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أعنی عدم العمل بالأمر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الثانی لما عرفت من أنه إنما یجری فی مقام الاثبات لا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الثالث أعنی الاحتیاط فهو قائل بعدمه و أن المرجع هو البراءة، و حینئذ یکون المتعین هو البناء علی الاکتفاء بالفعل سواء کان مجردا عن التعبد أو مقرونا به، و ما ذلک إلّا من جهة الاکتفاء بالاطلاق الذاتی و السرایة القهریة، و سیأتی له مزید توضیح إن شاء اللّه تعالی فیما علّقناه </w:t>
      </w:r>
      <w:r>
        <w:rPr>
          <w:rStyle w:val="FootnoteAnchor"/>
          <w:rtl w:val="true"/>
        </w:rPr>
        <w:footnoteReference w:id="801"/>
      </w:r>
      <w:r>
        <w:rPr>
          <w:rFonts w:ascii="IRNazanin" w:hAnsi="IRNazanin" w:eastAsia="IRNazanin"/>
          <w:color w:val="111111"/>
          <w:sz w:val="28"/>
          <w:sz w:val="28"/>
          <w:szCs w:val="28"/>
          <w:rtl w:val="true"/>
          <w:lang w:bidi="fa-IR"/>
        </w:rPr>
        <w:t xml:space="preserve">علی ما أفاده فی صفحة </w:t>
      </w:r>
      <w:r>
        <w:rPr>
          <w:rFonts w:eastAsia="IRNazanin" w:cs="IRNazanin"/>
          <w:color w:val="111111"/>
          <w:sz w:val="28"/>
          <w:szCs w:val="28"/>
          <w:lang w:bidi="fa-IR"/>
        </w:rPr>
        <w:t>100</w:t>
      </w:r>
      <w:r>
        <w:rPr>
          <w:rStyle w:val="FootnoteAnchor"/>
          <w:rtl w:val="true"/>
        </w:rPr>
        <w:footnoteReference w:id="802"/>
      </w:r>
      <w:r>
        <w:rPr>
          <w:rFonts w:ascii="IRNazanin" w:hAnsi="IRNazanin" w:eastAsia="IRNazanin"/>
          <w:color w:val="111111"/>
          <w:sz w:val="28"/>
          <w:sz w:val="28"/>
          <w:szCs w:val="28"/>
          <w:rtl w:val="true"/>
          <w:lang w:bidi="fa-IR"/>
        </w:rPr>
        <w:t>من الجواب عن إشکال الکفایة</w:t>
      </w:r>
      <w:r>
        <w:rPr>
          <w:rFonts w:eastAsia="IRNazanin" w:cs="IRNazanin"/>
          <w:color w:val="111111"/>
          <w:sz w:val="28"/>
          <w:szCs w:val="28"/>
          <w:rtl w:val="true"/>
          <w:lang w:bidi="fa-IR"/>
        </w:rPr>
        <w:t>.</w:t>
      </w:r>
      <w:bookmarkStart w:id="584" w:name="pg19834_212488"/>
    </w:p>
    <w:p>
      <w:pPr>
        <w:pStyle w:val="BookText"/>
        <w:rPr/>
      </w:pPr>
      <w:bookmarkEnd w:id="584"/>
      <w:r>
        <w:rPr>
          <w:rFonts w:ascii="IRNazanin" w:hAnsi="IRNazanin" w:eastAsia="IRNazanin"/>
          <w:color w:val="111111"/>
          <w:sz w:val="28"/>
          <w:sz w:val="28"/>
          <w:szCs w:val="28"/>
          <w:rtl w:val="true"/>
          <w:lang w:bidi="fa-IR"/>
        </w:rPr>
        <w:t xml:space="preserve">ثم لا یخفی أنا عند وصول بحثنا إلی هذه المقامات و ما بعدها لم تکن هذه الحاشیة موجودة لدینا بل لم تکن مطبوعة، و لمّا طبعت تفضّل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الحقیر بنسخة منها و له الفضل، و لکن بعد وصولنا فی بحث الترتب إلی ما فیه شاهد لهذه المسألة و إلیه أشار المحشی هناک، علّقنا هناک ما مضمونه التأمل و الاشکال علی هذه الحاشیة، ثم لمّا وصلنا إلی أوائل مبحث الاطلاق و التقیید أیضا أشار المحشی إلی ما تقدم منه فی مبحث التعبدی و التوصلی، و فعلا</w:t>
      </w:r>
      <w:r>
        <w:rPr>
          <w:rStyle w:val="FootnoteAnchor"/>
          <w:rtl w:val="true"/>
        </w:rPr>
        <w:footnoteReference w:id="803"/>
      </w:r>
      <w:r>
        <w:rPr>
          <w:rFonts w:ascii="IRNazanin" w:hAnsi="IRNazanin" w:eastAsia="IRNazanin"/>
          <w:color w:val="111111"/>
          <w:sz w:val="28"/>
          <w:sz w:val="28"/>
          <w:szCs w:val="28"/>
          <w:rtl w:val="true"/>
          <w:lang w:bidi="fa-IR"/>
        </w:rPr>
        <w:t xml:space="preserve">حررنا هذه التعلیقة هنا لئلا یفوت محلها، و ینبغی ملاحظة ما علّقنا علی مبحث الترتب </w:t>
      </w:r>
      <w:r>
        <w:rPr>
          <w:rStyle w:val="FootnoteAnchor"/>
          <w:rtl w:val="true"/>
        </w:rPr>
        <w:footnoteReference w:id="804"/>
      </w:r>
      <w:r>
        <w:rPr>
          <w:rFonts w:ascii="IRNazanin" w:hAnsi="IRNazanin" w:eastAsia="IRNazanin"/>
          <w:color w:val="111111"/>
          <w:sz w:val="28"/>
          <w:sz w:val="28"/>
          <w:szCs w:val="28"/>
          <w:rtl w:val="true"/>
          <w:lang w:bidi="fa-IR"/>
        </w:rPr>
        <w:t>و ضمّه إلی ما حررناه هنا إن شاء اللّه تعالی، فإنه مشتمل علی زوائد علی هذا الذی حررناه هنا فراجعه و تأمل</w:t>
      </w:r>
      <w:r>
        <w:rPr>
          <w:rFonts w:eastAsia="IRNazanin" w:cs="IRNazanin"/>
          <w:color w:val="111111"/>
          <w:sz w:val="28"/>
          <w:szCs w:val="28"/>
          <w:rtl w:val="true"/>
          <w:lang w:bidi="fa-IR"/>
        </w:rPr>
        <w:t>.</w:t>
      </w:r>
    </w:p>
    <w:p>
      <w:pPr>
        <w:pStyle w:val="Heading5"/>
        <w:numPr>
          <w:ilvl w:val="4"/>
          <w:numId w:val="1"/>
        </w:numPr>
        <w:rPr/>
      </w:pPr>
      <w:bookmarkStart w:id="585" w:name="__RefHeading___Toc3493845_2314609296"/>
      <w:bookmarkStart w:id="586" w:name="_Toc215"/>
      <w:bookmarkEnd w:id="585"/>
      <w:r>
        <w:rPr>
          <w:rtl w:val="true"/>
        </w:rPr>
        <w:t>[</w:t>
      </w:r>
      <w:r>
        <w:rPr>
          <w:rtl w:val="true"/>
        </w:rPr>
        <w:t>استحالة تقیید موضوع الحکم بحال العلم به للزوم التقدم و التأخر</w:t>
      </w:r>
      <w:r>
        <w:rPr>
          <w:rtl w:val="true"/>
        </w:rPr>
        <w:t>]</w:t>
      </w:r>
      <w:bookmarkEnd w:id="58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بیانه أن العلم بشخص الحکم تارة یؤخذ فی الموضوع بنحو القضایا غیر المعقولة کأنیاب الأغوال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علی نحو القضایا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بدّ من فرض الموضوع فی مقام الانشاء و الحکم علی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الواضح أن فرض وجود العلم بالحکم فرض وجود الحکم، فلا بد و أن یکون الحکم مفروض الوجود قبل وجوده و لو بالقبلیة الرتبیة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إشکال التقدم و التأخر هو عبارة عن أن الحاکم فی مقام جعله الحکم علی الموضوع یری الحکم ممتازا عن الموضوع کما أنه یری الموضوع ممتازا عن الحکم، فلو کان نفس ذلک الحکم الذی رآه ممتازا عن</w:t>
      </w:r>
    </w:p>
    <w:p>
      <w:pPr>
        <w:pStyle w:val="BookText"/>
        <w:rPr/>
      </w:pPr>
      <w:r>
        <w:rPr>
          <w:rFonts w:ascii="IRNazanin" w:hAnsi="IRNazanin" w:eastAsia="IRNazanin"/>
          <w:color w:val="111111"/>
          <w:sz w:val="28"/>
          <w:sz w:val="28"/>
          <w:szCs w:val="28"/>
          <w:rtl w:val="true"/>
          <w:lang w:bidi="fa-IR"/>
        </w:rPr>
        <w:t>الموضوع و لاحظه متأخرا عنه رتبة مأخوذا فی ذلک الموضوع، کان الحکم بنفسه متقدما علی نفسه باللحاظ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لا یفرق فیه بین کون القضیة حقیقیة أو کونها طبیعیة أو کونها خیالیة، فإنّها و لو کانت خیالیة یکون ذلک الخیال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الاشکال لا یفرق فیه بین کون العلم تمام الموضوع أو کونه جزء الموضوع، لجریان إشکال التقدم و التأخر فی مقام اللحاظ فی الحکم حتی لو کان العلم تمام الموضوع لینطبق علی القطع المخطئ، بأن یقول جعلت الحکم علی القاطع به سواء أصاب أو أخطأ، و إن کان التحقیق أنه لا یتصور فیه الخطأ بعد فرض جعل الحکم علی القاطع به، و هذا بخلاف إشکال الدور فی مقام الفعلیة فانک قد عرفت ابتناءه علی کون العلم جزء موضوع یعنی خصوص المصیب منه، لأن العلم بالحکم إذا کان خطأ لا یتوقف علی تحقق الحکم، لکن لو اخذ العلم بالحکم جزء موضوع لذلک الحکم کان الحال فیه أسوأ من الدور، لأنّ محصّله هو توقف الحکم علی موضوعه المرکب الذی هو نفس الحکم و العلم به، و من ناحیة الجزء الثانی و هو العلم یحصل الدور و هو توقف الشی‌ء علی ما یتوقف علیه، لکن من ناحیة الجزء الأول یکون عین توقف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شرحه شیخنا قدّس سرّه فکأنه راجع إلی الدور فی المرحلة الفعلیة و أنه موجب لمحالیة الجعل، فیکون الوجه الثانی الذی أفاد أنه لیس من قبیل الدور عین الوجه الأول الذی أفاد أنه راجع إلی الدور، و أنه إذا کان المجعول محالا کان الجعل محالا، فتأمّل</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یکون الحکم مفروض الوجود قبل وجوده و لو بالقبلیة الرتبیة و هو ما ذکرناه من محذور الدور، إلخ، یمکن أن</w:t>
      </w:r>
    </w:p>
    <w:p>
      <w:pPr>
        <w:pStyle w:val="BookText"/>
        <w:rPr/>
      </w:pPr>
      <w:r>
        <w:rPr>
          <w:rFonts w:ascii="IRNazanin" w:hAnsi="IRNazanin" w:eastAsia="IRNazanin"/>
          <w:color w:val="111111"/>
          <w:sz w:val="28"/>
          <w:sz w:val="28"/>
          <w:szCs w:val="28"/>
          <w:rtl w:val="true"/>
          <w:lang w:bidi="fa-IR"/>
        </w:rPr>
        <w:t>یتأمل فیه، فإنّه لا مانع من أن الحاکم فی مقام جعله الحکم یفرضه موجودا ثم یجعله، و نعنی بأنه یفرضه موجودا أنه یتصور وجوده و العلم به ثم یجعله، و لا إشکال فیه سوی إشکال التقدم و التأخر فی لحاظ الحکم، نعم لو فرض وجود الحکم و یجعل الحکم علی تقدیر وجوده، کان لازم ذلک تحقق الحکم قبل تحققه و هو الدور السالف الذکر، فلاحظ و تأمل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حررته عنه قدّس سرّه فی هذا المقام لعله یرید به مطلبا آخر غیر الدور و غیر إشکال التقدم و التأخر فی اللحاظ، و هاک نص 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بالنسبة إلی الحکم الفعلی، و أمّا بالنسبة إلی ذلک الحکم الانشائی المجعول </w:t>
      </w:r>
      <w:r>
        <w:rPr>
          <w:rStyle w:val="FootnoteAnchor"/>
          <w:rtl w:val="true"/>
        </w:rPr>
        <w:footnoteReference w:id="806"/>
      </w:r>
      <w:r>
        <w:rPr>
          <w:rFonts w:ascii="IRNazanin" w:hAnsi="IRNazanin" w:eastAsia="IRNazanin"/>
          <w:color w:val="111111"/>
          <w:sz w:val="28"/>
          <w:sz w:val="28"/>
          <w:szCs w:val="28"/>
          <w:rtl w:val="true"/>
          <w:lang w:bidi="fa-IR"/>
        </w:rPr>
        <w:t>فلا یلزم فیه من أخذ العلم قیدا فی موضوع الحکم ذلک الدور المصطلح، بل یلزم علیه تقدم الشی‌ء علی مرتبة نفسه، حیث إن الموضوع بالنسبة إلی حکمه نظیر العلة بالنسبة إلی معلولها فی تقدمها علیه رتبة، و العلم بالحکم بالنسبة إلی ذلک الحکم یکون نظیر المعلول بالنسبة إلی علته فی تأخره عنها رتبة، فلا یمکن أن یؤخذ العلم بذلک الحکم قیدا فی موضوع ذلک الحکم، بمعنی أن نفس جعل الحکم واردا علی موضوعه المقید بالعلم به یکون محالا و إن لم یلزم منه الدور المصطلح، إذ لا یکون فی هذه المرحلة أعنی مرحلة جعل الحکم تحقق حکم و لا تحقق موضوع کی یقال إن تحقق أحدهما یکون متوقفا علی تحقق الآخر الذی هو الدور المصطلح، إلّا أنه یکون محالا من جهة کونه مستلزما لتقدم العلم بالحکم رتبة علی رتبة نفسه، فمن جهة کونه علما متعلقا بالحکم یکون متأخرا عنه رتبة، و من جهة کونه مأخوذا قیدا فی</w:t>
      </w:r>
      <w:bookmarkStart w:id="587" w:name="pg19834_212491"/>
    </w:p>
    <w:p>
      <w:pPr>
        <w:pStyle w:val="BookText"/>
        <w:rPr/>
      </w:pPr>
      <w:bookmarkEnd w:id="587"/>
      <w:r>
        <w:rPr>
          <w:rFonts w:ascii="IRNazanin" w:hAnsi="IRNazanin" w:eastAsia="IRNazanin"/>
          <w:color w:val="111111"/>
          <w:sz w:val="28"/>
          <w:sz w:val="28"/>
          <w:szCs w:val="28"/>
          <w:rtl w:val="true"/>
          <w:lang w:bidi="fa-IR"/>
        </w:rPr>
        <w:t>موضوعه یکون متقدما علیه رتبة،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و إن لم یکن معلولا حقیقیا للمعلوم إلّا أنه متأخر رتبة عنه تأخر العارض عن معروضه، و فی الحقیقة یکون المعلوم موضوعا تکوینیا للعلم کموضوعیة العالم للاکرام، فإذا أخذ الشارع العلم بالحکم موضوعا لذلک الحکم فقد صیّر ما هو المتأخر رتبة عن الحکم مقدما علیه رتبة، فیکون لازم ذلک هو کون کل من نفس الحکم و من العلم به متقدما علی نفسه، و هو عین اشکال الدور و إن لم یکن بالدور المصطلح</w:t>
      </w:r>
      <w:r>
        <w:rPr>
          <w:rFonts w:eastAsia="IRNazanin" w:cs="IRNazanin"/>
          <w:color w:val="111111"/>
          <w:sz w:val="28"/>
          <w:szCs w:val="28"/>
          <w:rtl w:val="true"/>
          <w:lang w:bidi="fa-IR"/>
        </w:rPr>
        <w:t>.</w:t>
      </w:r>
    </w:p>
    <w:p>
      <w:pPr>
        <w:pStyle w:val="Heading5"/>
        <w:numPr>
          <w:ilvl w:val="4"/>
          <w:numId w:val="1"/>
        </w:numPr>
        <w:rPr/>
      </w:pPr>
      <w:bookmarkStart w:id="588" w:name="__RefHeading___Toc3493847_2314609296"/>
      <w:bookmarkStart w:id="589" w:name="_Toc216"/>
      <w:bookmarkEnd w:id="588"/>
      <w:r>
        <w:rPr>
          <w:rtl w:val="true"/>
        </w:rPr>
        <w:t>[</w:t>
      </w:r>
      <w:r>
        <w:rPr>
          <w:rtl w:val="true"/>
        </w:rPr>
        <w:t>وجه آخر للاستحالة ذکره المحقق النائینی</w:t>
      </w:r>
      <w:bookmarkEnd w:id="58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المجعول فی مقام الانشاء کما سیجی‌ء إن شاء اللّه تعالی لیس إلّا الأحکام الفعلیة لموضوعاتها الخارجیة، و بعبارة اخری الأحکام الفعلیة هی الأحکام الموجودة بنفس الانشاء لموضوعاتها المقدر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المنشأ لیس هو إلّا الأحکام الفعلیة علی تقدیر تحقق موضوعاتها، و إذا کانت تلک الأحکام الفعلیة محالا کان إنشاؤها محالا لأنه إنشاء 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علیه أن ذلک من قبیل إنشاء حکم لا یمکن أن تعرضه الفعلیة فلا یکون الانشاء محالا، نعم یکون محالا علی الحکیم لعدم ترتب ثمرة عملیة علی إنشائه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تقریب المطلب بطریق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محصل القضیة الحقیقیة هو جعل الحکم علی فرض وجود موضوعه، و إذا کان الموضوع هو العلم بذلک الحکم المجعول کان فرض وجود ذلک الموضوع من قبیل فرض المحال، لمحالیة تحقق العلم بالحکم الذی یکون موضوعه العلم به،</w:t>
      </w:r>
      <w:bookmarkStart w:id="590" w:name="pg19834_212492"/>
    </w:p>
    <w:p>
      <w:pPr>
        <w:pStyle w:val="BookText"/>
        <w:rPr/>
      </w:pPr>
      <w:bookmarkEnd w:id="590"/>
      <w:r>
        <w:rPr>
          <w:rFonts w:ascii="IRNazanin" w:hAnsi="IRNazanin" w:eastAsia="IRNazanin"/>
          <w:color w:val="111111"/>
          <w:sz w:val="28"/>
          <w:sz w:val="28"/>
          <w:szCs w:val="28"/>
          <w:rtl w:val="true"/>
          <w:lang w:bidi="fa-IR"/>
        </w:rPr>
        <w:t>فیرجع الأمر بالأخرة إلی جعل الحکم علی تقدیر هو محال فی نفسه، و لعل هذا الأخیر راجع إلی ما أفاده فی الوجه الثانی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الواضح أن فرض وجود العلم بالحکم فرض وجود الحکم، فلا بد و أن یکون الحکم مفروض الوجود قبل وجوده و لو بالقبلیة الرتبیة، إلخ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المراد به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أنه لو حکم بالحرمة علی تقدیر وجود العلم بتلک الحرمة کان فرض العلم بالحرمة عبارة اخری عن فرض تلک الحرمة، فیکون المتحصل أنه لو وجدت الحرمة و وجد العلم بتلک الحرمة تحققت تلک الحرمة، فکان الحاصل هو الحکم بالحرمة علی تقدیر تحقق تلک الحرمة، و لا ریب أن الحکم بالحرمة هو عین وجودها أو أنه عین إیجادها، و یکون المتحصل هو فرض وجودها قبل وجودها، و روح هذه المحالیة هی جعل الحکم واردا علی العلم الوارد علی نفس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فقل إن ذلک موجب لفرض وجود الحکم قبل وجوده، و إن شئت فقل إن ذلک موجب لکون وجود الحکم سابقا علی وجوده، و إن شئت فقل إن ذلک موجب لکون نسبة الحکم إلی نفسه نسبة العلة إلی المعلول و نسبة المعلول إلی العلة، و إن شئت فقل إنه موجب لدخول الحکم فی موضوعه و هو موجب للحاظه قبل لحاظه، فإن لحاظ الموضوع قبل لحاظ الحکم، و کل هذه المحالیات ناشئة من أخذ الحکم فی موضوعه</w:t>
      </w:r>
      <w:r>
        <w:rPr>
          <w:rFonts w:eastAsia="IRNazanin" w:cs="IRNazanin"/>
          <w:color w:val="111111"/>
          <w:sz w:val="28"/>
          <w:szCs w:val="28"/>
          <w:rtl w:val="true"/>
          <w:lang w:bidi="fa-IR"/>
        </w:rPr>
        <w:t>.</w:t>
      </w:r>
    </w:p>
    <w:p>
      <w:pPr>
        <w:pStyle w:val="Heading5"/>
        <w:numPr>
          <w:ilvl w:val="4"/>
          <w:numId w:val="1"/>
        </w:numPr>
        <w:rPr/>
      </w:pPr>
      <w:bookmarkStart w:id="591" w:name="__RefHeading___Toc3493849_2314609296"/>
      <w:bookmarkStart w:id="592" w:name="_Toc217"/>
      <w:bookmarkEnd w:id="591"/>
      <w:r>
        <w:rPr>
          <w:rtl w:val="true"/>
        </w:rPr>
        <w:t>[</w:t>
      </w:r>
      <w:r>
        <w:rPr>
          <w:rtl w:val="true"/>
        </w:rPr>
        <w:t>استحالة تقیید متعلق التکلیف بقصد امتثال الأمر</w:t>
      </w:r>
      <w:r>
        <w:rPr>
          <w:rtl w:val="true"/>
        </w:rPr>
        <w:t>]</w:t>
      </w:r>
      <w:bookmarkEnd w:id="59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تقیید متعلق التکلیف بقصد امتثال الأمر، فقد یقال بامکانه من ناحیة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تعریض بما فی الکفایة، فإنّ ظاهرها الالتزام بامکان تصور الآمر</w:t>
      </w:r>
    </w:p>
    <w:p>
      <w:pPr>
        <w:pStyle w:val="BookText"/>
        <w:rPr/>
      </w:pPr>
      <w:r>
        <w:rPr>
          <w:rFonts w:ascii="IRNazanin" w:hAnsi="IRNazanin" w:eastAsia="IRNazanin"/>
          <w:color w:val="111111"/>
          <w:sz w:val="28"/>
          <w:sz w:val="28"/>
          <w:szCs w:val="28"/>
          <w:rtl w:val="true"/>
          <w:lang w:bidi="fa-IR"/>
        </w:rPr>
        <w:t>الصلاة مقیدة بداعی الأمر، و تعلق أمرها بها مقیدة بهذا الداعی، حیث یقول فی مقام دفع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أنه و إن کان تصورها کذلک بمکان من الامکان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جلّ المنع عنده إنّما هو من ناحیة قدرة المکلف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یکاد یمکن الاتیان بها بداعی أمرها لعدم الأمر بها، فان الأمر حسب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یتعلق بذات الصلاة و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بها مقیدة بداعی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فذات الصلاة لم تکن مدعوا لها بالأمر و إنما المدعو له بالأمر هو الصلاة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یکاد یدعو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متعلقه بل هو لا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إلی ما 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الصلاة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ذات الصلاة</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شیخنا قدّس سرّه و إن التزم بعدم القدرة إلّا أنه رکّز الاشکال بعدم القدرة علی الجزء الثانی الذی هو قصد الامتثال، و جعل ذلک موجبا لسدّ باب الامتثال، لأن مرجعه إلی تحقق قصد الامتثال بقصد الامتثال، و لکن جلّ نظر صاحب الکفایة هو إلی سدّ باب قدرة المکلف علی الاتیان بالصلاة المقیدة بداعی الأمر، لأنّ المفروض هو عدم تعلق الأمر بها بذاتها کی یتمکن المکلف من الاتیان بها بدعوة الأمر المتعلق بها، فکان جلّ همّه فی تلک الانقلتات </w:t>
      </w:r>
      <w:r>
        <w:rPr>
          <w:rStyle w:val="FootnoteAnchor"/>
          <w:rtl w:val="true"/>
        </w:rPr>
        <w:footnoteReference w:id="811"/>
      </w:r>
      <w:r>
        <w:rPr>
          <w:rFonts w:ascii="IRNazanin" w:hAnsi="IRNazanin" w:eastAsia="IRNazanin"/>
          <w:color w:val="111111"/>
          <w:sz w:val="28"/>
          <w:sz w:val="28"/>
          <w:szCs w:val="28"/>
          <w:rtl w:val="true"/>
          <w:lang w:bidi="fa-IR"/>
        </w:rPr>
        <w:t xml:space="preserve">المتأخرة هو سدّ باب الأمر بذاتها، و کأنه لأجل ذلک أورد علیه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بامکان الاتیان بذات الصلاة بداعی الأمر و لو الأمر المتعلق بالمقید الذی صارت ذات الصلاة مقدمة له علی ما شرحه مقرر بحثه من صفحة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صفحة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 و راجع</w:t>
      </w:r>
    </w:p>
    <w:p>
      <w:pPr>
        <w:pStyle w:val="BookText"/>
        <w:rPr/>
      </w:pPr>
      <w:r>
        <w:rPr>
          <w:rFonts w:ascii="IRNazanin" w:hAnsi="IRNazanin" w:eastAsia="IRNazanin"/>
          <w:color w:val="111111"/>
          <w:sz w:val="28"/>
          <w:sz w:val="28"/>
          <w:szCs w:val="28"/>
          <w:rtl w:val="true"/>
          <w:lang w:bidi="fa-IR"/>
        </w:rPr>
        <w:t xml:space="preserve">ما حررناه علیه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أفاده فی الکفایة من تسلیم تصور الآمر الصلاة مقیدة بداعی الأمر، و تعلیق الأمر بها مقیدة بذلک القید،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الآمر و إن تصور ما شاء أن یتصور و اشتاق إلی ما شاء أن یشتاق إلیه، لکنه عند تعلیق أمره بالصلاة ما ذا قد تصور فی هذه المرتبة أعنی مرتبة تعلیق أمره بالصلاة، هل تصور ذات الصلاة و لم یتصور تقیدها بذلک القید، فهذا خلف لما هو المراد من أن المأمور به مقید بداعی الأمر، و إن تصورها فی تلک المرتبة مقیدة بذلک القید، کان اللازم أخذ الحکم فی متعلقه و تصوره فی مرتبة متعلقة و هو عین المحالیة التی أشار إلیها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أخذ ما لا یکاد یتأتی إلّا من قبل الأمر بشی‌ء فی متعلق ذلک الأمر</w:t>
      </w:r>
      <w:r>
        <w:rPr>
          <w:rStyle w:val="FootnoteAnchor"/>
          <w:rtl w:val="true"/>
        </w:rPr>
        <w:footnoteReference w:id="814"/>
      </w:r>
      <w:r>
        <w:rPr>
          <w:rFonts w:ascii="IRNazanin" w:hAnsi="IRNazanin" w:eastAsia="IRNazanin"/>
          <w:color w:val="111111"/>
          <w:sz w:val="28"/>
          <w:sz w:val="28"/>
          <w:szCs w:val="28"/>
          <w:rtl w:val="true"/>
          <w:lang w:bidi="fa-IR"/>
        </w:rPr>
        <w:t>، و هو عین المحالیة التی ذکرها فی المعانی الحرفیة</w:t>
      </w:r>
      <w:r>
        <w:rPr>
          <w:rStyle w:val="FootnoteAnchor"/>
          <w:rtl w:val="true"/>
        </w:rPr>
        <w:footnoteReference w:id="815"/>
      </w:r>
      <w:r>
        <w:rPr>
          <w:rFonts w:ascii="IRNazanin" w:hAnsi="IRNazanin" w:eastAsia="IRNazanin"/>
          <w:color w:val="111111"/>
          <w:sz w:val="28"/>
          <w:sz w:val="28"/>
          <w:szCs w:val="28"/>
          <w:rtl w:val="true"/>
          <w:lang w:bidi="fa-IR"/>
        </w:rPr>
        <w:t>من استحالة أخذ ما هو من طوارئ الاستعمال فی المستعمل فیه، لأن مرتبة المستعمل فیه سابقة علی مرتبة الاستعمال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یظهر لک الاشکال فی الحاشیة صفحة </w:t>
      </w:r>
      <w:r>
        <w:rPr>
          <w:rFonts w:eastAsia="IRNazanin" w:cs="IRNazanin"/>
          <w:color w:val="111111"/>
          <w:sz w:val="28"/>
          <w:szCs w:val="28"/>
          <w:lang w:bidi="fa-IR"/>
        </w:rPr>
        <w:t>103</w:t>
      </w:r>
      <w:r>
        <w:rPr>
          <w:rStyle w:val="FootnoteAnchor"/>
          <w:rtl w:val="true"/>
        </w:rPr>
        <w:footnoteReference w:id="816"/>
      </w:r>
      <w:r>
        <w:rPr>
          <w:rFonts w:ascii="IRNazanin" w:hAnsi="IRNazanin" w:eastAsia="IRNazanin"/>
          <w:color w:val="111111"/>
          <w:sz w:val="28"/>
          <w:sz w:val="28"/>
          <w:szCs w:val="28"/>
          <w:rtl w:val="true"/>
          <w:lang w:bidi="fa-IR"/>
        </w:rPr>
        <w:t>، فان الشوق إن کان هو غیر الارادة و الطلب و الوجوب فذلک هو ما ذکرناه من التصور قبل جعل الحکم الذی قلنا إنه لا حرج فیه، و إن کان هو عین الطلب و الارادة و الوجوب کان اللازم هو تعلق الشوق بالفعل المقید بذلک الشوق و هو المحال الذی لا مخلص منه علی تقدیر تقیید متعلق الحکم بذلک الحکم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مقام الانشاء فلما عرفت من أن الموضوع فی القضایا الحقیقیة دون الفرضیة غیر المعقولة لا بد و أن یکون مفروض الوجود فی الخارج فی مقام أخذه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اخذ قصد امتثال الأمر قیدا للمأمور به، فلا محالة یکون الأمر موضوعا للتکلیف و مفروض الوجود فی مقام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کونه مفروض الوجود قبل وجوده، و هو بعینه محذور الدور</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مرجع القضیة الحقیقیة إلی قضیة شرطیة یکون الشرط فیها هو وجود الموضوع و الجزاء فیها هو نفس الحکم، فإذا کان نفس الأمر موضوعا، کان محصل القضیة الشرطیة هو أنه لو وجد الأمر تحقق الأمر، فکان الأمر شرطا لنفسه، و ذلک هو بؤرة الاشکالات، و کان لازم ذلک کون وجود الأمر متوقفا علی وجود نفسه، ضرورة توقف وجود الحکم علی وجود موضوعه و هی المحالیة فی مقام الفعلیة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الاشکالات إنما نشأت عن جعل الأمر متعلقا بالصلاة المقیدة بداعی الأمر، إذ لا ریب حینئذ فی أن متعلق الأمر قد اخذ مربوطا به الأمر، و من الواضح عدم دخول الأمر المذکور تحت الأمر بحیث یکون الواجب علی المکلف الاتیان به،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بالصلاة المقیدة بالطهارة من الحدث القاضی بلزوم تحصیل تلک الطهارة، فلا بد أن یکون ذلک الأمر المربوط به المتعلق خارجا عن إیجاب الاتیان، و لازم ذلک هو أخذه مفروض الوجود کما هو الشأن فی کل ما هو مربوط بالمتعلق سواء کان</w:t>
      </w:r>
      <w:bookmarkStart w:id="593" w:name="pg19834_212496"/>
    </w:p>
    <w:p>
      <w:pPr>
        <w:pStyle w:val="BookText"/>
        <w:rPr/>
      </w:pPr>
      <w:bookmarkEnd w:id="593"/>
      <w:r>
        <w:rPr>
          <w:rFonts w:ascii="IRNazanin" w:hAnsi="IRNazanin" w:eastAsia="IRNazanin"/>
          <w:color w:val="111111"/>
          <w:sz w:val="28"/>
          <w:sz w:val="28"/>
          <w:szCs w:val="28"/>
          <w:rtl w:val="true"/>
          <w:lang w:bidi="fa-IR"/>
        </w:rPr>
        <w:t>داخلا تحت قدرة المکلف کما فی العقد فی قوله تعالی أوفوا بالعقود</w:t>
      </w:r>
      <w:r>
        <w:rPr>
          <w:rStyle w:val="FootnoteAnchor"/>
          <w:rtl w:val="true"/>
        </w:rPr>
        <w:footnoteReference w:id="819"/>
      </w:r>
      <w:r>
        <w:rPr>
          <w:rFonts w:ascii="IRNazanin" w:hAnsi="IRNazanin" w:eastAsia="IRNazanin"/>
          <w:color w:val="111111"/>
          <w:sz w:val="28"/>
          <w:sz w:val="28"/>
          <w:szCs w:val="28"/>
          <w:rtl w:val="true"/>
          <w:lang w:bidi="fa-IR"/>
        </w:rPr>
        <w:t>أو کان خارجا عن قدرته کما فی الوقت فی قوله صلّ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فیما نحن فیه من قبیل الثانی لعدم کونه داخلا تحت قدرة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الموجب لأخذ الأمر المذکور مفروض الوجود کلتا الجهتین،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العرفی، إذ لا فرق بین قوله صلّ بداعی الأمر و بین قوله أوف بالعقد، فی الظهور فی کون الأمر و العقد قد اخذا مفروضی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عدم دخوله تحت قدرة المکلف، فیکون حاله حال الوقت فی قوله صل فی الوقت فی کون أخذه علی نحو مفروضیة الوجود، لعدم القدرة علیه المصححة لدخوله تحت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کل ما کان مربوطا بمتعلق التکلیف الذی هو الفعل المأمور به، إن قام الدلیل علی عدم دخوله تحت ذلک التکلیف، کان ذلک عبارة اخری عن أخذه فی المتعلق مفروض الوجود، و أن ذلک التکلیف إنما یثبت علی فرض وجود ذلک الشی‌ء، و ذلک هو بمعنی کونه موضوعا لذلک التکلیف، سواء کان ذلک الشی‌ء مما یدخل تحت قدرة المکلف أو کان غیر داخل تحت قدرته</w:t>
      </w:r>
      <w:r>
        <w:rPr>
          <w:rFonts w:eastAsia="IRNazanin" w:cs="IRNazanin"/>
          <w:color w:val="111111"/>
          <w:sz w:val="28"/>
          <w:szCs w:val="28"/>
          <w:rtl w:val="true"/>
          <w:lang w:bidi="fa-IR"/>
        </w:rPr>
        <w:t>.</w:t>
      </w:r>
    </w:p>
    <w:p>
      <w:pPr>
        <w:pStyle w:val="Heading5"/>
        <w:numPr>
          <w:ilvl w:val="4"/>
          <w:numId w:val="1"/>
        </w:numPr>
        <w:rPr/>
      </w:pPr>
      <w:bookmarkStart w:id="594" w:name="__RefHeading___Toc3493851_2314609296"/>
      <w:bookmarkStart w:id="595" w:name="_Toc218"/>
      <w:bookmarkEnd w:id="594"/>
      <w:r>
        <w:rPr>
          <w:rtl w:val="true"/>
        </w:rPr>
        <w:t>[</w:t>
      </w:r>
      <w:r>
        <w:rPr>
          <w:rtl w:val="true"/>
        </w:rPr>
        <w:t>نقد مناقشة السید الخوئی قدّس سرّه فی أخذ الأمر مفروض الوجود</w:t>
      </w:r>
      <w:r>
        <w:rPr>
          <w:rtl w:val="true"/>
        </w:rPr>
        <w:t>]</w:t>
      </w:r>
      <w:bookmarkEnd w:id="595"/>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لک الاشکال فیما فی الحاشیة</w:t>
      </w:r>
      <w:r>
        <w:rPr>
          <w:rStyle w:val="FootnoteAnchor"/>
          <w:rtl w:val="true"/>
        </w:rPr>
        <w:footnoteReference w:id="820"/>
      </w:r>
      <w:r>
        <w:rPr>
          <w:rFonts w:ascii="IRNazanin" w:hAnsi="IRNazanin" w:eastAsia="IRNazanin"/>
          <w:color w:val="111111"/>
          <w:sz w:val="28"/>
          <w:sz w:val="28"/>
          <w:szCs w:val="28"/>
          <w:rtl w:val="true"/>
          <w:lang w:bidi="fa-IR"/>
        </w:rPr>
        <w:t xml:space="preserve">من المناقشة فی أخذ الأمر مفروض الوجود، و لیت شعری إذا لم یکن الأمر قد اخذ مفروض الوجود و لم یکن داخلا تحت الطلب لعدم کونه مقدورا للمکلف فما هو کیفیة أخذه فی قوله صلّ بداعی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 المحشی یتخیل أن هذا الأمر متحقق عند قوله صل بداعی الأمر فلا یکون الأمر الوارد مشروطا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و إن وجد بقوله صل إلّا أنه قد وجد متأخرا رتبة عن الأمر المربوط بالداعی المربوط بالمأمور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الشرط و إن وجد و تحقق لا یکون تحققه موجبا لانقلاب الحکم المشروط به من المشروطیة إلی الاطلاق فی القضایا الحقیقیة و إنما ذلک فی القضایا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دعوی الانقلاب بوجود الشرط إنما هو فیما لو وجد الشرط ثم بعد تحقق وجوده ورد الحکم علی ذلک الشخص الواجد للشرط کما لو فرضنا أن وجوب العتق مشروط بواجدیة الرقبة، و اتفق أن شخصا کان مالکا للرقبة ثم حدث منه ما یوجب کفارة العتق، فلا حاجة حینئذ فی توجیه الأمر بالعتق إلیه إلی اشتراط واجدیة الرقبة، نعم یتوجه إلیه قوله اعتق مجردا عن الشرط، لکن بنحو القضیة الخارجیة، و هذا بخلاف ما نحن فیه فإن واجدیة الأمر لم تکن سابقة علیه بل هی أعنی الواجدیة للأمر متأخرة عن تعلق الأمر رتبة، بل یمکن القول بالتأخر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قوله فی الحاشیة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التزمنا بفعلیة الخطابات التحریمیة قبل وجود موضوعاتها أیضا، و ذلک لتمکن المکلف من امتثالها و لو بعدم إیجاد موضوعاتها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لیت شعری هل یمکن أن یلتزم أحد بفعلیة النهی عن شرب الخمر إذا لم یکن خمر فی الدنیا، و إنما نقول إن النهی فعلی لوجود موضوعه فی عالم الوجود، نعم لو لم یتمکن المکلف من الوصول إلیه کان</w:t>
      </w:r>
    </w:p>
    <w:p>
      <w:pPr>
        <w:pStyle w:val="BookText"/>
        <w:rPr/>
      </w:pPr>
      <w:r>
        <w:rPr>
          <w:rFonts w:ascii="IRNazanin" w:hAnsi="IRNazanin" w:eastAsia="IRNazanin"/>
          <w:color w:val="111111"/>
          <w:sz w:val="28"/>
          <w:sz w:val="28"/>
          <w:szCs w:val="28"/>
          <w:rtl w:val="true"/>
          <w:lang w:bidi="fa-IR"/>
        </w:rPr>
        <w:t>سقوط النهی لأجل عدم القدرة لا لأجل عدم الموضوع، أما إذا فرض انعدام الخمر من الوجود فلا أظن أن أحدا یلتزم بفعلیة النهی، نعم نلتزم بفعلیته علی تقدیر وجود موضوعه، و هذا هو محصل القضیة الحقیقیة و هو محصل الفعلیة التقدیریة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انعدام الفعلیة إنما هو لانعدام الموضوع، لا لأجل عدم التمکن کی یدفع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لتمکن المکلف من امتثالها و لو بعدم إیجاد موضوعاتها،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قطع النظر عن ذلک یکون اللازم عند المحشی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823"/>
      </w:r>
      <w:r>
        <w:rPr>
          <w:rFonts w:ascii="IRNazanin" w:hAnsi="IRNazanin" w:eastAsia="IRNazanin"/>
          <w:color w:val="111111"/>
          <w:sz w:val="28"/>
          <w:sz w:val="28"/>
          <w:szCs w:val="28"/>
          <w:rtl w:val="true"/>
          <w:lang w:bidi="fa-IR"/>
        </w:rPr>
        <w:t>النهی عن شرب الخمر یقضی بالنهی عن إیجاد الخمر، فقد أدخل الموضوع الذی هو الخمر تحت التکلیف، و المفروض أن محل الکلام إنما هو فی الموضوع الخارج عن حیّز التکلیف، فلاحظ و تأمل أو انظر و 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مقام الامتثال، فلأن قصد الامتثال متأخر عن إتیان تمام أجزاء المأمور به و قیوده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و أن یکون المکلف فی مقام امتثاله قاصدا للامتثال قبل قصد امتثاله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قدّس سرّه ناظر إلی أن الأمر المتعلق بالمرکب من ذات الصلاة و قصد الامتثال، أو المتعلق بذات الصلاة المقیدة بقصد الامتثال تعبدی یحتاج فی حدّ نفسه إلی قصد الامتثال، و حینئذ یکون قصد الامتثال واقعا بقصد الامتثال، فیتأتی المحذور و هو لزوم تحقق قصد الامتثال بقصد الامتثال، فیلزم منه تقدم قصد الامتثال علی قصد الامتثال، أما لو لم نلتزم بکون ذلک الأمر المتعلق بالمرکب أو بالمقید تعبدیا یتوقف فی حد نفسه علی قصد</w:t>
      </w:r>
      <w:bookmarkStart w:id="596" w:name="pg19834_212499"/>
    </w:p>
    <w:p>
      <w:pPr>
        <w:pStyle w:val="BookText"/>
        <w:rPr/>
      </w:pPr>
      <w:bookmarkEnd w:id="596"/>
      <w:r>
        <w:rPr>
          <w:rFonts w:ascii="IRNazanin" w:hAnsi="IRNazanin" w:eastAsia="IRNazanin"/>
          <w:color w:val="111111"/>
          <w:sz w:val="28"/>
          <w:sz w:val="28"/>
          <w:szCs w:val="28"/>
          <w:rtl w:val="true"/>
          <w:lang w:bidi="fa-IR"/>
        </w:rPr>
        <w:t>الامتثال بما تعلق به فلا یلزم المحذور المذکور، إذ لا یتکرر حینئذ قصد الامتثال، نعم یتأتی الاشکال فی نفس ذلک الأمر و هو أنه کیف یتعلق الأمر بقصد امتثال نفس ذلک الأمر، أو إشکال عدم القدرة بالنسبة إلی الجزء الأول من ذلک المرکب، فان ذات الصلاة إذا لم تکن متعلقة للأمر کیف یمکن الاتیان بها بقصد امتثال أمرها، و هو إشکال الکفایة</w:t>
      </w:r>
      <w:r>
        <w:rPr>
          <w:rStyle w:val="FootnoteAnchor"/>
          <w:rtl w:val="true"/>
        </w:rPr>
        <w:footnoteReference w:id="825"/>
      </w:r>
      <w:r>
        <w:rPr>
          <w:rFonts w:ascii="IRNazanin" w:hAnsi="IRNazanin" w:eastAsia="IRNazanin"/>
          <w:color w:val="111111"/>
          <w:sz w:val="28"/>
          <w:sz w:val="28"/>
          <w:szCs w:val="28"/>
          <w:rtl w:val="true"/>
          <w:lang w:bidi="fa-IR"/>
        </w:rPr>
        <w:t>الراجع إلی عدم القدرة، لکن لا عدم القدرة علی نفس الصلاة بل عدم القدرة علی قصد امتثال الأمر المتعلق بها، لأن الفرض عدم تعلق الأمر بها</w:t>
      </w:r>
      <w:r>
        <w:rPr>
          <w:rFonts w:eastAsia="IRNazanin" w:cs="IRNazanin"/>
          <w:color w:val="111111"/>
          <w:sz w:val="28"/>
          <w:szCs w:val="28"/>
          <w:rtl w:val="true"/>
          <w:lang w:bidi="fa-IR"/>
        </w:rPr>
        <w:t>.</w:t>
      </w:r>
    </w:p>
    <w:p>
      <w:pPr>
        <w:pStyle w:val="Heading5"/>
        <w:numPr>
          <w:ilvl w:val="4"/>
          <w:numId w:val="1"/>
        </w:numPr>
        <w:rPr/>
      </w:pPr>
      <w:bookmarkStart w:id="597" w:name="__RefHeading___Toc3493853_2314609296"/>
      <w:bookmarkStart w:id="598" w:name="_Toc219"/>
      <w:bookmarkEnd w:id="597"/>
      <w:r>
        <w:rPr>
          <w:rtl w:val="true"/>
        </w:rPr>
        <w:t>[</w:t>
      </w:r>
      <w:r>
        <w:rPr>
          <w:rtl w:val="true"/>
        </w:rPr>
        <w:t>هل تأتی المحاذیر فی أخذ قصد القربة بمعنی قصد المصلحة؟</w:t>
      </w:r>
      <w:r>
        <w:rPr>
          <w:rtl w:val="true"/>
        </w:rPr>
        <w:t>]</w:t>
      </w:r>
      <w:bookmarkEnd w:id="5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بناء علی ما ذهب إلیه استاذ الأساطین الشیخ الأنصاری قدّس سرّه </w:t>
      </w:r>
      <w:r>
        <w:rPr>
          <w:rStyle w:val="FootnoteAnchor"/>
          <w:rtl w:val="true"/>
        </w:rPr>
        <w:footnoteReference w:id="826"/>
      </w:r>
      <w:r>
        <w:rPr>
          <w:rFonts w:ascii="IRNazanin" w:hAnsi="IRNazanin" w:eastAsia="IRNazanin"/>
          <w:color w:val="111111"/>
          <w:sz w:val="28"/>
          <w:sz w:val="28"/>
          <w:szCs w:val="28"/>
          <w:rtl w:val="true"/>
          <w:lang w:bidi="fa-IR"/>
        </w:rPr>
        <w:t xml:space="preserve">من کون قصد الجهة و هی المصلحة موجبا للتقرب فی عرض قصد الأمر، فیلزم من أخذه فی المأمور به ذاک المحذور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نظر الشیخ قدّس سرّه إلی أن کلا من التعبدی و التوصلی مشتمل علی المصلحة، غیر أن المصلحة فی التوصلی قائمة بنفس الفعل من دون توقف علی إتیانه بعنوان التعبد، بخلاف التعبدی فان مصلحته موقوفة علی کونه عبادیا، و کونه کذلک یحصل علیه المکلف إما باتیانه به بداعی الامتثال أو باتیانه به بداعی المصلحة و إن لم یکن بداعی الامتثال کما فی العبادة المزاحمة بالأهم فیما لو لم یتم الترتب، و حینئذ لا یتوجه علیه إشکال أخذ ما لا یتأتی إلّا من قبل الأمر فی متعلق ذلک الأمر</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یتوجه علیه الدور الذی أفاده شیخنا قدّس سرّه من أن الاتیان به بداعی</w:t>
      </w:r>
    </w:p>
    <w:p>
      <w:pPr>
        <w:pStyle w:val="BookText"/>
        <w:rPr/>
      </w:pPr>
      <w:r>
        <w:rPr>
          <w:rFonts w:ascii="IRNazanin" w:hAnsi="IRNazanin" w:eastAsia="IRNazanin"/>
          <w:color w:val="111111"/>
          <w:sz w:val="28"/>
          <w:sz w:val="28"/>
          <w:szCs w:val="28"/>
          <w:rtl w:val="true"/>
          <w:lang w:bidi="fa-IR"/>
        </w:rPr>
        <w:t>المصلحة یتوقف علی تحقق المصلحة فیه، و تحققها فیه متوقف علی الاتیان به بداعی المصلحة لکونه محققا لعبادیته التی هی حسب الفرض قید المأمور به الموجب لتوقف المصلحة علی حصوله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یوجّه نظره قدّس سرّه علی وجه لا یتوجه علیه الدور المذکور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التوصلی و إن شارک التعبدی فی کون الأمر فی کل منهما عن مصلحة فیه، و لکن ربما کانت تلک المصلحة متوقفة علی القصد بأن تکون من العناوین القصدیة المحتاجة فی تحققها إلی قصد، و ربما کانت غیر متوقفة علی ذلک، فالأول هو التعبدی و الثانی هو التوصلی، مثال ذلک النهوض فانه ربما کان مرادا للآمر من جهة کونه ریاضة بدنیة بأن تکون مصلحته مقصورة علی ذلک، و ربما کان مرادا للآمر من جهة کونه تعظیما للوارد، فالأول نقول إنه توصلی لتحقق المصلحة الباعثة علی الأمر به بمجرد تحققه، بخلاف الثانی لتوقف المصلحة فیه علی إتیانه بداعی التعظیم أعنی بقصد التعظیم، و حینئذ یکون الدور المذکور غیر وارد، لأن هذا النحو من المصالح لم یکن من الامور المترتبة علی الفعل علی نحو المسببات المباینة لأسبابها التی تکون أسبابها بالنسبة إلیها من قبیل المقدمات الاعدادیة کما فی مثل الثواب و العقاب، بل هی من قبیل العناوین الثانویة لفعل الفاعل، غایته أنها تارة تکون متوقفة علی قصد کما فی مثل التعظیم بالنسبة إلی القیام، و اخری لا تکون متوقفة علی ذلک کما فی مثل الریاضة البدنیة بالنسبة إلی القیام أیضا، و الذی ینبغی هو أن لا یسمی مثل التعظیم بالنسبة إلی القیام بالداعی، لما عرفت فی بعض المباحث السابقة</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من أن الداعی بمعنی العلة الغائیة لا یکون اختیاریا للفاعل، بل یکون فعله بالنسبة إلیه من المقدمات الاعدادیة، فالتعظیم لا یکون غایة للقیام فلا یکون داعیا اصطلاحیا، لکن یمکن إطلاق الداعی علیه بنحو من التسامح و إلّا فانه بنفسه یکون مفعولا للفاعل، غایته أنه عنوان ثانوی لفعله لا عنوان أوّلی، و ذلک لا یخرجه عن کونه فعلا له، غایته أنه یتوقف علی القصد فیقال قمت بقصد التعظیم أو بداعی التعظیم، و لا فرق فی المؤدی بین التعبیرین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نقول إنه لو کانت المصلحة الباعثة علی الأمر الموجودة فی المتعلق نظیر التعظیم بالنسبة إلی القیام، بحیث یکون الأمر متعلقا بالقیام و تکون المصلحة الباعثة علیه هی التعظیم، کان قصد تلک المصلحة کافیا فی تحققها، ثم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المصلحة و بعبارة أجدر إن ذلک العنوان الثانوی الذی هو الصلاح فی الفعل المأمور به المفروض کونه متوقفا علی القصد، ربما کان قصد امتثال الأمر کافیا عن قصده بنفسه، لأن قصد الامتثال قصد إجمالی لذلک العنوان الثانوی، لأن الفرض أن الأمر الواقعی قد تعلق بالقیام الذی یقصد به التعظیم، فکان قصد امتثال ذلک الأمر کافیا فی تحقق ذلک العنوان القصدی الذی هو المصلحة أو العنوان الثانوی، فیکون قصد امتثال الأمر و قصد ترتب المصلحة المذکورة کل منهما فی عرض الآخر فی کونه محققا لما هو المطلوب من ذلک الصلاح الواقعی المنوط بقصد ذلک العنوان</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لک أنه یمکن سلوک طریقة فی تصویر التعبدی خالیة من إشکال أخذ ما لا یتأتی إلّا من قبل الطلب فی متعلقه، بأن نفرض أن المکلف کان جاهلا بحقیقة التعظیم و بترتبه علی القیام لکن المولی کان عالما بذلک، فلا ریب أن ذلک الآمر إنّما یعلّق أمره واقعا و فی مقام الثبوت</w:t>
      </w:r>
    </w:p>
    <w:p>
      <w:pPr>
        <w:pStyle w:val="BookText"/>
        <w:rPr/>
      </w:pPr>
      <w:r>
        <w:rPr>
          <w:rFonts w:ascii="IRNazanin" w:hAnsi="IRNazanin" w:eastAsia="IRNazanin"/>
          <w:color w:val="111111"/>
          <w:sz w:val="28"/>
          <w:sz w:val="28"/>
          <w:szCs w:val="28"/>
          <w:rtl w:val="true"/>
          <w:lang w:bidi="fa-IR"/>
        </w:rPr>
        <w:t xml:space="preserve">بالقیام المشتمل علی التعظیم المتوقف حسب الفرض علی القصد، لکن فی مقام الحصول علی ذلک و استحصاله من المکلف الجاهل المذکور الذی هو عبارة عن مقام الکشف و الاراءة الذی نعبّر عنه بمقام الاثبات و الدلالة لا بد لذلک الآمر من أن یعلّق أمره أوّلا بنفس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الواقع مراده الفعل الذی هو بقصد ذلک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یأمره بقصد امتثال ذلک الأمر، لکون هذا العنوان الثانوی أعنی عنوان الامتثال ملازما فی الخارج للعنوان الثانوی الآخر الذی هو عنوان التعظیم المفروض کونه قصدیا، و کونه مجهولا للمکلف علی وجه لا یمکنه اطلاعه علیه، و کونه یکفی فیه القصد الاجمالی و لو بقصد ما یلازمه الذی هو قصد الامتثال، و یکون هذا القصد المتعلق بالامتثال محققا لذلک العنوان الآخر أعنی عنوان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قصد تلک العناوین الثانویة القصدیة لیس من قبیل الارادة و لا من قبیل الدواعی الاصطلاحیة التی عرفت أنها غیر قابلة لتعلق إرادة المکلف بها کی یتوجه علیه الاشکال المتوجه علی الأمر الثانی الذی هو متمم الجعل کما تقدّم تفصیله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تلک العناوین الثانویة هی من أفعال المکلف غایتها أنّها تتوقف علی القصد، و من الواضح أن نفس القصد فعل اختیاری قابل لتعلق إرادة المکلف، و حینئذ یصح تعلق أمر الآمر به و طلبه من العبد، فالعبادیة عبارة عن القصد إلی ذلک العنوان الثانوی الذی فرضنا کونه مجهولا للمکلف، و أنه یمکن تحصیله من ذلک المکلف بأن یقصد العنوان الثانوی الآخر الملازم قصده لتحقق ذلک العنوان المطلوب، و ذلک العنوان الثانوی</w:t>
      </w:r>
    </w:p>
    <w:p>
      <w:pPr>
        <w:pStyle w:val="BookText"/>
        <w:rPr/>
      </w:pPr>
      <w:r>
        <w:rPr>
          <w:rFonts w:ascii="IRNazanin" w:hAnsi="IRNazanin" w:eastAsia="IRNazanin"/>
          <w:color w:val="111111"/>
          <w:sz w:val="28"/>
          <w:sz w:val="28"/>
          <w:szCs w:val="28"/>
          <w:rtl w:val="true"/>
          <w:lang w:bidi="fa-IR"/>
        </w:rPr>
        <w:t>الآخر هو الامتثال، و هو أیضا فعل اختیاری للمکلف، غایته أنه عنوان ثانوی لفعله المذکور، لا أنه من المسببات التولیدیة التی لا تکون إلّا داعیا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ذلک العنوان الثانوی الذی هو مناط العبادة الذی قلنا إنه ملازم فی القصد لعنوان الامتثال، لا بد من فرض کونه قصدیا و إلّا لکان نفس الفعل محققا له بلا حاجة إلی توسط قصد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من أخذه فی المأمور به ذاک المحذور عینا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أنه لو کان مراد الشیخ قدّس سرّه أنّ ذات الواجب التعبدی فیه مصلحة کما فی التوصلی، لکن التعبدی یزید علی التوصلی أن الشارع قیّد الاتیان بذلک الفعل بکونه بقصد المصلحة المترتبة علی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الفعل </w:t>
      </w:r>
      <w:r>
        <w:rPr>
          <w:rStyle w:val="FootnoteAnchor"/>
          <w:rtl w:val="true"/>
        </w:rPr>
        <w:footnoteReference w:id="831"/>
      </w:r>
      <w:r>
        <w:rPr>
          <w:rFonts w:ascii="IRNazanin" w:hAnsi="IRNazanin" w:eastAsia="IRNazanin"/>
          <w:color w:val="111111"/>
          <w:sz w:val="28"/>
          <w:sz w:val="28"/>
          <w:szCs w:val="28"/>
          <w:rtl w:val="true"/>
          <w:lang w:bidi="fa-IR"/>
        </w:rPr>
        <w:t>بخلاف التوصلی، لم یرد علیه شی‌ء ممّا أفاده شیخنا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ذلک التقیید لا بد أن یکون لمصلحة اخری لا دخل لها بمصلحة أصل الفعل، بنحو لا یکون من قبیل الواجب فی واجب، بل تکون المصلحة فی نفس التقیید لا فی مجرد الاتیان بأصل الفعل ذی المصلحة بداعی مصلحة نفسه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ذلک و إن اندفع به المحذور الذی أفاده شیخنا قدّس سرّه إلّا أن التخلص عن کونه من قبیل الواجب فی واجب فی غایة الصعوبة، لأن المصلحة الاولی الراجعة إلی ذات الفعل إن کانت غیر متوقفة علی استیفاء المصلحة الثانیة القائمة بالاتیان به بداعی مصلحة نفسه، کان من قبیل الواجب فی واجب، و کان لازمه سقوط التکلیف لو لم یأت به بداعی</w:t>
      </w:r>
    </w:p>
    <w:p>
      <w:pPr>
        <w:pStyle w:val="BookText"/>
        <w:rPr/>
      </w:pPr>
      <w:r>
        <w:rPr>
          <w:rFonts w:ascii="Amiri" w:hAnsi="Amiri" w:eastAsia="Amiri" w:cs="Amiri"/>
          <w:color w:val="111111"/>
          <w:sz w:val="28"/>
          <w:sz w:val="28"/>
          <w:szCs w:val="28"/>
          <w:rtl w:val="true"/>
          <w:lang w:bidi="ar-SA"/>
        </w:rPr>
        <w:t>مصلحة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کانت المصلحة الاولی متوقفة علی استیفاء المصلحة الثانیة، توجّه المحذور الذی أفاده شیخنا قدّس سرّه لأن مصلحة ذات الفعل حینئذ متوقفة علی قصد مصلحة ذاته، و حینئذ لا فرق بین ذلک و بین أن لا یکون فی ذات الفعل مصلحة أصلا، و إنما کانت المصلحة منحصرة بالتعبد به الذی هو الاتیان به بداعی المصلحة فی تأتّی المحذور الذی أفاده شیخنا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مطلب آخر و هو أن تلک المصلحة المتوقفة علی القصد المذکور إن کانت نسبتها إلی الفعل المذکور کنسبة العناوین الثانویة المتقومة بالقصد إلی العناوین الأولیة نظیر نسبة عنوان التعظیم إلی القیام فی کونه عنوانا ثانویا متولدا من کونه مقصودا بالقیام، فلربما قلنا إنه لا یتوجه علیه المحذور المذکور، لأنّ هذا العنوان الثانوی القصدی الذی هو التعظیم و إن توقف علی قصده من القیام إلّا أن قصده منه کاف فی حصوله، و لا یتوقف علی اتصاف القیام بکونه فی حد نفسه تعظیما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المصلحة فیما نحن فیه فانها و ان توقفت علی قصدها من الفعل، إلّا أن قصدها من الفعل کاف فی حصولها، و لا یتوقف قصدها علی اتصاف الفعل بها فی حدّ نفسه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أن المصلحة المترتبة علی الأفعال لیست من العناوین الثانویة التی تکون مقدورة للمکلف بواسطة القدرة علی الفعل بعنوانه الأولی، غایته أنها متوقفة علی القصد، بل إن المصلحة معلولة للفعل و هی مباینة له، فلا یعقل أن یکون حصولها من الفعل متوقفا علی قصدها، لأن قصدها متوقف علی حصولها بالفعل و حصولها بالفعل یتوقف علی قصدها</w:t>
      </w:r>
      <w:r>
        <w:rPr>
          <w:rFonts w:eastAsia="IRNazanin" w:cs="IRNazanin"/>
          <w:color w:val="111111"/>
          <w:sz w:val="28"/>
          <w:szCs w:val="28"/>
          <w:rtl w:val="true"/>
          <w:lang w:bidi="fa-IR"/>
        </w:rPr>
        <w:t>.</w:t>
      </w:r>
      <w:bookmarkStart w:id="599" w:name="pg19834_212505"/>
    </w:p>
    <w:p>
      <w:pPr>
        <w:pStyle w:val="BookText"/>
        <w:rPr/>
      </w:pPr>
      <w:bookmarkEnd w:id="599"/>
      <w:r>
        <w:rPr>
          <w:rFonts w:ascii="IRNazanin" w:hAnsi="IRNazanin" w:eastAsia="IRNazanin"/>
          <w:color w:val="111111"/>
          <w:sz w:val="28"/>
          <w:sz w:val="28"/>
          <w:szCs w:val="28"/>
          <w:rtl w:val="true"/>
          <w:lang w:bidi="fa-IR"/>
        </w:rPr>
        <w:t xml:space="preserve">أمّا ما ذکره فی الحاشیة صفحة </w:t>
      </w:r>
      <w:r>
        <w:rPr>
          <w:rFonts w:eastAsia="IRNazanin" w:cs="IRNazanin"/>
          <w:color w:val="111111"/>
          <w:sz w:val="28"/>
          <w:szCs w:val="28"/>
          <w:lang w:bidi="fa-IR"/>
        </w:rPr>
        <w:t>108</w:t>
      </w:r>
      <w:r>
        <w:rPr>
          <w:rStyle w:val="FootnoteAnchor"/>
          <w:rtl w:val="true"/>
        </w:rPr>
        <w:footnoteReference w:id="832"/>
      </w:r>
      <w:r>
        <w:rPr>
          <w:rFonts w:ascii="IRNazanin" w:hAnsi="IRNazanin" w:eastAsia="IRNazanin"/>
          <w:color w:val="111111"/>
          <w:sz w:val="28"/>
          <w:sz w:val="28"/>
          <w:szCs w:val="28"/>
          <w:rtl w:val="true"/>
          <w:lang w:bidi="fa-IR"/>
        </w:rPr>
        <w:t xml:space="preserve">فلعله راجع إلی دعوی انبساط المصلحة علی کل من الفعل و قصد المصلحة لیکون حالها حال الأمر فیما تقدم منه فی حاشیة صفحة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Style w:val="FootnoteAnchor"/>
          <w:rtl w:val="true"/>
        </w:rPr>
        <w:footnoteReference w:id="833"/>
      </w:r>
      <w:r>
        <w:rPr>
          <w:rFonts w:ascii="IRNazanin" w:hAnsi="IRNazanin" w:eastAsia="IRNazanin"/>
          <w:color w:val="111111"/>
          <w:sz w:val="28"/>
          <w:sz w:val="28"/>
          <w:szCs w:val="28"/>
          <w:rtl w:val="true"/>
          <w:lang w:bidi="fa-IR"/>
        </w:rPr>
        <w:t>، و قد عرفت ما فیه، مضافا إلی أن المصلحة لیست قابلة للتبعیض المدعی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لعله راجع إلی الوجه الأول مما ذکرناه، أعنی کون المصلحة من سنخ العناوین الثانویة، و قد عرفت ما فیه،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یتضح لک الاشکال فیما تضمنه تحریر الآملی لدروس الاستاذ العراقی قدّس سرّه </w:t>
      </w:r>
      <w:r>
        <w:rPr>
          <w:rStyle w:val="FootnoteAnchor"/>
          <w:rtl w:val="true"/>
        </w:rPr>
        <w:footnoteReference w:id="834"/>
      </w:r>
      <w:r>
        <w:rPr>
          <w:rFonts w:ascii="IRNazanin" w:hAnsi="IRNazanin" w:eastAsia="IRNazanin"/>
          <w:color w:val="111111"/>
          <w:sz w:val="28"/>
          <w:sz w:val="28"/>
          <w:szCs w:val="28"/>
          <w:rtl w:val="true"/>
          <w:lang w:bidi="fa-IR"/>
        </w:rPr>
        <w:t>فراجعه فانه عین ما فی الحاشیة المذکورة</w:t>
      </w:r>
      <w:r>
        <w:rPr>
          <w:rFonts w:eastAsia="IRNazanin" w:cs="IRNazanin"/>
          <w:color w:val="111111"/>
          <w:sz w:val="28"/>
          <w:szCs w:val="28"/>
          <w:rtl w:val="true"/>
          <w:lang w:bidi="fa-IR"/>
        </w:rPr>
        <w:t>.</w:t>
      </w:r>
    </w:p>
    <w:p>
      <w:pPr>
        <w:pStyle w:val="Heading5"/>
        <w:numPr>
          <w:ilvl w:val="4"/>
          <w:numId w:val="1"/>
        </w:numPr>
        <w:rPr/>
      </w:pPr>
      <w:bookmarkStart w:id="600" w:name="__RefHeading___Toc3493855_2314609296"/>
      <w:bookmarkStart w:id="601" w:name="_Toc220"/>
      <w:bookmarkEnd w:id="600"/>
      <w:r>
        <w:rPr>
          <w:rtl w:val="true"/>
        </w:rPr>
        <w:t>[</w:t>
      </w:r>
      <w:r>
        <w:rPr>
          <w:rtl w:val="true"/>
        </w:rPr>
        <w:t>وجه امتناع أخذ الجامع المنطبق علی جمیع الدواعی فی المأمور به</w:t>
      </w:r>
      <w:bookmarkEnd w:id="60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المختار من کون جمیع الدواعی القربیة فی عرض واحد، و أن الجامع بین الجمیع کون العمل للّه تعالی کما یستفاد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عمله بنیة صالحة یقصد بها ربه</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xml:space="preserve">فوجه امتناع أخذ الجامع المنطبق علی جمیع الدواعی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أن یکون المراد من کون العمل للّه تعالی هو رضوانه، و بقیة الدواعی کلها مصادیق لکونها محققات لرضاه، أما لو اخذ الرضوان بمعنی آخر و هو المشار إلیه بقوله تعالی و رضوان من اللّه أکبر</w:t>
      </w:r>
      <w:r>
        <w:rPr>
          <w:rStyle w:val="FootnoteAnchor"/>
          <w:rtl w:val="true"/>
        </w:rPr>
        <w:footnoteReference w:id="837"/>
      </w:r>
      <w:r>
        <w:rPr>
          <w:rFonts w:ascii="Amiri" w:hAnsi="Amiri" w:eastAsia="Amiri" w:cs="Amiri"/>
          <w:color w:val="111111"/>
          <w:sz w:val="28"/>
          <w:sz w:val="28"/>
          <w:szCs w:val="28"/>
          <w:rtl w:val="true"/>
          <w:lang w:bidi="ar-SA"/>
        </w:rPr>
        <w:t>فلا أظن إلّا</w:t>
      </w:r>
    </w:p>
    <w:p>
      <w:pPr>
        <w:pStyle w:val="BookText"/>
        <w:rPr/>
      </w:pPr>
      <w:r>
        <w:rPr>
          <w:rFonts w:ascii="IRNazanin" w:hAnsi="IRNazanin" w:eastAsia="IRNazanin"/>
          <w:color w:val="111111"/>
          <w:sz w:val="28"/>
          <w:sz w:val="28"/>
          <w:szCs w:val="28"/>
          <w:rtl w:val="true"/>
          <w:lang w:bidi="fa-IR"/>
        </w:rPr>
        <w:t xml:space="preserve">أنه معنی آخر أعلی من الجمیع نظیر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وجدتک أهلا للعبادة</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و علی أیّ حال فان فی کون الداعی أیّ داع کان متعلقا للأمر إشکالا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عبارة عما یکون تصوره باعثا علی الارادة الموجدة للفعل، فهو أعنی ذلک التصور یطرأ علی النفس قهرا و لا تدخله الارادة و الاختیار، نعم یکون الفعل المنبعث عن الارادة المنبعثة عن ذلک التصور اختیاریا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شیخنا قدّس سرّه من کونه سابقا علی الارادة المتعلقة بالفعل فلا تتعلق به إرادة المکلف، و إذا لم تتعلق به إرادة المکلف لم یکن قابلا لتعلق الارادة الشرعیة، لأنّها تحدث فی ناحیة المکلف نفس الداعی علی الارادة المتعلقة بالفعل، فإذا فرضنا استحالة کون الداعی تحت إرادة المکلف کان لازمه استحالة تعلق الارادة الشرعیة به، فان کان مراده قدّس سرّه استحالة کون الداعی متعلقا لارادة المکلف بالمرة الموجب لاستحالة تعلق الارادة الشرعیة، ورد علیه ما فی الحاشیة صفحة </w:t>
      </w:r>
      <w:r>
        <w:rPr>
          <w:rFonts w:eastAsia="IRNazanin" w:cs="IRNazanin"/>
          <w:color w:val="111111"/>
          <w:sz w:val="28"/>
          <w:szCs w:val="28"/>
          <w:lang w:bidi="fa-IR"/>
        </w:rPr>
        <w:t>109</w:t>
      </w:r>
      <w:r>
        <w:rPr>
          <w:rStyle w:val="FootnoteAnchor"/>
          <w:rtl w:val="true"/>
        </w:rPr>
        <w:footnoteReference w:id="839"/>
      </w:r>
      <w:r>
        <w:rPr>
          <w:rFonts w:ascii="IRNazanin" w:hAnsi="IRNazanin" w:eastAsia="IRNazanin"/>
          <w:color w:val="111111"/>
          <w:sz w:val="28"/>
          <w:sz w:val="28"/>
          <w:szCs w:val="28"/>
          <w:rtl w:val="true"/>
          <w:lang w:bidi="fa-IR"/>
        </w:rPr>
        <w:t xml:space="preserve">و کما تضمنه تحریر الآملی </w:t>
      </w:r>
      <w:r>
        <w:rPr>
          <w:rStyle w:val="FootnoteAnchor"/>
          <w:rtl w:val="true"/>
        </w:rPr>
        <w:footnoteReference w:id="840"/>
      </w:r>
      <w:r>
        <w:rPr>
          <w:rFonts w:ascii="IRNazanin" w:hAnsi="IRNazanin" w:eastAsia="IRNazanin"/>
          <w:color w:val="111111"/>
          <w:sz w:val="28"/>
          <w:sz w:val="28"/>
          <w:szCs w:val="28"/>
          <w:rtl w:val="true"/>
          <w:lang w:bidi="fa-IR"/>
        </w:rPr>
        <w:t>لدرس الاستاذ العراقی قدّس سرّه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بالأمر الثانی الذی صحح به المسألة الذی سمّاه متمم الجعل فانه متعلق بالداعی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التی یستحیل تعلقها بالداعی هی الارادة المنبعثة عنه، أعنی الارادة المتعلقة بالفعل الصادرة عن ذلک الداعی، أما تعلق إرادة اخری به هی فوق تلک الارادة فلا مانع من تعلقها بالداعی بعد فرض کونه اختیاریا، و غض النظر</w:t>
      </w:r>
    </w:p>
    <w:p>
      <w:pPr>
        <w:pStyle w:val="BookText"/>
        <w:rPr/>
      </w:pPr>
      <w:r>
        <w:rPr>
          <w:rFonts w:ascii="IRNazanin" w:hAnsi="IRNazanin" w:eastAsia="IRNazanin"/>
          <w:color w:val="111111"/>
          <w:sz w:val="28"/>
          <w:sz w:val="28"/>
          <w:szCs w:val="28"/>
          <w:rtl w:val="true"/>
          <w:lang w:bidi="fa-IR"/>
        </w:rPr>
        <w:t>عن الاشکال فیه من الجهة الاولی، و تکون تلک الارادة المتعلقة بالداعی صادرة عن داع آخر، فهناک داع یدعو إلی تعلق الارادة بایجاد الداعی، و هذا الداعی الثانی یدعو إلی إرادة ثانیة تتعلق بالفعل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نظر شیخنا قدّس سرّه فی هذا الاشکال مقصورا علی ما إذا کان الأمر الشرعی واحدا متعلّقا بالفعل الصادر عن الارادة الصادرة عن الداعی، فیکون ذلک الأمر الواحد محدثا للداعی فی نفس المکلف أعنی به الداعی المحرک لارادة المکلف ذلک الفعل، و من الواضح أن نفس ذلک الداعی علی تلک الارادة المتعلقة بالفعل لا یعقل دخوله تحت تلک الارادة، لیکون ذلک الأمر المتعلق بذلک الفعل متعلقا أیضا بذلک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فیما حررته عنه بعد أن ذکر الاشکال فی الجمیع و أوضحه بعض الایضاح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فلا یمکن أن تکون الارادة الواحدة من المولی جامعة لنفس الفعل و للداعی إلیه، و هذا مطلب سیّال فی جمیع الدواعی علی الأفعال، فانّها بأسرها لا یمکن أن تکون قیدا لما تعلّقت به إرادة المولی بحیث تکون الارادة الواحدة من المولی متعلقة بنفس الفعل و بالداعی للعبد علی الاتیان به، انتهی</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قدّس سرّه فی رسالته فی التعبدی و التوصلی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إن متعلق الارادة و الداعی الباعث لها طولیّان لیس أحدهما فی رتبة الآخر و لا صالحا لأن یترکب معه أو یکون من کیفیاته و حالاته، و لا یعقل وقوعهما تحت إرادة واحدة فاعلیة بشی‌ء من الوجهین، فلا یعقل أن تتعلق بهما إرادة واحدة آمریة و یتکفلهما بعث واحد کذلک، و لیس متعلق الارادة الآمریة إلّا عین ما تتعلق به الارادة الفاعلیة بتوسیطها دون نفسها کی یمکن تقییدها بالمنبعثة عن داع کذائی، و إلّا لزم أن تکون بارادة اخری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ذلک بأمر آخر یتعلق بذلک الداعی و یکون باعثا للمکلف و داعیا له إلی تعلق إرادة اخری تتعلق بذلک الداعی، فیکون ذلک الأمر الثانی محدثا لداع ثان فی نفس المکلف یحمله علی تعلق إرادته بالداعی الباعث علی الارادة المتعلقة بالفعل، فلا یرد علیه الاشکال الثانی لأنه قدّس سرّه لم یمنعه فیما إذا کان بأمر ثان، و لا النقض بالأمر الثانی الذی هو متمم الجعل، نعم یبقی إشکال الجهة الاولی و هو کون الداعی غیر قابل لتعلق الارادة به أصلا لکونه یحدث قهرا فی نفس الفاعل</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 هناک داع یدعو المکلف إلی تعلق إرادته بایجاد الداعی الثانی الموجب لتعلق إرادته ثانیا بنفس العمل الذی هو الصلاة لیکون هناک داعیان و إرادتان و أمران شرعیان یتعلق أحدهما بالفعل و الآخر بالداعی علی الارادة المتعلقة بذلک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یکاد یحصل القطع بعدمه، و هو خلاف ما نجده وجدانا فی أعمالنا العبادیة، فان کل مسلم حینما یقدم علی الصلاة لا یری من نفسه أنه قد حدثت عنده إرادتان تعلقت إحداهما بنفس العمل و الاخری بالداعی علی تلک الارادة، و أن له داعیین داعیا علی إرادة العمل و داعیا علی إرادة ذلک الداعی، و شیخنا قدّس سرّه و إن قال بتعدد الأمر إلّا أنه لا یبعد أن یکون مراده أن متعلق الثانی هو القصد القائم بالعمل، بمعنی أن الأمر الثانی یتعلق بقصده الامتثال بالاتیان بالفعل، لا أن متعلقه هو نفس الداعی کما سیأتی توضیحه إن شاء اللّه تعالی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أنه بناء علی ذلک لا یمکن الترکیب بین المتعلقین لیکتفی فی ذلک بأمر واحد متعلق بالمجموع، إذ لا ترکیب بین نفس الفعل و بین الداعی علی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عدم اختیاریة الداعی، نعم یمکن جعل الأمر الثانی متعلقا بالقصد، و حینئذ یصح الترکیب من الفعل و قصد عنوان الامتثال به، و یکتفی بالأمر بالمجموع أو المقید، لکن لو کان علی نحو الترکیب توجه علیه الاشکالات الأربعة التی عرفتها</w:t>
      </w:r>
      <w:r>
        <w:rPr>
          <w:rStyle w:val="FootnoteAnchor"/>
          <w:rtl w:val="true"/>
        </w:rPr>
        <w:footnoteReference w:id="843"/>
      </w:r>
      <w:r>
        <w:rPr>
          <w:rFonts w:ascii="IRNazanin" w:hAnsi="IRNazanin" w:eastAsia="IRNazanin"/>
          <w:color w:val="111111"/>
          <w:sz w:val="28"/>
          <w:sz w:val="28"/>
          <w:szCs w:val="28"/>
          <w:rtl w:val="true"/>
          <w:lang w:bidi="fa-IR"/>
        </w:rPr>
        <w:t>، و لو کان علی نحو التقیید بأن یکون الأمر متعلقا بالفعل المقصود به امتثال ذلک الأمر لزم أخذ الأمر فی متعلق نفسه، فیکون من قبیل کون الأمر شرطا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المحشی </w:t>
      </w:r>
      <w:r>
        <w:rPr>
          <w:rStyle w:val="FootnoteAnchor"/>
          <w:rtl w:val="true"/>
        </w:rPr>
        <w:footnoteReference w:id="844"/>
      </w:r>
      <w:r>
        <w:rPr>
          <w:rFonts w:ascii="IRNazanin" w:hAnsi="IRNazanin" w:eastAsia="IRNazanin"/>
          <w:color w:val="111111"/>
          <w:sz w:val="28"/>
          <w:sz w:val="28"/>
          <w:szCs w:val="28"/>
          <w:rtl w:val="true"/>
          <w:lang w:bidi="fa-IR"/>
        </w:rPr>
        <w:t>لم یظهر من کلامه فی دعوی الأمر الواحد الفرق بین کون متعلق الأمر الثانی هو الداعی أو کونه هو القصد، بل إنه مع تصریحه بکون المتعلق للأمر الثانی هو الداعی جعل المتعلق فعلا نفسانیا، و قد عرفت أن الداعی انفعال نفسانی و هو غیر قابل لتعلق الأمر به، و أن الذی هو فعل نفسانی هو قصد العنوان الثانوی للفعل و هو عنوان الامتثال الذی هو فعل ثانوی للفاعل، و أنه لکون قوامه القصد یکون فعلا نفسانیا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المستفاد من تحریر الآملی </w:t>
      </w:r>
      <w:r>
        <w:rPr>
          <w:rStyle w:val="FootnoteAnchor"/>
          <w:rtl w:val="true"/>
        </w:rPr>
        <w:footnoteReference w:id="845"/>
      </w:r>
      <w:r>
        <w:rPr>
          <w:rFonts w:ascii="IRNazanin" w:hAnsi="IRNazanin" w:eastAsia="IRNazanin"/>
          <w:color w:val="111111"/>
          <w:sz w:val="28"/>
          <w:sz w:val="28"/>
          <w:szCs w:val="28"/>
          <w:rtl w:val="true"/>
          <w:lang w:bidi="fa-IR"/>
        </w:rPr>
        <w:t>أن إشکاله ثانیا منصب علی الداعی إلی الداعی، فانه و إن صوّر المقام بوجود داع آخر یتعلق به الأمر لیکون الأمر داعیا إلی الداعی و لازمه توسط الارادة بین الداعیین، إلّا أنه مع ذلک جعل المقام من قبیل الداعی إلی الداعی، و من الواضح أن</w:t>
      </w:r>
    </w:p>
    <w:p>
      <w:pPr>
        <w:pStyle w:val="BookText"/>
        <w:rPr/>
      </w:pPr>
      <w:r>
        <w:rPr>
          <w:rFonts w:ascii="IRNazanin" w:hAnsi="IRNazanin" w:eastAsia="IRNazanin"/>
          <w:color w:val="111111"/>
          <w:sz w:val="28"/>
          <w:sz w:val="28"/>
          <w:szCs w:val="28"/>
          <w:rtl w:val="true"/>
          <w:lang w:bidi="fa-IR"/>
        </w:rPr>
        <w:t>مسألة الداعی إلی الداعی لا دخل لها بتوسط الارادة بین الداعیین، بل إن مسألة الداعی إلی الداعی هی کون الفعل له فائدتان طولیتان، ففائدة الفعل هی الامتثال و فائدة الامتثال هی الثواب، و فی الحقیقة یکون الداعی الحقیقی هو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أفاد شیخنا قدّس سرّه فی حاشیته علی العروة فیما أفاده الماتن فی الصلاة الاستیجاریة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التحقیق أن أخذ الاجرة داع لداعی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إیراده تقریبا للاشکال أولی من أن یذکر دفعا له </w:t>
      </w:r>
      <w:r>
        <w:rPr>
          <w:rStyle w:val="FootnoteAnchor"/>
          <w:rtl w:val="true"/>
        </w:rPr>
        <w:footnoteReference w:id="846"/>
      </w:r>
      <w:r>
        <w:rPr>
          <w:rFonts w:ascii="IRNazanin" w:hAnsi="IRNazanin" w:eastAsia="IRNazanin"/>
          <w:color w:val="111111"/>
          <w:sz w:val="28"/>
          <w:sz w:val="28"/>
          <w:szCs w:val="28"/>
          <w:rtl w:val="true"/>
          <w:lang w:bidi="fa-IR"/>
        </w:rPr>
        <w:t>، و توضیحه هو ما عرفت من أنه عند اجتماع الدواعی الطولیة یکون الداعی الحقیقی علی الفعل هو الأخیر، فإن الأجیر یفعل الفعل بداعی القربة لیترتب علیه أخذ الاجرة، فکان الداعی الحقیقی هو أخذ الاجرة، لکن الذی یریده المحشی فیما نحن فیه هو توسط الارادة بین الداعیین و إمکان تعلق الارادة المتوسطة بالداعی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الداعی لا یمکن أن تتعلق به إرادة الفاعل أصلا سواء کانت هی الارادة التی کان ذلک الداعی باعثا علیها أو کانت هناک إرادة اخری تتعلق بایجاد ذلک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فواضح، و أمّا الثانی فلما عرفت من أن الداعی لیس من أفعال النفس بل هو من انفعالاتها أو من کیفیاتها فلا تدخله الارادة و الاختیار، و إن شئت توضیح ذلک فنقول بعونه تعالی</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کون الشی‌ء داعیا أعنی کون تصور ترتبه علی الفعل باعثا علی الارادة المتعلقة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الفعل </w:t>
      </w:r>
      <w:r>
        <w:rPr>
          <w:rStyle w:val="FootnoteAnchor"/>
          <w:rtl w:val="true"/>
        </w:rPr>
        <w:footnoteReference w:id="847"/>
      </w:r>
      <w:r>
        <w:rPr>
          <w:rFonts w:ascii="IRNazanin" w:hAnsi="IRNazanin" w:eastAsia="IRNazanin"/>
          <w:color w:val="111111"/>
          <w:sz w:val="28"/>
          <w:sz w:val="28"/>
          <w:szCs w:val="28"/>
          <w:rtl w:val="true"/>
          <w:lang w:bidi="fa-IR"/>
        </w:rPr>
        <w:t>مرحلة و هی مرحلة انفعال النفس، و کون</w:t>
      </w:r>
    </w:p>
    <w:p>
      <w:pPr>
        <w:pStyle w:val="BookText"/>
        <w:rPr/>
      </w:pPr>
      <w:r>
        <w:rPr>
          <w:rFonts w:ascii="IRNazanin" w:hAnsi="IRNazanin" w:eastAsia="IRNazanin"/>
          <w:color w:val="111111"/>
          <w:sz w:val="28"/>
          <w:sz w:val="28"/>
          <w:szCs w:val="28"/>
          <w:rtl w:val="true"/>
          <w:lang w:bidi="fa-IR"/>
        </w:rPr>
        <w:t>الفعل واقعا بقصد العنوان الفلانی مرحلة اخری و هی مرحلة الفعل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ربما اتحد مورد المرحلتین کما فی الامتثال فان تصور ترتبه علی فعل المأمور به یکون داعیا، و هو أیضا یکون مقصودا بالفعل، بمعنی أن المکلف عند ما یقدم علی الفعل المأمور به یکون قد قصد به امتثال الأمر، و لعل هذا جار فی جمیع العناوین الثانویة التی قوامها القصد مثل التعظیم الحاصل بالقیام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الداعی مقصورا علی المرحلة الاولی کما فی الثواب و الفرار من العقاب، فان تصور ترتبه علی الفعل یکون داعیا للمکلف و باعثا لارادته نحو الفعل المأمور به، لکن ترتبه علی الفعل لا یتوقف علی قصده لعدم کونه من العناوین الثانویة فضلا عن کونه متقوما بالقصد، نعم ربما قصد المکلف بذلک الفعل ترتب الثواب علیه، لکن ذلک غیر دخیل فی ترتب الثواب علیه إلّا إذا دل الدلیل علی تقیید المأمور به بأن یفعل بقصد ترتب الثواب علیه، و لازم ذلک هو أن ذلک الثواب لا یترتب علی ذات الفعل بل إنما یترتب علی فعله بقصد الثواب، و حینئذ یتوجه الاشکال الذی شرحناه فی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العنوان مقصورا علی المرحلة الثانیة کما فی العبادة و الخضوع فانها عنوان ثانوی للفعل متوقف علی القصد، لکن لیست من الدواعی، فان الداعی لإیقاع الانحناء بقصد الرکوع أو إیقاع وضع الجبهة علی الأرض بقصد السجود أو بقصد العبادة و الخضوع مطلب آخر و هو الثواب أو الفرار من العقاب أو مجرد الامتثال، إلی غیر ذلک من الدواعی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المهم لنا هو التباین بین المرحلتین، فإن مرحلة الداعی إنما هی قبل إرادة الفعل، و مرحلة قصد العنوان من الفعل إنما هی متأخرة</w:t>
      </w:r>
    </w:p>
    <w:p>
      <w:pPr>
        <w:pStyle w:val="BookText"/>
        <w:rPr/>
      </w:pPr>
      <w:r>
        <w:rPr>
          <w:rFonts w:ascii="IRNazanin" w:hAnsi="IRNazanin" w:eastAsia="IRNazanin"/>
          <w:color w:val="111111"/>
          <w:sz w:val="28"/>
          <w:sz w:val="28"/>
          <w:szCs w:val="28"/>
          <w:rtl w:val="true"/>
          <w:lang w:bidi="fa-IR"/>
        </w:rPr>
        <w:t>عن الارادة، بمعنی تعلق الارادة بالفعل و قصد العنوان به، و لا یهمنا تحقیق التلازم موردا بین المرحلتین، بمعنی أن کل ما یکون تصور ترتبه علی الفعل داعیا علی إرادته یکون هو عنوانا مقصودا بالفعل، أو التفکیک بین المرحلتین موردا، لیکونا نظیر العموم من وجه، فإن تحقیق ذلک لا یهمنا، و إنما المهم لنا هو ما عرفت من التباین بین المرحلتین، أعنی مرحلة کون الشی‌ء داعیا و مرحلة کونه مقصودا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القصد عبارة عن الارادة فلا یقع موردا للتکلیف، لأنه لا تتعلق به إرادة الفاعل، حیث إن الارادة لا تکون بارادة اخری و إلا لزم التسلسل، و هو ما أشار إلیه فی الکفایة</w:t>
      </w:r>
      <w:r>
        <w:rPr>
          <w:rStyle w:val="FootnoteAnchor"/>
          <w:rtl w:val="true"/>
        </w:rPr>
        <w:footnoteReference w:id="848"/>
      </w:r>
      <w:r>
        <w:rPr>
          <w:rFonts w:ascii="IRNazanin" w:hAnsi="IRNazanin" w:eastAsia="IRNazanin"/>
          <w:color w:val="111111"/>
          <w:sz w:val="28"/>
          <w:sz w:val="28"/>
          <w:szCs w:val="28"/>
          <w:rtl w:val="true"/>
          <w:lang w:bidi="fa-IR"/>
        </w:rPr>
        <w:t>فی جواب إن قلت الأخیرة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القصد فعل نفسانی و لیس هو عین الارادة، بل بعد البناء علی کونه فعلا من أفعال النفس أعنی کونه فعلا قلبیا لا مانع من تعلق الارادة به، و لو سلّمنا کونه عین الارادة لقلنا إن المأمور به هو القیام المقید بالتعظیم، و هذا المقید یقع متعلقا لارادة واحدة من المکلف، غایته أن ذات الفعل الذی هو ذات القیام لا یتوقف علی الارادة بل ربما وجد من فاعله سهوا أو غفلة، لکن القید الذی هو کونه تعظیما یتوقف علی الارادة، فتلک الارادة المتعلقة بالقیام المقید بالتعظیم تکوّن نفس القیام و قیده الذی هو التعظیم، و یکون الحاصل هو تعلق إرادة المکلف بالقیام و التعظیم، و یکون ذلک أعنی القیام و التعظیم الذی هو قیده متعلقا لأمر المولی الموجب لتعلق إرادة المکلف بهما، فلا حاجة إلی الالتزام بأن المأمور به هو القیام و قصد التعظیم، و إن کان المتعین هو ما ذکرناه من کون قصد التعظیم بالقیام لیس</w:t>
      </w:r>
    </w:p>
    <w:p>
      <w:pPr>
        <w:pStyle w:val="BookText"/>
        <w:rPr/>
      </w:pPr>
      <w:r>
        <w:rPr>
          <w:rFonts w:ascii="IRNazanin" w:hAnsi="IRNazanin" w:eastAsia="IRNazanin"/>
          <w:color w:val="111111"/>
          <w:sz w:val="28"/>
          <w:sz w:val="28"/>
          <w:szCs w:val="28"/>
          <w:rtl w:val="true"/>
          <w:lang w:bidi="fa-IR"/>
        </w:rPr>
        <w:t>هو من مقولة الارادة النفسانیة الباعثة علی الفعل، بل هو من أفعال النفس و هو من سنخ قصد المعنی من اللفظ، فإنه و إن عبّر عنه بارادة المعنی من اللفظ، إلّا أن المراد بالارادة لیس هو تلک الارادة النفسانیة الباعثة علی الفعل، بل المراد بها ما عرفت من القصد الذی هو فعل جنانی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العنوان الثانوی غیر المتوقف علی القصد مثل الاحراق بالنسبة إلی الالقاء فی النار، یکون قصد الاحراق من الالقاء من مقولة الارادة النفسانیة، حیث إن نفس فعل الالقاء هو إحراق و إن لم یکن الملقی عالما بوجود النار، غایته أنه قد أحرقه بلا إرادة و قصد، بخلاف ما لو کان عالما و أراد إحراقه فألقاه فی النار فانه حینئذ یکون قد أحرقه بالارادة، و حینئذ یکون قصد الاحراق عبارة اخری عن إرادة الاحراق، بخلاف مثل التعظیم الذی یکون قوامه القصد، فان هذا القصد لیس هو نفس الارادة بل ذلک القصد الذی هو فعل قلبی حاصل بالارادة،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المرحلة الاولی أعنی کون الشی‌ء داعیا لا یدخلها الاختیار و لا یتعلق بها الأمر، بخلاف المرحلة الثانیة التی هی مرحلة القصد، و حینئذ نقول إن هذه الدواعی التی عددها شیخنا قدّس سرّه إن کان المنظور بها هو المرحلة الاولی، استحال تعلق الارادة بها تکوینیة من العبد أو تشریعیة من جانب الشارع، و إن کان المنظور بها هو المرحلة الثانیة دخلت تحت الاختیار و أمکن تعلق الأمر بها، و هذا هو ما نسمّیه بأفعال النفس أو أفعال القلب أو أفعال الجوانح فی قبال أفعال الجوارح</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بعض هذه العناوین القصدیة لا یمکن أخذها قیدا فی متعلق الأمر بأمر واحد، و ذلک مثل قصد امتثال الأمر المتعلق بذلک العمل، بأن</w:t>
      </w:r>
    </w:p>
    <w:p>
      <w:pPr>
        <w:pStyle w:val="BookText"/>
        <w:rPr/>
      </w:pPr>
      <w:r>
        <w:rPr>
          <w:rFonts w:ascii="IRNazanin" w:hAnsi="IRNazanin" w:eastAsia="IRNazanin"/>
          <w:color w:val="111111"/>
          <w:sz w:val="28"/>
          <w:sz w:val="28"/>
          <w:szCs w:val="28"/>
          <w:rtl w:val="true"/>
          <w:lang w:bidi="fa-IR"/>
        </w:rPr>
        <w:t>یقول صلّ قاصدا بالصلاة امتثال هذا الأمر المتعلق بها، و ذلک للمحاذیر السالفة الذکر، و حینئذ یتوصل الآمر إلی ذلک بجعل أمر متعلق بذات الفعل ثم یأمره ثانیا بأن یقصد بذلک الفعل عند الاتیان به امتثال ذلک الأمر المتعلق به، و لیس هذا الأمر الثانی متعلقا بالداعی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الاشکال اعتبار قصد مصلحة ذلک الفعل مع فرض کونها متوقفة علی القصد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هذا الاشکال فی المصلحة لا یدفعه تعدد الأمر، لأن منشأه محالیة قصد مصلحة الفعل مع فرض کونها متوقفة علی القصد، و هذه المحالیة لا تندفع بتعدد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أنه لو جعلنا القید هو قصد العبادیة و الخضوع و نحوهما، فالظاهر أنه لا مانع من أخذ قصدها قیدا فی المأمور به، و حینئذ یمکننا القول بأن قصد امتثال الأمر أو قصد التوصل إلی الثواب أو الفرار من العقاب محقق لذلک العنوان أعنی عنوان التعبد و الخضوع الذی کان قصده قیدا فی المأمور به، فتأمل</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إنه لا دلیل علی اعتبار قصد الامتثال أو داعی الأمر أو قصد المصلحة علی وجه یکون أحد هذه الامور قیدا فی المطلوب، بل لیس لنا إلّا أدلة خاصة فی موارد خاصة دالة علی اعتبار التعبد و الخضوع و العبادیة فی تلک الواجبات، و هذا المقدار لا مانع من اعتباره فی متعلق الأمر فی مقام الثبوت و الاثبات، سواء کان إثباته بدلیل منفصل أو کان بالتقیید المتصل، نعم إن قصد الامتثال و کذلک الاتیان بداعی الأمر مما یحکم العقل بأنّها محققات لما هو القید الأصلی أعنی العبادیة و الخضوع، فیرتفع الاشکال بحذافیره و بجمیع أطواره و جهاته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فیستحیل کونه فی عرض العمل الصادر عن الارادة التکوینیة، فان المفروض سبقه علی الارادة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شیخنا قدّس سرّه فی رسالته فی التعبدی و التوصلی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إن متعلق الارادة و الداعی الباعث لها طولیان لیس أحدهما فی رتبة الآخر، و لا صالحا لأن یترکب معه أو یکون من کیفیاته و حالاته، و لا یعقل وقوعهما تحت إرادة واحدة فاعلیة بشی‌ء من الوجهین، فلا یعقل أن تتعلق بهما إرادة واحدة آمریة و یتکفلهما بعث واحد کذلک، و لیس متعلق الارادة الآمریة إلّا عین ما تتعلق به الارادة الفاعلیة بتوسیطها دون نفسها کی یمکن تقییدها بالمنبعثة عن داع کذائی و إلّا لزم أن تکون بارادة اخری کما لا یخفی، انتهی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کون الداعی هو الباعث علی الارادة المتعلقة بالفعل، و استحالة کونه فی عرض الفعل متعلقا لتلک الارادة، لم یعقل الترکیب بین الداعی و الفعل، أو تقیید الفعل بذلک الداعی و جعل نفس تلک الارادة متعلقة بذلک المرکب من الفعل و الداعی أو بذلک الفعل المقید بذلک الداعی، نعم مع قطع النظر عن کون الداعی من انفعالات النفس أو من کیفیاتها التی لا تکون بالارادة، یمکن القول بوقوع الداعی الباعث علی إرادة الفعل متعلقا لارادة اخری تتعلق بایجاد ذلک الداعی بداع آخر یبعث علی تلک الارادة الاخری، و حینئذ تکون هناک إرادتان بداعیین، فالداعی الأول باعث علی الارادة الاولی المتعلقة بایجاد الداعی الثانی، و الداعی الثانی باعث علی الارادة الثانیة المتعلقة بالفعل، و مع هذا التکلف فلم یکن</w:t>
      </w:r>
    </w:p>
    <w:p>
      <w:pPr>
        <w:pStyle w:val="BookText"/>
        <w:rPr/>
      </w:pPr>
      <w:r>
        <w:rPr>
          <w:rFonts w:ascii="IRNazanin" w:hAnsi="IRNazanin" w:eastAsia="IRNazanin"/>
          <w:color w:val="111111"/>
          <w:sz w:val="28"/>
          <w:sz w:val="28"/>
          <w:szCs w:val="28"/>
          <w:rtl w:val="true"/>
          <w:lang w:bidi="fa-IR"/>
        </w:rPr>
        <w:t>متعلق الارادة الثانیة مرکبا من الفعل مع الداعی علیها و لا مقیدا به، بل کان متعلقها هو نفس الفعل و ذاته، کما هو</w:t>
      </w:r>
      <w:r>
        <w:rPr>
          <w:rStyle w:val="FootnoteAnchor"/>
          <w:rtl w:val="true"/>
        </w:rPr>
        <w:footnoteReference w:id="851"/>
      </w:r>
      <w:r>
        <w:rPr>
          <w:rFonts w:ascii="IRNazanin" w:hAnsi="IRNazanin" w:eastAsia="IRNazanin"/>
          <w:color w:val="111111"/>
          <w:sz w:val="28"/>
          <w:sz w:val="28"/>
          <w:szCs w:val="28"/>
          <w:rtl w:val="true"/>
          <w:lang w:bidi="fa-IR"/>
        </w:rPr>
        <w:t>الحال فی متعلق الارادة الاولی فانّه نفس إیجاد الداعی و لا ترکیب فیه و لا تقیید، و حینئذ لو کانت هذه السلسلة مطلوبة للمولی لم یمکن استیفاؤها إلّا بأمرین، أمر یتعلق بایجاد الفعل و أمر یتعلق بایجاد الداعی الباعث علی إرادة ذلک الفعل، لیکون الغرض من الأمر الأول هو إحداث الداعی الأول فی ناحیة المکلف علی إرادته الفعل، و یکون الغرض من الأمر الثانی هو إحداث الداعی الثانی فی ناحیة المکلف علی إرادة إیجاد الداعی الأول، و لا یمکن أن یتکفل الأمر الواحد بهذین الغرضین إلّا علی الترکیب أو التقیید الذی قد عرفت عدم معقولیته لعدم معقولیة الترکیب بین الفعل و داعیه أو تقییده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الخدشة فیما تضمنته الحاشیة، فانه مع التزامه بهذه السلسلة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المستحیل إنما هو تعلق شخص الاختیار الناشئ عن داع بذلک الداعی بعینه، و أمّا تعلق اختیار آخر به غیر الاختیار الناشئ منه فهو بمکان من الامکان،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بما أن المفروض ترتب الغرض الواحد علی الفعلین معا، فلا مناص عن کون الشوق أو الأمر المتعلق بهما واحدا أیضا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حولنا العنوان من مرحلة الداعی إلی مرحلة القصد بالفعل، الغیت تلک السلسلة و صار المطلوب هو الفعل المقید بقصد العنوان، و هذا لا یحتاج إلی تعدد الاختیار و الارادة، بل لا یکون فی ناحیة المکلف إلّا اختیار واحد متعلق بالفعل المقید بالقصد الذی هو فعل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bookmarkStart w:id="602" w:name="pg19834_212517"/>
    </w:p>
    <w:p>
      <w:pPr>
        <w:pStyle w:val="BookText"/>
        <w:rPr/>
      </w:pPr>
      <w:bookmarkEnd w:id="602"/>
      <w:r>
        <w:rPr>
          <w:rFonts w:ascii="IRNazanin" w:hAnsi="IRNazanin" w:eastAsia="IRNazanin"/>
          <w:color w:val="111111"/>
          <w:sz w:val="28"/>
          <w:sz w:val="28"/>
          <w:szCs w:val="28"/>
          <w:rtl w:val="true"/>
          <w:lang w:bidi="fa-IR"/>
        </w:rPr>
        <w:t>أخذناه جزءا أو أخذناه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نفس الداعی فقد عرفت أنه لیس بفعل نفسانی بل هو انفعال نفسانی أو کیف نفسانی، و الذی یظهر من المحشی هو الخلط بین المرحلتین أعنی مرحلة الداعویة و مرحلة القصد فلاحظ و تدبر</w:t>
      </w:r>
      <w:r>
        <w:rPr>
          <w:rFonts w:eastAsia="IRNazanin" w:cs="IRNazanin"/>
          <w:color w:val="111111"/>
          <w:sz w:val="28"/>
          <w:szCs w:val="28"/>
          <w:rtl w:val="true"/>
          <w:lang w:bidi="fa-IR"/>
        </w:rPr>
        <w:t>.</w:t>
      </w:r>
    </w:p>
    <w:p>
      <w:pPr>
        <w:pStyle w:val="Heading5"/>
        <w:numPr>
          <w:ilvl w:val="4"/>
          <w:numId w:val="1"/>
        </w:numPr>
        <w:rPr/>
      </w:pPr>
      <w:bookmarkStart w:id="603" w:name="__RefHeading___Toc3493857_2314609296"/>
      <w:bookmarkStart w:id="604" w:name="_Toc221"/>
      <w:bookmarkEnd w:id="603"/>
      <w:r>
        <w:rPr>
          <w:rtl w:val="true"/>
        </w:rPr>
        <w:t>[</w:t>
      </w:r>
      <w:r>
        <w:rPr>
          <w:rtl w:val="true"/>
        </w:rPr>
        <w:t>وجوه تصویر عبادیة العمل</w:t>
      </w:r>
      <w:r>
        <w:rPr>
          <w:rtl w:val="true"/>
        </w:rPr>
        <w:t>:]</w:t>
      </w:r>
      <w:bookmarkEnd w:id="604"/>
    </w:p>
    <w:p>
      <w:pPr>
        <w:pStyle w:val="Heading6"/>
        <w:numPr>
          <w:ilvl w:val="5"/>
          <w:numId w:val="1"/>
        </w:numPr>
        <w:rPr/>
      </w:pPr>
      <w:bookmarkStart w:id="605" w:name="__RefHeading___Toc3493859_2314609296"/>
      <w:bookmarkStart w:id="606" w:name="_Toc222"/>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حاصله، أن نفس الداعی القربی و إن لم یمکن أخذه فی المتعلق بوجه من الوجوه، إلّا أنه یمکن أخذ عنوان فی المأمور به یکون ملازما لأحد الدواعی القربیة وجودا و عدما، فالفرق بالأخرة إنما یکون باختلاف المتعلق، و الدواعی ملازمة لذلک العنوان المقید به متعلق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7" w:name="__RefHeading___Toc3493861_2314609296"/>
      <w:bookmarkStart w:id="608" w:name="_Toc223"/>
      <w:bookmarkEnd w:id="607"/>
      <w:r>
        <w:rPr>
          <w:rtl w:val="true"/>
        </w:rPr>
        <w:t>[</w:t>
      </w:r>
      <w:r>
        <w:rPr/>
        <w:t>1</w:t>
      </w:r>
      <w:r>
        <w:rPr>
          <w:rtl w:val="true"/>
        </w:rPr>
        <w:t xml:space="preserve">- </w:t>
      </w:r>
      <w:r>
        <w:rPr>
          <w:rtl w:val="true"/>
        </w:rPr>
        <w:t>ما ذکره العلّامة الشیرازی</w:t>
      </w:r>
      <w:bookmarkEnd w:id="608"/>
    </w:p>
    <w:p>
      <w:pPr>
        <w:pStyle w:val="BookText"/>
        <w:rPr/>
      </w:pPr>
      <w:r>
        <w:rPr>
          <w:rFonts w:ascii="IRNazanin" w:hAnsi="IRNazanin" w:eastAsia="IRNazanin"/>
          <w:color w:val="111111"/>
          <w:sz w:val="28"/>
          <w:sz w:val="28"/>
          <w:szCs w:val="28"/>
          <w:rtl w:val="true"/>
          <w:lang w:bidi="fa-IR"/>
        </w:rPr>
        <w:t>و قال المرحوم الشیخ محمد علی قدّس سرّه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 العبادیة إنّما هی کیفیة فی المأمور به و عنوان له، و یکون قصد الأمر أو الوجه أو غیر ذلک من المحققات لذلک العنوان و محصّلا له، من دون أن یکون ذلک متعلقا للأمر و لا مأخوذا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شرح العنوان المأخوذ حقیقة فی المأمور 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العبادة هی عبارة عن الوظیفة التی شرعت لأجل أن یتعبد العبد بها، فالصلاة المأتی بها بعنوان التعبد و إظهارا للعبودیة هی المأمور بها، و الأمر بها علی هذا الوجه بمکان من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هذا التحریر هو أنّ أصل العبادیة هو الإتیان بالفعل بعنوان العبودیة و الخضوع، و أما قصد داعی الأمر و نحوه من قصد المصلحة أو قصد الثواب أو الفرار من العقاب فغیر معتبر فیها، نعم قصد هذه الدواعی محقق للمطلوب الأصلی الذی هو العبودیة و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یظهر من</w:t>
      </w:r>
    </w:p>
    <w:p>
      <w:pPr>
        <w:pStyle w:val="BookText"/>
        <w:rPr/>
      </w:pPr>
      <w:r>
        <w:rPr>
          <w:rFonts w:ascii="IRNazanin" w:hAnsi="IRNazanin" w:eastAsia="IRNazanin"/>
          <w:color w:val="111111"/>
          <w:sz w:val="28"/>
          <w:sz w:val="28"/>
          <w:szCs w:val="28"/>
          <w:rtl w:val="true"/>
          <w:lang w:bidi="fa-IR"/>
        </w:rPr>
        <w:t xml:space="preserve">تحریر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العکس من ذلک، و أنّ المطلوب الأصلی هو الإتیان بداعی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لکنه لمّا لم یمکن التقیید به فللشارع أن یقید الفعل بعنوان آخر یکون ملازما لذلک الداعی، و إن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الدواعی ملازمة لذلک العنوان المقید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ظاهر فی أنّ العنوان المطلوب هو غیر الدواعی و أنّ الدواعی ملازمة لذلک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فی الدرر</w:t>
      </w:r>
      <w:r>
        <w:rPr>
          <w:rStyle w:val="FootnoteAnchor"/>
          <w:rtl w:val="true"/>
        </w:rPr>
        <w:footnoteReference w:id="856"/>
      </w:r>
      <w:r>
        <w:rPr>
          <w:rFonts w:ascii="IRNazanin" w:hAnsi="IRNazanin" w:eastAsia="IRNazanin"/>
          <w:color w:val="111111"/>
          <w:sz w:val="28"/>
          <w:sz w:val="28"/>
          <w:szCs w:val="28"/>
          <w:rtl w:val="true"/>
          <w:lang w:bidi="fa-IR"/>
        </w:rPr>
        <w:t>من جعل القید هو الإتیان به لا بالدواعی النفسانیة مأخوذ من هذا التوجیه، بناء علی أنّ اعتبار عدم الدواعی النفسانیة ملازم لکونه بأحد الدواعی الالهیة، بعد فرض صدور الفعل عنه بالاختیار لیخرج منه السهو و النسیان و الإکراه و الاجبار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فلو کان المراد هو هذا الأخیر فلا ریب فی بطلانه، إذ لم یقع الأمر فی عبارة الشارع لا بالدلیل المتصل و لا بالدلیل المنفصل علی العنوان المزعوم أنّه ملازم لداعی الأمر</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المراد هو ما فی تحریر الشیخ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مانع منه کما تقدم، بأن یکون المأمور به هو الفعل بعنوان الخضوع و التعبد، و تکون هذه الدواعی محققات للعبادیة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المقصود من المحققیة أنّها أسباب للعبادیة، لیرد علیه أنّها حینئذ من قبیل العناوین الأولیة و الثانویة، فیکون الأمر بأحدهما عین الأمر بالآخر کما نقلته فی تحریراتی عنه قدّس سرّه بل المراد أنّها أحد مصادیق التعبد و الخضوع، کما أنّه ربما کان مصداقه هو مجرد قصد التعبد و الخضوع، بل ربما یدعی المنع من کونه مصداقا بل هو مقرون بالخضوع، فإنّ مجرد الإتیان بالفعل بداعی الأمر</w:t>
      </w:r>
    </w:p>
    <w:p>
      <w:pPr>
        <w:pStyle w:val="BookText"/>
        <w:rPr/>
      </w:pPr>
      <w:r>
        <w:rPr>
          <w:rFonts w:ascii="IRNazanin" w:hAnsi="IRNazanin" w:eastAsia="IRNazanin"/>
          <w:color w:val="111111"/>
          <w:sz w:val="28"/>
          <w:sz w:val="28"/>
          <w:szCs w:val="28"/>
          <w:rtl w:val="true"/>
          <w:lang w:bidi="fa-IR"/>
        </w:rPr>
        <w:t>أو لأجل الفرار من العقاب لا یکون محققا للعبادیة، إلّا إذا اقترن بالخضوع و الخشوع و نحوهما ممّا یحقق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نقلته عنه فی تحریراتی من کون تعلق الأمر بالفعل بداعی الأمر إنّما هو لأجل أنّ الإتیان به بهذا الداعی یکون محققا لما هو ملاک العبادیة الذی هو العنوان الواقعی، فالقید الحقیقی الذی هو المطلوب هو ذلک العنوان الواقعی، و کون الفعل بداعی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أو غیره من الدواعی لیس هو المطلوب و القید الحقیقی، بل إنّ هذه الدواعی محققات لذلک القید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أورد علیه شیخنا قدّس سرّه بأنّ ذلک العنوان الواقعی إن کان بالنسبة إلی داعی الامتثال من قبیل العناوین الثانویة، کان الأمر بأحدهما عین الأمر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داعی الامتثال بالنسبة إلی ذلک العنوان من قبیل المقدمة الإعدادیة، تعیّن تعلق الأمر بداعی الامتثال الذی هو مقدمة إعدادیة لذلک العنوان الواقعی</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بینهما سببیة و لا علّیة، بل کانا من محض التلازم، و کان الوجه فی التجاء الشارع إلی عنوان الامتثال هو جهل المکلفین بذلک العنوان الواقعی، فهو و إن کان أخف مئونة من الوجه الأول أعنی السببیة و المسببیة، إلّا أنّه یتوجّه علیه الإشکال فی أخذ داعی الأمر فی المأمور به فإنّه و إن کان الأخذ صوریا و کان القید هو ذلک العنوان الواقعی، لکن یکون لازم أخذ داعی الأمر فی المأمور به و لو صوریا هو تصوّر الأمر فی مرتبة متعلقه، بمعنی أنّه عند إیراده الوجوب علی الصلاة یکون قد تصوّر الوجوب فی مرتبة إیراده، فیکون من قبیل تصوّر الحکم فی مرتبة تصوّر موضوعه عند إیراد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جار فی الوجه الأول، أعنی دعوی کون داعی الأمر بالنسبة إلی المطلوب الحقیقی أعنی العنوان الواقعی من قبیل السبب التولیدی أو کونه من قبیل المقدمة الإعدادیة،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هذا الإشکال أعنی تصوّر الحکم فی مرتبة موضوعه إنّما یتوجّه فیما لو کان التقیید متصلا، أما إذا کان منفصلا و کان القید الحقیقی هو ذلک العنوان الملازم المجهول عند المکلفین، و کان التقیید المنفصل بداعی الأمر لکونه طریقا للحصول علی ذلک القید الواقعی، فالظاهر أنّه لا مانع منه، سواء کان من مجرد البیان المنفصل أو کان بطریق الأمر الثانی، و یکون ذلک من قبیل التقیید اللحاظی فی مقام الثبوت و فی مقام الإثبات أیضا کما سیأتی توضیحه إن شاء اللّه تعالی </w:t>
      </w:r>
      <w:r>
        <w:rPr>
          <w:rStyle w:val="FootnoteAnchor"/>
          <w:rtl w:val="true"/>
        </w:rPr>
        <w:footnoteReference w:id="858"/>
      </w:r>
      <w:r>
        <w:rPr>
          <w:rFonts w:ascii="IRNazanin" w:hAnsi="IRNazanin" w:eastAsia="IRNazanin"/>
          <w:color w:val="111111"/>
          <w:sz w:val="28"/>
          <w:sz w:val="28"/>
          <w:szCs w:val="28"/>
          <w:rtl w:val="true"/>
          <w:lang w:bidi="fa-IR"/>
        </w:rPr>
        <w:t>فی توجیه ما أفاده الشیخ قدّس سرّه من إمکان التمسک بالاطلاق اللفظی علی أصالة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فرضنا و لو محالا انفکاک ذاک العنوان عن أحد الدواعی و بالعکس، فلا بد و أن تکون العبادة صحیحة علی الأول دون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یتضح الوجه فی هذا الإیراد، فإنّ بطلان اللازم و إن کان مسلّما إلّا أنّ الشأن فی الملزوم، و هل یکون متحققا واقعا أو أنّه محال 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الطریقة التی یسلکها الشارع فی الحصول علی غرضه إنّما هی من جهة تحقق الملازمة بین العنوانین، ففرض انفکاک الملازمة و حصول أحد العنوانین دون الآخر الذی هو فرض المحال لا یضر بذلک الطریق الذی هو مرتب علی الملازمة التی یکون فرض خلافها من فرض</w:t>
      </w:r>
    </w:p>
    <w:p>
      <w:pPr>
        <w:pStyle w:val="BookText"/>
        <w:rPr/>
      </w:pPr>
      <w:r>
        <w:rPr>
          <w:rFonts w:ascii="IRNazanin" w:hAnsi="IRNazanin" w:eastAsia="IRNazanin"/>
          <w:color w:val="111111"/>
          <w:sz w:val="28"/>
          <w:sz w:val="28"/>
          <w:szCs w:val="28"/>
          <w:rtl w:val="true"/>
          <w:lang w:bidi="fa-IR"/>
        </w:rPr>
        <w:t>المحال، و هل تکون النتیجة من ذلک الفرض المحال إلّا فرض محالیة بطلان ذلک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 الإیراد المذکور مطلب آخر، فإنّی فی تحریراتی لم أضبط ذلک حق الضبط، حیث إنّه قدّس سرّه تعرض للإیراد المذکور فی لیلتین، و الذی حررته عنه فی اللیلة الاولی فی تقریب هذا الوجه و الایراد ما 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الممکن أن تکون عبادیة الفعل التی هی معتبرة قیدا فیه عبارة عن عنوان منطبق علی نفس ذلک الفعل، و یکون ذلک العنوان متحققا باتیان ذلک الفعل بأحد هذه الدواعی، و لا یلزم علی أخذ ذلک العنوان قیدا فی متعلق الأمر شی‌ء من تلک الإشکالات السابقة، إذ لیس هو عبارة عن نفس تلک الدواعی بل هو أمر مغایر لها، غایة الأمر أنّ تحقق أحد تلک الدواعی یکون محققا لذلک العنوان، فإنّما یؤتی بالفعل بأحد تلک الدواعی لأجل أن ذلک محقق للعنوان المعتبر قیدا فی الفعل المأمور به، لا لأجل أنّ الاتیان بأحد تلک الدواعی معتبر فی نفسه فی متعلق الأمر کی تتوجه علیه تلک الإشکالات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التحقیقات الدقیقة، إلّا أنّه یرد علیه أنّ ذلک العنوان إن کان ممّا یمکن للمکلف قصده و یدخل تحت إرادته و اختیاره، کان قصده کافیا فی حصول ما هو المطلوب من دون حاجة إلی أحد هذه 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العنوان المذکور کذلک لم یصح أن یقع متعلقا للأمر، بل یکون متعلق الأمر هو المحصّل لذلک العنوان و المحقق له ممّا یدخل تحت قدرة المکلف، فیکون المأمور به هو المحصّل و المحقق، انتهی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علّقت علیه فی وقته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إشکال سیّال یذکره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p>
    <w:p>
      <w:pPr>
        <w:pStyle w:val="BookText"/>
        <w:rPr/>
      </w:pP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یکون من هذا القبیل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من أمثال هذه العناوین بالنسبة إلی ما تتحقق به، إن کان من قبیل العناوین التولیدیة کان الأمر فی الحقیقة متعلقا بنفس العنوان، و کان داخلا تحت القصد و الاختیار و کان هو و ما یتحقق به شیئا واحدا خارجا و إن اختلفا مفهوما، و یکون الأمر المتعلق بأحدهما عین الأمر المتعلق بالآخر فی کون کل من الأمرین متعلقا بالفعل الخارجی الذی هو صادر من المکلف، فلو کان قصد أحد الدواعی من الأسباب التولیدیة بالنسبة إلی ذلک العنوان، یکون الأمر المتعلق بذلک العنوان متعلقا بذلک القصد 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المحقق للعنوان من قبیل المقدمات الإعدادیة له، لم یتعلق الأمر إلّا بما یتحقق به، و لا یصح تعلقه بذلک العنوان لعدم دخوله تحت القصد و الاختیار، و إنّما المقدور له هو تلک المقدمة الإعدادیة أعنی قصد أحد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حرّرته عنه فی اللیلة الثانیة هو هذا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اللیلة 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عن السید قدّس سرّه و ذکر أنه لم یسمعه منه و إنّما نقل له ذلک عن تقریرات الاندربانی </w:t>
      </w:r>
      <w:r>
        <w:rPr>
          <w:rStyle w:val="FootnoteAnchor"/>
          <w:rtl w:val="true"/>
        </w:rPr>
        <w:footnoteReference w:id="860"/>
      </w:r>
      <w:r>
        <w:rPr>
          <w:rFonts w:ascii="IRNazanin" w:hAnsi="IRNazanin" w:eastAsia="IRNazanin"/>
          <w:color w:val="111111"/>
          <w:sz w:val="28"/>
          <w:sz w:val="28"/>
          <w:szCs w:val="28"/>
          <w:rtl w:val="true"/>
          <w:lang w:bidi="fa-IR"/>
        </w:rPr>
        <w:t>لدرسه، و أفاد أنّه قدّس سرّه لعلّه ذکره وجها فی جملة الوجوه لمدخلیة التعبد فی المأمور به لا أنّه مختاره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بأنّه لا یمکن الالتزام به فقها، لأنّ مقتضاه صحة العبادة لو قصد ذلک العنوان، و لم یکن الداعی علی الفعل هو التقرب بل کان الداعی مثل الریاء و نحوه، و فسادها لو لم یقصد ذلک العنوان و کان الداعی هو التقرب،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هذا الإیراد تتوقف علی کون ذلک العنوان داخلا تحت القصد و الاختیار، و إمکان التفکیک بین قصده و داعی التقرب، و لعل غرض السید قدّس سرّه هو دعوی الملازمة بینه و بین قصد التقرب المدعی کونه محققا له، و أنّ ذلک العنوان غیر داخل تحت القصد و الاختیار، و أنّه یکفی فی تعلق الخطاب به کون ما یحققه من الاتیان بالفعل بداعی التقرب مقدورا من دون حاجة إلی کون العنوان المذکور مقدورا بنفسه و مقصودا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ینحصر الإیراد علیه بما نقلناه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Style w:val="FootnoteAnchor"/>
          <w:rtl w:val="true"/>
        </w:rPr>
        <w:footnoteReference w:id="861"/>
      </w:r>
      <w:r>
        <w:rPr>
          <w:rFonts w:ascii="IRNazanin" w:hAnsi="IRNazanin" w:eastAsia="IRNazanin"/>
          <w:color w:val="111111"/>
          <w:sz w:val="28"/>
          <w:sz w:val="28"/>
          <w:szCs w:val="28"/>
          <w:rtl w:val="true"/>
          <w:lang w:bidi="fa-IR"/>
        </w:rPr>
        <w:t xml:space="preserve">من أنّه إن کان ذلک العنوان من قبیل المسببات التولیدیة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لم یذکره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 البحث، و إنّما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البحث عند ما عرضت بخدمته ما حاصله ما تقدم من أنّه لعل غرض السید قدّس سرّه هو دعوی الملازمة و عدم دخول العنوان تحت القصد و الاختیار و أنّه لا یعرفه المکلف، و إنّما هو عنوان واقعی یعلمه اللّه و لا یعرفه المکلف، و إنّما یمکنه إیجاده بایجاد ما یلازمه و یحققه من الإتیان بالفعل بداعی الأمر و التقرب، انتهی</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أنّه یمکن أن یکون مراد السید قدّس سرّه ما سیأتی فی الحاشیة الآتیة</w:t>
      </w:r>
      <w:r>
        <w:rPr>
          <w:rStyle w:val="FootnoteAnchor"/>
          <w:rtl w:val="true"/>
        </w:rPr>
        <w:footnoteReference w:id="862"/>
      </w:r>
      <w:r>
        <w:rPr>
          <w:rFonts w:ascii="IRNazanin" w:hAnsi="IRNazanin" w:eastAsia="IRNazanin"/>
          <w:color w:val="111111"/>
          <w:sz w:val="28"/>
          <w:sz w:val="28"/>
          <w:szCs w:val="28"/>
          <w:rtl w:val="true"/>
          <w:lang w:bidi="fa-IR"/>
        </w:rPr>
        <w:t>من أنّ ملاک العبادیة الذی یکون قیدا فیها هو عنوان ثانوی منطبق علی تلک الأفعال، و یکون ذلک العنوان الثانوی ملازما فی القصد لأحد الدواعی، أعنی الامتثال أو غیره من الدواعی القربیة، و لمّا کان ذلک العنوان الثانوی مجهولا للمکلف و مع جهله به لا یمکن التکلیف به و أخذه قیدا فی المأمور به، التجأ الآمر إلی الأمر ثانیا بالإتیان بتلک الأفعال بقصد الامتثال</w:t>
      </w:r>
      <w:bookmarkStart w:id="609" w:name="pg19834_212524"/>
    </w:p>
    <w:p>
      <w:pPr>
        <w:pStyle w:val="BookText"/>
        <w:rPr/>
      </w:pPr>
      <w:bookmarkEnd w:id="609"/>
      <w:r>
        <w:rPr>
          <w:rFonts w:ascii="IRNazanin" w:hAnsi="IRNazanin" w:eastAsia="IRNazanin"/>
          <w:color w:val="111111"/>
          <w:sz w:val="28"/>
          <w:sz w:val="28"/>
          <w:szCs w:val="28"/>
          <w:rtl w:val="true"/>
          <w:lang w:bidi="fa-IR"/>
        </w:rPr>
        <w:t>لیکون قصد الامتثال قصدا إجمالیا لذلک العنوان لکونه ملازما له فی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إشکال أخذ ما لا یتأتی إلّا من قبل الطلب فی متعلق ذلک الطلب، أعنی به إشکال أخذ الحکم موضوعا لنفسه الذی یلزم علیه المحالیة فی مقام الإنشاء و مقام الفعلیة و مقام الامتثال، لکن یرد علیه ما هو نظیره من لزوم تصوّر الحکم فی مرتبة تصوّر موضوعه عند إیراد الحکم علیه کما شرحناه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یندفع به الإشکال الثانی الذی أشار إلیه قدّس سرّه هنا أعنی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لا یلتزم به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63"/>
      </w:r>
      <w:r>
        <w:rPr>
          <w:rFonts w:ascii="IRNazanin" w:hAnsi="IRNazanin" w:eastAsia="IRNazanin"/>
          <w:color w:val="111111"/>
          <w:sz w:val="28"/>
          <w:sz w:val="28"/>
          <w:szCs w:val="28"/>
          <w:rtl w:val="true"/>
          <w:lang w:bidi="fa-IR"/>
        </w:rPr>
        <w:t>فإنّا بعد أن فرضنا أنّ ذلک العنوان مجهول للمکلف لا یمکن فرض الإتیان بالعمل بقصد ذلک العنوان مع عدم قصد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یندفع به الإشکال الآخر الذی نقلناه عنه قدّس سرّه أعنی إشکال کون قصد الامتثال من قبیل المحقق أو من قبیل المقدمة الاعدادیة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یندفع به الإشکال الذی توجّه علی الأمر الثانی الذی صحّح به الشیخ قدّس سرّه </w:t>
      </w:r>
      <w:r>
        <w:rPr>
          <w:rStyle w:val="FootnoteAnchor"/>
          <w:rtl w:val="true"/>
        </w:rPr>
        <w:footnoteReference w:id="864"/>
      </w:r>
      <w:r>
        <w:rPr>
          <w:rFonts w:ascii="IRNazanin" w:hAnsi="IRNazanin" w:eastAsia="IRNazanin"/>
          <w:color w:val="111111"/>
          <w:sz w:val="28"/>
          <w:sz w:val="28"/>
          <w:szCs w:val="28"/>
          <w:rtl w:val="true"/>
          <w:lang w:bidi="fa-IR"/>
        </w:rPr>
        <w:t>عبادیة العبادة و الذی سمّاه شیخنا قدّس سرّه بمتمم الجعل</w:t>
      </w:r>
      <w:r>
        <w:rPr>
          <w:rFonts w:eastAsia="IRNazanin" w:cs="IRNazanin"/>
          <w:color w:val="111111"/>
          <w:sz w:val="28"/>
          <w:szCs w:val="28"/>
          <w:rtl w:val="true"/>
          <w:lang w:bidi="fa-IR"/>
        </w:rPr>
        <w:t>.</w:t>
      </w:r>
    </w:p>
    <w:p>
      <w:pPr>
        <w:pStyle w:val="Heading6"/>
        <w:numPr>
          <w:ilvl w:val="5"/>
          <w:numId w:val="1"/>
        </w:numPr>
        <w:rPr/>
      </w:pPr>
      <w:bookmarkStart w:id="610" w:name="__RefHeading___Toc3493863_2314609296"/>
      <w:bookmarkStart w:id="611" w:name="_Toc224"/>
      <w:bookmarkEnd w:id="610"/>
      <w:r>
        <w:rPr>
          <w:rtl w:val="true"/>
        </w:rPr>
        <w:t>[</w:t>
      </w:r>
      <w:r>
        <w:rPr/>
        <w:t>2</w:t>
      </w:r>
      <w:r>
        <w:rPr>
          <w:rtl w:val="true"/>
        </w:rPr>
        <w:t xml:space="preserve">- </w:t>
      </w:r>
      <w:r>
        <w:rPr>
          <w:rtl w:val="true"/>
        </w:rPr>
        <w:t>اقتضاء الأمر بذاته للعبادیة</w:t>
      </w:r>
      <w:r>
        <w:rPr>
          <w:rtl w:val="true"/>
        </w:rPr>
        <w:t>]</w:t>
      </w:r>
      <w:bookmarkEnd w:id="61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الفرق بینهما من ناحیة الأمر، و أنّ حقیقة الأمر التعبدی مع حقیقة الأمر التوصلی متباینان، فالأول یقتضی بنفسه أن یکون باعثا فعلیا دون الثانی، فإنّه لا یقتضی إلّا نفس وجود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الوجه هو المراد بما قیل من الفرق بینهما، بکون النظر فی</w:t>
      </w:r>
    </w:p>
    <w:p>
      <w:pPr>
        <w:pStyle w:val="BookText"/>
        <w:rPr/>
      </w:pPr>
      <w:r>
        <w:rPr>
          <w:rFonts w:ascii="IRNazanin" w:hAnsi="IRNazanin" w:eastAsia="IRNazanin"/>
          <w:color w:val="111111"/>
          <w:sz w:val="28"/>
          <w:sz w:val="28"/>
          <w:szCs w:val="28"/>
          <w:rtl w:val="true"/>
          <w:lang w:bidi="fa-IR"/>
        </w:rPr>
        <w:t>الأمر التعبدی إلی الأمر نفسه و فی التوصلی بکون النظر إلی متعلقه، و إلا فلا وجه و لا معنی لکون النظر إلی نفس الأمر إلّا بمعنی قصد الآمر التأمر الذی یلزمه عدم اعتبار المصلحة فی المتعلق الذی هو علی الظاهر خلاف مذهب العدلیة، فإنّ أقصی ما فی البین هو أنّ متعلق الأمر فی التعبدیات لا یلزم فیه المصلحة و إنّما المصلحة فی إطاعة الأمر و فی العبادیة التی یحدثها الأمر بواسطة امتثاله، نعم یمکن إخراجه عن خلاف مذهب العدلیة، بأن یکون اختیار هذا الفعل دون غیره لأجل مصلحة فی نفسه مضافا إلی ما هو العمدة من المصلحة فی امتثال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هذا الوجه ملحق بالوجوه السابقة فی وجه الضعف، و یتأتی فیه إشکال أخذ الإطاعة فی مرتبة الأمر، إلّا إذا رجع إلی بعض ما تقدم من أخذ عنوان التعبد و الخضوع فی المأمور به، فلاحظ و تدبر</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الحاشیة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اللوازم الذاتیة لا بد و أن تکون موجودة بایجاد ملزوماتها، و التأخر الطبعی لا ینافی التقارن الزمانی کما هو ظاهر</w:t>
      </w:r>
      <w:r>
        <w:rPr>
          <w:rStyle w:val="FootnoteAnchor"/>
          <w:rtl w:val="true"/>
        </w:rPr>
        <w:footnoteReference w:id="866"/>
      </w:r>
      <w:r>
        <w:rPr>
          <w:rFonts w:ascii="IRNazanin" w:hAnsi="IRNazanin" w:eastAsia="IRNazanin"/>
          <w:color w:val="111111"/>
          <w:sz w:val="28"/>
          <w:sz w:val="28"/>
          <w:szCs w:val="28"/>
          <w:rtl w:val="true"/>
          <w:lang w:bidi="fa-IR"/>
        </w:rPr>
        <w:t xml:space="preserve">، ففیه </w:t>
      </w:r>
      <w:r>
        <w:rPr>
          <w:rStyle w:val="FootnoteAnchor"/>
          <w:rtl w:val="true"/>
        </w:rPr>
        <w:footnoteReference w:id="867"/>
      </w:r>
      <w:r>
        <w:rPr>
          <w:rFonts w:ascii="IRNazanin" w:hAnsi="IRNazanin" w:eastAsia="IRNazanin"/>
          <w:color w:val="111111"/>
          <w:sz w:val="28"/>
          <w:sz w:val="28"/>
          <w:szCs w:val="28"/>
          <w:rtl w:val="true"/>
          <w:lang w:bidi="fa-IR"/>
        </w:rPr>
        <w:t>أنّ العبارة التی نقلها عن شیخنا قدّس سرّه و إن کان ظاهرها الإشکال بعدم وجود داعویة الأمر فی مرتبة الأمر، إلّا أن المراد هو استحالة لحاظها فی مرتبة جعل الأمر، و المفروض هو أنّ الفرق مبنی علی أنّ الداعویة قید فی الأمر التعبدی، و من الواضح أن تقید الأمر بالداعویة متوقف علی لحاظها فی مرتبة الأمر علی وجه تؤخذ لونا للأمر التعبدی، لیکون ذلک هو الفارق الذاتی بین الأمر التعبدی و الأمر التوصلی</w:t>
      </w:r>
      <w:r>
        <w:rPr>
          <w:rFonts w:eastAsia="IRNazanin" w:cs="IRNazanin"/>
          <w:color w:val="111111"/>
          <w:sz w:val="28"/>
          <w:szCs w:val="28"/>
          <w:rtl w:val="true"/>
          <w:lang w:bidi="fa-IR"/>
        </w:rPr>
        <w:t>.</w:t>
      </w:r>
      <w:bookmarkStart w:id="612" w:name="pg19834_212526"/>
    </w:p>
    <w:p>
      <w:pPr>
        <w:pStyle w:val="Heading6"/>
        <w:numPr>
          <w:ilvl w:val="5"/>
          <w:numId w:val="1"/>
        </w:numPr>
        <w:rPr/>
      </w:pPr>
      <w:bookmarkStart w:id="613" w:name="__RefHeading___Toc3493865_2314609296"/>
      <w:bookmarkStart w:id="614" w:name="_Toc225"/>
      <w:bookmarkEnd w:id="612"/>
      <w:bookmarkEnd w:id="613"/>
      <w:r>
        <w:rPr>
          <w:rtl w:val="true"/>
        </w:rPr>
        <w:t>[</w:t>
      </w:r>
      <w:r>
        <w:rPr/>
        <w:t>3</w:t>
      </w:r>
      <w:r>
        <w:rPr>
          <w:rtl w:val="true"/>
        </w:rPr>
        <w:t xml:space="preserve">- </w:t>
      </w:r>
      <w:r>
        <w:rPr>
          <w:rtl w:val="true"/>
        </w:rPr>
        <w:t>کون الفرق بین التعبدی و التوصلی من ناحیة الغرض</w:t>
      </w:r>
      <w:bookmarkEnd w:id="61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کون الفرق بینهما بحسب الغرض، و أنّ الغرض لا یحصل من الأمر التعبدی إلّا بقصد القربة، و أمّا الأمر التوصلی فیترتب الغرض منه علی مطلق وجود المأمور به قصد به التقرب أم لا</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إشارة إلی ما فی الکفایة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التوصلی هو ما کان الغرض منه یحصل بمجرد حصول الواجب، و یسقط بمجرد وجوده، بخلاف التعبدی فإنّ الغرض منه لا یکاد یحصل بذلک، بل لا بد فی سقوطه و حصول غرضه من الاتیان به متقربا به منه تعالی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بعد فرض کون المراد من الغرض هو المصلحة، یکون هذا الفرق بینهما مما لا غبار علیه لو قلنا بامکان التقیید بالتقرب، لأنّه حینئذ یکون کسائر القیود فی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توصلیة کانت أو 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یتوقف علیه المصلحة، إذ مع فرض عدم مدخلیته فی المصلحة الباعثة علی الأمر لا وجه لأخذه قیدا فی متعلقه، و بعد البناء علی إمکان التقیید یکون المأمور به هو الفعل المقید، و یکون الغرض مساویا للمتعلق، نعم بعد البناء علی عدم إمکان التقیید به مع فرض مدخلیته فی المصلحة و توقفها علیه یکون الغرض أخص من متعلق الأمر، و حینئذ یقع الاختلاف بین طریقة صاحب الکفایة</w:t>
      </w:r>
      <w:r>
        <w:rPr>
          <w:rStyle w:val="FootnoteAnchor"/>
          <w:rtl w:val="true"/>
        </w:rPr>
        <w:footnoteReference w:id="870"/>
      </w:r>
      <w:r>
        <w:rPr>
          <w:rFonts w:ascii="IRNazanin" w:hAnsi="IRNazanin" w:eastAsia="IRNazanin"/>
          <w:color w:val="111111"/>
          <w:sz w:val="28"/>
          <w:sz w:val="28"/>
          <w:szCs w:val="28"/>
          <w:rtl w:val="true"/>
          <w:lang w:bidi="fa-IR"/>
        </w:rPr>
        <w:t>و بین طریقة شیخنا قدّس سرّهما فصاحب الکفایة قدّس سرّه یقول إنّه بعد فرض مدخلیته فی المصلحة و أنّ الشارع لا یمکنه التقیید، یکون اللازم علینا بحکم العقل الإتیان به تحصیلا للغرض، و عن ذلک ینتج لزوم الاحتیاط</w:t>
      </w:r>
    </w:p>
    <w:p>
      <w:pPr>
        <w:pStyle w:val="BookText"/>
        <w:rPr/>
      </w:pPr>
      <w:r>
        <w:rPr>
          <w:rFonts w:ascii="IRNazanin" w:hAnsi="IRNazanin" w:eastAsia="IRNazanin"/>
          <w:color w:val="111111"/>
          <w:sz w:val="28"/>
          <w:sz w:val="28"/>
          <w:szCs w:val="28"/>
          <w:rtl w:val="true"/>
          <w:lang w:bidi="fa-IR"/>
        </w:rPr>
        <w:t>عند الشک فی کون الواجب الفلانی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طریقة شیخنا قدّس سرّه فهی المنع من حکم العقل علینا بلزوم تحصیل المصالح، و إنّما الواجب علینا بحکم العقل هو الإتیان بما یتعلق به الوجوب، و أمّا المصالح و استیفاؤها فهی من وظیفة الشارع، و حیث إنّه لا یمکنه التقیید یتعین استیفاؤها بتعدد الأمر، و یکون الأمر الثانی متمّما للأمر الأول فی استیفاء المصلحة، و لازم ذلک أنّه یکون المرجع عند الشک هو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البناء علی عدم إمکان التقیید لا ینبغی الریب فی کون المصلحة حینئذ أخص من متعلق الأمر، و هذا المقدار أعنی أخصیة الغرض مسلّم علی کل من طریقة صاحب الکفایة و طریقة شیخنا قدّس سرّهما و إنّما الخلاف بینهما بعد مسلمیة الأخصیة، أمّا لو قلنا بامکان التقیید فلا محصّل حینئذ للأخصیة، بل یکون المأمور به هو المقید و یکون الغرض مطابقا للمتعلق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التأمل فیما تضمنته الحاشیة صفحة </w:t>
      </w:r>
      <w:r>
        <w:rPr>
          <w:rFonts w:eastAsia="IRNazanin" w:cs="IRNazanin"/>
          <w:color w:val="111111"/>
          <w:sz w:val="28"/>
          <w:szCs w:val="28"/>
          <w:lang w:bidi="fa-IR"/>
        </w:rPr>
        <w:t>112</w:t>
      </w:r>
      <w:r>
        <w:rPr>
          <w:rStyle w:val="FootnoteAnchor"/>
          <w:rtl w:val="true"/>
        </w:rPr>
        <w:footnoteReference w:id="871"/>
      </w:r>
      <w:r>
        <w:rPr>
          <w:rFonts w:ascii="IRNazanin" w:hAnsi="IRNazanin" w:eastAsia="IRNazanin"/>
          <w:color w:val="111111"/>
          <w:sz w:val="28"/>
          <w:sz w:val="28"/>
          <w:szCs w:val="28"/>
          <w:rtl w:val="true"/>
          <w:lang w:bidi="fa-IR"/>
        </w:rPr>
        <w:t>من دعوی إمکان التقیید و کون الغرض متوقفا علی القید، إذ لو کان التقیید ممکنا خرجت المسألة عن أخصیة الغرض، و کان هذا القید کسائر القیود فی الواجبات فی مدخلیته فی الغرض، و یکون حاصل الفرق بین الواجبات التوصلیة و التعبدیة بالإطلاق و التقیید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الخلاف بین طریقة صاحب الکفایة و طریقة شیخنا قدّس سرّهما إنّما هو بعد عدم إمکان التقیید، و بعد فرض کون الغرض أخص من المتعلق، و قد</w:t>
      </w:r>
    </w:p>
    <w:p>
      <w:pPr>
        <w:pStyle w:val="BookText"/>
        <w:rPr/>
      </w:pPr>
      <w:r>
        <w:rPr>
          <w:rFonts w:ascii="IRNazanin" w:hAnsi="IRNazanin" w:eastAsia="IRNazanin"/>
          <w:color w:val="111111"/>
          <w:sz w:val="28"/>
          <w:sz w:val="28"/>
          <w:szCs w:val="28"/>
          <w:rtl w:val="true"/>
          <w:lang w:bidi="fa-IR"/>
        </w:rPr>
        <w:t>عرفت أنّ ذلک ممّا یسلّمه شیخنا قدّس سرّه، فهو قدّس سرّه لا ینکر أخصیة الغرض و إنّما ینکر ما رتّبه صاحب الکفایة علی ذلک من حکم العقل بلزوم تحصیل الغرض، و حینئذ فلا مورد لهذا الإنکار فی أصل التفرقة بین التعبدی و التوصلی بأخصیة الغرض، و إنّما هو متوجه علی ما رتبه صاحب الکفایة علی ذلک من حکم العقل بلزوم تحصیل الغرض، و ذلک هو ما أفاده بقوله فی هذا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فحصولها و عدمها أجنبی عن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قوله قبل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أنّ الأفعال بالاضافة إلی المصالح کما ذکرناه فی مبحث الصحیح و الأعم من قبیل العلل المعدّة لا من قبیل الأسباب بالإضافة إلی مسبباتها، فیستحیل أن تقع تحت التکلیف و الإلزام انتهی، فهو إنّما یتوجّه علی من یتوهم أنّ المصالح داخلة تحت التکلیف الشرعی، و صاحب الکفایة لا یقول بذلک و إنّما یقول بلزوم تحصیلها عقلا</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الجملة لا تتوجّه علی التفرقة بینهما بحسب أخصیة الغرض، لأنّ هذا الفرق مسلّم عند شیخنا قدّس سرّه و لا علی ما رتبه صاحب الکفایة علی ذلک من لزوم تحصیل الغرض، لأنّه إنّما یقول بلزومه عقلا، و لم یقل إنّه واجب شرعا لیتوجّه علیه أنّه خارج عن الاختیار، لکون الفعل منّا بالنسبة إلیه من المقدمات الاعدادیة لا الأسباب التولیدیة، نعم یتوجّه علی طریقة الکفایة ما أفاده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فحصولها و عدمها أجنبی عن المکلف، من جهة أنّ حفظ المصالح ممّا یعود إلی الشارع لا إلی المکلفین، فلاحظ و تأمل</w:t>
      </w:r>
      <w:r>
        <w:rPr>
          <w:rFonts w:eastAsia="IRNazanin" w:cs="IRNazanin"/>
          <w:color w:val="111111"/>
          <w:sz w:val="28"/>
          <w:szCs w:val="28"/>
          <w:rtl w:val="true"/>
          <w:lang w:bidi="fa-IR"/>
        </w:rPr>
        <w:t>.</w:t>
      </w:r>
      <w:bookmarkStart w:id="615" w:name="pg19834_212529"/>
    </w:p>
    <w:p>
      <w:pPr>
        <w:pStyle w:val="Heading5"/>
        <w:numPr>
          <w:ilvl w:val="4"/>
          <w:numId w:val="1"/>
        </w:numPr>
        <w:rPr/>
      </w:pPr>
      <w:bookmarkStart w:id="616" w:name="__RefHeading___Toc3493867_2314609296"/>
      <w:bookmarkStart w:id="617" w:name="_Toc226"/>
      <w:bookmarkEnd w:id="615"/>
      <w:bookmarkEnd w:id="616"/>
      <w:r>
        <w:rPr>
          <w:rtl w:val="true"/>
        </w:rPr>
        <w:t>[</w:t>
      </w:r>
      <w:r>
        <w:rPr>
          <w:rtl w:val="true"/>
        </w:rPr>
        <w:t>استدلال الشیخ الأنصاری قدّس سرّه علی أصالة التوصلیة</w:t>
      </w:r>
      <w:r>
        <w:rPr>
          <w:rtl w:val="true"/>
        </w:rPr>
        <w:t>]</w:t>
      </w:r>
      <w:bookmarkEnd w:id="61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العلامة الأنصاری قدّس سرّه </w:t>
      </w:r>
      <w:r>
        <w:rPr>
          <w:rStyle w:val="FootnoteAnchor"/>
          <w:rtl w:val="true"/>
        </w:rPr>
        <w:footnoteReference w:id="873"/>
      </w:r>
      <w:r>
        <w:rPr>
          <w:rFonts w:ascii="IRNazanin" w:hAnsi="IRNazanin" w:eastAsia="IRNazanin"/>
          <w:color w:val="111111"/>
          <w:sz w:val="28"/>
          <w:sz w:val="28"/>
          <w:szCs w:val="28"/>
          <w:rtl w:val="true"/>
          <w:lang w:bidi="fa-IR"/>
        </w:rPr>
        <w:t>علی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إمکان التقیید فیثبت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عدم صحة الاستدلال المذکور فی شی‌ء من المقامات المذکورة، فإنّه یبتنی علی أن یکون الإطلاق مقابلا للتقیید تقابل الإیجاب و السلب، بأن یکون معنی الإطلاق هو مطلق عدم التقیید و لو بالعدم الأزلی، و هذا المعنی فاسد حتی عنده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الاستدلال لا یتم حتی بناء علی ما ذکر من کون التقابل بینهما تقابل الایجاب و السلب، و أن الإطلاق هو عدم التقیید و لو بالعدم الأزلی، فإنّا لو بنینا علی ذلک و قلنا إن الإطلاق لیس من قبیل العدم و الملکة و لا من تقابل الضدین، و أغضینا النظر عن أنّ الإطلاق إنّما یکون ممکنا فی مقام الثبوت حیث یکون ورود الحکم علی المقسم ممکنا، إلّا أنّه فی مقام الإثبات لا بد فی کون عدم التقیید کاشفا عن إرادة عدمه أو کاشفا عن عدم إرادته من کون التقیید ممکنا، فإنّ عدم التقیید فی مورد لا یکون التقیید ممکنا لا یکون کاشفا عن إرادة عدم التقیید و لا عن عدم إرادة التقیید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إنّ عدم التقیید کاشف عن عدم إرادته أو أنّه کاشف عن إرادة عدمه لا بد فی هذه الکاشفیة من إمکان التقیید، سواء کان الإطلاق فی مقام الثبوت ممکنا أو کان غیر ممکن، إذ لا تکون إرادة الإطلاق فی توقفها علی عدم التقیید أعظم من الأخذ بالمعنی الحقیقی فی توقفه علی عدم القرینة علی الخلاف، و من الواضح أن ذلک أعنی الحکم</w:t>
      </w:r>
    </w:p>
    <w:p>
      <w:pPr>
        <w:pStyle w:val="BookText"/>
        <w:rPr/>
      </w:pPr>
      <w:r>
        <w:rPr>
          <w:rFonts w:ascii="IRNazanin" w:hAnsi="IRNazanin" w:eastAsia="IRNazanin"/>
          <w:color w:val="111111"/>
          <w:sz w:val="28"/>
          <w:sz w:val="28"/>
          <w:szCs w:val="28"/>
          <w:rtl w:val="true"/>
          <w:lang w:bidi="fa-IR"/>
        </w:rPr>
        <w:t>بارادة الحقیقة أو إرادة عدم المجاز أو عدم إرادة المجاز، کل ذلک إنّما نأخذ به فی مورد یکون نصب القرینة ممکنا للمتکلم، أمّا إذا فرضنا أن نصبه للقرینة لم یکن ممکنا فلا یکون عدم ذکرها کاشفا عن 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الفعل المفروض عدم التمکن منه لا یکون کاشفا عن شی‌ء أصلا من عدم إرادته أو إرادة عدمه أو إرادة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قدّس سرّه فی کتاب الطهارة بعد أن استدل علی عدم اعتبار النیة فی إزالة النجاسات ببعض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مضافا إلی إطلاقات الأمر بالغسل عن النجاسات، فإنّ ظاهر الأمر سقوط التکلیف باتیان المأمور به بأیّ وجه کان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الذی یظهر من التقریرات المنسوبة إلی الشیخ قدّس سرّه أنّ تمسکه بالإطلاق المذکور إنّما هو بعد الفراغ عمّا أفاده فی التعبدیات من الاحتیاج إلی أمرین، فإنّه بعد أن بیّن بما لا مزید علیه عدم إمکان التمسک بالإطلاق فی هذا النحو من القیود، و بیّن أنّ التعبدی یحتاج إلی أمرین،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الشک فی التقیید المذکور فبعد ما عرفت من أنّه لا یعقل أن یکون مفادا بالکاشف عن الطلب، لا بد له من بیان زائد علی بیان نفس الطلب و الأصل عدمه، و احتمال العقاب علی ترک الامتثال یدفع بقبح العقاب من دون بیان کما هو المحرر فی أصالة البراءة</w:t>
      </w:r>
      <w:r>
        <w:rPr>
          <w:rStyle w:val="FootnoteAnchor"/>
          <w:rtl w:val="true"/>
        </w:rPr>
        <w:footnoteReference w:id="876"/>
      </w:r>
      <w:r>
        <w:rPr>
          <w:rFonts w:ascii="IRNazanin" w:hAnsi="IRNazanin" w:eastAsia="IRNazanin"/>
          <w:color w:val="111111"/>
          <w:sz w:val="28"/>
          <w:sz w:val="28"/>
          <w:szCs w:val="28"/>
          <w:rtl w:val="true"/>
          <w:lang w:bidi="fa-IR"/>
        </w:rPr>
        <w:t>، فیکون مراده من الإطلاق هو عدم الدلیل علی الأمر الثانی</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صاحب الکفایة قدّس سرّه أفاد فی عدم إمکان التمسک بالإطلاق بما هذا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ثالثتها أنّه إذا عرفت بما لا مزید علیه عدم إمکان أخذ قصد الامتثال فی المأمور به أصلا، فلا مجال للاستدلال باطلاقه</w:t>
      </w:r>
    </w:p>
    <w:p>
      <w:pPr>
        <w:pStyle w:val="BookText"/>
        <w:rPr/>
      </w:pPr>
      <w:r>
        <w:rPr>
          <w:rFonts w:ascii="IRNazanin" w:hAnsi="IRNazanin" w:eastAsia="IRNazanin"/>
          <w:color w:val="111111"/>
          <w:sz w:val="28"/>
          <w:sz w:val="28"/>
          <w:szCs w:val="28"/>
          <w:rtl w:val="true"/>
          <w:lang w:bidi="fa-IR"/>
        </w:rPr>
        <w:t xml:space="preserve">و لو کان مسوقا فی مقام البیان علی عدم اعتباره کما هو أوضح من أن یخفی فلا یکاد یصح التمسک به إلّا فیما یمکن اعتباره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بعد ما عرفت الوجه فی عدم إمکان کل من التقیید و الإطلاق اللحاظیین فیما نحن فیه، تعرف أنّ المانع من التمسک بالاطلاق فیما نحن فیه لیس هو مجرد عدم إمکان التقیید، بل إن المانع منه هو عدم إمکان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أنّه بعد أن کان کل من التقیید و الإطلاق ممتنعا بالنسبة إلی هذا القید، تعرف أنّه لا محصّل لکون المتکلم فی مقام البیان من ناحیة هذا القید فإن ذلک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عدم إمکان التقیید هو بعینه جار فی عدم إمکان الإطلاق، فلا حاجة إلی التمسک لعدم إمکان الإطلاق بعدم إمکان التقیید، و إنّما یکون ذلک فی مورد یکون الإطلاق فی نفسه و فی مقام الثبوت ممکنا، لکن کان التقیید غیر ممکن، ففی ذلک یقال إنّ الإطلاق و عدم ذکر القید لا یکون دلیلا علی إرادة المطلق، لاحتمال أن یکون مراده هو التقیید، لکنه ترک ذکر القید لعدم إمکان التقیید لا لأجل إرادة المطلق،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یحضرنی لذلک مثال</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بناء علی ما شرحناه ممّا أفاده قدّس سرّه نقلا عن العلامة السید الشیرازی قدّس سرّه </w:t>
      </w:r>
      <w:r>
        <w:rPr>
          <w:rStyle w:val="FootnoteAnchor"/>
          <w:rtl w:val="true"/>
        </w:rPr>
        <w:footnoteReference w:id="878"/>
      </w:r>
      <w:r>
        <w:rPr>
          <w:rFonts w:ascii="IRNazanin" w:hAnsi="IRNazanin" w:eastAsia="IRNazanin"/>
          <w:color w:val="111111"/>
          <w:sz w:val="28"/>
          <w:sz w:val="28"/>
          <w:szCs w:val="28"/>
          <w:rtl w:val="true"/>
          <w:lang w:bidi="fa-IR"/>
        </w:rPr>
        <w:t>یکون کل من التقیید و الإطلاق فی مقام الثبوت ممکنا، لکن لمّا کان القید و هو ذلک العنوان المجهول للمکلفین الذی فرضنا أنّه ملازم لعنوان قصد الامتثال ممّا لا یمکن أخذه بنفسه قیدا فی مقام الإثبات لفرض جهل المکلفین به و عدم إمکان تفهیمهم إیّاه، و کان ملازمه و هو عنوان قصد</w:t>
      </w:r>
    </w:p>
    <w:p>
      <w:pPr>
        <w:pStyle w:val="BookText"/>
        <w:rPr/>
      </w:pPr>
      <w:r>
        <w:rPr>
          <w:rFonts w:ascii="IRNazanin" w:hAnsi="IRNazanin" w:eastAsia="IRNazanin"/>
          <w:color w:val="111111"/>
          <w:sz w:val="28"/>
          <w:sz w:val="28"/>
          <w:szCs w:val="28"/>
          <w:rtl w:val="true"/>
          <w:lang w:bidi="fa-IR"/>
        </w:rPr>
        <w:t>الامتثال ممّا لا یمکن التقیید به متصلا، کانت المسألة داخلة فی الجملة فیما نحن فیه، أعنی فیما کان الإطلاق فیه ممکنا فی مقام الثبوت، نظرا إلی أنّه یمکن أن یعلّق الآمر أمره بالفعل، و یأخذ ذلک الفعل فی مقام الثبوت مطلقا من جهة ذلک القید، کما أنّه فی مقام الثبوت أیضا یمکنه أن یقیّد متعلق أمره بذلک القید، إلّا أنّه فی مقام الإثبات لا یمکنه التقیید به لجهل المکلفین به، و حینئذ ینحصر التقیید به فی مقام الإثبات بأخذ ملازمه الذی هو عنوان قصد الامتثال، و قد عرفت أنه غیر ممکن إلا بنحو التقیید المنفصل، ففی مثل ذلک لا یکون الإطلاق أعنی عدم التقیید المتصل کاشفا عن إرادة المطلق، لما عرفت من أنّه لا یمکنه التقیید المتصل، فیکون الاطلاق ساقطا فی مقام الإثبات، و لا بد فی ذلک من الفحص عن التقیید المنفصل، فان عثر علیه فهو و إلّا کان محکوما بالعدم، و لک أن تسمّی ذلک إطلاقا کما صنعه الشیخ قدّس سرّه فلیس غرضه من الإطلاق هو الأخذ بالدلیل اللفظی کی یتجه علیه ما أفاده شیخنا قدّس سرّه من عدم کونه ملائما لما حققه هو قدّس سرّه فی تقابل الإطلاق و التقیید، بل المراد به ما عرفت من الأخذ بمقتضی تعلق الطلب بالفعل و عدم الدلیل علی الأمر الثانی</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یحتاج إلی الأمر الثانی، بل یکفی فی ذلک مجرد البیان المنفصل الدال علی أن المراد و المقصود هو الامتثال بالأمر، و یکون المراد بالامتثال فی هذا البیان المنفصل هو ملازمه و هو ذلک العنوان المجهول، و یکون حاصل ذلک البیان المنفصل هو أنّی عند ما أمرتکم بالصلاة لم أرد بها مطلق الصلاة، بل أردت بها الصلاة الواجدة للعنوان الذی یکون ملازما لعنوان الامتثال، و لعل هذا هو الأظهر من کلمات الشیخ قدّس سرّه خصوصا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قلنا فی بعض المباحث المتقدمة إن الطالب لو</w:t>
      </w:r>
    </w:p>
    <w:p>
      <w:pPr>
        <w:pStyle w:val="BookText"/>
        <w:rPr/>
      </w:pPr>
      <w:r>
        <w:rPr>
          <w:rFonts w:ascii="IRNazanin" w:hAnsi="IRNazanin" w:eastAsia="IRNazanin"/>
          <w:color w:val="111111"/>
          <w:sz w:val="28"/>
          <w:sz w:val="28"/>
          <w:szCs w:val="28"/>
          <w:rtl w:val="true"/>
          <w:lang w:bidi="fa-IR"/>
        </w:rPr>
        <w:t>حاول طلب شی‌ء علی وجه الامتثال لا بد له من أن یحتال فی ذلک، بأن یأمر بالفعل المقصود إتیانه علی وجه القربة أوّلا ثم ینبّه علی أنّ المقصود هو الامتثال بالأمر</w:t>
      </w:r>
      <w:r>
        <w:rPr>
          <w:rStyle w:val="FootnoteAnchor"/>
          <w:rtl w:val="true"/>
        </w:rPr>
        <w:footnoteReference w:id="879"/>
      </w:r>
      <w:r>
        <w:rPr>
          <w:rFonts w:ascii="IRNazanin" w:hAnsi="IRNazanin" w:eastAsia="IRNazanin"/>
          <w:color w:val="111111"/>
          <w:sz w:val="28"/>
          <w:sz w:val="28"/>
          <w:szCs w:val="28"/>
          <w:rtl w:val="true"/>
          <w:lang w:bidi="fa-IR"/>
        </w:rPr>
        <w:t>فلم یجعل التصرف الثانی أمرا مولویا بل جعله تنبیها و بیانا کما فی بقیة عبائره فی هذا المقام، فإنّه قدّس سرّه قال فیما حکاه عنه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جماعة من أصحابنا و منهم بعض الأفاضل إلی أنّ ظاهر الأمر قاض بالتعبدیة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جماعة اخری أن الأمر ظاهر فی التوصلیة، و لعلّه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احتجوا فی ذلک بامور أقواها أن العقل قاض بوجوب الامتثال بعد العلم بالأمر، و لا یتحقق إلّا بقصد القربة و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مصادرة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بعض موافقینا علی التوصلیة بأنّ إطلاق الأمر قاض بالتوصلیة، إذ الشک إنّما هو فی تقیید الأمر و الإطلاق یدفعه، نعم لو کان الدلیل الدال علی الوجوب إجماعا أو نحوه من الأدلة اللبیة لا وجه للاستناد إلی الإطلاق، فیکون الأمر راجعا إلی الخلاف المقرر فی محله من الشک فی الشرطیة و الجزئیة، فإن قلنا بالاشتغال لا بد من القول بالتعبدیة و إلّا فلا، و هو أیضا لیس فی محله، إذ الاستناد إلی إطلاق الأمر فی دفع مثل هذا التقیید فاسد، إذ القید مما لا یتحقق إلّا بعد الأمر</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فی توضیح ذلک بتقسیم القیود إلی ما یکون سابقا علی الطلب و ما یکون لاحقا له، و أنّ ما نحن فیه من قبیل الثانی فلا یصح دفعه بالإطلاق، ثم بیّن الصغری أعنی کون ما نحن فیه من قبیل الثانی، و بیّن</w:t>
      </w:r>
    </w:p>
    <w:p>
      <w:pPr>
        <w:pStyle w:val="BookText"/>
        <w:rPr/>
      </w:pPr>
      <w:r>
        <w:rPr>
          <w:rFonts w:ascii="IRNazanin" w:hAnsi="IRNazanin" w:eastAsia="IRNazanin"/>
          <w:color w:val="111111"/>
          <w:sz w:val="28"/>
          <w:sz w:val="28"/>
          <w:szCs w:val="28"/>
          <w:rtl w:val="true"/>
          <w:lang w:bidi="fa-IR"/>
        </w:rPr>
        <w:t>الکبری أعنی عدم إمکان التمسک فیه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قلنا فی بعض المباحث المتقدمة إنّ الطالب لو حاول طلب شی‌ء علی وجه الامتثال، لا بد له من أن یحتال فی ذلک بأن یأمر بالفعل المقصود إتیانه علی وجه القربة أوّلا ثم ینبّه علی أن المقصود هو الامتثال بالأمر، و لا یجوز أن یکون الکلام الملقی لإفادة نفس المطلوبیة مفیدا للوجه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أطال الکلام فی توضیح هذه الجهات، إلی أن قال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الحقیق بالتصدیق هو أنّ ظاهر الأمر یقتضی التوصلیة، إذ لیس المستفاد من الأمر إلّا تعلق الطلب الذی هو مدلول الهیئة للفعل علی ما هو مدلول المادة، و بعد إیجاد المکلف نفس الفعل فی الخارج لا مناص من سقوط الطلب لامتناع طلب الحاصل، و ذلک فی الأدلة اللفظیة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إذا کان الدلیل هو الإجماع، ففیه أیضا یقتصر علی ما هو المعلوم استکشافه منه، و المفروض أنّه لیس إلّا مطلوبیة الفعل فقط و بعد حصوله لا بد من سقوطه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الشک فی التقیید المذکور فبعد ما عرفت من أنه لا یعقل أن یکون مفادا بالکاشف عن الطلب، لا بد له من بیان زائد علی بیان نفس الطلب و الأصل عدمه، و احتمال العقاب علی ترک الامتثال یدفع بقبح العقاب من دون بیان کما هو المحرر فی أصالة البراءة، من غیر فرق فی ذلک بین الکواشف اللفظیة أو غیرها، و من غیر ابتناء له علی ما قرر فی محله من الخلاف المشهور بینهم فی البراءة و الاشتغال عند الشک فی الجزئیة و الشرطیة، إذ لا ینبغی للقائل بالاشتغال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المکلف به مجملا کالصلاة علی الصحیح مع الشک فی اعتبار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به فیما إذا</w:t>
      </w:r>
      <w:bookmarkStart w:id="618" w:name="pg19834_212535"/>
    </w:p>
    <w:p>
      <w:pPr>
        <w:pStyle w:val="BookText"/>
        <w:rPr/>
      </w:pPr>
      <w:bookmarkEnd w:id="618"/>
      <w:r>
        <w:rPr>
          <w:rFonts w:ascii="IRNazanin" w:hAnsi="IRNazanin" w:eastAsia="IRNazanin"/>
          <w:color w:val="111111"/>
          <w:sz w:val="28"/>
          <w:sz w:val="28"/>
          <w:szCs w:val="28"/>
          <w:rtl w:val="true"/>
          <w:lang w:bidi="fa-IR"/>
        </w:rPr>
        <w:t>کان المطلوب أمرا معلوما مع الشک فی اعتبار أمر آخر فیه کما فیما نحن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قوله فی آخر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یمکن القول بالاشتغال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المقصود فی الواقع هو أمر واحد و إن احتاج بیانه علی تقدیر التعبدیة إلی أمر زائد علی بیان نفس مطلوبیة الفعل ظاهرا کما لا یخفی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یذهب علیک أنّ ما ذکرنا من احتیاج التعبد إلی بیان زائد غیر ما دل علی الطلب لا یلازم أن یکون للفعل ثوابان أحدهما لنفس الفعل و ثانیهما للامتثال، لتعدد الأمر الملحوظ فیهما کما توهمه بعض من لا درایة له، لما عرفت من أنّ المقصود حقیقة واحدة فلا یعقل تعدد الثواب و العقاب،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هذه العبائر الأخیرة تدل علی أن نظره فی ذلک إلی کون البیان الثانی أمرا ثانیا غایته متحد مع الاول، و هو محصل کونه متمّم الجعل الذی شرحه شیخنا قدّس سرّه </w:t>
      </w:r>
      <w:r>
        <w:rPr>
          <w:rStyle w:val="FootnoteAnchor"/>
          <w:rtl w:val="true"/>
        </w:rPr>
        <w:footnoteReference w:id="881"/>
      </w:r>
      <w:r>
        <w:rPr>
          <w:rFonts w:ascii="IRNazanin" w:hAnsi="IRNazanin" w:eastAsia="IRNazanin"/>
          <w:color w:val="111111"/>
          <w:sz w:val="28"/>
          <w:sz w:val="28"/>
          <w:szCs w:val="28"/>
          <w:rtl w:val="true"/>
          <w:lang w:bidi="fa-IR"/>
        </w:rPr>
        <w:t>و لکن مع ذلک لا تکون النتیجة فی مقام الثبوت نتیجة الإطلاق، بل یکون الناتج هو الإطلاق فی مقام الثبوت و إن لم یکن فی مقام الإثبات إلا الإهمال المنتج نتیجة الإطلاق</w:t>
      </w:r>
      <w:r>
        <w:rPr>
          <w:rFonts w:eastAsia="IRNazanin" w:cs="IRNazanin"/>
          <w:color w:val="111111"/>
          <w:sz w:val="28"/>
          <w:szCs w:val="28"/>
          <w:rtl w:val="true"/>
          <w:lang w:bidi="fa-IR"/>
        </w:rPr>
        <w:t>.</w:t>
      </w:r>
    </w:p>
    <w:p>
      <w:pPr>
        <w:pStyle w:val="Heading5"/>
        <w:numPr>
          <w:ilvl w:val="4"/>
          <w:numId w:val="1"/>
        </w:numPr>
        <w:rPr/>
      </w:pPr>
      <w:bookmarkStart w:id="619" w:name="__RefHeading___Toc3493869_2314609296"/>
      <w:bookmarkStart w:id="620" w:name="_Toc227"/>
      <w:bookmarkEnd w:id="619"/>
      <w:r>
        <w:rPr>
          <w:rtl w:val="true"/>
        </w:rPr>
        <w:t>[</w:t>
      </w:r>
      <w:r>
        <w:rPr>
          <w:rtl w:val="true"/>
        </w:rPr>
        <w:t>ما ذکره السید الخوئی قدّس سرّه من إمکان أخذ قصد القربة فی المتعلق</w:t>
      </w:r>
      <w:bookmarkEnd w:id="620"/>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فیما تقدم إمکان أخذ قصد القربة فی متعلق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بعد فرض إمکان قصد القربة بمعنی داعویة الأمر فی متعلقه، یکون حال هذا القید حال بقیة القیود فی التمسک علی نفیه بالإطلاق، و لا یتوقف علی کون تقابل الإطلاق و التقیید من تقابل العدم</w:t>
      </w:r>
    </w:p>
    <w:p>
      <w:pPr>
        <w:pStyle w:val="BookText"/>
        <w:rPr/>
      </w:pPr>
      <w:r>
        <w:rPr>
          <w:rFonts w:ascii="IRNazanin" w:hAnsi="IRNazanin" w:eastAsia="IRNazanin"/>
          <w:color w:val="111111"/>
          <w:sz w:val="28"/>
          <w:sz w:val="28"/>
          <w:szCs w:val="28"/>
          <w:rtl w:val="true"/>
          <w:lang w:bidi="fa-IR"/>
        </w:rPr>
        <w:t>و الملکة، قاضیا بأن استحالة أحدهما یکون موجبا لاستحالة الآخر، إذ مع إمکان التقیید لا یکون أحدهما الذی هو التقیید مستحیلا کی یتوجّه علیه أنّ استحالته یستلزم استحالة الإطلاق لنحتاج إلی دعوی إنکار هذه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لو سلّمنا هذه الدعوی، أعنی عدم سرایة المحالیة من التقیید إلی الإطلاق، و سلّمنا محالیة التقیید و قلنا بامکان الإطلاق فی مقام الثبوت، إلّا أنه لا طریق لنا إلی إثباته، إذ لیس بأیدینا إلا عدم التقیید المفروض کونه محالا، و هو لا یدل علی أن المتکلم أراد المطلق، لأن عدم التقیید و کذلک عدم القرینة بل و کذلک عدم الردع إنّما نجعله کاشفا عن الإطلاق أو إرادة الحقیقة أو الإمضاء إذا کان وقوع ذلک ممکنا، أما إذا فرضنا امتناعه فلا یکون عدمه دالا علی شی‌ء،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بعد البناء علی أن العبادیة منوطة بعنوان خاص لم یعرفه المکلفون و لکن الشارع لمّا اطلع علی مدخلیة ذلک العنوان فی تحقق المصلحة الباعثة علی الأمر بالفعل الواجد لذلک، لا بد أن یکون أمره الواقعی و فی مقام الثبوت متعلقا بالفعل الواجد لذلک العنوان، هذا فی التعبدی</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التوصلی، فهو لمّا اطلع الشارع علی عدم مدخلیة ذلک العنوان فی وفائه بالمصلحة، فلا جرم یکون أمره متعلقا بذلک الفعل المطلق من حیث وجود ذلک العنوان و عدمه، فکان کل من التقیید و الإطلاق اللحاظیین فی مقام الثبوت ممکنا، و أما فی مقام الإثبات فحیث إن المفروض هو جهل المکلفین بذلک العنوان فالشارع لا یمکنه إفهامهم التقیید به و لا الإطلاق من ناحیته، لکن لمّا کان عنوان قصد داعی الأمر ملازما لذلک العنوان بحیث کان قصد داعی الأمر قصدا إجمالیا لذلک العنوان، انحصر طریق إفهامهم</w:t>
      </w:r>
    </w:p>
    <w:p>
      <w:pPr>
        <w:pStyle w:val="BookText"/>
        <w:rPr/>
      </w:pPr>
      <w:r>
        <w:rPr>
          <w:rFonts w:ascii="IRNazanin" w:hAnsi="IRNazanin" w:eastAsia="IRNazanin"/>
          <w:color w:val="111111"/>
          <w:sz w:val="28"/>
          <w:sz w:val="28"/>
          <w:szCs w:val="28"/>
          <w:rtl w:val="true"/>
          <w:lang w:bidi="fa-IR"/>
        </w:rPr>
        <w:t xml:space="preserve">بتقیید متعلق الأمر بقصد داعی الأمر، و لمّا کان التقیید المتصل غیر ممکن لما یلزم علیه من تصور الأمر فی مرتبة متعلقه، انحصر الطریق ببیانه بالدلیل المنفصل، من دون فرق فی ذلک بین کون ذلک الدلیل المنفصل من باب مجرد البیان المنفصل أو کونه بطریق الأمر الثانی، إذ لا یکون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أمرا صوریا لأجل الحصول علی ذلک العنوان المجهول عند المکلفین، و فی الحقیقة لا یکون القید و لا الأمر المتعلق به إلا نفس ذلک العنوان المفروض کونه مجهولا للمکلفین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فهؤلاء المکلفون إن عثروا علی ذلک الدلیل المنفصل حکموا بمقتضاه، و لزمهم الإتیان بذلک الفعل بقصد داعی الأمر، فکان المقام من قبیل التقیید اللحاظی فی مقام الإثبات و فی مقام الثبوت أیضا، لکن بالنظر إلی حالة المکلفین یکون القید هو داعی الأمر، و ربما علموا بأنّه لیس بالقید الحقیقی و إنّما القید هو العنوان الواقعی الذی لا یعرفونه، و بالنظر إلی ما عند الشارع یکون القید هو ذلک العنوان الملازم لقصد داعی الأمر</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یعثروا علی ذلک القید المنفصل أجروا أصالة العدم فیه، و حکموا بعدم اعتبار داعی الأمر و لو وصلة إلی العنوان، و حاصله الحکم بأن متعلق الأمر واقعا هو نفس الفعل، سواء کان واجدا لذلک العنوان الواقعی الذی لا یعرفونه و إنّما یعرفون ملازمه الذی هو داعی الأمر، أو کان فاقدا لذلک العنوان، و الحاصل أنّهم یحکمون باطلاق المتعلق من ناحیة ذلک العنوان الذی یکون داعی الأمر ملازما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884"/>
      </w:r>
      <w:r>
        <w:rPr>
          <w:rFonts w:ascii="IRNazanin" w:hAnsi="IRNazanin" w:eastAsia="IRNazanin"/>
          <w:color w:val="111111"/>
          <w:sz w:val="28"/>
          <w:sz w:val="28"/>
          <w:szCs w:val="28"/>
          <w:rtl w:val="true"/>
          <w:lang w:bidi="fa-IR"/>
        </w:rPr>
        <w:t>، و حینئذ یتحقق الإطلاق اللحاظی فی مقام الإثبات و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العنوان الذی یجهله المکلفون و لا یعرفونه یکون حاله من ناحیة إمکان التقیید و الإطلاق اللحاظیین فی مقام الإثبات و الثبوت حال بقیة القیود الطارئة علی الصلاة مثل الطهارة و الاستقبال و نحوهما من الانقسامات الأولیة غیر المنوطة بالأمر، غایته أن ذلک العنوان مجهول للمکلفین، و لا بد فی تحصیل الشارع له من المکلفین من أخذ ملازمه، لکن کان ذلک الملازم منحصرا بقصد داعی الأمر و لو من جهة ما أفاده الشیخ قدّس سرّه </w:t>
      </w:r>
      <w:r>
        <w:rPr>
          <w:rStyle w:val="FootnoteAnchor"/>
          <w:rtl w:val="true"/>
        </w:rPr>
        <w:footnoteReference w:id="885"/>
      </w:r>
      <w:r>
        <w:rPr>
          <w:rFonts w:ascii="IRNazanin" w:hAnsi="IRNazanin" w:eastAsia="IRNazanin"/>
          <w:color w:val="111111"/>
          <w:sz w:val="28"/>
          <w:sz w:val="28"/>
          <w:szCs w:val="28"/>
          <w:rtl w:val="true"/>
          <w:lang w:bidi="fa-IR"/>
        </w:rPr>
        <w:t>فی المقدمات العبادیة من أن قصد الأمر یکون قصدا إجمالیا لذلک العنوان الذی هو القید الحقیقی، و هذا الملازم أعنی قصد الأمر و إن اخذ طریقا و وصلة إلی ما هو القید الواقعی إلا أنه لا یمکن أخذه متصلا بالأمر، لما ذکرناه من استلزامه لحاظ نفس الأمر فی مرتبة متعلقه، فلا بد حینئذ من أخذه بدلیل منفصل إما بمحض القرینیة نظیر القرینة المنفصلة، أو بنحو الأمر الثانی المتعلق به صورة و هو واقعا متعلق بملازمه أعنی ذلک العنوان الواقعی</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أیّ حال، یکون وجوده کاشفا عن تقید المأمور به فی مقام الثبوت بذلک العنوان، و یکون عدمه کاشفا عن إطلاق المأمور به فی مقام الثبوت من ناحیة ذلک العنوان، و حینئذ لا حاجة إلی الالتزام فی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Style w:val="FootnoteAnchor"/>
          <w:rtl w:val="true"/>
        </w:rPr>
        <w:footnoteReference w:id="886"/>
      </w:r>
      <w:r>
        <w:rPr>
          <w:rFonts w:ascii="IRNazanin" w:hAnsi="IRNazanin" w:eastAsia="IRNazanin"/>
          <w:color w:val="111111"/>
          <w:sz w:val="28"/>
          <w:sz w:val="28"/>
          <w:szCs w:val="28"/>
          <w:rtl w:val="true"/>
          <w:lang w:bidi="fa-IR"/>
        </w:rPr>
        <w:t xml:space="preserve">بنتیجة التقیید، و فی الثانیة بنتیجة الإطلاق، بل یکون التقیید فی الاولی و الإطلاق فی الثانیة لحاظیا کسائر القیود، و لعل هذا الطریق هو المراد ممّا أفاده المحقق الشیرازی قدّس سرّه فیما نقله عنه شیخنا قدّس سرّه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bookmarkStart w:id="621" w:name="pg19834_212539"/>
    </w:p>
    <w:p>
      <w:pPr>
        <w:pStyle w:val="Heading5"/>
        <w:numPr>
          <w:ilvl w:val="4"/>
          <w:numId w:val="1"/>
        </w:numPr>
        <w:rPr/>
      </w:pPr>
      <w:bookmarkStart w:id="622" w:name="__RefHeading___Toc3493871_2314609296"/>
      <w:bookmarkStart w:id="623" w:name="_Toc228"/>
      <w:bookmarkEnd w:id="621"/>
      <w:bookmarkEnd w:id="622"/>
      <w:r>
        <w:rPr>
          <w:rtl w:val="true"/>
        </w:rPr>
        <w:t>[</w:t>
      </w:r>
      <w:r>
        <w:rPr>
          <w:rtl w:val="true"/>
        </w:rPr>
        <w:t>استدلال الکلباسی قدّس سرّه علی أصالة التعبدیة</w:t>
      </w:r>
      <w:r>
        <w:rPr>
          <w:rtl w:val="true"/>
        </w:rPr>
        <w:t>]</w:t>
      </w:r>
      <w:bookmarkEnd w:id="62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الکلباسی قدّس سرّه فی الإشارات </w:t>
      </w:r>
      <w:r>
        <w:rPr>
          <w:rStyle w:val="FootnoteAnchor"/>
          <w:rtl w:val="true"/>
        </w:rPr>
        <w:footnoteReference w:id="888"/>
      </w:r>
      <w:r>
        <w:rPr>
          <w:rFonts w:ascii="IRNazanin" w:hAnsi="IRNazanin" w:eastAsia="IRNazanin"/>
          <w:color w:val="111111"/>
          <w:sz w:val="28"/>
          <w:sz w:val="28"/>
          <w:szCs w:val="28"/>
          <w:rtl w:val="true"/>
          <w:lang w:bidi="fa-IR"/>
        </w:rPr>
        <w:t>علی أصالة التعبدیة بوجوه نذکر المهم منها،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خلف محال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نقل ما حررته عنه قدّس سرّه فلعلّه أوضح أو أخصر، و 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صاحب الإشارات علی ما اختاره من أصالة التعبد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حقیقته بعث إرادة العبد و تحریکها نحو الفعل، فلا بد أن تکون إرادة العبد منبعثة عن الأمر و هو معنی کونه بداعی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تمّ هذا الاستدلال لکان مقتضاه انحصار الداعی فی العبادات بداعی الأمر کما هو مسلک صاحب الجواهر قدّس سرّه </w:t>
      </w:r>
      <w:r>
        <w:rPr>
          <w:rStyle w:val="FootnoteAnchor"/>
          <w:rtl w:val="true"/>
        </w:rPr>
        <w:footnoteReference w:id="890"/>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إن کان محرکا لارادة العبد نحو الفعل المأمور به إلا أن نظر الآمر فی هذه المرحلة إلی الإرادة نظر آلی، و إنّما تمام المنظور إلیه هو الفعل نفسه، فلیس للآمر نظر استقلالی إلی تلک الإرادة کی یکون انبعاثها عن الأمر معتبرا، و إذا لم یکن للآمر نظر استقلالی للإرادة و کان النظر إلیها نظرا آلیا، و کان المنظور إلیه بالاستقلال هو الفعل نفسه، کان مجرد إرادة العبد للفعل و صدوره عنه بارادته کافیا فی موافقة ذلک الأمر و إن لم تکن الإرادة المذکورة منبعثة عن الأمر بل کانت منبعثة عن شی‌ء آخر غیر الأمر</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إن کان محرکا للإرادة نحو الفعل و کان من قبیل</w:t>
      </w:r>
    </w:p>
    <w:p>
      <w:pPr>
        <w:pStyle w:val="BookText"/>
        <w:rPr/>
      </w:pPr>
      <w:r>
        <w:rPr>
          <w:rFonts w:ascii="IRNazanin" w:hAnsi="IRNazanin" w:eastAsia="IRNazanin"/>
          <w:color w:val="111111"/>
          <w:sz w:val="28"/>
          <w:sz w:val="28"/>
          <w:szCs w:val="28"/>
          <w:rtl w:val="true"/>
          <w:lang w:bidi="fa-IR"/>
        </w:rPr>
        <w:t>خلق الداعی إلی المکلف، إلا أنّ اعتبار کون الإرادة منبعثة عن الأمر یحتاج إلی عنایة اخری و نظر استقلالی إلی تلک الإرادة، و من الواضح أنه لا یمکن للآمر أن ینظر فی رتبة جعل أمره إلی کونه محرکا للإرادة، لما عرفت فیما تقدم من أن ذلک موجب لتقدم الشی‌ء علی نفسه، فلا یمکن للآمر أن ینظر فی رتبة جعل أمره إلی کون ذلک الأمر محرکا للإرادة فضلا عن نظره إلی نفس تلک الإرادة و انبعاثها عن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و إن کان محرکا للإرادة إلا أن ذلک التحریک تحریک تشریعی نظیر التحریک التکوینی فی أنه لا یکون منظورا إلیه استقلالا کی یکون التحریک المذکور معتبرا فیه، کما أن الإرادة التی کان هذا الأمر محرکا لها نحو المراد لا تکون منظورا إلیها استقلالا، و إنّما المنظور الاستقلالی فی جعل الأمر هو نفس ذلک المراد،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صاحب الإشارات لم یدّع أن فی لفظ الأمر دلالة علی التقیید بکون انبعاث إرادة العبد عن الأمر، کی یقال فی ردّه إن التقیید المذکور یحتاج إلی النظر الاستقلالی إلی إرادة العبد و تحریک الأمر لها نحو المراد، و المفروض أن النظر إلی ذلک آلی، و الغرض منه هو التوصل إلی حصول المراد و هو نفس الفعل، بل إن ما یدعیه صاحب الإشارات هو أن الأمر لمّا کان محرکا لإرادة العبد نحو الفعل، کان مقتضی إطلاق هذا الأمر اعتبار کون الارادة منبعثة عن الأمر، لأن کفایة تعلق الإرادة بالفعل و إن لم تکن منبعثة عن الأمر یحتاج إلی عنایة زائدة</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من الإطلاق فی هذا المقام الإطلاق القصدی، بل المراد به أنّ طبع الأمر یقتضی التحرک عنه، أمّا التحرک عن داع آخر فلیس ذلک ممّا یقتضیه طبع الأمر، فلا یکون ذلک الفعل الذی تحرک إلیه المأمور بداع</w:t>
      </w:r>
    </w:p>
    <w:p>
      <w:pPr>
        <w:pStyle w:val="BookText"/>
        <w:rPr/>
      </w:pPr>
      <w:r>
        <w:rPr>
          <w:rFonts w:ascii="IRNazanin" w:hAnsi="IRNazanin" w:eastAsia="IRNazanin"/>
          <w:color w:val="111111"/>
          <w:sz w:val="28"/>
          <w:sz w:val="28"/>
          <w:szCs w:val="28"/>
          <w:rtl w:val="true"/>
          <w:lang w:bidi="fa-IR"/>
        </w:rPr>
        <w:t>آخر تحت حیّز ذلک الأمر بما أنه تحریک نحو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باعتبار کون العلة الغائیة فیه هی تحریک المأمور و انبعاثه عن ذلک الأمر إلی الفعل، یکون موجبا طبعا لتقید ذلک الفعل بکونه صادرا بذلک البعث، لأن ذلک أعنی الانبعاث هو المراد للآمر من أمره بالإرادة القانونیة المنبعثة عن شوقه إلی ذلک الفعل المعبّر عنه بالإرادة الواقعیة التی هی عبارة عن العلم بالصلاح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الفعل الصادر بداع آخر غیر داعی الأمر و إن کان علی طبق الإرادة الواقعیة، لکنه لا من طریق الأمر الذی هو عبارة عن الإرادة التشریعیة التی علیها المدار، دون تلک الإرادة الواقعیة التی انبعث عنها الأمر التشریعی التی قلنا إنها عین العلم بالصلاح، و ما مثال ذلک إلا کمن نادی زیدا فاتفق أنّ زیدا لم یسمع النداء لکنه خرج من الدار لبعض أشغاله، فان هذا الخروج لم یکن محصّلا لما هو المراد بذلک النداء و إن حصل به المراد الأصلی بایجاد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نظیر ما تقدم من الاستاذ قدّس سرّه </w:t>
      </w:r>
      <w:r>
        <w:rPr>
          <w:rStyle w:val="FootnoteAnchor"/>
          <w:rtl w:val="true"/>
        </w:rPr>
        <w:footnoteReference w:id="891"/>
      </w:r>
      <w:r>
        <w:rPr>
          <w:rFonts w:ascii="IRNazanin" w:hAnsi="IRNazanin" w:eastAsia="IRNazanin"/>
          <w:color w:val="111111"/>
          <w:sz w:val="28"/>
          <w:sz w:val="28"/>
          <w:szCs w:val="28"/>
          <w:rtl w:val="true"/>
          <w:lang w:bidi="fa-IR"/>
        </w:rPr>
        <w:t>من الاستدلال علی اعتبار کون المتعلق صادرا بالإرادة، و عدم الاکتفاء بما یصدر عنه سهوا أو غفلة أو فی حال النوم، بأن الأمر لمّا کان محرّکا لارادة العبد نحو المأمور به کان مقتضی ذلک اعتبار کون الفعل صادرا بالإرادة، و عدم الاکتفاء بما یصدر سهوا أو غفلة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فرض کون النظر إلی التحریک و إلی إرادة العبد نظرا آلیا، و أنّ المنظور إلیه استقلالا إنّما هو نفس</w:t>
      </w:r>
    </w:p>
    <w:p>
      <w:pPr>
        <w:pStyle w:val="BookText"/>
        <w:rPr/>
      </w:pPr>
      <w:r>
        <w:rPr>
          <w:rFonts w:ascii="IRNazanin" w:hAnsi="IRNazanin" w:eastAsia="IRNazanin"/>
          <w:color w:val="111111"/>
          <w:sz w:val="28"/>
          <w:sz w:val="28"/>
          <w:szCs w:val="28"/>
          <w:rtl w:val="true"/>
          <w:lang w:bidi="fa-IR"/>
        </w:rPr>
        <w:t>الفعل، لا یکون التوصلی وحده محتاجا إلی العنایة الزائدة، بل کما یکون ذلک محتاجا إلی العنایة الزائدة یکون اعتبار التعبد أیضا محتاجا إلی العنایة الزائدة، لأنّ کلا منهما جهة زائدة علی ما تضمنه الأمر من النظر الاستقلالی إلی حصول الفعل، و أما اعتبار کون الفعل صادرا بالإرادة فی قبال کونه عن سهو أو غفلة، فانّما قلنا به من جهة کون الأمر تحریکا للإرادة، فلا یشمل ما کان مجردا عن الإرادة، و أین هذا من اعتبار کون تلک الإرادة منبعثة عن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نفس الإرادة إنّما یکون من جهة أنّ الأمر بعث و تحریک لها نحو الفعل، و هذا المقدار لا یحتاج فی اعتباره إلی أزید ممّا یتکفله الأمر بطبعه أعنی کونه تحریکا للإرادة نحو الفعل، بلا حاجة فیه إلی النظر الاستقلالی إلی الإرادة، و هذا بخلاف اعتبار کون تلک الإرادة منبعثة عن الأمر فانه یحتاج إلی عنایة زائدة علی أصل ما یتکفله الأمر بصرف طبعه و لا بد فیه من النظر الاستقلالی إلی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المنظور إلیه استقلالا فی الأمر إنّما هو حصول الفعل من العبد، و قد حرّک إرادة العبد نحوه توصلا إلی حصوله، فلا یکون النظر إلی تحریک الإرادة و لا إلی الإرادة نفسها نظرا استقلالیا، و إنّما یکون النظر إلیها نظرا عبوریا لأجل التوصل بها إلی ما هو المنظور الیه بالاستقلال أعنی نفس الفعل، و حینئذ فکما أنّ اعتبار کون الإرادة منبعثة عن الأمر یحتاج إلی العنایة الزائدة و النظر الاستقلالی إلیها، فکذلک اعتبار نفس الإرادة یحتاج إلی العنایة الزائدة، و الفرق بینهما فی غایة الإشکال</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الإرادة و کونها منبعثة عن الأمر لا یحتاج إلی عنایة زائدة، بل یکفی فی اعتبار کل منهما نفس الأمر، فانه بصرف طبعه</w:t>
      </w:r>
    </w:p>
    <w:p>
      <w:pPr>
        <w:pStyle w:val="BookText"/>
        <w:rPr/>
      </w:pPr>
      <w:r>
        <w:rPr>
          <w:rFonts w:ascii="IRNazanin" w:hAnsi="IRNazanin" w:eastAsia="IRNazanin"/>
          <w:color w:val="111111"/>
          <w:sz w:val="28"/>
          <w:sz w:val="28"/>
          <w:szCs w:val="28"/>
          <w:rtl w:val="true"/>
          <w:lang w:bidi="fa-IR"/>
        </w:rPr>
        <w:t>یقتضی تحریک العبد نحو إرادة الفعل، و مقتضی ذلک طبعا هو تحرک العبد نحو إرادة الفعل المذکور، و صیرورة إرادته ناشئة عن تحریک ذلک الأمر، کل ذلک یقتضیه السیر الطبعی فی هذه السلسلة، و أن الارادة غیر المنبعثة عن تحریک الأمر و الفعل الصادر عن غیر إرادة کل منهما خارج عن هذه السلسلة، و یکون تقید المطلوب بکونه صادرا عن الإرادة و کون الإرادة صادرة و ناشئة عن تحریک الأمر من باب التقید الطبعی الذی یقتضیه طبع الأمر و إن لم یلحظه الآمر، فلا یتوجه علیه حینئذ أن النظر إلی التحریک و الإرادة نظر آلی، لأنّ ذلک إنّما یرد لو کان المدعی هو التقیید اللحاظی دون التقید الطبعی الذی اقتضاه سیر الأمر بصرف 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لمّا کان باعثا و محرّکا إلی الفعل، کان الفعل بالطبع متقیدا بکونه منبعثا عنه، لأنّ ذلک هو الواقع فی سلسلة الأمر، و أمّا غیره فخارج عن هذه السلسلة لا یکتفی به إلا بدلیل خارج، و حینئذ ینقلب الأصل اللفظی بل الأصل العملی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نظیر باب العلة و المعلول فی اختصاص المعلول بما یکون صادرا عن تلک العلة من دون أن یکون ذلک موجبا لتقیده بالصدور عن العلة علی وجه تکون العلة علة للمقید بأنه صادر عنها</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نظیر الفعل المراد بالارادة التکوینیة، فانّک تری أنّک عند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إرادتک </w:t>
      </w:r>
      <w:r>
        <w:rPr>
          <w:rStyle w:val="FootnoteAnchor"/>
          <w:rtl w:val="true"/>
        </w:rPr>
        <w:footnoteReference w:id="892"/>
      </w:r>
      <w:r>
        <w:rPr>
          <w:rFonts w:ascii="IRNazanin" w:hAnsi="IRNazanin" w:eastAsia="IRNazanin"/>
          <w:color w:val="111111"/>
          <w:sz w:val="28"/>
          <w:sz w:val="28"/>
          <w:szCs w:val="28"/>
          <w:rtl w:val="true"/>
          <w:lang w:bidi="fa-IR"/>
        </w:rPr>
        <w:t>بفعل یکون ذلک الفعل منک مختصا بکونه معلولا لتلک الإرادة منک، مع أن هذا القید لم یکن داخلا تحت إرادتک، کما أنّ ذلک الفعل الذی انوجد بارادتک لیس مطلقا من ناحیة تلک الإرادة،</w:t>
      </w:r>
    </w:p>
    <w:p>
      <w:pPr>
        <w:pStyle w:val="BookText"/>
        <w:rPr/>
      </w:pPr>
      <w:r>
        <w:rPr>
          <w:rFonts w:ascii="IRNazanin" w:hAnsi="IRNazanin" w:eastAsia="IRNazanin"/>
          <w:color w:val="111111"/>
          <w:sz w:val="28"/>
          <w:sz w:val="28"/>
          <w:szCs w:val="28"/>
          <w:rtl w:val="true"/>
          <w:lang w:bidi="fa-IR"/>
        </w:rPr>
        <w:t xml:space="preserve">فهو کما أنه لیس بمطلق من ناحیة الاتصاف بتلک الإرادة لم تکن إرادتک قیدا فی متعلقها فتأمل، و لکن سیأتی إن شاء اللّه </w:t>
      </w:r>
      <w:r>
        <w:rPr>
          <w:rStyle w:val="FootnoteAnchor"/>
          <w:rtl w:val="true"/>
        </w:rPr>
        <w:footnoteReference w:id="893"/>
      </w:r>
      <w:r>
        <w:rPr>
          <w:rFonts w:ascii="IRNazanin" w:hAnsi="IRNazanin" w:eastAsia="IRNazanin"/>
          <w:color w:val="111111"/>
          <w:sz w:val="28"/>
          <w:sz w:val="28"/>
          <w:szCs w:val="28"/>
          <w:rtl w:val="true"/>
          <w:lang w:bidi="fa-IR"/>
        </w:rPr>
        <w:t>الإشکال فی هذا البرهان و أنه مغالطة 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البیان یظهر الفرق بین التعبدی و التوصلی، بلا حاجة إلی الالتزام بکون داعی الأمر قیدا فی متعلقه کی یکون موردا للایرادات </w:t>
      </w:r>
      <w:r>
        <w:rPr>
          <w:rStyle w:val="FootnoteAnchor"/>
          <w:rtl w:val="true"/>
        </w:rPr>
        <w:footnoteReference w:id="894"/>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یشهد بذلک أو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الوافی علی عبادیة شی‌ء من العبادات بما هو أزید من ذلک المقدار، کما أنّه لا یحتاج إلی تعدد الأمر کی یتوجه علیه الإشکالات فی کل من الأمر الأول و الأمر الثانی کما حررناه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لازم ذلک هو کون جمیع الأوامر معتبرا فیها الإتیان بمتعلقاتها بداعی الأمر إلا ما أخرجه الدلیل، و هذا لا بعد فیه و لا غرابة، فانّ الإطاعة التی یحکم بها العقل هی عبارة عن الانبعاث عن الأمر بالإتیان بمتعلقه، و أما نفس الفعل بداع آخر أو الواقع سهوا أو نسیانا فلیس هو إلا من قبیل الاکتفاء بغیر المأمور به، لما عرفت من أن البعث إلی الفعل موجب قهری لتقید ذلک الفعل بالانبعاث عن ذلک، ففی جمیع تلک الموارد لا یکون الاکتفاء به من باب أنه ینطبق علیه الفعل المأمور به، بل إن الفعل بما أنه مأمور به لا ینطبق علی تلک الأفعال، غایته أنها تکون مسقطة للأمر باعتبار کونها وافیة بمصلحة المأمور به، أو رافعة لموضوع الأمر و نحو ذلک من موجبات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للشیخ قدّس سرّه </w:t>
      </w:r>
      <w:r>
        <w:rPr>
          <w:rStyle w:val="FootnoteAnchor"/>
          <w:rtl w:val="true"/>
        </w:rPr>
        <w:footnoteReference w:id="895"/>
      </w:r>
      <w:r>
        <w:rPr>
          <w:rFonts w:ascii="IRNazanin" w:hAnsi="IRNazanin" w:eastAsia="IRNazanin"/>
          <w:color w:val="111111"/>
          <w:sz w:val="28"/>
          <w:sz w:val="28"/>
          <w:szCs w:val="28"/>
          <w:rtl w:val="true"/>
          <w:lang w:bidi="fa-IR"/>
        </w:rPr>
        <w:t>فی أخذ الاجرة علی المستحبات عبارة لا یمکن تفسیرها إلا بما ذکرناه من أن الفعل المستحب المأتی به بداعی الاجرة لا یکون مصداقا للمستحب، فان کان عبادیا بطلت الإجارة علیه و إلا کانت الإجارة علیه صحیحة، غایته أنّه لا یکون الفعل مصداقا للمأمور به بما أنه مستحب فراجعه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لازم ذلک هو عدم الاکتفاء فی صحة العبادة بالإتیان بها للمصلحة أو لغیر ذلک من الدواعی الالهیة غیر الراجعة إلی داعی الأمر کما هو مذهب صاحب الجواهر قدّس سرّه </w:t>
      </w:r>
      <w:r>
        <w:rPr>
          <w:rStyle w:val="FootnoteAnchor"/>
          <w:rtl w:val="true"/>
        </w:rPr>
        <w:footnoteReference w:id="896"/>
      </w:r>
      <w:r>
        <w:rPr>
          <w:rFonts w:ascii="IRNazanin" w:hAnsi="IRNazanin" w:eastAsia="IRNazanin"/>
          <w:color w:val="111111"/>
          <w:sz w:val="28"/>
          <w:sz w:val="28"/>
          <w:szCs w:val="28"/>
          <w:rtl w:val="true"/>
          <w:lang w:bidi="fa-IR"/>
        </w:rPr>
        <w:t>، و لا بعد فیه فانّ الداعی هو الغایة المترتبة علی الفعل، فالعبد ینبعث عن الأمر لأجل ما یترتب علی ذلک من الامتثال، و إنّما یرید الامتثال لأجل ما یترتب علیه من الثواب أو الفرار من العقاب إلی غیر ذلک من الدواعی، أمّا لو کان قصده نفس الثواب أو نفس المصلحة بلا توسط الامتثال فلا یبعد الحکم ببطلان عمله، و لو دل الدلیل علی صحته لزم الحکم بذلک، لکنه خارج عن مقتضی نفس الأمر من الانبعاث عن الأمر، و کونه هو الداعی بمعنی ما یترتب علیه من الحصول علی عنوان الامتثال، إذ لا معنی للداعی إلا العلة الغائیة، و یستحیل کون الأمر نفسه هو العلة الغائیة و إنّما العلة الغائیة هی امتثاله، و لأجل ذلک نقول إن الأمر محدث للداعی لا أنه بنفسه هو الداعی إلا بنحو من التسامح، کما أن المصلحة أو الثواب أو الفرار من العقاب لو کانت مترتبة علی الامتثال لا علی نفس الفعل کان من المحال قصدها و جعلها غایة للفعل نفسه بلا توسط الامتثال</w:t>
      </w:r>
      <w:r>
        <w:rPr>
          <w:rFonts w:eastAsia="IRNazanin" w:cs="IRNazanin"/>
          <w:color w:val="111111"/>
          <w:sz w:val="28"/>
          <w:szCs w:val="28"/>
          <w:rtl w:val="true"/>
          <w:lang w:bidi="fa-IR"/>
        </w:rPr>
        <w:t>.</w:t>
      </w:r>
      <w:bookmarkStart w:id="624" w:name="pg19834_212546"/>
    </w:p>
    <w:p>
      <w:pPr>
        <w:pStyle w:val="Heading5"/>
        <w:numPr>
          <w:ilvl w:val="4"/>
          <w:numId w:val="1"/>
        </w:numPr>
        <w:rPr/>
      </w:pPr>
      <w:bookmarkStart w:id="625" w:name="__RefHeading___Toc3493873_2314609296"/>
      <w:bookmarkStart w:id="626" w:name="_Toc229"/>
      <w:bookmarkEnd w:id="624"/>
      <w:bookmarkEnd w:id="625"/>
      <w:r>
        <w:rPr>
          <w:rtl w:val="true"/>
        </w:rPr>
        <w:t>[</w:t>
      </w:r>
      <w:r>
        <w:rPr>
          <w:rtl w:val="true"/>
        </w:rPr>
        <w:t>تقریب آخر لما ذکره الکلباسی قدّس سرّه</w:t>
      </w:r>
      <w:bookmarkEnd w:id="626"/>
    </w:p>
    <w:p>
      <w:pPr>
        <w:pStyle w:val="BookText"/>
        <w:rPr/>
      </w:pPr>
      <w:r>
        <w:rPr>
          <w:rFonts w:ascii="IRNazanin" w:hAnsi="IRNazanin" w:eastAsia="IRNazanin"/>
          <w:color w:val="111111"/>
          <w:sz w:val="28"/>
          <w:sz w:val="28"/>
          <w:szCs w:val="28"/>
          <w:rtl w:val="true"/>
          <w:lang w:bidi="fa-IR"/>
        </w:rPr>
        <w:t>و إن شئت فقرّب المطلب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الطاعة التی یحکم العقل بحسنها و لزومها لیست هی إلا عبارة عن الانبعاث عن الأمر، فلیس فی البین اعتبار الداعویة، نعم لازم الانبعاث عن الأمر هو کون العبد شاعرا بأنّ الفعل الذی یأتی به إنّما هو انبعاث عن الأمر، و لازم ذلک قهرا کون الامتثال علة غائیة لذلک الفعل، أما الإتیان بالفعل بداعی غایة اخری فهو خارج عن موضوع الإطاعة التی حکم بها العقل و لا یکتفی به إلا بدلیل </w:t>
      </w:r>
      <w:r>
        <w:rPr>
          <w:rStyle w:val="FootnoteAnchor"/>
          <w:rtl w:val="true"/>
        </w:rPr>
        <w:footnoteReference w:id="897"/>
      </w:r>
      <w:r>
        <w:rPr>
          <w:rFonts w:ascii="IRNazanin" w:hAnsi="IRNazanin" w:eastAsia="IRNazanin"/>
          <w:color w:val="111111"/>
          <w:sz w:val="28"/>
          <w:sz w:val="28"/>
          <w:szCs w:val="28"/>
          <w:rtl w:val="true"/>
          <w:lang w:bidi="fa-IR"/>
        </w:rPr>
        <w:t>خارج عن الأمر، لأن ذلک لم یکن انبعاثا عن الأمر و إن کان المأتی به مطابقا للمأمور به، إلا أنّ العقل لا یجتزئ به ما لم یکن مصداقا للاطاعة التی حکم بلزومها، أما النواهی فلا حکم للعقل فیها إلا بالمنع عمّا منع عنه الشارع الذی نعبّر عنه بالمنع من العصیان، فالاکتفاء فیها بمجرد الترک إنّما هو لأجل أنّ ذلک محقق لعدم المعصیة لا من باب الإطاعة للنهی الشرعی،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کون الفعل الصادر بغیر داعی الامتثال غیر منطبق علیه المأمور به و أنه لا یکون بنظر العقل طاعة، و أنّ سقوط الأمر به إنّما هو من قبیل ارتفاع الموضوع، لم یخرج المکلف بذلک عن استحقاق العقاب کما حرر فی مسألة الجهر و الإخفات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لا یکون موجبا لاستحقاق العقاب، بأن یکون الأمر مشروطا حدوثا و بقاء بعدم حصول الفعل بغیر داعی الأمر، فیکون حصول ذلک الفعل موجبا لارتفاع شرط الأمر، فلا یکون موجبا لتحقق العصیان و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طریقة اخری فی أصالة التعبد بمعنی عدم سقوط الأمر بمجرد الفعل و هی استصحاب بقاء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إنّ مقتضی الأصل اللفظی هو ذلک، لأن مرجع هذا الشک حینئذ إلی الشک فی إطلاق الوجوب أو اشتراطه بعدم حصول الفعل بداع آخر، و مقتضی الإطلاق هو کون ذلک الفعل واجبا بقول مطلق، سواء وجد ذلک الفعل بداع آخر أو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ندعیه علی أصالة التعبدیة هو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طبع الأمر یقتضی أن یکون ما هو واقع بداع آخر خارجا عن دائرته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بلزوم الإطاعة لا یفرق فیه بین التعبدی و التوصلی، و من الواضح أنه مع الإتیان بالفعل بداع آخر لا یکون العقل حاکما بأن ذلک 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أمر ثالث و هو التمسک بأصالة إطلاق الوجوب لما إذا حصل الفعل بداع آخر، فتأمل فانّ هذا متفرع علی تمامیة أحد الأمرین الأولین أو کلیهما، نعم بعد تمامیة أحد ذینک الوجهین أو کلیهما لو حصل الشک فی سقوط التکلیف بمجرد الفعل لاحتمال کونه من قبیل ما دل الدلیل علیه من التوصلیات، کان هذا الوجه الثالث نافعا فی إزالة الشک المذکور</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أمر لا بد من بیانه و التنبیه علیه، و هو أنّ هذا المقدار أعنی الاتیان بالفعل بقصد امتثال الأمر ربما لا یوجب عبادیة ذلک الفعل أو عبادة ذلک الآمر کما یشاهد فی الأوامر العرفیة فیما لو أمر الوالد ولده بالإتیان بالماء فجاء به امتثالا لأمر والده، لم یکن ذلک الفعل بذلک القصد عبادیا و لا یکون ذلک الولد عابدا لوالده فی امتثال أمره، بل أقصی ما فیه أن یعدّ</w:t>
      </w:r>
      <w:bookmarkStart w:id="627" w:name="pg19834_212548"/>
    </w:p>
    <w:p>
      <w:pPr>
        <w:pStyle w:val="BookText"/>
        <w:rPr/>
      </w:pPr>
      <w:bookmarkEnd w:id="627"/>
      <w:r>
        <w:rPr>
          <w:rFonts w:ascii="IRNazanin" w:hAnsi="IRNazanin" w:eastAsia="IRNazanin"/>
          <w:color w:val="111111"/>
          <w:sz w:val="28"/>
          <w:sz w:val="28"/>
          <w:szCs w:val="28"/>
          <w:rtl w:val="true"/>
          <w:lang w:bidi="fa-IR"/>
        </w:rPr>
        <w:t xml:space="preserve">مطیعا، فالعبادة بمعنی ما یعبّر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إلی جهة اخری زائدة علی الإتیان بالفعل بقصد امتثال الأمر، و ذلک عبارة عن الخضوع و التذلل و الاستکانة نحو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أوسع عبارة عن الحضور القلبی نحو المعبود حتی بمثل الذکر و الدعاء و المناجاة الذی هو عبارة عن العروج القلبی الذی هو روح العبادة، و لعل القدر الجامع هو التقرب بالفعل إلیه تعالی أو التملق له</w:t>
      </w:r>
      <w:r>
        <w:rPr>
          <w:rFonts w:eastAsia="IRNazanin" w:cs="IRNazanin"/>
          <w:color w:val="111111"/>
          <w:sz w:val="28"/>
          <w:szCs w:val="28"/>
          <w:rtl w:val="true"/>
          <w:lang w:bidi="fa-IR"/>
        </w:rPr>
        <w:t>.</w:t>
      </w:r>
    </w:p>
    <w:p>
      <w:pPr>
        <w:pStyle w:val="Heading5"/>
        <w:numPr>
          <w:ilvl w:val="4"/>
          <w:numId w:val="1"/>
        </w:numPr>
        <w:rPr/>
      </w:pPr>
      <w:bookmarkStart w:id="628" w:name="__RefHeading___Toc3493875_2314609296"/>
      <w:bookmarkStart w:id="629" w:name="_Toc230"/>
      <w:bookmarkEnd w:id="628"/>
      <w:r>
        <w:rPr>
          <w:rtl w:val="true"/>
        </w:rPr>
        <w:t>[</w:t>
      </w:r>
      <w:r>
        <w:rPr>
          <w:rtl w:val="true"/>
        </w:rPr>
        <w:t>عدم تحقق العبادیة بمجرد قصد الامتثال</w:t>
      </w:r>
      <w:bookmarkEnd w:id="629"/>
    </w:p>
    <w:p>
      <w:pPr>
        <w:pStyle w:val="BookText"/>
        <w:rPr/>
      </w:pPr>
      <w:r>
        <w:rPr>
          <w:rFonts w:ascii="IRNazanin" w:hAnsi="IRNazanin" w:eastAsia="IRNazanin"/>
          <w:color w:val="111111"/>
          <w:sz w:val="28"/>
          <w:sz w:val="28"/>
          <w:szCs w:val="28"/>
          <w:rtl w:val="true"/>
          <w:lang w:bidi="fa-IR"/>
        </w:rPr>
        <w:t>و کیف کان، أنّ للعبادة معنی فوق الإتیان بالعمل بقصد الامتثال، فذلک المعنی ربما کان الفعل المأمور به واجدا له مع قطع النظر عن تعلق الأمر به کالسجود و الرکوع و نحو ذلک من مظاهر الخضوع و التذلل أو من مظاهر المیل القلبی و العروج الروحی کما فی الأدعیة، ففی مثل ذلک یکون ذلک المعنی دخیلا فی أصل الفعل المأمور به بل هو روح ذلک الفعل، و لا یلزم من أخذه فی الفعل المأمور به شی‌ء من المحاذیر المتقدمة، ففی أمثال ذلک یعتبر التعبد بالمعنی المذکور لکونه مقوّما للمأمور به، کما أنه یعتبر فیه قصد الامتثال، لأن الفعل الفاقد لذلک القصد لا ینطبق علیه الطاعة و لا المأمور به علی ما عرفت شرحه</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لم یکن الفعل بذاته عبادیا بالمعنی الذی شرحناه، لکن لا مانع من أن یقوم دلیل من نص أو إجماع علی اعتبار کونه عبادیا، و حینئذ یلزم الإتیان به بذلک العنوان أعنی عنوان التقرب و الخضوع، مضافا إلی قصد الامتثال کما فی مثل غسل الجنابة و نحوه مما ادعی الإجماع علی کونه عبادیا، و إن کان ذلک قابلا للمناقشة بأن الإجماع القائم علی کونه عبادیا لم یکن المراد به العبادیة بالمعنی المزبور، بل لعل المراد به کونه معتبرا فیه قصد الامتثال بناء علی ما یظهر من إطلاق کلماتهم من أن اعتبار قصد</w:t>
      </w:r>
    </w:p>
    <w:p>
      <w:pPr>
        <w:pStyle w:val="BookText"/>
        <w:rPr/>
      </w:pPr>
      <w:r>
        <w:rPr>
          <w:rFonts w:ascii="IRNazanin" w:hAnsi="IRNazanin" w:eastAsia="IRNazanin"/>
          <w:color w:val="111111"/>
          <w:sz w:val="28"/>
          <w:sz w:val="28"/>
          <w:szCs w:val="28"/>
          <w:rtl w:val="true"/>
          <w:lang w:bidi="fa-IR"/>
        </w:rPr>
        <w:t>الامتثال و الاتیان بالفعل بداعی الأمر هو الملاک فی کونه عبادیا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أنّ هذا البرهان الذی ذکرناه و سیأتی إن شاء اللّه </w:t>
      </w:r>
      <w:r>
        <w:rPr>
          <w:rStyle w:val="FootnoteAnchor"/>
          <w:rtl w:val="true"/>
        </w:rPr>
        <w:footnoteReference w:id="898"/>
      </w:r>
      <w:r>
        <w:rPr>
          <w:rFonts w:ascii="IRNazanin" w:hAnsi="IRNazanin" w:eastAsia="IRNazanin"/>
          <w:color w:val="111111"/>
          <w:sz w:val="28"/>
          <w:sz w:val="28"/>
          <w:szCs w:val="28"/>
          <w:rtl w:val="true"/>
          <w:lang w:bidi="fa-IR"/>
        </w:rPr>
        <w:t xml:space="preserve">إبطاله لو سلّمناه و أغضینا النظر عمّا سیأتی فی إبطاله، فهو و إن أنتج اختصاص المتعلق بما یؤتی به بداعی الامتثال أو بقصد الامتثال اختصاصا قهریا من دون تقیید قصدی أو لحاظی، لکنه لا ینتج العبادیة، لما عرفت من أنّ مجرد الإتیان بداعی الأمر أو بقصد امتثال الأمر لا یوجب العبادیة حتی لو ضممنا إلیه قصد ترتب الثواب أو الفرار من العقاب، لما نشاهده من امتثال المقهورین أوامر القاهرین فی عدم کونها عبادة لهم حتی لو ضممنا إلیه قصد التقرب إلیهم، ما لم یتوسط فی ذلک ذلک العنوان أعنی عنوان العبادة و الخشوع و الخضوع المعبّر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اعتبار داعی الأمر أو قصد الامتثال و إن ترتب علیه الثواب و التخلص من العقاب حسب وعده تعالی و وعیده، إلا أنه وحده لا یحقق العبادیة، بل هو قدر مشترک بین التعبدیات و التوصلیات، فلو تم ما أفاده صاحب الإشارات </w:t>
      </w:r>
      <w:r>
        <w:rPr>
          <w:rStyle w:val="FootnoteAnchor"/>
          <w:rtl w:val="true"/>
        </w:rPr>
        <w:footnoteReference w:id="899"/>
      </w:r>
      <w:r>
        <w:rPr>
          <w:rFonts w:ascii="IRNazanin" w:hAnsi="IRNazanin" w:eastAsia="IRNazanin"/>
          <w:color w:val="111111"/>
          <w:sz w:val="28"/>
          <w:sz w:val="28"/>
          <w:szCs w:val="28"/>
          <w:rtl w:val="true"/>
          <w:lang w:bidi="fa-IR"/>
        </w:rPr>
        <w:t xml:space="preserve">و العناوین </w:t>
      </w:r>
      <w:r>
        <w:rPr>
          <w:rStyle w:val="FootnoteAnchor"/>
          <w:rtl w:val="true"/>
        </w:rPr>
        <w:footnoteReference w:id="900"/>
      </w:r>
      <w:r>
        <w:rPr>
          <w:rFonts w:ascii="IRNazanin" w:hAnsi="IRNazanin" w:eastAsia="IRNazanin"/>
          <w:color w:val="111111"/>
          <w:sz w:val="28"/>
          <w:sz w:val="28"/>
          <w:szCs w:val="28"/>
          <w:rtl w:val="true"/>
          <w:lang w:bidi="fa-IR"/>
        </w:rPr>
        <w:t xml:space="preserve">و تم ما حررناه </w:t>
      </w:r>
      <w:r>
        <w:rPr>
          <w:rStyle w:val="FootnoteAnchor"/>
          <w:rtl w:val="true"/>
        </w:rPr>
        <w:footnoteReference w:id="901"/>
      </w:r>
      <w:r>
        <w:rPr>
          <w:rFonts w:ascii="IRNazanin" w:hAnsi="IRNazanin" w:eastAsia="IRNazanin"/>
          <w:color w:val="111111"/>
          <w:sz w:val="28"/>
          <w:sz w:val="28"/>
          <w:szCs w:val="28"/>
          <w:rtl w:val="true"/>
          <w:lang w:bidi="fa-IR"/>
        </w:rPr>
        <w:t>من البرهان علی ذلک من انحصار المعلول قهرا بمورد العلة، لکان أقصی ما ینتجه هو انحصار المأمور به قهرا بما یکون صادرا عن داعی الأمر، و ذلک وحده لا ینتج التعبدیة</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لک أنّ الأمر الثانی ممّا أفاده شیخنا قدّس سرّه </w:t>
      </w:r>
      <w:r>
        <w:rPr>
          <w:rStyle w:val="FootnoteAnchor"/>
          <w:rtl w:val="true"/>
        </w:rPr>
        <w:footnoteReference w:id="902"/>
      </w:r>
      <w:r>
        <w:rPr>
          <w:rFonts w:ascii="Amiri" w:hAnsi="Amiri" w:eastAsia="Amiri" w:cs="Amiri"/>
          <w:color w:val="111111"/>
          <w:sz w:val="28"/>
          <w:sz w:val="28"/>
          <w:szCs w:val="28"/>
          <w:rtl w:val="true"/>
          <w:lang w:bidi="ar-SA"/>
        </w:rPr>
        <w:t>المعبّر عنه</w:t>
      </w:r>
      <w:bookmarkStart w:id="630" w:name="pg19834_212550"/>
    </w:p>
    <w:p>
      <w:pPr>
        <w:pStyle w:val="BookText"/>
        <w:rPr/>
      </w:pPr>
      <w:bookmarkEnd w:id="630"/>
      <w:r>
        <w:rPr>
          <w:rFonts w:ascii="IRNazanin" w:hAnsi="IRNazanin" w:eastAsia="IRNazanin"/>
          <w:color w:val="111111"/>
          <w:sz w:val="28"/>
          <w:sz w:val="28"/>
          <w:szCs w:val="28"/>
          <w:rtl w:val="true"/>
          <w:lang w:bidi="fa-IR"/>
        </w:rPr>
        <w:t xml:space="preserve">بمتمم الجعل المتعلق بالإتیان بالفعل بداعی أمره الأول لا ینتج التعبدیة، و کذلک ما أفاده الاستاذ العراقی </w:t>
      </w:r>
      <w:r>
        <w:rPr>
          <w:rStyle w:val="FootnoteAnchor"/>
          <w:rtl w:val="true"/>
        </w:rPr>
        <w:footnoteReference w:id="903"/>
      </w:r>
      <w:r>
        <w:rPr>
          <w:rFonts w:ascii="IRNazanin" w:hAnsi="IRNazanin" w:eastAsia="IRNazanin"/>
          <w:color w:val="111111"/>
          <w:sz w:val="28"/>
          <w:sz w:val="28"/>
          <w:szCs w:val="28"/>
          <w:rtl w:val="true"/>
          <w:lang w:bidi="fa-IR"/>
        </w:rPr>
        <w:t>الراجع إلی تعلق الأمر بالذات التی هی توأم مع قصد الأمر، بل و کذلک ما أفاده فی الکفایة</w:t>
      </w:r>
      <w:r>
        <w:rPr>
          <w:rStyle w:val="FootnoteAnchor"/>
          <w:rtl w:val="true"/>
        </w:rPr>
        <w:footnoteReference w:id="904"/>
      </w:r>
      <w:r>
        <w:rPr>
          <w:rFonts w:ascii="IRNazanin" w:hAnsi="IRNazanin" w:eastAsia="IRNazanin"/>
          <w:color w:val="111111"/>
          <w:sz w:val="28"/>
          <w:sz w:val="28"/>
          <w:szCs w:val="28"/>
          <w:rtl w:val="true"/>
          <w:lang w:bidi="fa-IR"/>
        </w:rPr>
        <w:t>من حکم العقل به بعد فرض انحصار المصلحة بما یؤتی به بداعی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طریقة یحاول بها إثبات اعتبار داعی الأمر لا تکون منتجة لاعتبار التعبدیة، بل أقصی ما فیها أن تکون براهین علی اعتبار داعی الأمر، فان تمت تلک البراهین و أوجبت تقید الفعل و لو تقیدا قهریا بداعی الأمر، لم یکن الشک فی الاکتفاء بغیره إلا من قبیل الشک فی کون ذلک الغیر مسقطا للأمر و مقتضاه الاشتغال، و إن لم یتم شی‌ء من البراهین المذکورة کما سیأتی بیانه إن شاء اللّه تعالی کان المقام من قبیل الشک فی اعتبار أمر زائد علی أصل الفعل الذی تعلق به الطلب، و المرجع فیه هو البراءة إلا علی برهان الکفایة من کونه بحکم العقل، فانا لو سلّمنا أصل هذا البرهان و هو حکم العقل بلزوم تحصیل ما یکون وافیا بالمصلحة الباعثة للشارع علی إصدار الأمر و جعل الوجوب، یکون اللازم هو الاحتیاط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منعنا البرهان المذکور، و أنّ العقل لا یحکم علی المکلفین بتحصیل المصالح و تطبیق أفعالهم علیها کما أفاده شیخنا قدّس سرّه </w:t>
      </w:r>
      <w:r>
        <w:rPr>
          <w:rStyle w:val="FootnoteAnchor"/>
          <w:rtl w:val="true"/>
        </w:rPr>
        <w:footnoteReference w:id="905"/>
      </w:r>
      <w:r>
        <w:rPr>
          <w:rFonts w:ascii="IRNazanin" w:hAnsi="IRNazanin" w:eastAsia="IRNazanin"/>
          <w:color w:val="111111"/>
          <w:sz w:val="28"/>
          <w:sz w:val="28"/>
          <w:szCs w:val="28"/>
          <w:rtl w:val="true"/>
          <w:lang w:bidi="fa-IR"/>
        </w:rPr>
        <w:t>لم یبق مجال لحکم العقل بأصالة العبادیة فی مورد الشک المذکور</w:t>
      </w:r>
      <w:r>
        <w:rPr>
          <w:rFonts w:eastAsia="IRNazanin" w:cs="IRNazanin"/>
          <w:color w:val="111111"/>
          <w:sz w:val="28"/>
          <w:szCs w:val="28"/>
          <w:rtl w:val="true"/>
          <w:lang w:bidi="fa-IR"/>
        </w:rPr>
        <w:t>.</w:t>
      </w:r>
    </w:p>
    <w:p>
      <w:pPr>
        <w:pStyle w:val="Heading5"/>
        <w:numPr>
          <w:ilvl w:val="4"/>
          <w:numId w:val="1"/>
        </w:numPr>
        <w:rPr/>
      </w:pPr>
      <w:bookmarkStart w:id="631" w:name="__RefHeading___Toc3493877_2314609296"/>
      <w:bookmarkStart w:id="632" w:name="_Toc231"/>
      <w:bookmarkEnd w:id="631"/>
      <w:r>
        <w:rPr>
          <w:rtl w:val="true"/>
        </w:rPr>
        <w:t>[</w:t>
      </w:r>
      <w:r>
        <w:rPr>
          <w:rtl w:val="true"/>
        </w:rPr>
        <w:t>ما ذکره فی البدائع من استدلال القائلین بأصالة التعبد بوجهین</w:t>
      </w:r>
      <w:bookmarkEnd w:id="632"/>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البدائع استدلال القائلین باصالة التعبد بوجهین،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مقتضی الظهور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العقلاء للعبد الآتی بالفعل لا بداعی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أشکل علی کل من الأول و الثانی، ثم أفاد أنه إن کان المراد من الثانی أن العبد و إن لم یکن عاصیا فی الحقیقة إلا أن ذم العقلاء له یجعله بحکم العاصی، و أشکل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الذم لا یقتضی المنع اللزومی، بل أقصی ما فیه هو 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سلّمنا الذم فانما هو للفاعل لسوء السریرة لا علی نفس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عن جمیع ذلک و تسلیم کون الذم علی الفعل دون الفاعل، فغیر منتج ما هو المقصود من إثبات الوجوب التعبدی، إذ غایته وجوب تحصیل الامتثال و الانقیاد علی العبد مضافا علی وجوب أصل الفعل، و هو أمر آخر وراء اشتراط سقوط التکلیف بقصد القربة و بعد تسلیم عدم مساعدة اللفظ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سار فی جمیع أدلتهم من العقل و النقل، و قد أخذه بعض المحققین فی الهدایة جوابا عن أدلتهم السمعیة، و سیأتی تمام الکلام فیه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من جمیع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محصّل لدعوی اقتضاء الأصل اللفظی للوجوب التعبدی </w:t>
      </w:r>
      <w:r>
        <w:rPr>
          <w:rStyle w:val="FootnoteAnchor"/>
          <w:rtl w:val="true"/>
        </w:rPr>
        <w:footnoteReference w:id="906"/>
      </w:r>
      <w:r>
        <w:rPr>
          <w:rFonts w:ascii="IRNazanin" w:hAnsi="IRNazanin" w:eastAsia="IRNazanin"/>
          <w:color w:val="111111"/>
          <w:sz w:val="28"/>
          <w:sz w:val="28"/>
          <w:szCs w:val="28"/>
          <w:rtl w:val="true"/>
          <w:lang w:bidi="fa-IR"/>
        </w:rPr>
        <w:t>، انتهی ملخصا</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مراده هو أن أقصی ما تدل علیه الأدلة المذکورة هو لزوم الطاعة و الامتثال و الانقیاد وجوبا مستقلا، و ذلک أمر آخر غیر التقیید و اشتراط المأمور به بذلک، و أما ما أشار إلیه فیما سیأتی فهو ما نقله عن صاحب الحاشیة</w:t>
      </w:r>
      <w:r>
        <w:rPr>
          <w:rStyle w:val="FootnoteAnchor"/>
          <w:rtl w:val="true"/>
        </w:rPr>
        <w:footnoteReference w:id="907"/>
      </w:r>
      <w:r>
        <w:rPr>
          <w:rFonts w:ascii="IRNazanin" w:hAnsi="IRNazanin" w:eastAsia="IRNazanin"/>
          <w:color w:val="111111"/>
          <w:sz w:val="28"/>
          <w:sz w:val="28"/>
          <w:szCs w:val="28"/>
          <w:rtl w:val="true"/>
          <w:lang w:bidi="fa-IR"/>
        </w:rPr>
        <w:t>، و نحن نذکر کلام صاحب الحاشیة لیتضح لک مراده و أنه یفرق بین داعی الأمر و بین العبادیة</w:t>
      </w:r>
      <w:r>
        <w:rPr>
          <w:rFonts w:eastAsia="IRNazanin" w:cs="IRNazanin"/>
          <w:color w:val="111111"/>
          <w:sz w:val="28"/>
          <w:szCs w:val="28"/>
          <w:rtl w:val="true"/>
          <w:lang w:bidi="fa-IR"/>
        </w:rPr>
        <w:t>.</w:t>
      </w:r>
      <w:bookmarkStart w:id="633" w:name="pg19834_212552"/>
    </w:p>
    <w:p>
      <w:pPr>
        <w:pStyle w:val="Heading5"/>
        <w:numPr>
          <w:ilvl w:val="4"/>
          <w:numId w:val="1"/>
        </w:numPr>
        <w:rPr/>
      </w:pPr>
      <w:bookmarkStart w:id="634" w:name="__RefHeading___Toc3493879_2314609296"/>
      <w:bookmarkStart w:id="635" w:name="_Toc232"/>
      <w:bookmarkEnd w:id="633"/>
      <w:bookmarkEnd w:id="634"/>
      <w:r>
        <w:rPr>
          <w:rtl w:val="true"/>
        </w:rPr>
        <w:t>[</w:t>
      </w:r>
      <w:r>
        <w:rPr>
          <w:rtl w:val="true"/>
        </w:rPr>
        <w:t>نقل کلام صاحب الحاشیة فی المقام</w:t>
      </w:r>
      <w:bookmarkEnd w:id="635"/>
    </w:p>
    <w:p>
      <w:pPr>
        <w:pStyle w:val="BookText"/>
        <w:rPr/>
      </w:pPr>
      <w:r>
        <w:rPr>
          <w:rFonts w:ascii="IRNazanin" w:hAnsi="IRNazanin" w:eastAsia="IRNazanin"/>
          <w:color w:val="111111"/>
          <w:sz w:val="28"/>
          <w:sz w:val="28"/>
          <w:szCs w:val="28"/>
          <w:rtl w:val="true"/>
          <w:lang w:bidi="fa-IR"/>
        </w:rPr>
        <w:t>قال فی الحاشیة بعد أن أجاب عن الاستدلال بآیة وجوب الاطاعة</w:t>
      </w:r>
      <w:r>
        <w:rPr>
          <w:rStyle w:val="FootnoteAnchor"/>
          <w:rtl w:val="true"/>
        </w:rPr>
        <w:footnoteReference w:id="908"/>
      </w:r>
      <w:r>
        <w:rPr>
          <w:rFonts w:ascii="IRNazanin" w:hAnsi="IRNazanin" w:eastAsia="IRNazanin"/>
          <w:color w:val="111111"/>
          <w:sz w:val="28"/>
          <w:sz w:val="28"/>
          <w:szCs w:val="28"/>
          <w:rtl w:val="true"/>
          <w:lang w:bidi="fa-IR"/>
        </w:rPr>
        <w:t>بأنها عامة للأوامر و النواهی، و لا ریب فی عدم اعتبار العبادیة فی النواهی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الغض عن ذلک لو اخذ بظواهر تلک الأوامر فلا یقضی ذلک بتقیید المطلوب فی سائر الأوامر، إذ غایة ما تفیده هذه الأوامر وجوب تحصیل معنی الامتثال و الانقیاد، و هو أمر آخر وراء وجوب الاتیان بالمأمور به </w:t>
      </w:r>
      <w:r>
        <w:rPr>
          <w:rStyle w:val="FootnoteAnchor"/>
          <w:rtl w:val="true"/>
        </w:rPr>
        <w:footnoteReference w:id="909"/>
      </w:r>
      <w:r>
        <w:rPr>
          <w:rFonts w:ascii="IRNazanin" w:hAnsi="IRNazanin" w:eastAsia="IRNazanin"/>
          <w:color w:val="111111"/>
          <w:sz w:val="28"/>
          <w:sz w:val="28"/>
          <w:szCs w:val="28"/>
          <w:rtl w:val="true"/>
          <w:lang w:bidi="fa-IR"/>
        </w:rPr>
        <w:t>الذی هو مدلول الأمر علی الوجه المذکور، فأقصی ما یلزم حینئذ أنه مع إتیانه بالمأمور به لا علی وجه الامتثال أن لا یکون آتیا بالمأمور به بهذه الأوامر، و لا یستلزم ذلک عدم إتیانه بما امر به فی تلک مع إطلاقها و عدم قیام دلیل علی تقییدها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وجوب الإتیان بالفعل علی سبیل الانقیاد و الإطاعة فممّا لا دلالة فی الأمر و لو بعد ملاحظة حال الآمر علیه، و إن قلنا بکونه ممن یجب الإتیان بمطلوبه من حیث إنه أمر به، لیجب قصد الطاعة و الانقیاد فی جمیع ما یوجبه، فان ذلک لو ثبت فانما هو مطلوب آخر و تکلیف مستقل لا وجه لتقیید مدلول الأمر به إلا أن یدل دلیل علی التقیید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 فمما لا دلالة فی الأمر، و کان اللازم تقدیمه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لیجب قصد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متفرع علی المنفی أعنی الدلالة</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بکونه ممن یجب الإتیان بمطلوبه من حیث إنه أمر</w:t>
      </w:r>
    </w:p>
    <w:p>
      <w:pPr>
        <w:pStyle w:val="BookText"/>
        <w:rPr/>
      </w:pPr>
      <w:r>
        <w:rPr>
          <w:rFonts w:ascii="IRNazanin" w:hAnsi="IRNazanin" w:eastAsia="IRNazanin"/>
          <w:color w:val="111111"/>
          <w:sz w:val="28"/>
          <w:sz w:val="28"/>
          <w:szCs w:val="28"/>
          <w:rtl w:val="true"/>
          <w:lang w:bidi="fa-IR"/>
        </w:rPr>
        <w:t>به، ظاهر فی أنه یسلّم لزوم الإتیان بالمطلوب من حیث إنه قد أمر به، بمعنی أن اللازم بحکم العقل بعد ملاحظة حال الآمر أن یؤتی بمطلوبه مقیدا بکونه مأمورا به و مطلوبا لذلک الآمر العظیم، و ذلک لا دخل له بکون الفعل عبادیا، و أنه لا بد فیه من الاتیان بقصد الطاعة و الامتثال و الانقیاد، فهو یفرّق بین الإتیان بالمأمور به بما أنه مأمور به و بین الإتیان به بداعی الطاعة و الانقیاد و الامتثال، و یقول إنّا و إن قلنا إنه لا بد من قصد الأمر إلا أنّه لا دلیل علی التقیید بقصد الامتثال و الانقیاد و الطاعة، و هذه الأدلة و إن أوجبت الثانی إلا أنّه تکلیف مستقل لا ربط له بما أفادته الأوامر الأصلیة و لا یکون موجبا لتقییدها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یخفی أنّ صاحب البدائع قدّس سرّه </w:t>
      </w:r>
      <w:r>
        <w:rPr>
          <w:rStyle w:val="FootnoteAnchor"/>
          <w:rtl w:val="true"/>
        </w:rPr>
        <w:footnoteReference w:id="911"/>
      </w:r>
      <w:r>
        <w:rPr>
          <w:rFonts w:ascii="IRNazanin" w:hAnsi="IRNazanin" w:eastAsia="IRNazanin"/>
          <w:color w:val="111111"/>
          <w:sz w:val="28"/>
          <w:sz w:val="28"/>
          <w:szCs w:val="28"/>
          <w:rtl w:val="true"/>
          <w:lang w:bidi="fa-IR"/>
        </w:rPr>
        <w:t>أورد علی صاحب الحاشیة فیما أفاده من أن الآیة إنما تتکفل وجوب الطاعة وجوبا مستقلا فلا دلالة فیها علی التقیید، و حاصل إیراد البدائع هو کونها ظاهرة فی الحکومة علی الأوامر فتدل علی التقیید، بخلاف ما ذکرناه فی رد الاستدلال بذم العقلاء فان المتعیّن فیه هو الاستقلال لا التقیید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ذلک من الشواهد علی أن الانقیاد و کذلک الطاعة هو عبارة عن العبادیة کما یرومه المستدل بالآیة علی التعبدیة، و لیس هو اعتبار داعویة الأمر، و إلا لکان التقیید به ممتنعا، فکیف یستظهر التقیید صاحب البدائع قدّس سرّه مع أنه قد أثبت أن التقیید به ممتنع کما فصّله و أوضحه </w:t>
      </w:r>
      <w:r>
        <w:rPr>
          <w:rStyle w:val="FootnoteAnchor"/>
          <w:rtl w:val="true"/>
        </w:rPr>
        <w:footnoteReference w:id="912"/>
      </w:r>
      <w:r>
        <w:rPr>
          <w:rFonts w:ascii="IRNazanin" w:hAnsi="IRNazanin" w:eastAsia="IRNazanin"/>
          <w:color w:val="111111"/>
          <w:sz w:val="28"/>
          <w:sz w:val="28"/>
          <w:szCs w:val="28"/>
          <w:rtl w:val="true"/>
          <w:lang w:bidi="fa-IR"/>
        </w:rPr>
        <w:t>، اللهم إلا أن یکون مراده من کون أوامر الإطاعة موجبة للتقیید فی بقیة الأوامر کون</w:t>
      </w:r>
      <w:bookmarkStart w:id="636" w:name="pg19834_212554"/>
    </w:p>
    <w:p>
      <w:pPr>
        <w:pStyle w:val="BookText"/>
        <w:rPr/>
      </w:pPr>
      <w:bookmarkEnd w:id="636"/>
      <w:r>
        <w:rPr>
          <w:rFonts w:ascii="IRNazanin" w:hAnsi="IRNazanin" w:eastAsia="IRNazanin"/>
          <w:color w:val="111111"/>
          <w:sz w:val="28"/>
          <w:sz w:val="28"/>
          <w:szCs w:val="28"/>
          <w:rtl w:val="true"/>
          <w:lang w:bidi="fa-IR"/>
        </w:rPr>
        <w:t xml:space="preserve">ذلک من قبیل نتیجة التقیید الذی شرحه شیخنا قدّس سرّه </w:t>
      </w:r>
      <w:r>
        <w:rPr>
          <w:rStyle w:val="FootnoteAnchor"/>
          <w:rtl w:val="true"/>
        </w:rPr>
        <w:footnoteReference w:id="913"/>
      </w:r>
      <w:r>
        <w:rPr>
          <w:rFonts w:ascii="IRNazanin" w:hAnsi="IRNazanin" w:eastAsia="IRNazanin"/>
          <w:color w:val="111111"/>
          <w:sz w:val="28"/>
          <w:sz w:val="28"/>
          <w:szCs w:val="28"/>
          <w:rtl w:val="true"/>
          <w:lang w:bidi="fa-IR"/>
        </w:rPr>
        <w:t>، و لکن حمل کلامه علی ذلک بعید جدا، فلاحظ و تأمل</w:t>
      </w:r>
      <w:r>
        <w:rPr>
          <w:rFonts w:eastAsia="IRNazanin" w:cs="IRNazanin"/>
          <w:color w:val="111111"/>
          <w:sz w:val="28"/>
          <w:szCs w:val="28"/>
          <w:rtl w:val="true"/>
          <w:lang w:bidi="fa-IR"/>
        </w:rPr>
        <w:t>.</w:t>
      </w:r>
    </w:p>
    <w:p>
      <w:pPr>
        <w:pStyle w:val="Heading5"/>
        <w:numPr>
          <w:ilvl w:val="4"/>
          <w:numId w:val="1"/>
        </w:numPr>
        <w:rPr/>
      </w:pPr>
      <w:bookmarkStart w:id="637" w:name="__RefHeading___Toc3493881_2314609296"/>
      <w:bookmarkStart w:id="638" w:name="_Toc233"/>
      <w:bookmarkEnd w:id="637"/>
      <w:r>
        <w:rPr>
          <w:rtl w:val="true"/>
        </w:rPr>
        <w:t>[</w:t>
      </w:r>
      <w:r>
        <w:rPr>
          <w:rtl w:val="true"/>
        </w:rPr>
        <w:t>ملخص ما فی الاشارات فی الاستدلال علی أصالة التعبدیة</w:t>
      </w:r>
      <w:r>
        <w:rPr>
          <w:rtl w:val="true"/>
        </w:rPr>
        <w:t>]</w:t>
      </w:r>
      <w:bookmarkEnd w:id="638"/>
    </w:p>
    <w:p>
      <w:pPr>
        <w:pStyle w:val="BookText"/>
        <w:rPr/>
      </w:pPr>
      <w:r>
        <w:rPr>
          <w:rFonts w:ascii="IRNazanin" w:hAnsi="IRNazanin" w:eastAsia="IRNazanin"/>
          <w:color w:val="111111"/>
          <w:sz w:val="28"/>
          <w:sz w:val="28"/>
          <w:szCs w:val="28"/>
          <w:rtl w:val="true"/>
          <w:lang w:bidi="fa-IR"/>
        </w:rPr>
        <w:t>و ملخص ما فی الإشارات فی الاستدلال علی أصالة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الامتثال عرفا لا یحصل إلا بقصد الامتثال، فیخرج المتشهی و ناسی الأمر و المتخیل أن ما فعله هو موجب لقتل سیده فتبین أنه مأمور به، و مع قطع النظر عن ذلک یکون مقتضی التوقیفیة الاکتفاء بمورد الیقین للزوم تحصیل البراءة بعد ثبوت الاشتغال، و ما ذکرناه أظهر الأفراد و متبادرها عند الإطلاق کتبادر النقد الرائج فیلزم حمل اللفظ علیه و بدونه یشک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و إن صدقت مع عدم النیة، إلا أن الامتثال یتوقف علیه و إلا لتساوی فعل الغافل و الناسی مع غیرهما فی مقام الامتثال و هو واضح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اعترض علی نفسه بعدم تعرض الجماعة إلی التشبث بهذه الأدلة و رکونهم إلی التشبث بالآیات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 ذلک الاعتراض بما حاصله أنه یحتمل أن یکون لأجل أن ما أرادوا إثباته لا یثبت بأصل اللفظ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نقل عن بعضهم التشبث بذلک، فقال بعضهم ما محصله أن الأمر یقتضی الإطاعة و الإطاعة فی اللغة و العرف امتثال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الأمر لا یحصل إلا بقصد إطاعته عرفا و عادة و الموافقة الاتفاقیة لا تکفی</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کل عمل مأمور به أن یکون عبادة مشروطة بها لرجوع المقام إلی الجهل بالجزئیة</w:t>
      </w:r>
      <w:r>
        <w:rPr>
          <w:rFonts w:eastAsia="IRNazanin" w:cs="IRNazanin"/>
          <w:color w:val="111111"/>
          <w:sz w:val="28"/>
          <w:szCs w:val="28"/>
          <w:rtl w:val="true"/>
          <w:lang w:bidi="fa-IR"/>
        </w:rPr>
        <w:t>.</w:t>
      </w:r>
      <w:bookmarkStart w:id="639" w:name="pg19834_212555"/>
    </w:p>
    <w:p>
      <w:pPr>
        <w:pStyle w:val="BookText"/>
        <w:rPr/>
      </w:pPr>
      <w:bookmarkEnd w:id="639"/>
      <w:r>
        <w:rPr>
          <w:rFonts w:ascii="IRNazanin" w:hAnsi="IRNazanin" w:eastAsia="IRNazanin"/>
          <w:color w:val="111111"/>
          <w:sz w:val="28"/>
          <w:sz w:val="28"/>
          <w:szCs w:val="28"/>
          <w:rtl w:val="true"/>
          <w:lang w:bidi="fa-IR"/>
        </w:rPr>
        <w:t>و قال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فیما یتعلق به الطلب أن یکون عبادة بالأصل ما لم یثبت خلافه تحقیقا لمقتضی الإطاعة و الامتثال، انتهی ملخصا عن الإشارات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فیها تعرض للاستدلال بالآیة الشریفة و لا بالحدیث المبارک، و هذا نص عبارته فی بیان الاعتراض المذکور و بیان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یؤذن کلام الأصحاب بکون ما ذکرت مخالفا لاتفاقهم، حیث استندوا فی إثبات النیة بالآیات و الأخبار، و لو کان الأمر عندهم علی ما قلت لتشبثوا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عدم التعرض لأمر النیة من القدماء و الأوائل معروف، و مع ذلک الاحتجاج من المتعرض له قلیل، و مع ذلک یحتمل أن یکون عدم التشبث لأجل أن ما أرادوا إثباته لا یثبت بأصل اللفظ قطعا، و مع ذلک لا حجة فیه، مع أنّ منهم من اعترف بما ذکرناه من غیر نقل خلاف فیه،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أمرنا و نهانا و خاطبنا بأحکام کثیرة و کل ذلک یقتضی وجوب الإطاعة، و الإطاعة فی اللغة و العرف امتثال الأمر مثلا، و الامتثال العرفی و اللغوی لا یتحقق إلا بأن یکون ذلک الفعل الذی یفعله بقصد أنه تعالی أراد منه و لذا فعله، و 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640" w:name="__RefHeading___Toc3493883_2314609296"/>
      <w:bookmarkStart w:id="641" w:name="_Toc234"/>
      <w:bookmarkEnd w:id="640"/>
      <w:r>
        <w:rPr>
          <w:rtl w:val="true"/>
        </w:rPr>
        <w:t>[</w:t>
      </w:r>
      <w:r>
        <w:rPr>
          <w:rtl w:val="true"/>
        </w:rPr>
        <w:t>ما ذکره صاحب العناوین فی المقام</w:t>
      </w:r>
      <w:bookmarkEnd w:id="641"/>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العناوین </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کل مأمور به أن یکون عبادة مفتقرة إلی قصد التقرب صادرة عن مباشر بعینه غیر ساقطة بفعل غیره، نظرا إلی أن تعلق الوجوب یقتضی لزوم الامتثال و الخروج عن العهدة حذرا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المتبادر من اللفظ فی العرف أیضا</w:t>
      </w:r>
    </w:p>
    <w:p>
      <w:pPr>
        <w:pStyle w:val="BookText"/>
        <w:rPr/>
      </w:pPr>
      <w:r>
        <w:rPr>
          <w:rFonts w:ascii="IRNazanin" w:hAnsi="IRNazanin" w:eastAsia="IRNazanin"/>
          <w:color w:val="111111"/>
          <w:sz w:val="28"/>
          <w:sz w:val="28"/>
          <w:szCs w:val="28"/>
          <w:rtl w:val="true"/>
          <w:lang w:bidi="fa-IR"/>
        </w:rPr>
        <w:t xml:space="preserve">ذلک، فان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صدور الغسل عن المخاطب لأنه المأمور بالإتیان به فیکون قیدا و منه یعلم المباشرة، و نری أن أهل العرف یذمون من أتی بغیر قصد أمر المولی، بل لا یفهمون من الخطاب بالفعل إلا الإتیان امتثالا للامر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الآتی به لا علی قصد الإطاعة و إن لم یکن تارکا حقیقة، لکن یعدّ تارکا حکما و یذمّه العقلاء باعتبار فهم العقل أن الذم فی الترک الحقیقی لعدم الإطاعة فکذلک فی الترک الحکمی، و القاعدة الشرعیة أیضا تقضی بذلک، مضافا إلی الأصل اللفظی و العقلی و هو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تعالی و ما امروا إلّا لیعبدوا اللّه مخلصین له الدین </w:t>
      </w:r>
      <w:r>
        <w:rPr>
          <w:rStyle w:val="FootnoteAnchor"/>
          <w:rtl w:val="true"/>
        </w:rPr>
        <w:footnoteReference w:id="916"/>
      </w:r>
      <w:r>
        <w:rPr>
          <w:rFonts w:ascii="IRNazanin" w:hAnsi="IRNazanin" w:eastAsia="IRNazanin"/>
          <w:color w:val="111111"/>
          <w:sz w:val="28"/>
          <w:sz w:val="28"/>
          <w:szCs w:val="28"/>
          <w:rtl w:val="true"/>
          <w:lang w:bidi="fa-IR"/>
        </w:rPr>
        <w:t>ثم أطال الکلام فیها ثم قال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اطیعوا اللّه و أطیعوا الرسول و أولی الأمر منکم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الأخبار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الأقرب هو أن الجامع بین الأصل اللفظی و بین الأدلة السمعیة إنما هو صاحب العناوین دون صاحب الإشارات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الآیة الشریفة بقرینة 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المؤمنین فی مقام العبادة لم یؤمروا إلّا بعبادة اللّه تعالی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الضمیر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امروا إلّا</w:t>
      </w:r>
    </w:p>
    <w:p>
      <w:pPr>
        <w:pStyle w:val="BookText"/>
        <w:rPr/>
      </w:pPr>
      <w:r>
        <w:rPr>
          <w:rFonts w:ascii="IRNazanin" w:hAnsi="IRNazanin" w:eastAsia="IRNazanin"/>
          <w:color w:val="111111"/>
          <w:sz w:val="28"/>
          <w:sz w:val="28"/>
          <w:szCs w:val="28"/>
          <w:rtl w:val="true"/>
          <w:lang w:bidi="fa-IR"/>
        </w:rPr>
        <w:t xml:space="preserve">لیعبدوا اللّه یرجع إلی أهل الکتاب المذکورین قبل هذه الآیة، فحاصل المراد أن أهل الکتاب لم یکونوا مأمورین إلّا بعبادة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أدری من أقام هذا الظاهر و هو لفظ المؤمنین مقام الضمیر و هو الواو فی امروا و الذی حررته عنه قدّس سرّه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الآیة لیست فی مقام حصر أوامره تعالی بالتعبدیات، بل هی فی مقابل عبادة المشرکین أو الکافرین کما یدل علیه ما قبلها، فیکون الغرض منها نفی عبادة غیر اللّه تعالی لا أن أوامره منحصرة فی العبادات، و حاصل مضمونها أنهم ما امروا لأن یعبدوا غیر اللّه تعالی و إنما امروا لیعبدوه وحده مخلصین له الدین، فأین هذا مما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المرحوم الشیخ محمّد علی قدّس سرّه فی تقریراته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الآیة أن الکفار لم یؤمروا بالتوحید إلّا لیعبدوا</w:t>
      </w:r>
      <w:r>
        <w:rPr>
          <w:rStyle w:val="FootnoteAnchor"/>
          <w:rtl w:val="true"/>
        </w:rPr>
        <w:footnoteReference w:id="923"/>
      </w:r>
      <w:r>
        <w:rPr>
          <w:rFonts w:ascii="IRNazanin" w:hAnsi="IRNazanin" w:eastAsia="IRNazanin"/>
          <w:color w:val="111111"/>
          <w:sz w:val="28"/>
          <w:sz w:val="28"/>
          <w:szCs w:val="28"/>
          <w:rtl w:val="true"/>
          <w:lang w:bidi="fa-IR"/>
        </w:rPr>
        <w:t>اللّه و یعرفوه، و یکونوا مخلصین له غیر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کما تری أجنبی عما نحن فیه، انتهی </w:t>
      </w:r>
      <w:r>
        <w:rPr>
          <w:rStyle w:val="FootnoteAnchor"/>
          <w:rtl w:val="true"/>
        </w:rPr>
        <w:footnoteReference w:id="924"/>
      </w:r>
      <w:r>
        <w:rPr>
          <w:rFonts w:ascii="IRNazanin" w:hAnsi="IRNazanin" w:eastAsia="IRNazanin"/>
          <w:color w:val="111111"/>
          <w:sz w:val="28"/>
          <w:sz w:val="28"/>
          <w:szCs w:val="28"/>
          <w:rtl w:val="true"/>
          <w:lang w:bidi="fa-IR"/>
        </w:rPr>
        <w:t>فمن بدّل الکافرین بالمؤمنین، و ما هذا الحاصل الذی ذکره المحشی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المراد، إلّا هو عین حاصل ما أفاده شیخنا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توهم سقوط الأمر الأوّل مع عصیان الأمر الثانی لا معنی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کما لو جاء بمتعلق الأمر الأوّل لا بداعیه بل بداع آخر، أو أنه جاء به عن جهل بالأمر الأوّل، و حاصل الایراد تعریض بما فی الکفایة</w:t>
      </w:r>
      <w:r>
        <w:rPr>
          <w:rStyle w:val="FootnoteAnchor"/>
          <w:rtl w:val="true"/>
        </w:rPr>
        <w:footnoteReference w:id="926"/>
      </w:r>
      <w:bookmarkStart w:id="642" w:name="pg19834_212558"/>
    </w:p>
    <w:p>
      <w:pPr>
        <w:pStyle w:val="BookText"/>
        <w:rPr/>
      </w:pPr>
      <w:bookmarkEnd w:id="642"/>
      <w:r>
        <w:rPr>
          <w:rFonts w:ascii="IRNazanin" w:hAnsi="IRNazanin" w:eastAsia="IRNazanin"/>
          <w:color w:val="111111"/>
          <w:sz w:val="28"/>
          <w:sz w:val="28"/>
          <w:szCs w:val="28"/>
          <w:rtl w:val="true"/>
          <w:lang w:bidi="fa-IR"/>
        </w:rPr>
        <w:t>فی إشکاله علی التوجیه بتعدد الأمر، فانه أشکل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فی العبادات إلّا أمر واحد کغیرها 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الأوّل إن سقط بالاتیان بمتعلقه لم یبق مجال للأمر الثانی، فلا یحصل ما رامه الآمر من التوسل إلی حصول غرضه فی تعدد الأمر، و إن لم یسقط فلا وجه لعدم سقوطه إلّا عدم حصول غرض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المصلحة الباعثة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حینئذ إلی الأمر الثانی لحکم العقل بوجوب الموافقة علی نحو یحصل به غرضه فیسقط أمره، هذا حاصل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علیه أن یشکل علی الأمر الثانی ما تقدم منه </w:t>
      </w:r>
      <w:r>
        <w:rPr>
          <w:rStyle w:val="FootnoteAnchor"/>
          <w:rtl w:val="true"/>
        </w:rPr>
        <w:footnoteReference w:id="927"/>
      </w:r>
      <w:r>
        <w:rPr>
          <w:rFonts w:ascii="IRNazanin" w:hAnsi="IRNazanin" w:eastAsia="IRNazanin"/>
          <w:color w:val="111111"/>
          <w:sz w:val="28"/>
          <w:sz w:val="28"/>
          <w:szCs w:val="28"/>
          <w:rtl w:val="true"/>
          <w:lang w:bidi="fa-IR"/>
        </w:rPr>
        <w:t>فی الاشکال علی أخذ الداعی جزءا، بأن الارادة غیر قابلة لتعلق الأمر بها لکونها غیر اختیاریة، إلّا أن یکون قد ترکه إیکالا علی ذکره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فان الغرض من نقل کلامه قدّس سرّه هو الجواب عما وجهه علی الشیخ قدّس سرّه</w:t>
      </w:r>
      <w:r>
        <w:rPr>
          <w:rFonts w:eastAsia="IRNazanin" w:cs="IRNazanin"/>
          <w:color w:val="111111"/>
          <w:sz w:val="28"/>
          <w:szCs w:val="28"/>
          <w:rtl w:val="true"/>
          <w:lang w:bidi="fa-IR"/>
        </w:rPr>
        <w:t>.</w:t>
      </w:r>
    </w:p>
    <w:p>
      <w:pPr>
        <w:pStyle w:val="Heading5"/>
        <w:numPr>
          <w:ilvl w:val="4"/>
          <w:numId w:val="1"/>
        </w:numPr>
        <w:rPr/>
      </w:pPr>
      <w:bookmarkStart w:id="643" w:name="__RefHeading___Toc3493885_2314609296"/>
      <w:bookmarkStart w:id="644" w:name="_Toc235"/>
      <w:bookmarkEnd w:id="643"/>
      <w:r>
        <w:rPr>
          <w:rtl w:val="true"/>
        </w:rPr>
        <w:t>[</w:t>
      </w:r>
      <w:r>
        <w:rPr>
          <w:rtl w:val="true"/>
        </w:rPr>
        <w:t>توجیه متمم الجعل و دفع الاشکالات عنه</w:t>
      </w:r>
      <w:bookmarkEnd w:id="644"/>
    </w:p>
    <w:p>
      <w:pPr>
        <w:pStyle w:val="BookText"/>
        <w:rPr/>
      </w:pPr>
      <w:r>
        <w:rPr>
          <w:rFonts w:ascii="IRNazanin" w:hAnsi="IRNazanin" w:eastAsia="IRNazanin"/>
          <w:color w:val="111111"/>
          <w:sz w:val="28"/>
          <w:sz w:val="28"/>
          <w:szCs w:val="28"/>
          <w:rtl w:val="true"/>
          <w:lang w:bidi="fa-IR"/>
        </w:rPr>
        <w:t>فنقول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إنکار تعدد الأمر لأنا لم نجد فی صریح الکتاب أو فی السنة فیما یتعلق بالعبادات سوی أمر واحد غیر متجه، فان للشیخ القائل بالتعدد</w:t>
      </w:r>
      <w:r>
        <w:rPr>
          <w:rStyle w:val="FootnoteAnchor"/>
          <w:rtl w:val="true"/>
        </w:rPr>
        <w:footnoteReference w:id="928"/>
      </w:r>
      <w:r>
        <w:rPr>
          <w:rFonts w:ascii="IRNazanin" w:hAnsi="IRNazanin" w:eastAsia="IRNazanin"/>
          <w:color w:val="111111"/>
          <w:sz w:val="28"/>
          <w:sz w:val="28"/>
          <w:szCs w:val="28"/>
          <w:rtl w:val="true"/>
          <w:lang w:bidi="fa-IR"/>
        </w:rPr>
        <w:t>أن یقول إنا نستکشف وجود الأمر الثانی مما ذکرناه من محالیة کون الداعی قیدا و من عدم حکم العقل و إلزامه به، لأن العقل غیر مشرّع مع فرض أنه معتبر فی الصحة إجماعا، فیکون هذا الإجماع إجماعا علی أن الاتیان بالعمل بالداعی المذکور واجب شرعا و هو الأمر الثانی الذی ندعیه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صاحب الکفایة قدّس سرّه یعترف بأن المصلحة متوقفة علی ذلک الداعی فیکون العقل حاکما بحسنه، و عن هذا الحکم العقلی</w:t>
      </w:r>
    </w:p>
    <w:p>
      <w:pPr>
        <w:pStyle w:val="BookText"/>
        <w:rPr/>
      </w:pPr>
      <w:r>
        <w:rPr>
          <w:rFonts w:ascii="IRNazanin" w:hAnsi="IRNazanin" w:eastAsia="IRNazanin"/>
          <w:color w:val="111111"/>
          <w:sz w:val="28"/>
          <w:sz w:val="28"/>
          <w:szCs w:val="28"/>
          <w:rtl w:val="true"/>
          <w:lang w:bidi="fa-IR"/>
        </w:rPr>
        <w:t>نستکشف الحکم الشرعی کما هو الشأن فی قاعدة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أن ما أفاده فی صدر المبحث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بمعنی قصد الامتثال و الاتیان بالواجب بداعی أمره، کان مما یعتبر فی الطاعة عقلا</w:t>
      </w:r>
      <w:r>
        <w:rPr>
          <w:rStyle w:val="FootnoteAnchor"/>
          <w:rtl w:val="true"/>
        </w:rPr>
        <w:footnoteReference w:id="929"/>
      </w:r>
      <w:r>
        <w:rPr>
          <w:rFonts w:ascii="IRNazanin" w:hAnsi="IRNazanin" w:eastAsia="IRNazanin"/>
          <w:color w:val="111111"/>
          <w:sz w:val="28"/>
          <w:sz w:val="28"/>
          <w:szCs w:val="28"/>
          <w:rtl w:val="true"/>
          <w:lang w:bidi="fa-IR"/>
        </w:rPr>
        <w:t xml:space="preserve">یتوجه علیه أن هذا الحکم العقلی إن کان عبارة عن حسن ذلک، لکون المصلحة قائمة به، و عن ذلک الحکم العقلی نستکشف الحکم الشرعی لقاعدة الملازمة فنعم الوفاق، و إن کان عبارة عن کون العقل حاکما و ملزما بوجوب الاتیان بالداعی المذکور علی نحو الحکم الشرعی، فذلک ممنوع أشد المنع کما أوضحه شیخنا قدّس سرّه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أنا لو سلّمنا أن للعقل هذه الحکومة فهو قدّس سرّه إنما یقول بها فیما لو کانت فی الشی‌ء مصلحة أدرکها العقل و لم یمکن للشارع أن یأمر به لجهة من الجهات المانعة من تصدی الشارع للالزام بذلک کما فیما نحن فیه إذا فرضنا عدم إمکان أخذه شرعا فی متعلق الأمر الأوّل و عدم إمکان الأمر به مستقلا، أما مع فرض إمکان الامر به ثانیا أمرا مستقلا شرعیا فالظاهر أنه لا وجه فی ذلک للقول بأن العقل حاکم به فلا حاجة إلی الأمر الثانی الشرعی، و هل ذلک إلّا عبارة أخری عن القول بانعزال الشارع و الاکتفاء بما یحکم به العقل و سدّ باب الملازمة بل سدّ باب التشریع إلّا فیما لا یدرک العقل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تلخص هو أن ما أفاده فی الکفایة لا یتوجه علی ما أفاده الشیخ قدّس سرّه من تعدد الأمر، و لکن هل یکون هذا التعدد ممکنا أو لا؟</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الأوّل، فلأن متعلقه هو ذات</w:t>
      </w:r>
    </w:p>
    <w:p>
      <w:pPr>
        <w:pStyle w:val="BookText"/>
        <w:rPr/>
      </w:pPr>
      <w:r>
        <w:rPr>
          <w:rFonts w:ascii="IRNazanin" w:hAnsi="IRNazanin" w:eastAsia="IRNazanin"/>
          <w:color w:val="111111"/>
          <w:sz w:val="28"/>
          <w:sz w:val="28"/>
          <w:szCs w:val="28"/>
          <w:rtl w:val="true"/>
          <w:lang w:bidi="fa-IR"/>
        </w:rPr>
        <w:t>الفعل و لا ریب فی خلوّه بذاته عن المصلحة، فلا یکون قابلا لتعلق الأمر به، و لا یکون الأمر به إلّا صوریا لمجرد فتح الطریق للأمر الثانی، و مع فرض کون الأمر الأوّل صوریا لا یکون قابلا للتقرب فکیف یأمر ثانیا بأن یؤتی بمتعلقه بداعی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الأمر الثانی فلأن متعلقه من مقولة الارادة و هی غیر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القائل بأن اعتبار الداعی و التقرب إنما هو بالحکم العقلی لا بالحکم الشرعی مثل صاحب الکفایة قدّس سرّه یتوجه علیه الاشکالان المذکوران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متعلق الأمر عنده هو ذات الفعل أیضا مع خلوّه من المصلحة، فکیف یأمر العقل بلزوم إطاعته و الاتیان بمتعلقه بداعیه، فلا یکون الأمر عنده إلّا صوریا کما هو عند شیخنا قدّس سرّه، بل إن الصوریة عنده أشکل مما عند شیخنا، لأنها عند شیخنا متدارکة بالأمر الثانی بخلافه علی مسلک صاحب الکفایة إذ لا یتدارکها عنده إلّا حکم العقل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الثانی فلأنا إذا فرضنا أن الداعی غیر اختیاری، فکما لا یکون صالحا للالزام الشرعی فکذلک لا یکون صالحا أیضا للالزام العقلی، بل إن هذا الاشکال علی الأمر الثانی وارد علی جمیع الأوامر حتی الأوامر التوصلیة، إذ لا ریب فی توقف متعلقاتها علی الارادة، فإذا قلنا إن الارادة غیر اختیاریة بطلت جمیع تلک الأوامر لتوقف متعلقاتها علی ما هو خارج عن الاختیار، بل لازم ذلک سلب الاختیار عن کل فعل و إن لم یکن مأمورا به، و لیست هذه الشبهة إلّا عین ما تقدم </w:t>
      </w:r>
      <w:r>
        <w:rPr>
          <w:rStyle w:val="FootnoteAnchor"/>
          <w:rtl w:val="true"/>
        </w:rPr>
        <w:footnoteReference w:id="931"/>
      </w:r>
      <w:r>
        <w:rPr>
          <w:rFonts w:ascii="Amiri" w:hAnsi="Amiri" w:eastAsia="Amiri" w:cs="Amiri"/>
          <w:color w:val="111111"/>
          <w:sz w:val="28"/>
          <w:sz w:val="28"/>
          <w:szCs w:val="28"/>
          <w:rtl w:val="true"/>
          <w:lang w:bidi="ar-SA"/>
        </w:rPr>
        <w:t>من شبهة الجبر</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لا بدّ لنا من التصدی لرفع هذین الاشکالین، فنقول بعونه</w:t>
      </w:r>
    </w:p>
    <w:p>
      <w:pPr>
        <w:pStyle w:val="BookText"/>
        <w:rPr/>
      </w:pPr>
      <w:r>
        <w:rPr>
          <w:rFonts w:ascii="IRNazanin" w:hAnsi="IRNazanin" w:eastAsia="IRNazanin"/>
          <w:color w:val="111111"/>
          <w:sz w:val="28"/>
          <w:sz w:val="28"/>
          <w:szCs w:val="28"/>
          <w:rtl w:val="true"/>
          <w:lang w:bidi="fa-IR"/>
        </w:rPr>
        <w:t>تعالی أما الاشکال الأوّل فتوضیح الجواب عنه یتوقف علی تمهید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الصلاة مثلا واقعة بداعی الأمر حاله حال کونها واقعة مع الساتر أو إلی القبلة و نحو ذلک مما هو قید فیها و شرط فی صحتها، غیر أن هذا الشرط و القید لا یمکن أخذه فی متعلق الأمر بها، لما تقدم من لزوم تقدم الشی‌ء علی نفسه فی مقام الجعل و الفعلیة و مقام الامتثال، و لا فرق فی هذه المحالیة بین القول بأن القیدیة و الشرطیة فی مثل الساتر و القبلة مجعولة ابتداء و یکون التکلیف منتزعا عنها، و القول بأن القیدیة المذکورة منتزعة من التکلیف الوارد علی الصلاة المقیدة بالساتر، لتوجه الاشکال المذکور فی داعی الأمر علی کل من هذین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الثانی فواضح لما عرفت من عدم إمکان أخذ الداعی فی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الأوّل فلأن المجعول ابتداء و إن کان هو الشرطیة أو القیدیة بأن یجعل الشارع داعی الأمر قیدا و شرطا فی الصلاة، إلّا أنه بعد جعل تلک القیدیة لا بدّ له من إیراد الأمر علی الصلاة المقیدة بذلک القید، و حینئذ یعود المحذور المذکور</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المختار من کون القیدیة منتزعة من التکلیف، لیس المراد به التکلیف الغیری الوارد علی القید، بل المراد به التکلیف النفسی الوارد علی الفعل المقید بذلک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ورود ذلک التکلیف النفسی علی الفعل المقید بذلک القید یکون ذلک التکلیف النفسی علة لترشح تکلیف غیری وارد علی القید، فلو قال صلّ ثم قال تستّر للصلاة أو استقبل القبلة فیها، کان ذلک الأمر الغیری الوارد علی التستر أو الاستقبال معلولا لورود الأمر النفسی علی الصلاة المقیدة بالتستر أو الاستقبال، و من هذه الجهة یکون هذا الأمر الغیری کاشفا کشفا إنیّا عن أن</w:t>
      </w:r>
    </w:p>
    <w:p>
      <w:pPr>
        <w:pStyle w:val="BookText"/>
        <w:rPr/>
      </w:pPr>
      <w:r>
        <w:rPr>
          <w:rFonts w:ascii="IRNazanin" w:hAnsi="IRNazanin" w:eastAsia="IRNazanin"/>
          <w:color w:val="111111"/>
          <w:sz w:val="28"/>
          <w:sz w:val="28"/>
          <w:szCs w:val="28"/>
          <w:rtl w:val="true"/>
          <w:lang w:bidi="fa-IR"/>
        </w:rPr>
        <w:t>متعلق ذلک الأمر الأوّل الذی تعلق بالصلاة هو الصلاة المقیدة بالتستر أو الاستقبال، و عن کون متعلق الأمر مقیدا تنتزع الشرطیة و القیدیة للتستر أو الاستقبال، فلیس ذلک الأمر الغیری المتعلق بالتستر أو الاستقبال إخبارا عن کون الصلاة المأمور بها الأمر الأوّل مقیدة بالتستر أو الاستقبال، بل هو إنشائی صرف، لکنه حیث کان معلولا للأمر النفسی المتعلق بالصلاة المقیدة بذلک القید یکون کاشفا عن أن تلک الصلاة التی سبق الأمر بها کانت مقیدة بالقید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 الاطلاق و التقیید تارة یکونان لحاظیین و أخری یکونان ذاتیین، و مورد الأوّل ما یکون من الانقسامات اللاحقة للفعل مع قطع النظر عن الأمر به کما فی مثل التستر و الاستقبال و نحوهما، و مورد الثانی الانقسامات اللاحقة بعد الحکم کالعلم بالحکم أو الجهل به و نحو ذلک مما یکون طارئا بعد الحکم و ناشئا عنه، و من ذلک الاتیان بالفعل بداعی أمره المتعلق به الذی أفاد فیه شیخنا قدّس سرّه </w:t>
      </w:r>
      <w:r>
        <w:rPr>
          <w:rStyle w:val="FootnoteAnchor"/>
          <w:rtl w:val="true"/>
        </w:rPr>
        <w:footnoteReference w:id="932"/>
      </w:r>
      <w:r>
        <w:rPr>
          <w:rFonts w:ascii="IRNazanin" w:hAnsi="IRNazanin" w:eastAsia="IRNazanin"/>
          <w:color w:val="111111"/>
          <w:sz w:val="28"/>
          <w:sz w:val="28"/>
          <w:szCs w:val="28"/>
          <w:rtl w:val="true"/>
          <w:lang w:bidi="fa-IR"/>
        </w:rPr>
        <w:t xml:space="preserve">أن الاطلاق و التقیید اللحاظیین فیه غیر معقول، و أنه إنما یمکن ذلک فیه علی نحو أخذ نتیجة الاطلاق أو نتیجة التقیید من متمم الجعل بالتفصیل الذی أفاده قدّس سرّه </w:t>
      </w:r>
      <w:r>
        <w:rPr>
          <w:rStyle w:val="FootnoteAnchor"/>
          <w:rtl w:val="true"/>
        </w:rPr>
        <w:footnoteReference w:id="933"/>
      </w:r>
      <w:r>
        <w:rPr>
          <w:rFonts w:ascii="IRNazanin" w:hAnsi="IRNazanin" w:eastAsia="IRNazanin"/>
          <w:color w:val="111111"/>
          <w:sz w:val="28"/>
          <w:sz w:val="28"/>
          <w:szCs w:val="28"/>
          <w:rtl w:val="true"/>
          <w:lang w:bidi="fa-IR"/>
        </w:rPr>
        <w:t>فی بیان کیفیة متمم الجعل فی أمثال هذه المقامات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تطبیق التقیید الذاتی فیما نحن فیه بمتمم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ذات الصلاة تکون فی الخارج علی قسمین، قسم یکون بداعی الأمر و قسم یکون بداع آخر، و مورد الأمر الأوّل الوارد علی ذات الصلاة هو القسم الأوّل من أفرادها دون القسم الثانی، لکن لمّا لم یمکن فی مقام الأمر الأوّل</w:t>
      </w:r>
    </w:p>
    <w:p>
      <w:pPr>
        <w:pStyle w:val="BookText"/>
        <w:rPr/>
      </w:pPr>
      <w:r>
        <w:rPr>
          <w:rFonts w:ascii="IRNazanin" w:hAnsi="IRNazanin" w:eastAsia="IRNazanin"/>
          <w:color w:val="111111"/>
          <w:sz w:val="28"/>
          <w:sz w:val="28"/>
          <w:szCs w:val="28"/>
          <w:rtl w:val="true"/>
          <w:lang w:bidi="fa-IR"/>
        </w:rPr>
        <w:t xml:space="preserve">تقیید الصلاة بقید کونها بداعی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 xml:space="preserve">احتاج الشارع إلی جعل ثان یتکفل الأمر بذلک القید علی نحو الأمر الغیری، لا أنه عین الأمر الغیری حقیقة، بل هو أمر نفسی لکنه نفسی بالغیر علی ما شرحه قدّس سرّه </w:t>
      </w:r>
      <w:r>
        <w:rPr>
          <w:rStyle w:val="FootnoteAnchor"/>
          <w:rtl w:val="true"/>
        </w:rPr>
        <w:footnoteReference w:id="935"/>
      </w:r>
      <w:r>
        <w:rPr>
          <w:rFonts w:ascii="IRNazanin" w:hAnsi="IRNazanin" w:eastAsia="IRNazanin"/>
          <w:color w:val="111111"/>
          <w:sz w:val="28"/>
          <w:sz w:val="28"/>
          <w:szCs w:val="28"/>
          <w:rtl w:val="true"/>
          <w:lang w:bidi="fa-IR"/>
        </w:rPr>
        <w:t xml:space="preserve">فی وجوب الغسل لیلا لمن وجب علیه صوم الغد، و یکون حال هذا الأمر الثانی حال الأمر الثانی الذی تقدم </w:t>
      </w:r>
      <w:r>
        <w:rPr>
          <w:rStyle w:val="FootnoteAnchor"/>
          <w:rtl w:val="true"/>
        </w:rPr>
        <w:footnoteReference w:id="936"/>
      </w:r>
      <w:r>
        <w:rPr>
          <w:rFonts w:ascii="IRNazanin" w:hAnsi="IRNazanin" w:eastAsia="IRNazanin"/>
          <w:color w:val="111111"/>
          <w:sz w:val="28"/>
          <w:sz w:val="28"/>
          <w:szCs w:val="28"/>
          <w:rtl w:val="true"/>
          <w:lang w:bidi="fa-IR"/>
        </w:rPr>
        <w:t>فی مثل قوله تستر للصلاة بعد قوله صلّ، غیر أن ذلک الأمر أعنی قوله تستر للصلاة، یکون کاشفا عن أن متعلق الأمر الأوّل أعنی قوله صلّ کان مقیدا تقییدا لحاظیا بالتستر، بخلاف الأمر الثانی فیما نحن فیه، فانه لا یکون کاشفا عن تقید متعلق الأمر الأوّل أعنی قوله صلّ تقییدا لحاظیا بداعی الأمر، بل أقصی ما فیه أنه یکشف عن أن الأمر الأوّل وارد علی الذوات من القسم الأوّل من الصلاة أعنی ما کان منها فی الخارج بداعی الأمر، من دون أن یکون الآمر قد لاحظ بأمره الأوّل تقید الصلاة بالداعی المذکور، بل إنه أورد الأمر علی تلک الذوات ملاحظا نفسها بذاتها و إن کانت هی فی واقعها واجدة لذلک القید، و هذا هو المراد بالتقیید الذاتی الناشئ عن متمم الجعل، و حینئذ یکون متعلق الأوّل واجدا للمصلحة فیکون الأمر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الذات التی تکون بداعی الأمر تکون بمنزلة المعلول للأمر فکیف یمکن للآمر لحاظها فی مقام تعلق الأمر بها، فانه فی مقام تعلق الأمر لا بدّ أن یکون لحاظ ذات المتعلق سابقا علی الأمر</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الملحوظ فی مقام الأمر هو الذات التی تکون بداعی</w:t>
      </w:r>
    </w:p>
    <w:p>
      <w:pPr>
        <w:pStyle w:val="BookText"/>
        <w:rPr/>
      </w:pPr>
      <w:r>
        <w:rPr>
          <w:rFonts w:ascii="IRNazanin" w:hAnsi="IRNazanin" w:eastAsia="IRNazanin"/>
          <w:color w:val="111111"/>
          <w:sz w:val="28"/>
          <w:sz w:val="28"/>
          <w:szCs w:val="28"/>
          <w:rtl w:val="true"/>
          <w:lang w:bidi="fa-IR"/>
        </w:rPr>
        <w:t>الأمر عند تعلق الأمر بها، غایته أن هذا القید لم یکن ملحوظا فی مقام تعلق الأمر، بل لم یکن الملحوظ إلّا نفس تلک الذات مجردة عن لحاظ ذلک القید و إن کانت واجدة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للآمر أن ینظر إلی نفس الذات الخاصة غیر ناظر إلی خصوصیتها فیطلبها، غایته أنه فی مقام الاثبات و إعلام المکلف بأن أمره وارد فی الواقع علی تلک الذات یأمر أمرا ثانیا بالاتیان بها بداعی الأمر، فتأمل لئلا تتوهم أن ذلک من باب الاهمال واقعا الذی هو محال، بل لا إهمال فی الواقع، و أن الأمر إنما ورد واقعا و فی اللوح المحفوظ علی تلک الذوات الخاصة مع خروج نفس القید عن حیّز الطلب لحاظا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الاشکال فی ذلک إلّا عین الاشکال فی صورة کون الحکم مختصا بالعالمین به أو أنه شامل لکل من العالم به و الجاهل</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مع هذا کله فان فی النفس شیئا من ذلک، فان تلک الذات الصادرة عن الأمر لا یراها الآمر إلّا متأخرة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 xml:space="preserve">و إن جرّدها فی مقام أمره عن قیدها المذکور أعنی کونها بداعی الأمر، مع أن إیراد أمره علی تلک الذات الخارجیة یخرج القضیة عن کونها حقیقیة إلی کونها خارجیة، و أما باب العلم و الجهل بالحکم فقد تعرضنا له فی مبحث القطع </w:t>
      </w:r>
      <w:r>
        <w:rPr>
          <w:rStyle w:val="FootnoteAnchor"/>
          <w:rtl w:val="true"/>
        </w:rPr>
        <w:footnoteReference w:id="938"/>
      </w:r>
      <w:r>
        <w:rPr>
          <w:rFonts w:ascii="IRNazanin" w:hAnsi="IRNazanin" w:eastAsia="IRNazanin"/>
          <w:color w:val="111111"/>
          <w:sz w:val="28"/>
          <w:sz w:val="28"/>
          <w:szCs w:val="28"/>
          <w:rtl w:val="true"/>
          <w:lang w:bidi="fa-IR"/>
        </w:rPr>
        <w:t>و أوضحنا فیه أن أقصی ما یمکن فیه هو الاطلاق الذاتی دون التقیید الذاتی فراجع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إن شاء اللّه تعالی </w:t>
      </w:r>
      <w:r>
        <w:rPr>
          <w:rStyle w:val="FootnoteAnchor"/>
          <w:rtl w:val="true"/>
        </w:rPr>
        <w:footnoteReference w:id="939"/>
      </w:r>
      <w:r>
        <w:rPr>
          <w:rFonts w:ascii="IRNazanin" w:hAnsi="IRNazanin" w:eastAsia="IRNazanin"/>
          <w:color w:val="111111"/>
          <w:sz w:val="28"/>
          <w:sz w:val="28"/>
          <w:szCs w:val="28"/>
          <w:rtl w:val="true"/>
          <w:lang w:bidi="fa-IR"/>
        </w:rPr>
        <w:t>توضیح الاشکال علی هذه الطریقة أعنی طریقة أخذ الذات متعلقا للأمر و إن لم یکن القید داخلا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الاشکال الثانی المتوجه علی التکلیف الثانی من ناحیة عدم القدرة علی متعلقه الذی هو من سنخ الارادة، فقد عرفت </w:t>
      </w:r>
      <w:r>
        <w:rPr>
          <w:rStyle w:val="FootnoteAnchor"/>
          <w:rtl w:val="true"/>
        </w:rPr>
        <w:footnoteReference w:id="940"/>
      </w:r>
      <w:r>
        <w:rPr>
          <w:rFonts w:ascii="IRNazanin" w:hAnsi="IRNazanin" w:eastAsia="IRNazanin"/>
          <w:color w:val="111111"/>
          <w:sz w:val="28"/>
          <w:sz w:val="28"/>
          <w:szCs w:val="28"/>
          <w:rtl w:val="true"/>
          <w:lang w:bidi="fa-IR"/>
        </w:rPr>
        <w:t>انتقاضه بما ینتهی إلی الجبر بل هو إحدی شبهات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مع ذلک فقد تعرض شیخنا قدّس سرّه للجواب عنه حسبما حررته عنه، بامکان الجواب عنه بأنه داخل تحت الاختیار و لو بالریاضة النفسیة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نقل ما حررته عنه قدّس سرّه فی هذا المقام برمّته و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یقال علی تصویر التعبدیة بما أفاده الشیخ قدّس سرّه </w:t>
      </w:r>
      <w:r>
        <w:rPr>
          <w:rStyle w:val="FootnoteAnchor"/>
          <w:rtl w:val="true"/>
        </w:rPr>
        <w:footnoteReference w:id="941"/>
      </w:r>
      <w:r>
        <w:rPr>
          <w:rFonts w:ascii="IRNazanin" w:hAnsi="IRNazanin" w:eastAsia="IRNazanin"/>
          <w:color w:val="111111"/>
          <w:sz w:val="28"/>
          <w:sz w:val="28"/>
          <w:szCs w:val="28"/>
          <w:rtl w:val="true"/>
          <w:lang w:bidi="fa-IR"/>
        </w:rPr>
        <w:t xml:space="preserve">من الجعلین، بأن الأمر الأوّل إن سقط بمجرد الاتیان بمتعلقه بقی الأمر الثانی لغوا لا موضوع له، و إن لم یسقط بذلک کان عدم سقوطه من جهة عدم حصول الغرض و أن العقل حاکم بأنه ما لم یحصل الغرض لم یسقط الأمر، و إذا کان العقل حاکما بذلک فلا حاجة إلی الجعل الثانی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الأمر الأوّل لا یسقط بمجرد الاتیان بمتعلقه، و لکن لا من جهة حکم العقل بأنه یلزم تحصیل الغرض، بل من جهة الأمر الثانی الذی یکون بضمیمة الأمر الأوّل منتجا نتیجة التقیید، فان ذلک الأمر الثانی هو الملزم للمکلف بأن لا یکتفی فی امتثال الأمر الأوّل بالاتیان بمتعلقه بل لا بدّ من الاتیان به بداعی أمره أو بداع قربی</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بقی إشکال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تقدم منا أن الداعی لا یعقل أن یکون متعلقا لارادة المکلف، لأنه عبارة عن المحرّک للارادة نحو المراد،</w:t>
      </w:r>
    </w:p>
    <w:p>
      <w:pPr>
        <w:pStyle w:val="BookText"/>
        <w:rPr/>
      </w:pPr>
      <w:r>
        <w:rPr>
          <w:rFonts w:ascii="IRNazanin" w:hAnsi="IRNazanin" w:eastAsia="IRNazanin"/>
          <w:color w:val="111111"/>
          <w:sz w:val="28"/>
          <w:sz w:val="28"/>
          <w:szCs w:val="28"/>
          <w:rtl w:val="true"/>
          <w:lang w:bidi="fa-IR"/>
        </w:rPr>
        <w:t>فهو سابق فی الرتبة علی الارادة فکیف یعقل أن یکون متعلقا لها، و إذا لم یکن متعلقا لارادة المکلف لم یصح أن یتعلق به الأمر، لأن الأمر إنما یتعلق بما تتعلق به إرادة المأمور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الأوّل فیما نحن فیه تعلق حسب الفرض بنفس الفعل، و الأمر الثانی تعلق بأن یکون ذلک الاتیان بداعی التقرب، فیکون الأمر الثانی متعلقا بداعی التقرب، و قد عرفت أنه غیر داخل تحت الارادة فکیف صح 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داخل تحت الاختیار و الارادة و لو بواسطة الریاضة النفسیة بتصور ما یترتب علی وجوده من الطاعة و الانقیاد و علی ترکه من العصیان، و ما ذکرناه من أنه غیر داخل تحت الارادة المراد منه أنه غیر داخل تحت الارادة التی یکون هو الداعی إلیها لکونها معلولة له، لا أنه لا یکون داخلا تحت الارادة بقول مطلق بمعنی أنه لیس من الامور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بناء علی ذلک یکون فی الامتثال فی العبادات إرادتان للعبد، إحداهما متعلقة بنفس الفعل و الاخری متعلقة بالداعی، کما أن هناک إرادتین تشریعیتین إحداهما متعلقة بنفس الفعل و الاخری متعلقة بأن یکون الأمر المذکور داعیا للاتیان به، و من الواضح أنه لیس فی ناحیة العبد إلّا إرادة واحدة متعلقة بنفس الفعل غایته أنها کانت بداعی الأمر</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یجاب عن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کان المراد من هذا الاشکال هو کون الداعی علی إرادة الفعل غیر مقدور للعبد، کان الجواب عنه بمنع کونه غیر اختیاری، بل هو اختیاری و لو بواسطة ما أفاده قدّس سرّه من الریاضة النفسیة، و لو التزمنا بخروج ذلک عن الاختیار لا نسدّ باب الأوامر العبادیة بالمرة حتی لو قلنا إن لزوم الاتیان بداعی الأمر کان بحکم العقل، إذ</w:t>
      </w:r>
    </w:p>
    <w:p>
      <w:pPr>
        <w:pStyle w:val="BookText"/>
        <w:rPr/>
      </w:pPr>
      <w:r>
        <w:rPr>
          <w:rFonts w:ascii="IRNazanin" w:hAnsi="IRNazanin" w:eastAsia="IRNazanin"/>
          <w:color w:val="111111"/>
          <w:sz w:val="28"/>
          <w:sz w:val="28"/>
          <w:szCs w:val="28"/>
          <w:rtl w:val="true"/>
          <w:lang w:bidi="fa-IR"/>
        </w:rPr>
        <w:t>العقل لا یکلف بغیر المقدور، بل ینسدّ باب التکلیف، إذ ما من فعل کلّفنا به إلّا و هو صادر عنّا بداع من الدواعی، لخروج أفعال الغفلة عن حیّز التکالیف بل ینسدّ باب الاختیار بالمرّة، و لیست هذه الشبهة إلّا إحدی شبه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الاشکال المزبور أنه لا بدّ فی الأمر من کونه داعیا علی إرادة متعلقه، و المفروض أن الأمر الثانی لیس کذلک، کان الجواب عنه أن ذلک إنما هو فی الأوامر المتعلقة بنفس الفعل، أما ما یتعلق بنفس الارادة أو بأحد دواعیها فلا یکون الأمر فی مثل ذلک داعیا إلی إرادة العبد نحو متعلقه، فتأمل فان صحة مثل هذا الأمر التشریعی المولوی فی غایة الاشکال، فان من شأن الأمر المولوی التشریعی هو أن یکون من دواعی إرادة المکلف علی متعلقه فکیف یعقل أن یکون متعلقا بنفس إرادة العبد أو أحد دواعیها، إذ لا یعقل فی مثل هذا الأمر أن یکون داعیا لارادة العبد نحو متعلقه، إذ المفروض أن متعلقه هو الارادة أو داعی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الارادة أو الداعی قابلا لتعلق الارادة، و هو ما تقدم من أن لازم ذلک أن یکون للعبد فی باب العبادات إرادتان، و لکن هذا کله علی تقدیر کون امتثال الأمر داعیا علی الارادة الذی عرفت أنه من قبیل انفعال النفس أو أنه من کیفیاتها</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تقدیر کونه قیدا قصدیا، فالظاهر أنه لا مانع من کونه مطلوبا للشارع کما أوضحناه فیما تقدم من تحویل الامتثال من مرحلة الداعویة إلی مرحلة القصد، فیکون المأمور به هو الفعل الواقع بقصد الامتثال، و حینئذ لم یبق إلّا دعوی کون القصد عبارة عن الارادة و هی أیضا غیر اختیاریة، و قد عرفت المنع من ذلک، و أن هذه الارادة لیست هی المتعلقة للفعل التی</w:t>
      </w:r>
    </w:p>
    <w:p>
      <w:pPr>
        <w:pStyle w:val="BookText"/>
        <w:rPr/>
      </w:pPr>
      <w:r>
        <w:rPr>
          <w:rFonts w:ascii="IRNazanin" w:hAnsi="IRNazanin" w:eastAsia="IRNazanin"/>
          <w:color w:val="111111"/>
          <w:sz w:val="28"/>
          <w:sz w:val="28"/>
          <w:szCs w:val="28"/>
          <w:rtl w:val="true"/>
          <w:lang w:bidi="fa-IR"/>
        </w:rPr>
        <w:t xml:space="preserve">ینوجد عنها الفعل، بل هی من مقولة القصد نظیر قصد المعنی من اللفظ فلا تکون إلّا من أفعال الجوانح کما مرّ تفصیل الکلام فی ذلک فراجع </w:t>
      </w:r>
      <w:r>
        <w:rPr>
          <w:rStyle w:val="FootnoteAnchor"/>
          <w:rtl w:val="true"/>
        </w:rPr>
        <w:footnoteReference w:id="943"/>
      </w:r>
      <w:r>
        <w:rPr>
          <w:rFonts w:ascii="IRNazanin" w:hAnsi="IRNazanin" w:eastAsia="IRNazanin"/>
          <w:color w:val="111111"/>
          <w:sz w:val="28"/>
          <w:sz w:val="28"/>
          <w:szCs w:val="28"/>
          <w:rtl w:val="true"/>
          <w:lang w:bidi="fa-IR"/>
        </w:rPr>
        <w:t>، هذا کله فی دفع الاشکال الثانی</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الاشکال الأوّل، فقد عرفت أنه لا یندفع علی طریقة شیخنا قدّس سرّه إلّا بالالتزام بأن متعلق الأمر الأوّل هو الذات الخاصة بخصوصیة کونها بداعی الأمر، من دون أن تکون الخصوصیة المذکورة داخلة تحت الأمر، و ذلک هو محصّل التوأمیة التی شرحها الاستاذ العراقی </w:t>
      </w:r>
      <w:r>
        <w:rPr>
          <w:rStyle w:val="FootnoteAnchor"/>
          <w:rtl w:val="true"/>
        </w:rPr>
        <w:footnoteReference w:id="944"/>
      </w:r>
      <w:r>
        <w:rPr>
          <w:rFonts w:ascii="IRNazanin" w:hAnsi="IRNazanin" w:eastAsia="IRNazanin"/>
          <w:color w:val="111111"/>
          <w:sz w:val="28"/>
          <w:sz w:val="28"/>
          <w:szCs w:val="28"/>
          <w:rtl w:val="true"/>
          <w:lang w:bidi="fa-IR"/>
        </w:rPr>
        <w:t>، و کذلک مسلک الکفایة</w:t>
      </w:r>
      <w:r>
        <w:rPr>
          <w:rStyle w:val="FootnoteAnchor"/>
          <w:rtl w:val="true"/>
        </w:rPr>
        <w:footnoteReference w:id="945"/>
      </w:r>
      <w:r>
        <w:rPr>
          <w:rFonts w:ascii="IRNazanin" w:hAnsi="IRNazanin" w:eastAsia="IRNazanin"/>
          <w:color w:val="111111"/>
          <w:sz w:val="28"/>
          <w:sz w:val="28"/>
          <w:szCs w:val="28"/>
          <w:rtl w:val="true"/>
          <w:lang w:bidi="fa-IR"/>
        </w:rPr>
        <w:t xml:space="preserve">فان الأمر المتعلق بالصلاة مثلا إن کانت الصلاة فیه مطلقة کان محصل ذلک هو حکومة العقل بالتقیید، فیکون العقل مشرّعا للتقیید و مصلحا لذلک الاطلاق فی جعل الشارع، و من الواضح أن هذا لا یریده صاحب الکفایة، فلا بدّ أن یلتزم بأن الصلاة التی وقعت متعلقة للأمر الشرعی هی الذات الخاصة من غیر أن تدخل الخصوصیة فی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 xml:space="preserve">، و حینئذ یکون ذلک عین التوأمیة، و بناء علی ذلک لا نحتاج إلی متمم الجعل الذی أفاده شیخنا قدّس سرّه </w:t>
      </w:r>
      <w:r>
        <w:rPr>
          <w:rStyle w:val="FootnoteAnchor"/>
          <w:rtl w:val="true"/>
        </w:rPr>
        <w:footnoteReference w:id="947"/>
      </w:r>
      <w:r>
        <w:rPr>
          <w:rFonts w:ascii="IRNazanin" w:hAnsi="IRNazanin" w:eastAsia="IRNazanin"/>
          <w:color w:val="111111"/>
          <w:sz w:val="28"/>
          <w:sz w:val="28"/>
          <w:szCs w:val="28"/>
          <w:rtl w:val="true"/>
          <w:lang w:bidi="fa-IR"/>
        </w:rPr>
        <w:t>و لا إلی حکومة العقل بالتقیید الذی أفاده صاحب الکفایة، بل لا یکون المأمور به إلّا نفس تلک الذات، و لا یحکم العقل إلّا بلزوم الاتیان بتلک الذات الخاصة کسائر أحکامه بلزوم الاطاعة بالاتیان بما تعلق به الأمر، و لا نحتاج إلی تشریع من ناحیة العقل، بل و لا إلی أمر شرعی ثان أعنی ما سمّاه شیخنا قدّس سرّه بمتمم الجعل، بل لا یحتاج إلّا إلی بیان یکون کالقرینة</w:t>
      </w:r>
    </w:p>
    <w:p>
      <w:pPr>
        <w:pStyle w:val="BookText"/>
        <w:rPr/>
      </w:pPr>
      <w:r>
        <w:rPr>
          <w:rFonts w:ascii="IRNazanin" w:hAnsi="IRNazanin" w:eastAsia="IRNazanin"/>
          <w:color w:val="111111"/>
          <w:sz w:val="28"/>
          <w:sz w:val="28"/>
          <w:szCs w:val="28"/>
          <w:rtl w:val="true"/>
          <w:lang w:bidi="fa-IR"/>
        </w:rPr>
        <w:t xml:space="preserve">المنفصلة متکفل بأن المأمور به هو نفس تلک الذات الخاصة کما أفاده الشیخ قدّس سرّه </w:t>
      </w:r>
      <w:r>
        <w:rPr>
          <w:rStyle w:val="FootnoteAnchor"/>
          <w:rtl w:val="true"/>
        </w:rPr>
        <w:footnoteReference w:id="948"/>
      </w:r>
      <w:r>
        <w:rPr>
          <w:rFonts w:ascii="IRNazanin" w:hAnsi="IRNazanin" w:eastAsia="IRNazanin"/>
          <w:color w:val="111111"/>
          <w:sz w:val="28"/>
          <w:sz w:val="28"/>
          <w:szCs w:val="28"/>
          <w:rtl w:val="true"/>
          <w:lang w:bidi="fa-IR"/>
        </w:rPr>
        <w:t>من تسمیته بیانا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النفس شیئا من حدیث التوأمیة، لأن مرجعه إلی أن الشارع لاحظ نفس تلک الذات من غیر إدخال الخصوصیة فیها، فان رجع إلی کون القید خارجا و کون التقیید داخلا عاد المحذور، و إن رجع إلی إخراج کل من القید و التقیید عن حیّز الأمر ففی تعقله تأمل و إشکال، بل لا یخلو من إشکال، فان الذات التی هی توأم مع داعی الأمر تکون معلولة للأمر فتکون متأخرة عن نفس الأمر، فلا یعقل تعلق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ینحصر الحل بالطریقة التی شرحناها فیما أفاده الکلباسی و صاحب العناوین قدّس سرّهما من کون التقید قهریا لا قصدیا لحاظیا علی ما مرّ بیانه مفصلا</w:t>
      </w:r>
      <w:r>
        <w:rPr>
          <w:rStyle w:val="FootnoteAnchor"/>
          <w:rtl w:val="true"/>
        </w:rPr>
        <w:footnoteReference w:id="949"/>
      </w:r>
      <w:r>
        <w:rPr>
          <w:rFonts w:ascii="IRNazanin" w:hAnsi="IRNazanin" w:eastAsia="IRNazanin"/>
          <w:color w:val="111111"/>
          <w:sz w:val="28"/>
          <w:sz w:val="28"/>
          <w:szCs w:val="28"/>
          <w:rtl w:val="true"/>
          <w:lang w:bidi="fa-IR"/>
        </w:rPr>
        <w:t>و أنه بمجرده لا تثبت العبادیة، و أن هذا التقید یکون حاله حال کون الفعل مقصودا فی قبال السهو و النسیان و حال اعتبار المباشرة، و قد عرفت الکلام فی إثباته و فی بیان مقتضی الأصل اللفظی و العملی عند الشک فی اعتباره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سیأتی </w:t>
      </w:r>
      <w:r>
        <w:rPr>
          <w:rStyle w:val="FootnoteAnchor"/>
          <w:rtl w:val="true"/>
        </w:rPr>
        <w:footnoteReference w:id="950"/>
      </w:r>
      <w:r>
        <w:rPr>
          <w:rFonts w:ascii="IRNazanin" w:hAnsi="IRNazanin" w:eastAsia="IRNazanin"/>
          <w:color w:val="111111"/>
          <w:sz w:val="28"/>
          <w:sz w:val="28"/>
          <w:szCs w:val="28"/>
          <w:rtl w:val="true"/>
          <w:lang w:bidi="fa-IR"/>
        </w:rPr>
        <w:t>الاشکال فی ذلک و أنه مغالطة لا واقعیة لها، فان ما یقع فی سلسلة الداعی و إن اختص به إلّا أن ذلک لا یوجب تقید متعلق الأمر</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 یبعد أن یکون مراد صاحب الاشارات </w:t>
      </w:r>
      <w:r>
        <w:rPr>
          <w:rStyle w:val="FootnoteAnchor"/>
          <w:rtl w:val="true"/>
        </w:rPr>
        <w:footnoteReference w:id="951"/>
      </w:r>
      <w:r>
        <w:rPr>
          <w:rFonts w:ascii="IRNazanin" w:hAnsi="IRNazanin" w:eastAsia="IRNazanin"/>
          <w:color w:val="111111"/>
          <w:sz w:val="28"/>
          <w:sz w:val="28"/>
          <w:szCs w:val="28"/>
          <w:rtl w:val="true"/>
          <w:lang w:bidi="fa-IR"/>
        </w:rPr>
        <w:t>مطلبا آخر غیر</w:t>
      </w:r>
    </w:p>
    <w:p>
      <w:pPr>
        <w:pStyle w:val="BookText"/>
        <w:rPr/>
      </w:pPr>
      <w:r>
        <w:rPr>
          <w:rFonts w:ascii="IRNazanin" w:hAnsi="IRNazanin" w:eastAsia="IRNazanin"/>
          <w:color w:val="111111"/>
          <w:sz w:val="28"/>
          <w:sz w:val="28"/>
          <w:szCs w:val="28"/>
          <w:rtl w:val="true"/>
          <w:lang w:bidi="fa-IR"/>
        </w:rPr>
        <w:t>التمسک بمقتضی کون الأمر داعیا، بل صریح کلامه هو التمسک بمقتضی حکم العقل بلزوم الاطاعة، و هی لا تحصل إلّا بالاتیان بداعی الأمر، و لو أتی به بداع آخر لم یکن مطیعا للأمر و لا ممتثلا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الموارد یکون ذلک الحاصل بلا داعی الأمر و لا بعنوان الاطاعة و الامتثال رافعا لموضوع التکلیف کما لو وصل الماء إلی الثوب فطهّره، و کما لو أدی الدین و وفّاه، أو قام بنفقة زوجته لا بداعی الأمر، فان ذلک و أمثاله یکون من باب ذهاب الموضوع المسقط للتکلیف لا من باب الإطاعة و الامتثال، فلا یلزمه الإعادة بل و لا یترتب علیه العقاب، فان إسقاط التکلیف باذهاب موضوعه لا یکون عصیانا لذلک التکلیف فلا یکون موجبا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متمم الجعل الذی یقول به شیخنا قدّس سرّه </w:t>
      </w:r>
      <w:r>
        <w:rPr>
          <w:rStyle w:val="FootnoteAnchor"/>
          <w:rtl w:val="true"/>
        </w:rPr>
        <w:footnoteReference w:id="952"/>
      </w:r>
      <w:r>
        <w:rPr>
          <w:rFonts w:ascii="IRNazanin" w:hAnsi="IRNazanin" w:eastAsia="IRNazanin"/>
          <w:color w:val="111111"/>
          <w:sz w:val="28"/>
          <w:sz w:val="28"/>
          <w:szCs w:val="28"/>
          <w:rtl w:val="true"/>
          <w:lang w:bidi="fa-IR"/>
        </w:rPr>
        <w:t>فی وجوب الاحتیاط کلیة، أو فی خصوص باب الدماء و الفروج، و فی وجوب الفحص عن القدرة، و فی وجوب الفحص فی الشبهات الحکمیة أو فی بعض الشبهات الموضوعیة، بل فی أصل وجوب التعلم بالنسبة إلی الأحکام الشرعیة، کل ذلک لا مانع منه عقلا بعد فرض قوة المصلحة الواقعیة علی وجه تؤثر فی مقام الجهل البسیط أو فی الجهل المرکب بالأحکام الشرعیة أو بعض الموضوعات، فان جعل أصل الحکم لا یحصّل تلک المصالح فی أمثال هذه المقامات إلّا بمعونة ذلک الجعل الثانی الذی یکون جعله سدا لباب اعتذار المکلف علی ما فصّله فی محله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وجوب الغسل لمن وجب علیه الصوم نهارا فقد تخلّصوا منه</w:t>
      </w:r>
    </w:p>
    <w:p>
      <w:pPr>
        <w:pStyle w:val="BookText"/>
        <w:rPr/>
      </w:pPr>
      <w:r>
        <w:rPr>
          <w:rFonts w:ascii="IRNazanin" w:hAnsi="IRNazanin" w:eastAsia="IRNazanin"/>
          <w:color w:val="111111"/>
          <w:sz w:val="28"/>
          <w:sz w:val="28"/>
          <w:szCs w:val="28"/>
          <w:rtl w:val="true"/>
          <w:lang w:bidi="fa-IR"/>
        </w:rPr>
        <w:t xml:space="preserve">بالتعلق بالواجب المعلّق، و حیث إن شیخنا قدّس سرّه یری محالیة الوجوب المعلّق </w:t>
      </w:r>
      <w:r>
        <w:rPr>
          <w:rStyle w:val="FootnoteAnchor"/>
          <w:rtl w:val="true"/>
        </w:rPr>
        <w:footnoteReference w:id="953"/>
      </w:r>
      <w:r>
        <w:rPr>
          <w:rFonts w:ascii="IRNazanin" w:hAnsi="IRNazanin" w:eastAsia="IRNazanin"/>
          <w:color w:val="111111"/>
          <w:sz w:val="28"/>
          <w:sz w:val="28"/>
          <w:szCs w:val="28"/>
          <w:rtl w:val="true"/>
          <w:lang w:bidi="fa-IR"/>
        </w:rPr>
        <w:t>فقد جعل وجوب الغسل من باب متمم الجعل، و یکون ضمّه إلی الجعل الأوّل منتجا لنتیجة التقیید</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من شرح ذلک فنقول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الذی أورده الشارع علی الصوم إن أورده علی الصوم المقید بالطهارة فذلک تضییع للواجب و لمصلحته، لأنه عند الفجر لو کان المکلف مجنبا نقول إنه لا یتمکن من الصوم مع الطهارة، و قبل الفجر لا وجوب للغسل لفرض عدم وجوب ذی المقدمة، و حینئذ ینفتح باب متمم الجعل، بأن یوجب الغسل فی اللیل لیتمکن من الاتیان بالصوم عن طهارة من أول الفجر، لکن ذلک لا یکون منتجا للتقیید، بل یکون هذا الوجوب حافظا للقدرة علی القید، فهو من باب وجوب تحصیل القدرة قبل الوقت لا من باب إنتاج التقیید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الشارع قد أورد أمره علی الصوم نفسه غیر مقید بالطهارة و لکنه أوجب علی المکلف أن یغتسل قبل الفجر، یکون الشارع قد استوفی مطلوبه الأصلی و مصلحته فی الصوم عن طهارة بذلک الجعل الثانی، لأن المکلف إذا امتثل الأمر بالغسل لیلا فصار علی طهارة ثم عند الفجر یمتثل الأمر بالصوم، و حینئذ یکون صومه مقارنا للطهارة، فقد حصل للشارع صوم عن طهارة، لکن لا بالتقیید و إدخال القید تحت قوله صم، بل بما هو نتیجة التقیید، لأن الذی یتوخاه الشارع من إدخال القید تحت الأمر المتعلق بالصوم هو الحصول علی صوم مقرون بالطهارة، و قد حصل له ذلک بواسطة الأمر الثانی المتعلق بالاغتسال لیلا، و حینئذ یکون هذا الأمر</w:t>
      </w:r>
    </w:p>
    <w:p>
      <w:pPr>
        <w:pStyle w:val="BookText"/>
        <w:rPr/>
      </w:pPr>
      <w:r>
        <w:rPr>
          <w:rFonts w:ascii="IRNazanin" w:hAnsi="IRNazanin" w:eastAsia="IRNazanin"/>
          <w:color w:val="111111"/>
          <w:sz w:val="28"/>
          <w:sz w:val="28"/>
          <w:szCs w:val="28"/>
          <w:rtl w:val="true"/>
          <w:lang w:bidi="fa-IR"/>
        </w:rPr>
        <w:t>المتعلق بالاغتسال متمما للجعل الأوّل، و یکون نتیجته نتیجة التقیید، لا أنه موجب للتقیید و یکون حاله حال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هذا الوجه الثانی یتجه إشکال الکفایة</w:t>
      </w:r>
      <w:r>
        <w:rPr>
          <w:rStyle w:val="FootnoteAnchor"/>
          <w:rtl w:val="true"/>
        </w:rPr>
        <w:footnoteReference w:id="955"/>
      </w:r>
      <w:r>
        <w:rPr>
          <w:rFonts w:ascii="IRNazanin" w:hAnsi="IRNazanin" w:eastAsia="IRNazanin"/>
          <w:color w:val="111111"/>
          <w:sz w:val="28"/>
          <w:sz w:val="28"/>
          <w:szCs w:val="28"/>
          <w:rtl w:val="true"/>
          <w:lang w:bidi="fa-IR"/>
        </w:rPr>
        <w:t>أو نظیره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المکلف عصی الأمر بالاغتسال لم یبق عنده إلّا الأمر بالصوم المفروض کونه غیر مقید بالطهارة، فیصوم بلا طهارة، و لا یکون عاصیا إلّا أمر الاغتسال، و هذا مما لا یمکن الالتزام به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الأوّل المتعلق بذات الصلاة إن کانت الصلاة فیه هی الصلاة الخاصة التی قلنا إنها عین التوأمیة مع القید، لم یحتج إلی جعل ثان، بل یکفی البیان المتأخر علی ذلک لیکون من قبیل القرینة المنفصلة، و إن کانت تلک الصلاة التی تعلق بها الأمر الأوّل مطلقة، بمعنی الاطلاق الذاتی لا اللحاظی الذی هو محال، ثم تممه بالجعل الثانی المتمم للجعل الأوّل، و یکون الجعل الثانی منتجا نتیجة التقیید فی متعلق الجعل الأوّل، لأن المکلف إذا امتثل کلا من الأمرین یحصل المولی علی صلاة مقارنة لداعی الأمر، من غیر أن یدخل هذا القید تحت أمره الأوّل، اتجه إشکال صاحب الکفایة من أنه لو عصی الأمر الثانی کفاه فی امتثال الأمر الأوّل الاتیان بذات الصلاة بلا داعی الأمر، و إذا کان المراد هو الأوّل أعنی کون متعلق الأمر الأوّل هو الذات الخاصة من الصلاة من دون دخول القید تحت الأمر، فقد عرفت أنه حینئذ لا یحتاج إلی الجعل الثانی، و إنما یحتاج إلی البیان المتأخر و القرینة المنفصلة، و قد عرفت </w:t>
      </w:r>
      <w:r>
        <w:rPr>
          <w:rStyle w:val="FootnoteAnchor"/>
          <w:rtl w:val="true"/>
        </w:rPr>
        <w:footnoteReference w:id="956"/>
      </w:r>
      <w:r>
        <w:rPr>
          <w:rFonts w:ascii="IRNazanin" w:hAnsi="IRNazanin" w:eastAsia="IRNazanin"/>
          <w:color w:val="111111"/>
          <w:sz w:val="28"/>
          <w:sz w:val="28"/>
          <w:szCs w:val="28"/>
          <w:rtl w:val="true"/>
          <w:lang w:bidi="fa-IR"/>
        </w:rPr>
        <w:t>أن مسلک الکفایة لا بدّ من أن ینتهی إلی هذا الوجه، و حینئذ یکون المسلکان متوافقین</w:t>
      </w:r>
      <w:bookmarkStart w:id="645" w:name="pg19834_212573"/>
    </w:p>
    <w:p>
      <w:pPr>
        <w:pStyle w:val="BookText"/>
        <w:rPr/>
      </w:pPr>
      <w:bookmarkEnd w:id="645"/>
      <w:r>
        <w:rPr>
          <w:rFonts w:ascii="IRNazanin" w:hAnsi="IRNazanin" w:eastAsia="IRNazanin"/>
          <w:color w:val="111111"/>
          <w:sz w:val="28"/>
          <w:sz w:val="28"/>
          <w:szCs w:val="28"/>
          <w:rtl w:val="true"/>
          <w:lang w:bidi="fa-IR"/>
        </w:rPr>
        <w:t>مع مسلک التوأمیة</w:t>
      </w:r>
      <w:r>
        <w:rPr>
          <w:rFonts w:eastAsia="IRNazanin" w:cs="IRNazanin"/>
          <w:color w:val="111111"/>
          <w:sz w:val="28"/>
          <w:szCs w:val="28"/>
          <w:rtl w:val="true"/>
          <w:lang w:bidi="fa-IR"/>
        </w:rPr>
        <w:t>.</w:t>
      </w:r>
    </w:p>
    <w:p>
      <w:pPr>
        <w:pStyle w:val="Heading5"/>
        <w:numPr>
          <w:ilvl w:val="4"/>
          <w:numId w:val="1"/>
        </w:numPr>
        <w:rPr/>
      </w:pPr>
      <w:bookmarkStart w:id="646" w:name="__RefHeading___Toc3493887_2314609296"/>
      <w:bookmarkStart w:id="647" w:name="_Toc236"/>
      <w:bookmarkEnd w:id="646"/>
      <w:r>
        <w:rPr>
          <w:rtl w:val="true"/>
        </w:rPr>
        <w:t>[</w:t>
      </w:r>
      <w:r>
        <w:rPr>
          <w:rtl w:val="true"/>
        </w:rPr>
        <w:t>مقتضی الأصل العملی و اللفظی فی المقام</w:t>
      </w:r>
      <w:bookmarkEnd w:id="647"/>
    </w:p>
    <w:p>
      <w:pPr>
        <w:pStyle w:val="BookText"/>
        <w:rPr/>
      </w:pPr>
      <w:r>
        <w:rPr>
          <w:rFonts w:ascii="IRNazanin" w:hAnsi="IRNazanin" w:eastAsia="IRNazanin"/>
          <w:color w:val="111111"/>
          <w:sz w:val="28"/>
          <w:sz w:val="28"/>
          <w:szCs w:val="28"/>
          <w:rtl w:val="true"/>
          <w:lang w:bidi="fa-IR"/>
        </w:rPr>
        <w:t xml:space="preserve">و لکن علی هذا الحساب لا یکون الشک فی التعبدیة من قبیل الأقل و الأکثر بل من باب التردد بین العام و الخاص، لتردد المأمور به بین الذات الخاصة و الذات العامة الشاملة لکل من الذاتین، أعنی الذات المقارنة مع داعی الأمر و الذات غیر المقارنة، و قد حقق فی محله </w:t>
      </w:r>
      <w:r>
        <w:rPr>
          <w:rStyle w:val="FootnoteAnchor"/>
          <w:rtl w:val="true"/>
        </w:rPr>
        <w:footnoteReference w:id="957"/>
      </w:r>
      <w:r>
        <w:rPr>
          <w:rFonts w:ascii="IRNazanin" w:hAnsi="IRNazanin" w:eastAsia="IRNazanin"/>
          <w:color w:val="111111"/>
          <w:sz w:val="28"/>
          <w:sz w:val="28"/>
          <w:szCs w:val="28"/>
          <w:rtl w:val="true"/>
          <w:lang w:bidi="fa-IR"/>
        </w:rPr>
        <w:t xml:space="preserve">أنه لا یرجع فی مثله إلی البراءة، بل المرجع هو الاشتغال لعدم کونه من قبیل الأقل و الأکثر، و لکن الذی یظهر من طریقة شیخنا قدّس سرّه </w:t>
      </w:r>
      <w:r>
        <w:rPr>
          <w:rStyle w:val="FootnoteAnchor"/>
          <w:rtl w:val="true"/>
        </w:rPr>
        <w:footnoteReference w:id="958"/>
      </w:r>
      <w:r>
        <w:rPr>
          <w:rFonts w:ascii="IRNazanin" w:hAnsi="IRNazanin" w:eastAsia="IRNazanin"/>
          <w:color w:val="111111"/>
          <w:sz w:val="28"/>
          <w:sz w:val="28"/>
          <w:szCs w:val="28"/>
          <w:rtl w:val="true"/>
          <w:lang w:bidi="fa-IR"/>
        </w:rPr>
        <w:t>هو الوجه الأوّل أعنی کون الأمر الأوّل متعلقا بذات الصلاة أعنی به الاطلاق الذاتی، و أن الأمر الثانی یکون منتجا نتیجة التقیید، لا أنه یقید الأمر الأوّل و لو بمفاد نتیجة التقیید، و حینئذ یکون الأمر الثانی بمنزلة الأمر المستقل، و عند الشک فیه یکون المرجع هو البراءة، لأن متعلق الأمر الأوّل مطلق ذاتی علی کل من وجود الأمر الثانی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من طریقة الکفایة هو نظیر ذلک، أعنی کون متعلق الأمر فی کل من التعبدی و التوصلی هو المطلق الذاتی، و أن العقل بعد اطلاعه علی أخصیة الغرض یحکم بلزوم الاتیان به بداعی الأمر، فلا یکون بین التعبدی و التوصلی اختلاف فی المتعلق و لو بالاطلاق و التقیید الذاتیین بل الاختلاف فی أخصیة الغرض، و حینئذ یکون المرجع هو الشک فی السقوط</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لک الکلام بناء علی مسلک صاحبی الاشارات و العناوین، فانه لو تم إقامة البرهان علیه فهو، و إلّا فان وصلت المسألة إلی الشک</w:t>
      </w:r>
    </w:p>
    <w:p>
      <w:pPr>
        <w:pStyle w:val="BookText"/>
        <w:rPr/>
      </w:pPr>
      <w:r>
        <w:rPr>
          <w:rFonts w:ascii="IRNazanin" w:hAnsi="IRNazanin" w:eastAsia="IRNazanin"/>
          <w:color w:val="111111"/>
          <w:sz w:val="28"/>
          <w:sz w:val="28"/>
          <w:szCs w:val="28"/>
          <w:rtl w:val="true"/>
          <w:lang w:bidi="fa-IR"/>
        </w:rPr>
        <w:t>امتنعت البراءة لکون التردد حینئذ من قبیل التردد بین الخاص و العام، مضافا إلی أنه لو کان من قبیل التقیید فلیس هو من التقیید الاختیاری للشارع، بل هو من قبیل التقید القهری و لا تجری البراءة الشرعیة فی مثله، هذا کله من ناحیة داعی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ناحیة العبادیة و التقرب و الخضوع و نحو ذلک مما قلنا إنه لا ربط له بداعی الأمر، فلا ریب فی کونه قیدا کسائر القیود، فیمکن التمسک علی نفیه بالاطلاق، و لو لم یتم الاطلاق یکون داخلا فی مسألة الأقل و الأکثر نظیر احتمال تقیید الصلاة بالتحنک و المرجع فیه هو البراءة، و لا اختصاص لهذا القید من بین سائر القیود، هذا کله من ناحیة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ناحیة الأصل اللفظی فقد حصره فی الکفایة</w:t>
      </w:r>
      <w:r>
        <w:rPr>
          <w:rStyle w:val="FootnoteAnchor"/>
          <w:rtl w:val="true"/>
        </w:rPr>
        <w:footnoteReference w:id="959"/>
      </w:r>
      <w:r>
        <w:rPr>
          <w:rFonts w:ascii="IRNazanin" w:hAnsi="IRNazanin" w:eastAsia="IRNazanin"/>
          <w:color w:val="111111"/>
          <w:sz w:val="28"/>
          <w:sz w:val="28"/>
          <w:szCs w:val="28"/>
          <w:rtl w:val="true"/>
          <w:lang w:bidi="fa-IR"/>
        </w:rPr>
        <w:t>بالاطلاق المقامی المتوقف علی إحراز کون المتکلم فی مقام بیان تمام ما له الدخل فی غرضه و إن لم یکن له الدخل فی المأمور به، و هو قدّس سرّه معذور من هذه الجهة، لأنه بعد أن التزم بکون هذا القید من حکومة العقل تحصیلا لما هو الغرض من الأمر أعنی المصلحة مع فرض عدم إمکان التقیید به شرعا، فتکون الاطلاقات الشرعیة بمعزل عن هذا القید، إلّا إذا أحرزنا التوسعة فی بیان الشارع، و أنه بصدد بیان کل ما یتوقف علیه الغرض و إن لم یکن دخیلا فی المأمور به، و ذلک هو الاطلاق المقامی</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یرد علیه ما تقدم </w:t>
      </w:r>
      <w:r>
        <w:rPr>
          <w:rStyle w:val="FootnoteAnchor"/>
          <w:rtl w:val="true"/>
        </w:rPr>
        <w:footnoteReference w:id="960"/>
      </w:r>
      <w:r>
        <w:rPr>
          <w:rFonts w:ascii="IRNazanin" w:hAnsi="IRNazanin" w:eastAsia="IRNazanin"/>
          <w:color w:val="111111"/>
          <w:sz w:val="28"/>
          <w:sz w:val="28"/>
          <w:szCs w:val="28"/>
          <w:rtl w:val="true"/>
          <w:lang w:bidi="fa-IR"/>
        </w:rPr>
        <w:t>ذکره من أنه فی صورة کون المصلحة أخص، لا وجه لأن یجعل الشارع الوجوب علی الذات المطلقة و لو إطلاقا</w:t>
      </w:r>
    </w:p>
    <w:p>
      <w:pPr>
        <w:pStyle w:val="BookText"/>
        <w:rPr/>
      </w:pPr>
      <w:r>
        <w:rPr>
          <w:rFonts w:ascii="IRNazanin" w:hAnsi="IRNazanin" w:eastAsia="IRNazanin"/>
          <w:color w:val="111111"/>
          <w:sz w:val="28"/>
          <w:sz w:val="28"/>
          <w:szCs w:val="28"/>
          <w:rtl w:val="true"/>
          <w:lang w:bidi="fa-IR"/>
        </w:rPr>
        <w:t>ذاتیا، بل لا بدّ له من جعل الوجوب علی الذات الخاصة أعنی الذات المقیدة تقییدا ذاتیا، و حینئذ ففی صورة کون المصلحة مساویة لنفس الفعل یکون الوجوب المجعول واردا علی نفس الذات المطلقة إطلاقا ذاتیا، و حینئذ ففی مقام الشک فی العبادیة یکون التردد بین التقیید الذاتی و الاطلاق الذاتی، فمع عدم القرینة المستقلة المتصلة بالجملة یکون اللازم هو الحکم بالاطلاق الذاتی، و بالأخرة نکون فی غنی عن الاطلاق المقامی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شیخنا قدّس سرّه فالذی ینبغی علی مسلکه أن یکون فی غنی عن الاطلاق المقامی، بل له أن یتمسک بالاطلاق اللفظی، فانه و إن أحال التقیید و الاطلاق اللحاظیین إلّا أن باب التقیید الذاتی و الاطلاق الذاتی منفتح عنده، فللشارع أن یوصل قوله صلّ بالتقیید بداعی الأمر، إما بنحو الأمر الثانی بأن یقول صلّ لکن صلّ بداعی هذا الأمر، أو بنحو البیان المستقل الموصول بالأمر المذکور، بأن ینصب قرینة مستقلة متصلة بذلک الأمر لتکون کاشفة عن أنّ متعلق أمره هو الذات الخاصة و إن لم تکن الخصوصیة داخلة تحت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البین ما یدل علی إرادة الذات الخاصة کشف ذلک عن إرادة نفس ذات الصلاة الجامعة بین الذاتین، و هو المعبّر عنه بالاطلاق الذاتی الناشئ عن تعلق الأمر بذات الصلاة الموجب للسرایة القهریة إلی الذات الواجدة للقید المذکور و الفاقدة له، هذا</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الانصاف أنا قد شرحنا طریقتهما قدّس سرّهما بما لا یرضی به کل منهما، لأنهما لا یلتزمان باختصاص الذات فی الواجب التعبدی بل یلتزمان بالاهمال، غایته أنّ شیخنا قدّس سرّه یصلحه بالأمر الثانی الذی تکون نتیجته نتیجة التقیید، و صاحب الکفایة یصلحه بحکومة العقل بلزوم إلحاق قید الداعی،</w:t>
      </w:r>
    </w:p>
    <w:p>
      <w:pPr>
        <w:pStyle w:val="BookText"/>
        <w:rPr/>
      </w:pPr>
      <w:r>
        <w:rPr>
          <w:rFonts w:ascii="IRNazanin" w:hAnsi="IRNazanin" w:eastAsia="IRNazanin"/>
          <w:color w:val="111111"/>
          <w:sz w:val="28"/>
          <w:sz w:val="28"/>
          <w:szCs w:val="28"/>
          <w:rtl w:val="true"/>
          <w:lang w:bidi="fa-IR"/>
        </w:rPr>
        <w:t>و لکن الحساب معهما علی هذا الاهمال الواقعی، فانه لا محصّل له إلّا دعوی إیراد الشارع الأمر علی طبیعة الصلاة غیر ملاحظ فیها وجود قید الداعی و لا عدمه، و من الواضح أن ذلک و إن لم یکن إطلاقا لحاظیا إلّا أنه إطلاق ذاتی یوجب السرایة القهریة، و یکون ذلک الحکم الشرعی الثانی أو حکم العقل منتجا نتیجة التقیید، و قد عرفت أن الأوّل و هو الجعل الثانی لا یوجب التقید الذاتی، بل یکون أمرا مستقلا لو امتثله المکلف یکون الشارع قد حصل علی ما هو غرضه المطابق لمصلحته من الفعل مع قصد الداعی، لکن المکلف لو عصاه و امتثل الأمر الأوّل ینبغی أن یلتزم شیخنا قدّس سرّه بصحة ذلک الامتثال، کما أنه قد عرفت أن الثانی و هو حکومة العقل لا توجب التقید، مضافا إلی عدم صلاحیة للعقل فی هذا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لو تم ما أفاداه یکون المرجع من الاصول العملیة علی مسلک شیخنا قدّس سرّه فی مقام الشک هو البراءة من ذلک التکلیف الثانی، بل لا تدخل المسألة فی مسألة الأقل و الأکثر، فمن یقول بالاحتیاط فی مسألة الأقل و الأکثر لا یلزمه القول به فی مسألتنا، لأن المشکوک فیها تکلیف مستقل کما أفاده الشیخ قدّس سرّه فیما قدّمنا نقله </w:t>
      </w:r>
      <w:r>
        <w:rPr>
          <w:rStyle w:val="FootnoteAnchor"/>
          <w:rtl w:val="true"/>
        </w:rPr>
        <w:footnoteReference w:id="961"/>
      </w:r>
      <w:r>
        <w:rPr>
          <w:rFonts w:ascii="IRNazanin" w:hAnsi="IRNazanin" w:eastAsia="IRNazanin"/>
          <w:color w:val="111111"/>
          <w:sz w:val="28"/>
          <w:sz w:val="28"/>
          <w:szCs w:val="28"/>
          <w:rtl w:val="true"/>
          <w:lang w:bidi="fa-IR"/>
        </w:rPr>
        <w:t>عن التقریرات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مسلک الکفایة فحیث إن المدخلیة لیست شرعیة یکون المرجع فیها هو الاشتغال، و أما الاصول اللفظیة فهی منحصرة علی مسلک صاحب الکفایة قدّس سرّه بالاطلاق المقامی الذی عرفت شرحه، و أما علی مسلک شیخنا فالمحکّم هو الاطلاق الذاتی ما لم یقم فی قباله الجعل الثانی، و لکنه قدّس سرّه لا یعتنی بالاطلاق الذاتی فی المقام، بل المقام عنده من قبیل</w:t>
      </w:r>
      <w:bookmarkStart w:id="648" w:name="pg19834_212577"/>
    </w:p>
    <w:p>
      <w:pPr>
        <w:pStyle w:val="BookText"/>
        <w:rPr/>
      </w:pPr>
      <w:bookmarkEnd w:id="648"/>
      <w:r>
        <w:rPr>
          <w:rFonts w:ascii="IRNazanin" w:hAnsi="IRNazanin" w:eastAsia="IRNazanin"/>
          <w:color w:val="111111"/>
          <w:sz w:val="28"/>
          <w:sz w:val="28"/>
          <w:szCs w:val="28"/>
          <w:rtl w:val="true"/>
          <w:lang w:bidi="fa-IR"/>
        </w:rPr>
        <w:t>الاهمال الواقعی الذی لا یمکن التمسک به، من دون فرق عنده بین التعبدیات و التوصلیات، فکما أنّ ما تعلق به الوجوب فی التعبدیات هو الطبیعة المهملة لا الذات الخاصة مع فرض عدم دخل الخصوصیة، فکذلک المتعلق عنده فی التوصلیات هو الطبیعة المهملة لا الطبیعة المطلقة إطلاقا ذاتیا، و حینئذ ینحصر الأصل اللفظی بالاطلاق المقامی المذکور</w:t>
      </w:r>
      <w:r>
        <w:rPr>
          <w:rFonts w:eastAsia="IRNazanin" w:cs="IRNazanin"/>
          <w:color w:val="111111"/>
          <w:sz w:val="28"/>
          <w:szCs w:val="28"/>
          <w:rtl w:val="true"/>
          <w:lang w:bidi="fa-IR"/>
        </w:rPr>
        <w:t>.</w:t>
      </w:r>
    </w:p>
    <w:p>
      <w:pPr>
        <w:pStyle w:val="Heading5"/>
        <w:numPr>
          <w:ilvl w:val="4"/>
          <w:numId w:val="1"/>
        </w:numPr>
        <w:rPr/>
      </w:pPr>
      <w:bookmarkStart w:id="649" w:name="__RefHeading___Toc3493889_2314609296"/>
      <w:bookmarkStart w:id="650" w:name="_Toc237"/>
      <w:bookmarkEnd w:id="649"/>
      <w:r>
        <w:rPr>
          <w:rtl w:val="true"/>
        </w:rPr>
        <w:t>[</w:t>
      </w:r>
      <w:r>
        <w:rPr>
          <w:rtl w:val="true"/>
        </w:rPr>
        <w:t>التأمل فی نظریة الذات التوأمة</w:t>
      </w:r>
      <w:r>
        <w:rPr>
          <w:rtl w:val="true"/>
        </w:rPr>
        <w:t>]</w:t>
      </w:r>
      <w:bookmarkEnd w:id="650"/>
    </w:p>
    <w:p>
      <w:pPr>
        <w:pStyle w:val="BookText"/>
        <w:rPr/>
      </w:pPr>
      <w:r>
        <w:rPr>
          <w:rFonts w:ascii="IRNazanin" w:hAnsi="IRNazanin" w:eastAsia="IRNazanin"/>
          <w:color w:val="111111"/>
          <w:sz w:val="28"/>
          <w:sz w:val="28"/>
          <w:szCs w:val="28"/>
          <w:rtl w:val="true"/>
          <w:lang w:bidi="fa-IR"/>
        </w:rPr>
        <w:t>و نحن و إن قلنا بأن الاهمال الواقعی هو عین الاطلاق الذاتی الموجب للسرایة القهریة، إلّا أن لنا تأملا فیما نسمّیه بالتقیید الذاتی المعبّر عنه بالذات التی هی توأم مع قصد الداعی، فانه مضافا إلی عدم خلوّه من إشکال التقدم و التأخر، حیث إن الذات التی هی توأم مع داعی الأمر عبارة عن الذات الصادرة عن داعی الأمر، فالآمر عند ما یعلّق أمره بالذات یلاحظ ذاتا صادرة بداعی أمره فیعلّق أمره بها، و من الواضح أنها متأخرة رتبة عن الأمر فکیف یصح أخذها متعلقة له، فی حین أن المتعلق سابق فی الرتبة علی الأمر، هذا</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القضیة فیما نحن فیه لیست بخارجیة لیکون المحکوم علیه فیها هو نفس تلک الذات الخارجیة و إن کانت واجدة لقیود و صفات و خصوصیات کثیرة، بل المحکوم علیه هو کلی الذات المأخوذة مرآة لما فی الخارج من موضوعات الأحکام، أو نفس طبیعة الذات فی متعلق الوجوب الذی هو عبارة عن طلب إیجادها و إخراجها من کتم العدم إلی الوجود، فهذه الطبیعة الکلیة عند تعلق الأمر بها لا بدّ أن تکون ملحوظة للآمر، فلو کان الموافق لغرضه هو ما یکون منها بداعی الأمر لم یمکنه تقییدها بذلک، سواء کان من قبیل کون کل من القید و التقیید داخلا أو کان من قبیل کون التقیید داخلا و کون القید خارجا، و مع فرض خروج کل من</w:t>
      </w:r>
      <w:bookmarkStart w:id="651" w:name="pg19834_212578"/>
    </w:p>
    <w:p>
      <w:pPr>
        <w:pStyle w:val="BookText"/>
        <w:rPr/>
      </w:pPr>
      <w:bookmarkEnd w:id="651"/>
      <w:r>
        <w:rPr>
          <w:rFonts w:ascii="IRNazanin" w:hAnsi="IRNazanin" w:eastAsia="IRNazanin"/>
          <w:color w:val="111111"/>
          <w:sz w:val="28"/>
          <w:sz w:val="28"/>
          <w:szCs w:val="28"/>
          <w:rtl w:val="true"/>
          <w:lang w:bidi="fa-IR"/>
        </w:rPr>
        <w:t>القید و التقیید لا یکون إیجابه متعلقا إلّا بصرف الذات لا الذات الخاصة المعبّر عنها بکونها توأما مع القید مع فرض خروج کل من القید و التقیید عنها فی نظره إلیها فی حال إیراده الأمر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محیص عن الالتزام بالاهمال أو الاطلاق الذاتی، و یتدارک ذلک بالجعل الثانی، و لا بدّ أن نقول إن هذا الجعل الثانی یتکفل ببیان أن ذلک الأمر الأوّل لا یکون متعلقه وافیا بالمصلحة، و أنه لا یسقط إلّا بامتثال الأمر الثانی و إن لم یکن الأمر الثانی موجبا للتقیید فی متعلق الأمر الأوّل مع فرض کونه أمرا حقیقیا لا صوریا و إن لم یکن مطابقا للمصلحة، لأنا نقول یکفی فی مصلحته إعانة الأمر الثانی، و أن مجموعهما ناش عن المصلحة فیما ینتج من مجموعهما، و لکن کل هذه الویلات و التکلفات إنما نشأت عن دعوی أن المعتبر هو قصد داعی الأمر، بدعوی کونه عین العبادیة التی قام الدلیل علی اعتبارها، و إلّا فهو فی نفسه لا دلیل علی اعتباره</w:t>
      </w:r>
      <w:r>
        <w:rPr>
          <w:rFonts w:eastAsia="IRNazanin" w:cs="IRNazanin"/>
          <w:color w:val="111111"/>
          <w:sz w:val="28"/>
          <w:szCs w:val="28"/>
          <w:rtl w:val="true"/>
          <w:lang w:bidi="fa-IR"/>
        </w:rPr>
        <w:t>.</w:t>
      </w:r>
    </w:p>
    <w:p>
      <w:pPr>
        <w:pStyle w:val="Heading5"/>
        <w:numPr>
          <w:ilvl w:val="4"/>
          <w:numId w:val="1"/>
        </w:numPr>
        <w:rPr/>
      </w:pPr>
      <w:bookmarkStart w:id="652" w:name="__RefHeading___Toc3493891_2314609296"/>
      <w:bookmarkStart w:id="653" w:name="_Toc238"/>
      <w:bookmarkEnd w:id="652"/>
      <w:r>
        <w:rPr>
          <w:rtl w:val="true"/>
        </w:rPr>
        <w:t>[</w:t>
      </w:r>
      <w:r>
        <w:rPr>
          <w:rtl w:val="true"/>
        </w:rPr>
        <w:t>إبطال دعوی التقید القهری الذی أفاده صاحب الاشارات و صاحب العناوین قدّس سرّهما</w:t>
      </w:r>
      <w:r>
        <w:rPr>
          <w:rtl w:val="true"/>
        </w:rPr>
        <w:t>]</w:t>
      </w:r>
      <w:bookmarkEnd w:id="653"/>
    </w:p>
    <w:p>
      <w:pPr>
        <w:pStyle w:val="BookText"/>
        <w:rPr/>
      </w:pP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القطع بعدمه، لما عرفت من عدم مدخلیته فی العبادة، فلم یبق إلّا دعوی التقید القهری الذی أفاده صاحب الاشارات </w:t>
      </w:r>
      <w:r>
        <w:rPr>
          <w:rStyle w:val="FootnoteAnchor"/>
          <w:rtl w:val="true"/>
        </w:rPr>
        <w:footnoteReference w:id="962"/>
      </w:r>
      <w:r>
        <w:rPr>
          <w:rFonts w:ascii="IRNazanin" w:hAnsi="IRNazanin" w:eastAsia="IRNazanin"/>
          <w:color w:val="111111"/>
          <w:sz w:val="28"/>
          <w:sz w:val="28"/>
          <w:szCs w:val="28"/>
          <w:rtl w:val="true"/>
          <w:lang w:bidi="fa-IR"/>
        </w:rPr>
        <w:t>و صاحب العناوین قدّس سرّهما</w:t>
      </w:r>
      <w:r>
        <w:rPr>
          <w:rStyle w:val="FootnoteAnchor"/>
          <w:rtl w:val="true"/>
        </w:rPr>
        <w:footnoteReference w:id="963"/>
      </w:r>
      <w:r>
        <w:rPr>
          <w:rFonts w:ascii="IRNazanin" w:hAnsi="IRNazanin" w:eastAsia="IRNazanin"/>
          <w:color w:val="111111"/>
          <w:sz w:val="28"/>
          <w:sz w:val="28"/>
          <w:szCs w:val="28"/>
          <w:rtl w:val="true"/>
          <w:lang w:bidi="fa-IR"/>
        </w:rPr>
        <w:t>و ذلک علی تقدیره لا دخل له بقصد من الشارع کی یتکلف له هذه التکلفات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أنّا و إن أقمنا البرهان علیه باعتبار تقید المعلول بعلته تقیدا قهریا، و أن المأمور به معلول لارادة الفاعل و هی معلولة للداعی و هو معلول لأمر الشارع، إلّا أن ذلک لا یوجب إلّا تقید الفعل الواقع عن الارادة الناشئة عن داعی الأمر بما یکون صادرا عن ذلک الداعی، إلّا أن ذلک لا یوجب</w:t>
      </w:r>
    </w:p>
    <w:p>
      <w:pPr>
        <w:pStyle w:val="BookText"/>
        <w:rPr/>
      </w:pPr>
      <w:r>
        <w:rPr>
          <w:rFonts w:ascii="IRNazanin" w:hAnsi="IRNazanin" w:eastAsia="IRNazanin"/>
          <w:color w:val="111111"/>
          <w:sz w:val="28"/>
          <w:sz w:val="28"/>
          <w:szCs w:val="28"/>
          <w:rtl w:val="true"/>
          <w:lang w:bidi="fa-IR"/>
        </w:rPr>
        <w:t>تقید متعلق إرادة الشارع بما یکون صادرا عن إرادة المکلف الصادرة عن داعی إرادة الشارع، لامکان أن یکون الفعل الصادر عن إرادة المکلف لا بداعی إرادة الشارع متعلقا لارادة الشارع، و إن کان نفس ما یصدر عن إرادة المکلف الناشئة عن داعی إرادة الشارع منحصرا قهرا بما یکون بذلک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الفرق الواضح بین متعلق إرادة الشارع و بین متعلق إرادة المکلف الصادرة بداعی إرادة الشارع، و کون الثانی منحصرا قهرا بما یکون بداعی إرادة الشارع لا یوجب انحصار الأوّل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شککنا فی الانحصار المذکور کان الاطلاق الذاتی فی متعلق إرادة الشارع کافیا فی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الانحصار القصدی فهو مما یقطع بعدمه، لأنه مساوق لقصد الآمر تقیید متعلق أمره بما یکون صادرا عن داعی أمره، و قد عرفت أنه محال سواء کان من قبیل التقیید اللحاظی أو کان من قبیل التقیید الذاتی، أعنی نفس الذات التی هی توأم مع القید المذکور، أمّا الأوّل فلما حرروه فی امتناع التقیید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فلما عرفت من عدم إمکانه بعد فرض خروج کل من القید و التقیید عمّا هو تحت الأمر،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أنا لو سلّمنا أن إرادة المولی إذا تعلقت بفعل تکون علة فی حدوث الداعی عند العبد، و حدوث الداعی عند العبد یکون علة فی إرادته لذلک الفعل، و إرادته لذلک الفعل تکون علة فی وجود الفعل، إلّا أن ذلک لا یوجب تقید ذلک الفعل فی مرحلة تعلق إرادة المولی به بکونه صادرا عن ذلک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الفعل الذی انتهت إلیه السلسلة المذکورة منحصرا بکونه صادرا عن ذلک الداعی</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بطلان هذه الطریقة، و بعد بطلان طریقة الذات الخاصة</w:t>
      </w:r>
    </w:p>
    <w:p>
      <w:pPr>
        <w:pStyle w:val="BookText"/>
        <w:rPr/>
      </w:pPr>
      <w:r>
        <w:rPr>
          <w:rFonts w:ascii="IRNazanin" w:hAnsi="IRNazanin" w:eastAsia="IRNazanin"/>
          <w:color w:val="111111"/>
          <w:sz w:val="28"/>
          <w:sz w:val="28"/>
          <w:szCs w:val="28"/>
          <w:rtl w:val="true"/>
          <w:lang w:bidi="fa-IR"/>
        </w:rPr>
        <w:t>و حدیث التوأمیة، و بعد بطلان طریقة الکفایة من تعلیق الأمر بالمطلق الذاتی و تکمیله بحکم العقل، یتعین فی الخروج عن هذا المأزق فی أخذ داعی الأمر بما أفاده شیخنا قدّس سرّه و لا یرد علیه سوی إشکال السقوط، و لکنه هو قدّس سرّه یلتزم بعدم السقوط لأجل عدم الوفاء بالمصلحة، و یقول إن الموجب للاتیان به بداعی الأمر لیکون وافیا بالمصلحة هو الشارع بالأمر الثانی لا العقل الصرف، و عند الشک یکون مرجعه من الاصول العملیة هو البراءة، و من الاصول اللفظیة هو الاطلاق المقامی لا الاطلاق اللفظی، لأن اللحاظی من الاطلاق اللفظی محال کمحالیة التقیید اللفظی، و الاطلاق الذاتی عنده عین الاهمال الواقعی الذی لا یمکن التمسک به و اتخاذه کاشفا عن مراد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 نحن نتخیله فی مسألة اعتبار داعویة الأمر فهو دعوی الانکار، و أنه لا دلیل یوجب الجزم باعتباره لا فی العبادیات و لا فی التوصلیات، و أنّ أقصی ما فی البین هو أن لنا واجبات عبادیة و المعتبر فیها أمر آخر غیر داعی الأمر، نعم لو اجتمع ذلک الأمر الآخر أو تحقق فی داعی الأمر لم یکن انضمام داعی الأمر إلیه مضرا، و الغالب هو هذا أعنی تحقق العبادیة التی هی الانقیاد القلبی و الخضوع بداعی الأمر، و عن هذه الغلبة نشأ القول باعتبار داعویة الأمر أو احتمال اعتباره</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لو وصلت النوبة إلی الشک فی اعتباره فقد عرفت أنه لا یمکن فیه التقید اللحاظی، بل قد عرفت أنه لا یمکن فیه التقید الذاتی بمعنی قصد الذات الخاصة التی هی توأم مع داعی الأمر، أو بمعنی التقید القهری الناشئ عن انحصار المعلول بمورد العلة، و أن الممکن هو الاطلاق الذاتی مع إلحاق الأمر الثانی الذی هو متمم الجعل، و لیس ذلک من الاهمال</w:t>
      </w:r>
    </w:p>
    <w:p>
      <w:pPr>
        <w:pStyle w:val="BookText"/>
        <w:rPr/>
      </w:pPr>
      <w:r>
        <w:rPr>
          <w:rFonts w:ascii="IRNazanin" w:hAnsi="IRNazanin" w:eastAsia="IRNazanin"/>
          <w:color w:val="111111"/>
          <w:sz w:val="28"/>
          <w:sz w:val="28"/>
          <w:szCs w:val="28"/>
          <w:rtl w:val="true"/>
          <w:lang w:bidi="fa-IR"/>
        </w:rPr>
        <w:t>الواقعی، بل لا معنی للاطلاق فی مقام الثبوت إلّا ذلک الاطلاق الذاتی، و أما الاطلاق اللحاظی الذی هو عبارة عن قوله سواء کان کذا أو کان کذا، فذلک لحاظ آخر فوق الاطلاق، و الممتنع عند امتناع التقیید اللحاظی هو هذه المرتبة أعنی قوله سواء کان کذا أو کان کذا، أما الاطلاق الذاتی الواقعی فلا یکون ممتنعا، و تقابله مع کل من التقیید اللحاظی و الذاتی بل مع الاطلاق اللحاظی تقابل الایجاب و السلب، و تقابل الاطلاق اللحاظی مع التقیید اللحاظی تقابل الضدین، لکون کل منهما مشتملا علی لحاظ للطبیعة فی قبال اللحاظ فی الآخر، فهذا یلاحظها فیه واجدة لقید الکتابة مثلا، و هذا یلاحظها فیه واجدة للقید المذکور و فاقدة له، و لیس امتناع الاطلاق اللحاظی فیما نحن فیه لأجل مجرد امتناع التقیید اللحاظی، بل إن العلة التی أوجبت محالیة التقیید اللحاظی هی أوجبت امتناع الاطلاق اللحاظی</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فلو امتنع الاطلاق اللحاظی و کل من التقیید اللحاظی و الذاتی کما فیما نحن فیه، فهو و إن امتنع فیه الاطلاق اللحاظی بالمعنی المذکور، إلّا أن الاطلاق الذاتی فیه یکون ممکنا بل یکون قهریا، و حیث إن المتکلم لا یریده بل کان یرید اعتبار داعی الأمر، فعلیه أن یلحقه بمتمم الجعل و لو بنحو إلحاق جملة الأمر الثانی بجملة الأمر الأوّل و جعل الثانیة المتضمنة للأمر الثانی متصلة بالاولی المتضمنة للأمر الأوّل، فلو کان فی مقام البیان و لم یلحق الثانیة بالاولی، دل ذلک علی أنه لا یعتبر داعی الأمر و یکون ذلک من قبیل التمسک بالاطلاق اللفظی، و لا یتوقف علی الاطلاق المقامی بالمعنی الذی ذکره صاحب الکفایة</w:t>
      </w:r>
      <w:r>
        <w:rPr>
          <w:rStyle w:val="FootnoteAnchor"/>
          <w:rtl w:val="true"/>
        </w:rPr>
        <w:footnoteReference w:id="964"/>
      </w:r>
      <w:r>
        <w:rPr>
          <w:rFonts w:ascii="IRNazanin" w:hAnsi="IRNazanin" w:eastAsia="IRNazanin"/>
          <w:color w:val="111111"/>
          <w:sz w:val="28"/>
          <w:sz w:val="28"/>
          <w:szCs w:val="28"/>
          <w:rtl w:val="true"/>
          <w:lang w:bidi="fa-IR"/>
        </w:rPr>
        <w:t xml:space="preserve">و وافقه علیه شیخنا قدّس سرّه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ادعی مدع أن جمیع موارد التمسک بالاطلاقات اللفظیة من هذا القبیل، أعنی الأخذ بمقتضی الاطلاق الذاتی </w:t>
      </w:r>
      <w:r>
        <w:rPr>
          <w:rStyle w:val="FootnoteAnchor"/>
          <w:rtl w:val="true"/>
        </w:rPr>
        <w:footnoteReference w:id="966"/>
      </w:r>
      <w:r>
        <w:rPr>
          <w:rFonts w:ascii="IRNazanin" w:hAnsi="IRNazanin" w:eastAsia="IRNazanin"/>
          <w:color w:val="111111"/>
          <w:sz w:val="28"/>
          <w:sz w:val="28"/>
          <w:szCs w:val="28"/>
          <w:rtl w:val="true"/>
          <w:lang w:bidi="fa-IR"/>
        </w:rPr>
        <w:t>حتی فی مثل صلّ أو اعتق رقبة التی یکون القید فیها و هو التحنک مثلا أو الایمان قابلا للتقیید اللحاظی و أخذه فی متعلق الأمر أو فی موضوعه، و لا یتوقف علی إحراز أن الآمر لاحظ طوری الصلاة فی قوله صلّ، یعنی سواء کانت مع التحنک أو بدون التحنک، أو لاحظ الرقبة بطوریها من الایمان و عدمه و علّق العتق بها سواء کانت مؤمنة أو غیر مؤمنة المعبّر عنه بالاطلاق اللحاظی، بل یکفی فیه تعلیق الأمر علی نفس الطبیعة غیر ملاحظ فیها خصوصیة التحنک أو عدمه أو خصوصیة الایمان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التمسک بالأصل اللفظی فی قبال احتمال اعتبار داعی الأمر و لو بنحو متمم الجعل</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الأصل العملی فهو البراءة کما أفاده شیخنا قدّس سرّه </w:t>
      </w:r>
      <w:r>
        <w:rPr>
          <w:rStyle w:val="FootnoteAnchor"/>
          <w:rtl w:val="true"/>
        </w:rPr>
        <w:footnoteReference w:id="967"/>
      </w:r>
      <w:r>
        <w:rPr>
          <w:rFonts w:ascii="IRNazanin" w:hAnsi="IRNazanin" w:eastAsia="IRNazanin"/>
          <w:color w:val="111111"/>
          <w:sz w:val="28"/>
          <w:sz w:val="28"/>
          <w:szCs w:val="28"/>
          <w:rtl w:val="true"/>
          <w:lang w:bidi="fa-IR"/>
        </w:rPr>
        <w:t>و هی فیه أسهل من البراءة فی مسألة الأقل و الأکثر، لأن الشک فیما نحن فیه متعلق بمجعول شرعی مستقل، فلا تأتی فیه شبهة العلم الاجمالی المردد بین الأقل و الأکثر الارتباطیین، لیکون جریانها متوقفا علی الانحلال لینسدّ فیه باب البراءة العقلیة و ینحصر بباب البراءة الشرعیة، و یتکلف الوجه فی کونها موجبة لانحلال العلم الاجمالی المردد بین الأقل و الأکثر مع فرض الارتباطیة، و بناء علی ذلک یکون ما نحن فیه قابلا لجریان البراءة العقلیة کقابلیته للبراءة الشرعیة، و هذا بخلاف تلک المسألة فانها عنده لا تجری فیها إلّا البراءة الشرعیة</w:t>
      </w:r>
      <w:r>
        <w:rPr>
          <w:rFonts w:eastAsia="IRNazanin" w:cs="IRNazanin"/>
          <w:color w:val="111111"/>
          <w:sz w:val="28"/>
          <w:szCs w:val="28"/>
          <w:rtl w:val="true"/>
          <w:lang w:bidi="fa-IR"/>
        </w:rPr>
        <w:t>.</w:t>
      </w:r>
      <w:bookmarkStart w:id="654" w:name="pg19834_212583"/>
    </w:p>
    <w:p>
      <w:pPr>
        <w:pStyle w:val="BookText"/>
        <w:rPr/>
      </w:pPr>
      <w:bookmarkEnd w:id="654"/>
      <w:r>
        <w:rPr>
          <w:rFonts w:ascii="IRNazanin" w:hAnsi="IRNazanin" w:eastAsia="IRNazanin"/>
          <w:color w:val="111111"/>
          <w:sz w:val="28"/>
          <w:sz w:val="28"/>
          <w:szCs w:val="28"/>
          <w:rtl w:val="true"/>
          <w:lang w:bidi="fa-IR"/>
        </w:rPr>
        <w:t>و من ذلک یتضح لک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فی دخله شک فی الجعل الثانی، فیکون حاله حال بقیة الأجزاء فی جریان البراءة عند الشک فی دخلها فی المأمور به </w:t>
      </w:r>
      <w:r>
        <w:rPr>
          <w:rStyle w:val="FootnoteAnchor"/>
          <w:rtl w:val="true"/>
        </w:rPr>
        <w:footnoteReference w:id="968"/>
      </w:r>
      <w:r>
        <w:rPr>
          <w:rFonts w:ascii="IRNazanin" w:hAnsi="IRNazanin" w:eastAsia="IRNazanin"/>
          <w:color w:val="111111"/>
          <w:sz w:val="28"/>
          <w:sz w:val="28"/>
          <w:szCs w:val="28"/>
          <w:rtl w:val="true"/>
          <w:lang w:bidi="fa-IR"/>
        </w:rPr>
        <w:t>من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المختار من کون دخل قصد القربة شرعیا، و أما إذا کان عقلیا، فربما یقال بأن مقتضی القاعدة فی المقام هو الاشتغال و إن قلنا بالبراءة فی مسألة الأقل و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3493893_2314609296"/>
      <w:bookmarkStart w:id="656" w:name="_Toc239"/>
      <w:bookmarkEnd w:id="655"/>
      <w:r>
        <w:rPr>
          <w:rtl w:val="true"/>
        </w:rPr>
        <w:t>[</w:t>
      </w:r>
      <w:r>
        <w:rPr>
          <w:rtl w:val="true"/>
        </w:rPr>
        <w:t>حاصل مطلب الکفایة فی مقتضی الأصل العملی</w:t>
      </w:r>
      <w:bookmarkEnd w:id="656"/>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تعریض بما فی الکفایة</w:t>
      </w:r>
      <w:r>
        <w:rPr>
          <w:rStyle w:val="FootnoteAnchor"/>
          <w:rtl w:val="true"/>
        </w:rPr>
        <w:footnoteReference w:id="970"/>
      </w:r>
      <w:r>
        <w:rPr>
          <w:rFonts w:ascii="IRNazanin" w:hAnsi="IRNazanin" w:eastAsia="IRNazanin"/>
          <w:color w:val="111111"/>
          <w:sz w:val="28"/>
          <w:sz w:val="28"/>
          <w:szCs w:val="28"/>
          <w:rtl w:val="true"/>
          <w:lang w:bidi="fa-IR"/>
        </w:rPr>
        <w:t>، و حاصل مطلب الکفایة هو الاعتراف بأن الغرض الذی هو المصلحة الباعثة علی الأمر لیس بمجعول شرعی و لا مأمورا به شرعا، و أن مدخلیة کل من الأجزاء و الشرائط و من قصد داعی الأمر فی المصلحة و تأثیره فیها مدخلیة واقعیة و لیست بجعل الشارع، و غایة الفرق بینهما هو أن الأجزاء و الشرائط المفروض توقف المصلحة علیها قابلة لتعلق الأمر الشرعی بها بخلاف قصد الداعی، و هذا الفرق هو الذی أوجب عنده إمکان جریان البراءة الشرعیة فی الأوّل، لأن أمر وضعه و رفعه راجع إلی الشارع بخلاف الثانی، و لیس هو بصدد بیان الفرق بینهما فی المحصلیة الشرعیة و المحصلیة العقلیة أو العادیة، کما أنه لیس هو بصدد بیان الفرق بین البراءة العقلیة و البراءة الشرعیة، لیرد علیه بأنه لا فرق بینهما فی مسألة الأقل و الأکثر، بل إن کلامه فی هذا المقام بعد الفراغ عن عدم جریان البراءة العقلیة فی موارد الشک فی حصول الغرض الذی هو</w:t>
      </w:r>
    </w:p>
    <w:p>
      <w:pPr>
        <w:pStyle w:val="BookText"/>
        <w:rPr/>
      </w:pPr>
      <w:r>
        <w:rPr>
          <w:rFonts w:ascii="IRNazanin" w:hAnsi="IRNazanin" w:eastAsia="IRNazanin"/>
          <w:color w:val="111111"/>
          <w:sz w:val="28"/>
          <w:sz w:val="28"/>
          <w:szCs w:val="28"/>
          <w:rtl w:val="true"/>
          <w:lang w:bidi="fa-IR"/>
        </w:rPr>
        <w:t>المصلحة، و أن العقل حاکم بلزوم إحراز حصول الغرض فیما نحن فیه و فی مسألة الأقل و الأکثر، و أن خلاصة الفرق بینهما فی جریان البراءة الشرعیة، ففی مسألة الأقل و الأکثر تجری البراءة الشرعیة لکون المشکوک هناک قابلا للوضع الشرعی فیکون قابلا للرفع الشرعی، و عنه یستکشف أنه لا أمر بالمرکب و لازمه ارتفاع الشک فی حصول الغرض، بخلاف المشکوک هنا فانه لمّا لم یکن قابلا للوضع الشرعی فلا یکون قابلا للرفع الشرعی، فلا تجری فیه البراءة الشرعیة لتکون مزیلة للشک فی ناحیة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یرد علیه أن جریان البراءة الشرعیة لا یرفع الشک فی حصول الغرض إلّا باللازم، و لیس ذلک شأن البراءة الشرعیة کما سیأتی بیانه فی کلمات شیخنا قدّس سرّه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یرد علیه المنع من حکومة العقل بلزوم إحراز حصول المصلحة لما أفاده شیخنا قدّس سرّه </w:t>
      </w:r>
      <w:r>
        <w:rPr>
          <w:rStyle w:val="FootnoteAnchor"/>
          <w:rtl w:val="true"/>
        </w:rPr>
        <w:footnoteReference w:id="972"/>
      </w:r>
      <w:r>
        <w:rPr>
          <w:rFonts w:ascii="IRNazanin" w:hAnsi="IRNazanin" w:eastAsia="IRNazanin"/>
          <w:color w:val="111111"/>
          <w:sz w:val="28"/>
          <w:sz w:val="28"/>
          <w:szCs w:val="28"/>
          <w:rtl w:val="true"/>
          <w:lang w:bidi="fa-IR"/>
        </w:rPr>
        <w:t>من أن المصلحة غیر واجبة التحصیل علی المکلف، أما بعد فرض تسلیم لزوم تحصیلها عقلا علی المکلف فلا محیص عن لزوم الاحتیاط عند الشک فی حصولها و انسداد باب البراءة العقلیة فی مورد الشک فی حصول الغرض و المصلحة، أما أن الشارع یمکنه البیان و لو بنحو الاخبار، فذلک کما أنه لا یفتح باب البراءة الشرعیة لأن الاخبار لیس بتکلیف کی ترفعه البراءة عند الشک فیه، فکذلک لا یفتح باب البراءة العقلیة، لأن المراد من البیان فی قبح العقاب بلا بیان هو مطلق قیام الحجة و لو الحجة العقلیة من جهة الاحتیاط العقلی عند الشک فی</w:t>
      </w:r>
      <w:bookmarkStart w:id="657" w:name="pg19834_212585"/>
    </w:p>
    <w:p>
      <w:pPr>
        <w:pStyle w:val="BookText"/>
        <w:rPr/>
      </w:pPr>
      <w:bookmarkEnd w:id="657"/>
      <w:r>
        <w:rPr>
          <w:rFonts w:ascii="IRNazanin" w:hAnsi="IRNazanin" w:eastAsia="IRNazanin"/>
          <w:color w:val="111111"/>
          <w:sz w:val="28"/>
          <w:sz w:val="28"/>
          <w:szCs w:val="28"/>
          <w:rtl w:val="true"/>
          <w:lang w:bidi="fa-IR"/>
        </w:rPr>
        <w:t>حصول الغرض</w:t>
      </w:r>
      <w:r>
        <w:rPr>
          <w:rFonts w:eastAsia="IRNazanin" w:cs="IRNazanin"/>
          <w:color w:val="111111"/>
          <w:sz w:val="28"/>
          <w:szCs w:val="28"/>
          <w:rtl w:val="true"/>
          <w:lang w:bidi="fa-IR"/>
        </w:rPr>
        <w:t>.</w:t>
      </w:r>
    </w:p>
    <w:p>
      <w:pPr>
        <w:pStyle w:val="Heading5"/>
        <w:numPr>
          <w:ilvl w:val="4"/>
          <w:numId w:val="1"/>
        </w:numPr>
        <w:rPr/>
      </w:pPr>
      <w:bookmarkStart w:id="658" w:name="__RefHeading___Toc3493895_2314609296"/>
      <w:bookmarkStart w:id="659" w:name="_Toc240"/>
      <w:bookmarkEnd w:id="658"/>
      <w:r>
        <w:rPr>
          <w:rtl w:val="true"/>
        </w:rPr>
        <w:t>[</w:t>
      </w:r>
      <w:r>
        <w:rPr>
          <w:rtl w:val="true"/>
        </w:rPr>
        <w:t>المختار فی مسألة اعتبار داعویة الأمر</w:t>
      </w:r>
      <w:r>
        <w:rPr>
          <w:rtl w:val="true"/>
        </w:rPr>
        <w:t>]</w:t>
      </w:r>
      <w:bookmarkEnd w:id="659"/>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الاحتیاط العقلی رافعا لموضوع البراءة العقلیة فلا مجال لها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أنا لو قلنا بمقالة شیخنا قدّس سرّه من عدم لزوم تحصیل المصالح علی المکلفین، فلا أثر للعلم بعدم حصولها فضلا عن الشک فی حصولها من جهة الشک فی توقفها علی قصد داعی الأمر، و معه لا مورد فی ذلک لقاعدة قبح العقاب بلا بیان حتی لو قلنا بأن البیان فیها هو البیان الشرعی و لو بطریق الجملة الخبریة، فان ذلک الاخبار لا یزید علی علمنا الوجدانی بعدم حصول المصلحة الذی عرفت أنه لا یلزمنا شی‌ء بعد أن التزمنا بأن المصلحة لا یلزمنا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قلنا بمقالة صاحب الکفایة قدّس سرّه </w:t>
      </w:r>
      <w:r>
        <w:rPr>
          <w:rStyle w:val="FootnoteAnchor"/>
          <w:rtl w:val="true"/>
        </w:rPr>
        <w:footnoteReference w:id="973"/>
      </w:r>
      <w:r>
        <w:rPr>
          <w:rFonts w:ascii="IRNazanin" w:hAnsi="IRNazanin" w:eastAsia="IRNazanin"/>
          <w:color w:val="111111"/>
          <w:sz w:val="28"/>
          <w:sz w:val="28"/>
          <w:szCs w:val="28"/>
          <w:rtl w:val="true"/>
          <w:lang w:bidi="fa-IR"/>
        </w:rPr>
        <w:t>من لزوم تحصیل المصالح علی المکلفین، و أنه لا بدّ لهم من إحراز حصولها، و أن العقل حاکم بلزوم الاحتیاط، کان ذلک واردا علی قاعدة قبح العقاب بلا حجة و بیان، و مجرد أن الشارع یمکنه البیان بطریق الجمل الخبریة و أنه لم یصدر منه ذلک لا یصحح إجراء قاعدة قبح العقاب بلا بیان بعد فرض قیام الحجة العقلیة التی هی حکم العقل بلزوم تحصیل الغرض الباعث علی الأمر</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دعوی حکم العقل بلزوم تحصیل المصالح علی المکلفین، لکن ذلک منحصر بالمصالح الواصلة إلیهم أو المصالح التی تصدی الشارع لبیانها دون المصالح التی لم یعلموا بها و لم یبینها الشارع لهم، فذلک إنما هو لو کانت المصالح واجبة شرعا، أما مع الوجوب العقلی الذی مدرکه هو بقاء التکلیف مع فرض بقاء الغرض، فلا ریب أن لازمه حینئذ السعی إلی إسقاط</w:t>
      </w:r>
      <w:bookmarkStart w:id="660" w:name="pg19834_212586"/>
    </w:p>
    <w:p>
      <w:pPr>
        <w:pStyle w:val="BookText"/>
        <w:rPr/>
      </w:pPr>
      <w:bookmarkEnd w:id="660"/>
      <w:r>
        <w:rPr>
          <w:rFonts w:ascii="IRNazanin" w:hAnsi="IRNazanin" w:eastAsia="IRNazanin"/>
          <w:color w:val="111111"/>
          <w:sz w:val="28"/>
          <w:sz w:val="28"/>
          <w:szCs w:val="28"/>
          <w:rtl w:val="true"/>
          <w:lang w:bidi="fa-IR"/>
        </w:rPr>
        <w:t>التکلیف باسقاط الغرض الباعث علیه، و أنه مع الشک فی حصول الغرض یکون المرجع هو أصالة الاشتغال بذلک التکلیف، و لا مورد فیه لقاعدة قبح العقاب بلا بیان بالنسبة إلی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المصالح لو کانت واجبة شرعا فلا یکفی فی الأمن من العقاب علی مخالفتها مجرد عدم وصولها إلی المکلف و عدم تصدی الشارع لبیانها، بل لا بدّ فی الأمن من عقابها من عدم قیام الحجة علی ذلک حتی مثل الاحتیاط العقلی فی موارده، و من جملته موارد الشک فی السقوط التی هی العمدة فیما نحن فیه</w:t>
      </w:r>
      <w:r>
        <w:rPr>
          <w:rFonts w:eastAsia="IRNazanin" w:cs="IRNazanin"/>
          <w:color w:val="111111"/>
          <w:sz w:val="28"/>
          <w:szCs w:val="28"/>
          <w:rtl w:val="true"/>
          <w:lang w:bidi="fa-IR"/>
        </w:rPr>
        <w:t>.</w:t>
      </w:r>
    </w:p>
    <w:p>
      <w:pPr>
        <w:pStyle w:val="Heading5"/>
        <w:numPr>
          <w:ilvl w:val="4"/>
          <w:numId w:val="1"/>
        </w:numPr>
        <w:rPr/>
      </w:pPr>
      <w:bookmarkStart w:id="661" w:name="__RefHeading___Toc3493897_2314609296"/>
      <w:bookmarkStart w:id="662" w:name="_Toc241"/>
      <w:bookmarkEnd w:id="661"/>
      <w:r>
        <w:rPr>
          <w:rtl w:val="true"/>
        </w:rPr>
        <w:t>[</w:t>
      </w:r>
      <w:r>
        <w:rPr>
          <w:rtl w:val="true"/>
        </w:rPr>
        <w:t>مناقشة السید الخوئی قدّس سرّه فی المقام</w:t>
      </w:r>
      <w:bookmarkEnd w:id="662"/>
    </w:p>
    <w:p>
      <w:pPr>
        <w:pStyle w:val="BookText"/>
        <w:rPr/>
      </w:pPr>
      <w:r>
        <w:rPr>
          <w:rFonts w:ascii="IRNazanin" w:hAnsi="IRNazanin" w:eastAsia="IRNazanin"/>
          <w:color w:val="111111"/>
          <w:sz w:val="28"/>
          <w:sz w:val="28"/>
          <w:szCs w:val="28"/>
          <w:rtl w:val="true"/>
          <w:lang w:bidi="fa-IR"/>
        </w:rPr>
        <w:t>و من ذلک کله یتضح وجوه التأمل فی الحاشیة</w:t>
      </w:r>
      <w:r>
        <w:rPr>
          <w:rStyle w:val="FootnoteAnchor"/>
          <w:rtl w:val="true"/>
        </w:rPr>
        <w:footnoteReference w:id="974"/>
      </w:r>
      <w:r>
        <w:rPr>
          <w:rFonts w:ascii="IRNazanin" w:hAnsi="IRNazanin" w:eastAsia="IRNazanin"/>
          <w:color w:val="111111"/>
          <w:sz w:val="28"/>
          <w:sz w:val="28"/>
          <w:szCs w:val="28"/>
          <w:rtl w:val="true"/>
          <w:lang w:bidi="fa-IR"/>
        </w:rPr>
        <w:t>ما عدا ما یرجع إلی ما أشکله شیخنا قدّس سرّه من لزوم کون البراءة الشرعیة فی مسألة الأقل و الأکثر من الأصول المثبتة، و من إنکار لزوم تحصیل المصالح التی هی الأغراض الباعثة علی الأمر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فالعقاب علی ترک ما یحتمل دخله فی غرض المولی واقعا مع عدم قیام الحجة علیه لا یکون محتملا من جهة استقلال العقل بقبح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العقاب إنما هو علی ترک إسقاط الوجوب المتعلق بالصلاة مع فرض توقف سقوطه علی حصول المصلحة المتوقف حصولها علی داعی الأمر، و تعلق التکلیف بالصلاة مع الشک فی سقوطه و لو من جهة الشک فی حصول مصلحته کاف فی قیام الحجة علی ذلک العقاب، فلا یکون العقاب علی عدم إسقاطه عقابا بلا بیان، و کان المحشی یتخیل أن</w:t>
      </w:r>
      <w:bookmarkStart w:id="663" w:name="pg19834_212587"/>
    </w:p>
    <w:p>
      <w:pPr>
        <w:pStyle w:val="BookText"/>
        <w:rPr/>
      </w:pPr>
      <w:bookmarkEnd w:id="663"/>
      <w:r>
        <w:rPr>
          <w:rFonts w:ascii="IRNazanin" w:hAnsi="IRNazanin" w:eastAsia="IRNazanin"/>
          <w:color w:val="111111"/>
          <w:sz w:val="28"/>
          <w:sz w:val="28"/>
          <w:szCs w:val="28"/>
          <w:rtl w:val="true"/>
          <w:lang w:bidi="fa-IR"/>
        </w:rPr>
        <w:t>حکم العقل بلزوم إحراز سقوط الواجب نظیر حکم العقل بلزوم دفع الضرر المحتمل، بمعنی العقاب فی الشبهة الوجوبیة البدویة فی کون قاعدة قبح العقاب بلا بیان موجبة للقطع بعدم الضرر بمعنی العقاب، فتکون واردة علی قاعدة دفع الضرر المحتمل و رافعة لاحتمال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 بأن هذه القاعدة فیما نحن فیه إنما هی قاعدة شغل الذمة الیقینی یستدعی الفراغ الیقینی، حیث إن المکلف قد اشتغلت ذمته یقینا بالصلاة، و مع الشک فی حصول مصلحتها یکون الفراغ منها مشکوکا فیحکم العقل حینئذ بلزوم الفراغ الیقینی المتوقف علی داعی الأمر، و إذا وصلت النوبة إلی الشک فی فراغ الذمة بعد اشتغالها فلا مورد لقاعدة قبح العقاب بلا بیان، بل یکون العقاب عقابا بالبیان الذی هو قیام الحجة العقلیة، و هی أن شغل الذمة الیقینی یستدعی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صاحب الکفایة قد سدّ باب البراءة العقلیة فی ذلک المقام و فی هذا المقام، من جهة کون الشک فی المقامین راجعا إلی الشک فی السقوط، و مع الشک فی السقوط یکون العقل حاکما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قدّس سرّه قد فتح باب البراءة الشرعیة بدعوی حکومتها علی الاحتیاط العقلی، لکنها لا مجال لها فی هذا المقام، لعدم کون الوضع فیها راجعا إلی الشارع لعدم إمکان أمره بداعی الأمر، فلا یکون فیه مجال للرفع الشرعی، و من الواضح أن انسداد باب البراءة العقلیة هناک و هنا لا یوجب انسداد باب البراءة الشرعیة هناک بعد أن کان الجعل هناک ممکنا و کان الجعل هنا غیر ممکن</w:t>
      </w:r>
      <w:r>
        <w:rPr>
          <w:rFonts w:eastAsia="IRNazanin" w:cs="IRNazanin"/>
          <w:color w:val="111111"/>
          <w:sz w:val="28"/>
          <w:szCs w:val="28"/>
          <w:rtl w:val="true"/>
          <w:lang w:bidi="fa-IR"/>
        </w:rPr>
        <w:t>.</w:t>
      </w:r>
    </w:p>
    <w:p>
      <w:pPr>
        <w:pStyle w:val="Heading5"/>
        <w:numPr>
          <w:ilvl w:val="4"/>
          <w:numId w:val="1"/>
        </w:numPr>
        <w:rPr/>
      </w:pPr>
      <w:bookmarkStart w:id="664" w:name="__RefHeading___Toc3493899_2314609296"/>
      <w:bookmarkStart w:id="665" w:name="_Toc242"/>
      <w:bookmarkEnd w:id="664"/>
      <w:r>
        <w:rPr>
          <w:rtl w:val="true"/>
        </w:rPr>
        <w:t>[</w:t>
      </w:r>
      <w:r>
        <w:rPr>
          <w:rtl w:val="true"/>
        </w:rPr>
        <w:t>مناقشة ما أفاده السید الحکیم قدّس سرّه فی الحقائق</w:t>
      </w:r>
      <w:bookmarkEnd w:id="665"/>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الجهة هی العمدة فی نظر صاحب الکفایة فی الفرق بین المقامین، فلا یرد علیه ما فی الحقائق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یصلح فارقا فی</w:t>
      </w:r>
    </w:p>
    <w:p>
      <w:pPr>
        <w:pStyle w:val="BookText"/>
        <w:rPr/>
      </w:pPr>
      <w:r>
        <w:rPr>
          <w:rFonts w:ascii="IRNazanin" w:hAnsi="IRNazanin" w:eastAsia="IRNazanin"/>
          <w:color w:val="111111"/>
          <w:sz w:val="28"/>
          <w:sz w:val="28"/>
          <w:szCs w:val="28"/>
          <w:rtl w:val="true"/>
          <w:lang w:bidi="fa-IR"/>
        </w:rPr>
        <w:t xml:space="preserve">وجوب الاحتیاط و عدمه فی نظر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975"/>
      </w:r>
      <w:r>
        <w:rPr>
          <w:rFonts w:ascii="IRNazanin" w:hAnsi="IRNazanin" w:eastAsia="IRNazanin"/>
          <w:color w:val="111111"/>
          <w:sz w:val="28"/>
          <w:sz w:val="28"/>
          <w:szCs w:val="28"/>
          <w:rtl w:val="true"/>
          <w:lang w:bidi="fa-IR"/>
        </w:rPr>
        <w:t>فلاحظه بما تقدمه من شرح عبارة المصنف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فی الحقیقة یرجع إلی الشک فی التکلیف بالسورة، و الشک فی التکلیف موضوع للبراءة عقلا بخلاف الشک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976"/>
      </w:r>
      <w:r>
        <w:rPr>
          <w:rFonts w:ascii="IRNazanin" w:hAnsi="IRNazanin" w:eastAsia="IRNazanin"/>
          <w:color w:val="111111"/>
          <w:sz w:val="28"/>
          <w:sz w:val="28"/>
          <w:szCs w:val="28"/>
          <w:rtl w:val="true"/>
          <w:lang w:bidi="fa-IR"/>
        </w:rPr>
        <w:t>مما ظاهره أن المصنف قائل بالبراءة العقلیة هناک، اللهم إلّا أن یکون قوله عقلا قیدا لقوله موضوع، لا أنه قید للبراءة،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الشرعیة هناک لا تنفع فی إزالة الشک فی السقوط إلّا علی الأصل المثبت، لکن هذا مطلب آخر لا ربط له بما افید من الایراد هنا،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یرد علی صاحب الکفایة قدّس سرّه أن الأمر بواجد الجزء المشکوک الجزئیة و إن لم یکن معلوما، إلّا أن الأمر بما عداه من الأجزاء معلوم، و بواسطة الشک فی حصول الغرض به أو توقفه علی الجزء المشکوک یکون سقوط ذلک الغرض بدون المشکوک مشکوکا، فیجری فیه الاشکال الذی جری فی قصد القربة، و هذا الایراد هو الذی أفاده شیخنا قدّس سرّه فی صفحة </w:t>
      </w:r>
      <w:r>
        <w:rPr>
          <w:rFonts w:eastAsia="IRNazanin" w:cs="IRNazanin"/>
          <w:color w:val="111111"/>
          <w:sz w:val="28"/>
          <w:szCs w:val="28"/>
          <w:lang w:bidi="fa-IR"/>
        </w:rPr>
        <w:t>106</w:t>
      </w:r>
      <w:r>
        <w:rPr>
          <w:rStyle w:val="FootnoteAnchor"/>
          <w:rtl w:val="true"/>
        </w:rPr>
        <w:footnoteReference w:id="97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شیخنا قدّس سرّه </w:t>
      </w:r>
      <w:r>
        <w:rPr>
          <w:rStyle w:val="FootnoteAnchor"/>
          <w:rtl w:val="true"/>
        </w:rPr>
        <w:footnoteReference w:id="978"/>
      </w:r>
      <w:r>
        <w:rPr>
          <w:rFonts w:ascii="IRNazanin" w:hAnsi="IRNazanin" w:eastAsia="IRNazanin"/>
          <w:color w:val="111111"/>
          <w:sz w:val="28"/>
          <w:sz w:val="28"/>
          <w:szCs w:val="28"/>
          <w:rtl w:val="true"/>
          <w:lang w:bidi="fa-IR"/>
        </w:rPr>
        <w:t>و إن منع من جریان البراءة العقلیة فی مبحث الأقل و الأکثر الارتباطیین، إلّا أنه لم یمنعه من جهة کون المسألة من قبیل الشک فی حصول الغرض و المصلحة، لعدم لزوم تحصیل المصلحة و الغرض عنده فیما لو کان التوقف معلوما فضلا عمّا لو کان مشکوکا، بل إنما منعه من جهة العلم الاجمالی المردد بین الأقل و الأکثر الارتباطیین، و لا</w:t>
      </w:r>
      <w:bookmarkStart w:id="666" w:name="pg19834_212589"/>
    </w:p>
    <w:p>
      <w:pPr>
        <w:pStyle w:val="BookText"/>
        <w:rPr/>
      </w:pPr>
      <w:bookmarkEnd w:id="666"/>
      <w:r>
        <w:rPr>
          <w:rFonts w:ascii="IRNazanin" w:hAnsi="IRNazanin" w:eastAsia="IRNazanin"/>
          <w:color w:val="111111"/>
          <w:sz w:val="28"/>
          <w:sz w:val="28"/>
          <w:szCs w:val="28"/>
          <w:rtl w:val="true"/>
          <w:lang w:bidi="fa-IR"/>
        </w:rPr>
        <w:t>ینحل بالبراءة العقلیة، و إنما ینحل بالبراءة الشرعیة، و لأجل ذلک قال بجریانها فی تلک المسألة دون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ینبغی أن یقول فیما نحن فیه بجریان البراءة العقلیة کالشرعیة، أما ما أفاده قدّس سرّه هنا و هناک أیضا من المناقشة مع صاحب الکفایة قدّس سرّه فعمدته هو هذه الجهة، أعنی عدم لزوم تحصیل المصالح و أنه لو قلنا بلزوم ذلک فالبراءة الشرعیة لا تنفع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 قدّس سرّه هنا</w:t>
      </w:r>
      <w:r>
        <w:rPr>
          <w:rStyle w:val="FootnoteAnchor"/>
          <w:rtl w:val="true"/>
        </w:rPr>
        <w:footnoteReference w:id="979"/>
      </w:r>
      <w:r>
        <w:rPr>
          <w:rFonts w:ascii="IRNazanin" w:hAnsi="IRNazanin" w:eastAsia="IRNazanin"/>
          <w:color w:val="111111"/>
          <w:sz w:val="28"/>
          <w:sz w:val="28"/>
          <w:szCs w:val="28"/>
          <w:rtl w:val="true"/>
          <w:lang w:bidi="fa-IR"/>
        </w:rPr>
        <w:t>و هناک أیضا</w:t>
      </w:r>
      <w:r>
        <w:rPr>
          <w:rStyle w:val="FootnoteAnchor"/>
          <w:rtl w:val="true"/>
        </w:rPr>
        <w:footnoteReference w:id="980"/>
      </w:r>
      <w:r>
        <w:rPr>
          <w:rFonts w:ascii="IRNazanin" w:hAnsi="IRNazanin" w:eastAsia="IRNazanin"/>
          <w:color w:val="111111"/>
          <w:sz w:val="28"/>
          <w:sz w:val="28"/>
          <w:szCs w:val="28"/>
          <w:rtl w:val="true"/>
          <w:lang w:bidi="fa-IR"/>
        </w:rPr>
        <w:t>قد ناقش صاحب الکفایة بشی‌ء آخر زائدا علی ما تقدم، و هو أنا لو لم نقل بکون اعتبار داعویة الأمر شرعیا لکونه بالجعل الشرعی یعنی الأمر الثانی المتمم للجعل الأوّل، بل قلنا بکون اعتباره عقلیا ناشئا عن حکم العقل بلزوم تحصیل الغرض الذی هو المصلحة الباعثة علی الأمر الناشئ عن تلک المصلحة، یکون اللازم هو الاحتیاط فی مسألتنا و فی مسألة الأقل و الأکثر الارتباطیین، لاشتراکهما فی الشک فی حصول الغرض و المصلحة بدون الجزء المشکوک أو بدون داعی الأمر، و أنه لا وجه للتفرقة التی أفادها صاحب الکفایة قدّس سرّه بجریان البراءة الشرعیة فی الأوّل دون الثانی، إلّا من جهة التفرقة بین المحصل الشرعی و المحصل العقلی أو العادی، ثم أطال الکلام فی بیان هذا التفصیل و الایراد علیه، هذا</w:t>
      </w:r>
      <w:r>
        <w:rPr>
          <w:rFonts w:eastAsia="IRNazanin" w:cs="IRNazanin"/>
          <w:color w:val="111111"/>
          <w:sz w:val="28"/>
          <w:szCs w:val="28"/>
          <w:rtl w:val="true"/>
          <w:lang w:bidi="fa-IR"/>
        </w:rPr>
        <w:t>.</w:t>
      </w:r>
    </w:p>
    <w:p>
      <w:pPr>
        <w:pStyle w:val="Heading5"/>
        <w:numPr>
          <w:ilvl w:val="4"/>
          <w:numId w:val="1"/>
        </w:numPr>
        <w:rPr/>
      </w:pPr>
      <w:bookmarkStart w:id="667" w:name="__RefHeading___Toc3493901_2314609296"/>
      <w:bookmarkStart w:id="668" w:name="_Toc243"/>
      <w:bookmarkEnd w:id="667"/>
      <w:r>
        <w:rPr>
          <w:rtl w:val="true"/>
        </w:rPr>
        <w:t>[</w:t>
      </w:r>
      <w:r>
        <w:rPr>
          <w:rtl w:val="true"/>
        </w:rPr>
        <w:t>مطلب صاحب الکفایة قدّس سرّه لیس مبنیا علی التفرقة بین الأسباب و المسببات</w:t>
      </w:r>
      <w:bookmarkEnd w:id="668"/>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قد عرفت أن مطلب صاحب الکفایة قدّس سرّه لیس مبنیا علی هذه الجهة من التفرقة بین الأسباب، بل هو مبنی علی ما عرفت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لیست هی مورد الوجوب الشرعی، و أن کلا من الجزء و الشرط</w:t>
      </w:r>
    </w:p>
    <w:p>
      <w:pPr>
        <w:pStyle w:val="BookText"/>
        <w:rPr/>
      </w:pPr>
      <w:r>
        <w:rPr>
          <w:rFonts w:ascii="IRNazanin" w:hAnsi="IRNazanin" w:eastAsia="IRNazanin"/>
          <w:color w:val="111111"/>
          <w:sz w:val="28"/>
          <w:sz w:val="28"/>
          <w:szCs w:val="28"/>
          <w:rtl w:val="true"/>
          <w:lang w:bidi="fa-IR"/>
        </w:rPr>
        <w:t>و من داعی الأمر لا تکون مدخلیته شرعیة لیکون شی‌ء منهما من قبیل الأسباب الشرعیة، بل هذه الامور أعنی الجزء و الشرط و داعی الأمر کلها أسباب عادیة للمصلحة، غیر أن الأوّل أعنی الجزء و الشرط لمّا کان للشارع أن یأمر به، فمع الشک فی أمره به یکون المرجع فیه هو البراءة الشرعیة، و بها یندفع الشک فی حصول المصلحة، و الثانی و هو داعی الأمر لمّا لم یکن أمره به ممکنا لم تجر فیه البراءة الشرعیة، فیبقی الشک فیه فی حصول المصلحة بحاله، و حینئذ یکون الحکم العقلی بعد العلم باشتغال الذمة بالصلاة بواسطة الأمر بها باقیا بحاله بلا حاکم علیه أعنی البراءة الشرعیة، و مقتضاه لزوم الفراغ الیقینی عن ذلک الأمر، و ذلک لا یکون إلّا مع إحراز الحصول علی مصلحته و الغرض الباعث علیه، و هو أعنی الاحراز لا یتأتی إلّا بالاتیان بما یحتمل دخله فیها و هو داعی الأمر، و حینئذ تنحصر المناقشة معه فی هذه الجهة من الحکومة العقلیة، و أن العقل لا یحکم علی المکلفین بلزوم تحصیل الغرض و المصالح فضلا عن الالزام باحراز حصولها فی مقام الشک، و لو کان ذلک لازما بحکم العقل لا نسدّ باب البراءة الشرعیة فی مسألة الأقل و الأکثر، فان حدیث الرفع لا یثبت إحراز المصلحة فی الأقل إلّا بالأصل المثبت، فلاحظ و تدبر</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أن شیخنا قدّس سرّه قد أخرج کلام صاحب الکفایة قدّس سرّه إلی ساحة الأسباب و المسببات، و أن المسبب هو المصلحة و السبب هو الأجزاء و الشرائط و داعویة الأمر، و أن الفرق بین الأولین و الثالث هو کون سببیتهما شرعیة و کون سببیته واقعیة تکوینیة، فاحتاج أوّلا إلی بیان الأسباب الشرعیة و هل تجری البراءة فی مواردها، و ثانیا إلی بیان أن ما نحن فیه لیس من قبیل الأسباب و المسببات، و لو کانت فهی من الأسباب العادیة، من دون</w:t>
      </w:r>
    </w:p>
    <w:p>
      <w:pPr>
        <w:pStyle w:val="BookText"/>
        <w:rPr/>
      </w:pPr>
      <w:r>
        <w:rPr>
          <w:rFonts w:ascii="IRNazanin" w:hAnsi="IRNazanin" w:eastAsia="IRNazanin"/>
          <w:color w:val="111111"/>
          <w:sz w:val="28"/>
          <w:sz w:val="28"/>
          <w:szCs w:val="28"/>
          <w:rtl w:val="true"/>
          <w:lang w:bidi="fa-IR"/>
        </w:rPr>
        <w:t>فرق فی ذلک بین الأجزاء و الشرائط و بین داعویة الأمر، و لأجل بیان عدم جریان البراءة فی الأسباب و المسببات الشرعیة ذکر مقدمة، و هی أنه لا بدّ فیما یجری فیه حدیث الرفع من کونه مجعولا شرعیا، و کونه مجهولا للمکلف، و کون رفعه فیه المنة علی المکلفین، ثم مثّل لذلک بالطهارة من الحدث أو من الخبث التی هی عنوان متولد من أفعال الوضوء أو من أفعال إزالة النجاسة بالغسلتین مثلا، و ذکر الخلاف فی کون المجعول هو نفس المسبب أو أن المجعول هو السببیة، و أن المختار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أن الطهارة عند اجتماع تلک الأفعال مع جمیع ما یحتمل اعتباره أعنی عند اجتماع الغسلتین و المسحتین مع المضمضة مثلا تکون معلومة الحصول، و عند الاقتصار علی الغسلتین و المسحتین یکون حصولها مشکوکا، و من الواضح أن البراءة لا تجری فی الأوّل لکون الطهارة حینئذ معلومة، و إنما یمکن توهم جریانها فی الثانی، لکن جریانها فیه خلاف المنة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خلاف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فان ذلک الرفع لا یکون عنهم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الحال فیما لو قلنا بجعل السببیة، فان سببیة الخمسة معلومة لکن سببیة الأربعة مجهولة، إلّا أنه لا منة فی رفعها، إلّا أن نوجّه الرفع إلی جزء السبب و هو المضمضة، و نقول إن جزئیته مرفوعة، لکنه محال فی محال، لأن جعل السببیة لتلک الأفعال محال، و بعد تسلیم جعلها تکون جزئیة المضمضة لذلک السبب محالا، لما حقق فی محله </w:t>
      </w:r>
      <w:r>
        <w:rPr>
          <w:rStyle w:val="FootnoteAnchor"/>
          <w:rtl w:val="true"/>
        </w:rPr>
        <w:footnoteReference w:id="982"/>
      </w:r>
      <w:r>
        <w:rPr>
          <w:rFonts w:ascii="IRNazanin" w:hAnsi="IRNazanin" w:eastAsia="IRNazanin"/>
          <w:color w:val="111111"/>
          <w:sz w:val="28"/>
          <w:sz w:val="28"/>
          <w:szCs w:val="28"/>
          <w:rtl w:val="true"/>
          <w:lang w:bidi="fa-IR"/>
        </w:rPr>
        <w:t>من أن جزئیة جزء الواجب منتزعة من التکلیف المتعلق بالمرکب لا أن الجزئیة مجعولة،</w:t>
      </w:r>
    </w:p>
    <w:p>
      <w:pPr>
        <w:pStyle w:val="BookText"/>
        <w:rPr/>
      </w:pPr>
      <w:r>
        <w:rPr>
          <w:rFonts w:ascii="IRNazanin" w:hAnsi="IRNazanin" w:eastAsia="IRNazanin"/>
          <w:color w:val="111111"/>
          <w:sz w:val="28"/>
          <w:sz w:val="28"/>
          <w:szCs w:val="28"/>
          <w:rtl w:val="true"/>
          <w:lang w:bidi="fa-IR"/>
        </w:rPr>
        <w:t>هذا کله فی أصل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أغضینا النظر عمّا ذکرناه من الاشکال فیه، و قلنا إن جزئیة السبب مجعولة، یکون الرفع متوجها إلی جزئیة المشکوک الذی هو المضمضة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ننقل الکلام فی ابتناء ما نحن فیه علی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المصلحة لیست بمجعولة شرعا کی یندرج المقام فی السببیة الشرعیة، بل هی أمر واقعی، و مدخلیة الأجزاء و الشرائط فیها واقعیة صرفة کمدخلیة داعویة الأمر، فلیس فی البین مسبب شرعی و لا سببیة شرعیة، و لا تکون هذه السببیة إلّا کحال سببیة الالقاء فی النار للاحراق فی کونها واقعیة، غایته تعلق الأمر بالأجزاء و الشرائط دون داعویة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عرفت فی مبحث الصحیح و الأعم </w:t>
      </w:r>
      <w:r>
        <w:rPr>
          <w:rStyle w:val="FootnoteAnchor"/>
          <w:rtl w:val="true"/>
        </w:rPr>
        <w:footnoteReference w:id="983"/>
      </w:r>
      <w:r>
        <w:rPr>
          <w:rFonts w:ascii="IRNazanin" w:hAnsi="IRNazanin" w:eastAsia="IRNazanin"/>
          <w:color w:val="111111"/>
          <w:sz w:val="28"/>
          <w:sz w:val="28"/>
          <w:szCs w:val="28"/>
          <w:rtl w:val="true"/>
          <w:lang w:bidi="fa-IR"/>
        </w:rPr>
        <w:t>من کون الصلاة بالنسبة إلی المصالح من قبیل المعدّات لا من قبیل الأسباب فضلا عن کونها تولیدیة فضلا عن کونها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فلو کان الأمر متوجها إلی نفس المصالح فلا ینبغی الریب فی لزوم الاحتیاط فیها لعدم الشک فیها و إنما الشک فی معدّها أو فی أسبابها، و لا مجال فیه للبراءة، سواء کان المشکوک جزءا أو کان شرطا أو کان هو داعویة الأمر</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نلتزم بأن الأمر وارد علی الأسباب أعنی الأفعال، لکن العقل حاکم بلزوم تحصیل الغرض من الأمر، فان کان المشکوک مثل قصد داعی الأمر فلا مجال للبراءة فیه لعدم إمکان الأمر به، بخلاف مثل الجزء و الشرط فانه لمّا کان باب الوضع فیه منفتحا کان باب الرفع فیه أیضا</w:t>
      </w:r>
    </w:p>
    <w:p>
      <w:pPr>
        <w:pStyle w:val="BookText"/>
        <w:rPr/>
      </w:pPr>
      <w:r>
        <w:rPr>
          <w:rFonts w:ascii="IRNazanin" w:hAnsi="IRNazanin" w:eastAsia="IRNazanin"/>
          <w:color w:val="111111"/>
          <w:sz w:val="28"/>
          <w:sz w:val="28"/>
          <w:szCs w:val="28"/>
          <w:rtl w:val="true"/>
          <w:lang w:bidi="fa-IR"/>
        </w:rPr>
        <w:t>منفتحا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المصلحة لیست باختیار المکلف، و إنما القابل لاختیاره هو الأفعال المعدّة لها، فلا یجب علی المکلف تحصیلها و لو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أنها قابلة لاختیار المکلف و أن نسبة الأفعال إلیها نسبة الأسباب التولیدیة، لم یحصل الفرق بین تعلق الأمر بها أو تعلقه بتلک الأفعال کما هو الشأن فی المسببات التولیدیة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نلتزم بأن الأفعال معدّات للمصلحة، و لکن یحکم العقل بلزوم تحصیلها من جهة کونها هی العلة فی الأمر، و حینئذ فلو کان المشکوک جزءا کانت له جهتان، إحداهما کونه مأمورا به و الاخری کونه له المدخلیة فی الملاک، و نفی الجهة الاولی یوجب اکتفاء الشارع بما عداه فیکون ذلک عبارة اخری عن نفی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نفی الجهة الثانیة من اللوازم العقلیة و البراءة لا تثبتها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فی التحریر من الاعتراضین و جوابهما، و قد لخصناه و حذفنا منه ما ربما یکون من قبیل عدم مطابقة الجواب للسؤال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رجع الأمر بالأخرة إلی أن دعوی صاحب الکفایة لیست بمبنیة علی کون المقام من الأسباب الشرعیة و العقلیة، و لا علی تعلق الأمر بالمصالح، و لا علی کونها من قبیل المسببات التولیدیة، و إنما کان محصل دعواه هو حکم العقل بلزوم تحصیل غرض المولی، و لو کان المشکوک مما یدخله الأمر کانت البراءة فیه رافعة للشک فی ناحیة المدخلیة، بخلاف ما لو لم یکن مما یدخله الأمر، فلا مورد فیه للبراءة و یبقی فیه الشک فی السقوط بحاله</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منحصر بما عرفت من منع حکم العقل بلزوم تحصیل</w:t>
      </w:r>
    </w:p>
    <w:p>
      <w:pPr>
        <w:pStyle w:val="BookText"/>
        <w:rPr/>
      </w:pPr>
      <w:r>
        <w:rPr>
          <w:rFonts w:ascii="IRNazanin" w:hAnsi="IRNazanin" w:eastAsia="IRNazanin"/>
          <w:color w:val="111111"/>
          <w:sz w:val="28"/>
          <w:sz w:val="28"/>
          <w:szCs w:val="28"/>
          <w:rtl w:val="true"/>
          <w:lang w:bidi="fa-IR"/>
        </w:rPr>
        <w:t>الأغراض، و لو سلّم لم تکن البراءة نافعة فی إزالة الشک إلّا علی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ما أفاده شیخنا قدّس سرّه و لکن یمکن التأمل فیما أفاده فی أفعال الطهارة من الحدث و أفعال الطهارة من الخبث، بناء علی ما افید من کون المجعول الشرعی هو المسبب، فانه حینئذ غیر قابل لتعلق الوجوب لعدم کونه من أفعال المکلفین، فان کان هناک وجوب فلا بدّ أن یکون متعلقه هو الأسباب، و لا بدّ أن تکون تلک الأسباب من قبیل المعدّ، و حینئذ یکون حالها حال أفعال الصلاة بالنسبة إلی المصالح الواقعیة فی جریان البراءة الشرعیة فی جزئها المشکوک حتی عند شیخنا قدّس سرّه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الحال علی القول الثانی فی الأسباب الشرعیة أعنی جعل السببیة، فانه لا بدّ أن یکون مرکب الوجوب الشرعی هو تلک الأسباب، فمع الشک فی جزء منها یکون حالها حال الصلاة بالنسبة إلی مصلحتها المترتبة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لا یکون حال المسببات فی باب الطهارة من الحدث و الخبث إلّا حال المصالح فی الصلاة فی عدم تعلق الوجوب الشرعی بها، و إنما یتعلق الوجوب بنفس الأفعال المحصّلة لها أو المعدّة لها، بل هی فی ذلک أسوأ حالا من المصالح، لامکان أن یتوهم متوهم أن المصالح قابلة لتعلق التکلیف بتخیل کونها بالنسبة إلی الأفعال من قبیل المسببات التولیدیة، بخلاف الطهارة بناء علی کونها حکما شرعیا وضعیا مجعولا للشارع عند وجود سببه، و بعبارة أجدر عند وجود موضوعه الذی هو عبارة عن الغسلتین و المسحتین، و حیث قد تحقق أنها لا یمکن أن تکون موردا للتکلیف و أن حالها حال المصالح فی کون الأفعال معدّا لها، فلا یبقی فی البین إلّا النزاع بین شیخنا و صاحب الکفایة قدّس سرّهما فشیخنا یدعی</w:t>
      </w:r>
    </w:p>
    <w:p>
      <w:pPr>
        <w:pStyle w:val="BookText"/>
        <w:rPr/>
      </w:pPr>
      <w:r>
        <w:rPr>
          <w:rFonts w:ascii="IRNazanin" w:hAnsi="IRNazanin" w:eastAsia="IRNazanin"/>
          <w:color w:val="111111"/>
          <w:sz w:val="28"/>
          <w:sz w:val="28"/>
          <w:szCs w:val="28"/>
          <w:rtl w:val="true"/>
          <w:lang w:bidi="fa-IR"/>
        </w:rPr>
        <w:t xml:space="preserve">عدم حکومة العقل بلزوم تحصیلها، فلا مانع عنده من جریان البراءة الشرعیة فی الأجزاء المشکوکة، بل لا مانع عنده من البراءة العقلیة إلّا العلم الاجمالی، و هو مختص بما لو کان المشکوک من الأجزاء دون داعی الأمر، و البراءة الشرعیة توجب انحلال العلم الاجمالی فی مسألة الأقل و الأکثر، أما فیما نحن فیه فجریانها لا یتوقف علی دعوی الانحلال، إذ لیس المقام من ذلک القبیل، بل لیس الأولی </w:t>
      </w:r>
      <w:r>
        <w:rPr>
          <w:rStyle w:val="FootnoteAnchor"/>
          <w:rtl w:val="true"/>
        </w:rPr>
        <w:footnoteReference w:id="984"/>
      </w:r>
      <w:r>
        <w:rPr>
          <w:rFonts w:ascii="IRNazanin" w:hAnsi="IRNazanin" w:eastAsia="IRNazanin"/>
          <w:color w:val="111111"/>
          <w:sz w:val="28"/>
          <w:sz w:val="28"/>
          <w:szCs w:val="28"/>
          <w:rtl w:val="true"/>
          <w:lang w:bidi="fa-IR"/>
        </w:rPr>
        <w:t>و هو معلوم، و الأمر الثانی الذی هو متمم الجعل، و هذا هو المجهول و هو الذی تجری فیه البراءة الشرعیة بل البراءة العقلیة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صاحب الکفایة فالمانع عنده من جریان البراءة العقلیة هو کون المسألة من قبیل الشک فی المسقط، و ذلک جار فی المسألتین، أما البراءة الشرعیة فانما تجری عنده فی خصوص الأجزاء و الشرائط و بها یرتفع الشک فی حصول الغرض، و لا تجری فی داعی الأمر، لأنه لو کان معتبرا لم یکن بأمر من الشارع، و حینئذ ینحصر الایراد علیه بما تقدمت الاشارة إلیه من عدم حکم العقل بلزوم تحصیل المصالح، و لو حکم بها لم تنفع البراءة الشرعیة فی إثبات حصول المصلحة إلّا علی الأصل المثبت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مراجعة ما حررناه عن شیخنا قدّس سرّه </w:t>
      </w:r>
      <w:r>
        <w:rPr>
          <w:rStyle w:val="FootnoteAnchor"/>
          <w:rtl w:val="true"/>
        </w:rPr>
        <w:footnoteReference w:id="985"/>
      </w:r>
      <w:r>
        <w:rPr>
          <w:rFonts w:ascii="IRNazanin" w:hAnsi="IRNazanin" w:eastAsia="IRNazanin"/>
          <w:color w:val="111111"/>
          <w:sz w:val="28"/>
          <w:sz w:val="28"/>
          <w:szCs w:val="28"/>
          <w:rtl w:val="true"/>
          <w:lang w:bidi="fa-IR"/>
        </w:rPr>
        <w:t>فی هذه المسألة أعنی مسألة التفرقة بین المحصّلات الشرعیة و المحصّلات العادیة، و أنّ ما نحن فیه لیس من قبیل المحصلات الشرعیة بل و لا المحصلات العقلیة، فانه قدّس سرّه قد أطال الکلام فی توضیح هذه الجهات فی ست لیال متعاقبة فراجعه بما علّقناه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تعرضنا فی شرح العروة علی ما یتعلق بوضوء الجبیرة و بیان إمکان إجراء قاعدة المیسور فیها، و شرحنا هناک أنه بناء علی کون الطهارة من الحدث هی من الأحکام الوضعیة، و سببها أو شرطها أو موضوعها الأفعال الخاصة، یکون الأمر بتلک الأفعال لکونها موضوعا للحکم الشرعی بالطهارة، فیکون الحاصل من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 xml:space="preserve">هو أنه یجب علیکم هذه الأفعال لتکونوا داخلین فی حکمی بالطهارة التی تکون واجدیتها شرطا فی الصلاة، و مقتضی ذلک کله هو عدم جریان البراءة عند الشک فی بعض أجزائها، فراجع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مبنی الفرق المذکور علی التفرقة بین المحصّلات الشرعیة و الأسباب العادیة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حاصل ما أفاده فی الکفایة</w:t>
      </w:r>
      <w:r>
        <w:rPr>
          <w:rStyle w:val="FootnoteAnchor"/>
          <w:rtl w:val="true"/>
        </w:rPr>
        <w:footnoteReference w:id="989"/>
      </w:r>
      <w:r>
        <w:rPr>
          <w:rFonts w:ascii="IRNazanin" w:hAnsi="IRNazanin" w:eastAsia="IRNazanin"/>
          <w:color w:val="111111"/>
          <w:sz w:val="28"/>
          <w:sz w:val="28"/>
          <w:szCs w:val="28"/>
          <w:rtl w:val="true"/>
          <w:lang w:bidi="fa-IR"/>
        </w:rPr>
        <w:t>بین الشک فی اعتبار داعی الأمر لو کان الفعل عبادیا، و بین الشک فی اعتبار مثل الاستعاذة لو کانت جزءا من الصلاة، هو أن الأوّل لا مورد فیه لحدیث الرفع، فان تعلق الأمر بما عدا داعی الأمر معلوم، و أما نفس الغرض و لزوم تحصیله و توقف حصوله علی داعی الأمر، و کذلک اعتبار داعی الأمر فی العبادة، کلها أمور واقعیة لا مدخلیة فیها للتصرف الشرعی کی یکون إجراء البراءة فی شی‌ء منها ممکنا، و هذا بخلاف الثانی و هو اعتبار الاستعاذة فان نفس الغرض و توقفه علیها و حکم العقل بلزوم تحصیل الغرض و إن کانت کلها واقعیة لا</w:t>
      </w:r>
    </w:p>
    <w:p>
      <w:pPr>
        <w:pStyle w:val="BookText"/>
        <w:rPr/>
      </w:pPr>
      <w:r>
        <w:rPr>
          <w:rFonts w:ascii="IRNazanin" w:hAnsi="IRNazanin" w:eastAsia="IRNazanin"/>
          <w:color w:val="111111"/>
          <w:sz w:val="28"/>
          <w:sz w:val="28"/>
          <w:szCs w:val="28"/>
          <w:rtl w:val="true"/>
          <w:lang w:bidi="fa-IR"/>
        </w:rPr>
        <w:t>مورد فیها لحدیث الرفع، إلّا أن اعتبار الاستعاذة و لزوم الاتیان بها لمّا کان شرعیا کان للبراءة الشرعیة فیها مجال من هذه الجهة، و کان جریانها فی هذه الجهة موجبا لعدم فعلیة الأمر الضمنی المتعلق بها، و ذلک عبارة عن عدم فعلیة الأمر المتعلق بالمجموع المرکب من أجزاء الصلاة و الاستعاذة، و هذا کاف فی الخروج عن العهدة فعلا</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أقصی ما یمکن المناقشة فیه إنما هو فی هذه الجهة، أعنی کفایة عدم فعلیة الأمر بالمجموع فی الخروج عن العهدة مع فرض الشک فی حصول الغرض بفاقد الاستعاذة و قد حکم العقل بلزوم إحراز حصوله، فان أصالة البراءة لا تحرز حصول الغرض إلّا بلازمها، نعم لو کانت لنا أمارة دالة علی عدم الوجوب المتعلق بالمرکب لکانت حجة فی لازمها و هو حصول الغرض بالفاقد، و من الواضح أن هذه الجهة من تقریب مطلب صاحب الکفایة و الاشکال علیه بالمثبتیة لا دخل له بما فصّله شیخنا قدّس سرّه من الأسباب و المسببات الشرعیة و دعوی انفتاح باب البراءة الشرعیة فیها، و الأسباب و المسببات العقلیة الواقعیة و دعوی انسداد باب البراءة فیها، فانه علی الظاهر لا یبتنی علیه مطلب صاحب الکفایة، فان الغرض و أسباب حصوله و إن کانت واقعیة فلا ینفتح فیها باب البراءة الشرعیة فلا یکون لنا مجال لاعمال البراءة فی مورد احتمال اعتبار داعی الأمر، إلّا أن المسوّغ للبراءة فی مسألة الاستعاذة لیس هو کون المسبب الذی هو حصول الغرض شرعیا أو کون سببه و هو الاستعاذة شرعیا، لیکون حاله حال الطهارة من الحدث الأصغر بالنسبة إلی أفعال الوضوء، بل المسوّغ للبراءة فی الاستعاذة هو ما عرفت من الوجوب الشرعی الضمنی المنبسط علیها فی ضمن تعلق الأمر بالمجموع، فصاحب الکفایة یدعی أن جریان البراءة فی ذلک</w:t>
      </w:r>
    </w:p>
    <w:p>
      <w:pPr>
        <w:pStyle w:val="BookText"/>
        <w:rPr/>
      </w:pPr>
      <w:r>
        <w:rPr>
          <w:rFonts w:ascii="IRNazanin" w:hAnsi="IRNazanin" w:eastAsia="IRNazanin"/>
          <w:color w:val="111111"/>
          <w:sz w:val="28"/>
          <w:sz w:val="28"/>
          <w:szCs w:val="28"/>
          <w:rtl w:val="true"/>
          <w:lang w:bidi="fa-IR"/>
        </w:rPr>
        <w:t>الوجوب الضمنی کاف فی الاستراحة من الشک فی حصول الغرض و لا دخل لذلک بالمسببات و الأسباب الشرعیة،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أفاده شیخنا قدّس سرّه فی المسببات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لا مورد فیها للبراءة علی القول بکون المجعول هو المسبب، و کذا علی القول بجعل السببیة، بحجة أنه عند اجتماع کل ما یحتمل دخله فی السبب یکون حصول المسبب معلوما فلا مورد فیه للبراءة، و عند فقد بعض ما یحتمل فیه مدخلیته لا تجری البراءة لأن جریانها خلاف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بجعل السببیة و جعل جزئیة أجزاء السبب و حصل الشک فی کون الاستنشاق و المضمضة جزءا من أفعال الوضوء لأمکن جریان البراءة فی جزئیتها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فی مثل أفعال الوضوء بالنسبة إلی مسببها الذی هو من قبیل الحکم الوضعی أعنی الطهارة من الحدث، أما لو کان المسبب هو الحکم التکلیفی أعنی الوجوب فیما لو شکت المرأة أن إذن الزوج دخیل فی الاستطاعة، فالأمر فیه علی العکس، فانها عند فقد إذن الزوج تجری البراءة فی وجوب الحج و یکون فیه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الحکم التکلیفی هو الجواز، مثل أن یکون المرض و التداوی مسوّغا و مبیحا لشرب الخمر، لکان عند الشک فی مدخلیة کون المرض مهلکا مثلا مع فرض عدم کون المرض الفعلی کذلک، حاله حال ما أفاده شیخنا فی الوضوء</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فیما لو کان الحکم الوضعی الذی هو المسبب من قبیل ما یوجب التضییق کما فی سببیة الملاقاة للنجاسة لو شککنا فی اعتبار ملاقاة خاصة ککونها مع الرطوبة المنتقلة من أحد المتلاقیین إلی الآخر، کان حاله حال الوجوب، فان الملاقاة بدون القید المزبور توجب الشک فی</w:t>
      </w:r>
      <w:bookmarkStart w:id="669" w:name="pg19834_212599"/>
    </w:p>
    <w:p>
      <w:pPr>
        <w:pStyle w:val="BookText"/>
        <w:rPr/>
      </w:pPr>
      <w:bookmarkEnd w:id="669"/>
      <w:r>
        <w:rPr>
          <w:rFonts w:ascii="IRNazanin" w:hAnsi="IRNazanin" w:eastAsia="IRNazanin"/>
          <w:color w:val="111111"/>
          <w:sz w:val="28"/>
          <w:sz w:val="28"/>
          <w:szCs w:val="28"/>
          <w:rtl w:val="true"/>
          <w:lang w:bidi="fa-IR"/>
        </w:rPr>
        <w:t>حصول النجاسة فیمکن الرجوع فی ذلک إلی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المسببات الشرعیة تختلف، و لیس کل منها علی وتیرة الطهارة من الحدث بالنسبة إلی أفعال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باب الوضوء فالوجوه فیه ثلاثة،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الواجب هو نفس الأفعال التی تضمنتها الآیة الشریفة، فیکون حاله حال سائر الواجبات المرکبة، و تجری فیه قاعدة المیسور کما یجری فی مشکوکاته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تلک الأفعال علة لأمر تکوینی و هو صفاء النفس، و یکون المأمور به هو ذلک المعنی النفسانی المعلول للأفعال الوضوئیة، و حینئذ لا تجری فی أفعال الوضوء قاعدة المیسور، و یکون المرجع عند الشک فی اعتبار المضمضة مثلا هو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Style w:val="FootnoteAnchor"/>
          <w:rtl w:val="true"/>
        </w:rPr>
        <w:footnoteReference w:id="990"/>
      </w:r>
      <w:r>
        <w:rPr>
          <w:rFonts w:ascii="IRNazanin" w:hAnsi="IRNazanin" w:eastAsia="IRNazanin"/>
          <w:color w:val="111111"/>
          <w:sz w:val="28"/>
          <w:sz w:val="28"/>
          <w:szCs w:val="28"/>
          <w:rtl w:val="true"/>
          <w:lang w:bidi="fa-IR"/>
        </w:rPr>
        <w:t>أن الحال کذلک لو قلنا بأن المسبب هو ذلک الأمر الشرعی الاعتباری أعنی الطهارة من الحدث، إذ أنه حینئذ لا مورد فیه لقاعدة المیسور، کما أنه لا مورد فیه للبراءة الشرعیة عند الشک، فراجع ما حررناه فی التعلیق علی العروة فی مباحث وضوء الجبیرة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حکاه عن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إشکال فی وجود الغرض فی الأمر إلّا أن الشک فی کونه بحیث یسقط من دون التعبد أو لا، فیکون المقام من قبیل دوران الأمر بین المتباینین فلا بدّ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فالمرجع هی البراءة، لرجوع الشک فیه إلی الشک بین الأقل و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3493903_2314609296"/>
      <w:bookmarkStart w:id="671" w:name="_Toc244"/>
      <w:bookmarkEnd w:id="670"/>
      <w:r>
        <w:rPr>
          <w:rtl w:val="true"/>
        </w:rPr>
        <w:t>[</w:t>
      </w:r>
      <w:r>
        <w:rPr>
          <w:rtl w:val="true"/>
        </w:rPr>
        <w:t>مقتضی الأصل العملی بناء علی الاختلاف بین الأمر التعبدی و التوصلی بالهویة</w:t>
      </w:r>
      <w:r>
        <w:rPr>
          <w:rtl w:val="true"/>
        </w:rPr>
        <w:t>]</w:t>
      </w:r>
      <w:bookmarkEnd w:id="671"/>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الکلام فی الوجه الثانی و هو الاختلاف بین الأمر التعبدی</w:t>
      </w:r>
    </w:p>
    <w:p>
      <w:pPr>
        <w:pStyle w:val="BookText"/>
        <w:rPr/>
      </w:pPr>
      <w:r>
        <w:rPr>
          <w:rFonts w:ascii="IRNazanin" w:hAnsi="IRNazanin" w:eastAsia="IRNazanin"/>
          <w:color w:val="111111"/>
          <w:sz w:val="28"/>
          <w:sz w:val="28"/>
          <w:szCs w:val="28"/>
          <w:rtl w:val="true"/>
          <w:lang w:bidi="fa-IR"/>
        </w:rPr>
        <w:t>و التوصلی بالهویة لأجل اختلافهما فی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الوجه یمکن إرجاعه إلی ما عن الکلباسی و صاحب العناوین قدّس سرّهما علی ما شرحناه </w:t>
      </w:r>
      <w:r>
        <w:rPr>
          <w:rStyle w:val="FootnoteAnchor"/>
          <w:rtl w:val="true"/>
        </w:rPr>
        <w:footnoteReference w:id="992"/>
      </w:r>
      <w:r>
        <w:rPr>
          <w:rFonts w:ascii="IRNazanin" w:hAnsi="IRNazanin" w:eastAsia="IRNazanin"/>
          <w:color w:val="111111"/>
          <w:sz w:val="28"/>
          <w:sz w:val="28"/>
          <w:szCs w:val="28"/>
          <w:rtl w:val="true"/>
          <w:lang w:bidi="fa-IR"/>
        </w:rPr>
        <w:t xml:space="preserve">من التقید القهری بداعی الأمر، و یمکن إرجاعه إلی وجه آخر و هو کون مقصود الآمر من الأمر التعبدی هو إطاعته، بخلاف التوصلی فانه لیس المقصود منه إلّا مجرد وجود المأمور به، فیکون النظر إلی الأمر فی الأوّل استقلالیا و إلی الثانی توصلیا باتخاذه آلة لحصول المأمور به علی ما مرّ شرحه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الأوّل یکون لون التعبدیة قهریا علی الآمر بخلافه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 فی مقام الشک إنه علی الاول لا مورد فیه للبراءة الشرعیة، إذ لم تکن التعبدیة بقصد و جعل من الآمر، و به یتم ما عن الشیخ قدّس سرّه من التباین بین الأمرین</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یکون لون التعبدیة بقصد و جعل من الآمر، ففیه مورد للبراءة الشرعیة، لکونهما حینئذ من قبیل الأقل و الأکثر، لاشتراکهما فی کون المتعلق منظورا مرادا و مطلوبا للآمر، و زیادة التعبدی أنّ فیه نظرا و قصدا إلی نفس الأمر، و هذه الزیادة لمّا کانت موجبة للکلفة الزائدة علی المکلف و کانت تلک الکلفة آتیة من ناحیة نظر الآمر إلی نفس الأمر، و کان ذلک النظر بقصد من الآمر و بجعل منه، کان ذلک النظر موردا للبراءة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ثبوت أصل التعبدیة ننقل الکلام إلی تلک الزیادة الثابتة و هل هی مجرد داعویة الأمر أو أنها عبارة عن إطاعته و التعبد به، و علی الأوّل یکون ما زاد علی ذلک من الجزم و نیة الوجه موردا للبراءة، بخلافه علی الثانی للشک فی حصول الاطاعة و العبادیة بدونهما، فیکون المرجع فیهما هو الاشتغال، هذا</w:t>
      </w:r>
      <w:bookmarkStart w:id="672" w:name="pg19834_212601"/>
    </w:p>
    <w:p>
      <w:pPr>
        <w:pStyle w:val="BookText"/>
        <w:rPr/>
      </w:pPr>
      <w:bookmarkEnd w:id="672"/>
      <w:r>
        <w:rPr>
          <w:rFonts w:ascii="IRNazanin" w:hAnsi="IRNazanin" w:eastAsia="IRNazanin"/>
          <w:color w:val="111111"/>
          <w:sz w:val="28"/>
          <w:sz w:val="28"/>
          <w:szCs w:val="28"/>
          <w:rtl w:val="true"/>
          <w:lang w:bidi="fa-IR"/>
        </w:rPr>
        <w:t>علی الوجه الثانی من تفسیر الاختلاف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الاول و هو التقید القهری بداعی الأمر، فان ثبت التقید بالبرهان الذی ذکرناه و مع ذلک احتملنا السقوط بغیر القید، فالمرجع فیه هو الاشتغال للشک فی السقوط، و إن لم یثبت البرهان المذکور و تردد فی التقید و عدمه علی نحو الشبهة الحکمیة کان الحال کذلک من عدم الرجوع إلی البراءة، لما عرفت من أن هذا التقید علی تقدیر ثبوته فانما هو قهری و لیس بقصد من الآمر لیکون مجعولا شرعا لتجری فیه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التقید القهری أعنی تقید المأمور به بداعی الأمر تقیدا قهریا، و شککنا فی الزائد علی ذلک من الجزم و التمییز و الوجه و نحوها، فالمرجع فیه هو البراءة الشرعیة، لکونها علی تقدیر اعتبارها مجعولة شرعیة قابلة للوضع و الرفع الشرعی</w:t>
      </w:r>
      <w:r>
        <w:rPr>
          <w:rFonts w:eastAsia="IRNazanin" w:cs="IRNazanin"/>
          <w:color w:val="111111"/>
          <w:sz w:val="28"/>
          <w:szCs w:val="28"/>
          <w:rtl w:val="true"/>
          <w:lang w:bidi="fa-IR"/>
        </w:rPr>
        <w:t>.</w:t>
      </w:r>
    </w:p>
    <w:p>
      <w:pPr>
        <w:pStyle w:val="Heading5"/>
        <w:numPr>
          <w:ilvl w:val="4"/>
          <w:numId w:val="1"/>
        </w:numPr>
        <w:rPr/>
      </w:pPr>
      <w:bookmarkStart w:id="673" w:name="__RefHeading___Toc3493905_2314609296"/>
      <w:bookmarkStart w:id="674" w:name="_Toc245"/>
      <w:bookmarkEnd w:id="673"/>
      <w:r>
        <w:rPr>
          <w:rtl w:val="true"/>
        </w:rPr>
        <w:t>خلاصة البحث فی أصالة التعبد أو التوصل</w:t>
      </w:r>
      <w:r>
        <w:rPr>
          <w:rtl w:val="true"/>
        </w:rPr>
        <w:t>:</w:t>
      </w:r>
      <w:bookmarkEnd w:id="674"/>
    </w:p>
    <w:p>
      <w:pPr>
        <w:pStyle w:val="BookText"/>
        <w:rPr/>
      </w:pPr>
      <w:r>
        <w:rPr>
          <w:rFonts w:ascii="IRNazanin" w:hAnsi="IRNazanin" w:eastAsia="IRNazanin"/>
          <w:color w:val="111111"/>
          <w:sz w:val="28"/>
          <w:sz w:val="28"/>
          <w:szCs w:val="28"/>
          <w:rtl w:val="true"/>
          <w:lang w:bidi="fa-IR"/>
        </w:rPr>
        <w:t>هی أن جلّ الاعتماد فی الفرق بین التعبدی و التوصلی علی حکم العقل بلزوم الاطاعة و الامتثال، و أن ذلک لا یحصل فی الاتیان بالفعل لا بداعی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حصل بالفعل العاری عن الداعی المذکور ما یکون من قبیل ذهاب الموضوع، و هذا هو الذی یسمی بالتوصلی، و هو یحتاج إلی دلیل، و مع عدمه فالمحکّم هو حکم العقل بالاطاعة و الامتثال المتوقفین فی نظر العقل علی الاتیان بالفعل بداعی الأمر، و هذا هو عبارة أخری عن أصالة التعبدیة و لعله هو المراد لصاحب الاشارات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التوأمیة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تجرید المتعلق من القید و التقیید و جعل الأمر واردا علی نفس الذات التی هی توأم مع القید لعله غیر معقول، فان التوأمیة عبارة أخری عن التقیید بنحو یکون التقید داخلا و القید</w:t>
      </w:r>
    </w:p>
    <w:p>
      <w:pPr>
        <w:pStyle w:val="BookText"/>
        <w:rPr/>
      </w:pPr>
      <w:r>
        <w:rPr>
          <w:rFonts w:ascii="IRNazanin" w:hAnsi="IRNazanin" w:eastAsia="IRNazanin"/>
          <w:color w:val="111111"/>
          <w:sz w:val="28"/>
          <w:sz w:val="28"/>
          <w:szCs w:val="28"/>
          <w:rtl w:val="true"/>
          <w:lang w:bidi="fa-IR"/>
        </w:rPr>
        <w:t>خارجا، إذ لا محصل لها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الذات التی هی توأم مع القید المذکور تکون معلولة للأمر فلا یعقل لحاظها متعلقة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مسلک الکفایة</w:t>
      </w:r>
      <w:r>
        <w:rPr>
          <w:rStyle w:val="FootnoteAnchor"/>
          <w:rtl w:val="true"/>
        </w:rPr>
        <w:footnoteReference w:id="994"/>
      </w: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عدم لزوم تحصیل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أن داعویة الأمر لارادة المکلف المتعلقة بالفعل لا یعقل کونها موردا للأمر، سواء کان الأمر شرعیا کما فی الأمر الثانی فی مسلک الشیخ </w:t>
      </w:r>
      <w:r>
        <w:rPr>
          <w:rStyle w:val="FootnoteAnchor"/>
          <w:rtl w:val="true"/>
        </w:rPr>
        <w:footnoteReference w:id="995"/>
      </w:r>
      <w:r>
        <w:rPr>
          <w:rFonts w:ascii="IRNazanin" w:hAnsi="IRNazanin" w:eastAsia="IRNazanin"/>
          <w:color w:val="111111"/>
          <w:sz w:val="28"/>
          <w:sz w:val="28"/>
          <w:szCs w:val="28"/>
          <w:rtl w:val="true"/>
          <w:lang w:bidi="fa-IR"/>
        </w:rPr>
        <w:t xml:space="preserve">الذی اصطلح علیه شیخنا قدّس سرّه بمتمم الجعل </w:t>
      </w:r>
      <w:r>
        <w:rPr>
          <w:rStyle w:val="FootnoteAnchor"/>
          <w:rtl w:val="true"/>
        </w:rPr>
        <w:footnoteReference w:id="996"/>
      </w:r>
      <w:r>
        <w:rPr>
          <w:rFonts w:ascii="IRNazanin" w:hAnsi="IRNazanin" w:eastAsia="IRNazanin"/>
          <w:color w:val="111111"/>
          <w:sz w:val="28"/>
          <w:sz w:val="28"/>
          <w:szCs w:val="28"/>
          <w:rtl w:val="true"/>
          <w:lang w:bidi="fa-IR"/>
        </w:rPr>
        <w:t>، أو کان الأمر عقلیا کما فی مسلک الکفایة</w:t>
      </w:r>
      <w:r>
        <w:rPr>
          <w:rStyle w:val="FootnoteAnchor"/>
          <w:rtl w:val="true"/>
        </w:rPr>
        <w:footnoteReference w:id="997"/>
      </w:r>
      <w:r>
        <w:rPr>
          <w:rFonts w:ascii="IRNazanin" w:hAnsi="IRNazanin" w:eastAsia="IRNazanin"/>
          <w:color w:val="111111"/>
          <w:sz w:val="28"/>
          <w:sz w:val="28"/>
          <w:szCs w:val="28"/>
          <w:rtl w:val="true"/>
          <w:lang w:bidi="fa-IR"/>
        </w:rPr>
        <w:t>من کون العقل حاکما بلزوم الداعویة، إذ لا یعقل أن یتوجه أمر للمکلف سواء کان من قبل الشارع أو من قبل العقل بأن یجعل داعیه علی الفعل المأمور به هو الأمر، لأن هذا الأمر قد تعلق بأن یرید المکلف أن یجعل داعیه علی الفعل هو أمر الشارع، فتکون للمکلف إرادة متعلقة بنفس الفعل المأمور به، و لهذه الارادة داع و هو الأمر الشرعی، و له إرادة تتعلق بهذه الداعویة، و هذه الارادة تکون عن داعی ذلک الأمر الثانی الشرعی بنظر الشیخ، أو العقلی بنظر صاحب الکفایة</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الایراد الثانی لا یتوجه علی ما شرحناه </w:t>
      </w:r>
      <w:r>
        <w:rPr>
          <w:rStyle w:val="FootnoteAnchor"/>
          <w:rtl w:val="true"/>
        </w:rPr>
        <w:footnoteReference w:id="998"/>
      </w:r>
      <w:r>
        <w:rPr>
          <w:rFonts w:ascii="IRNazanin" w:hAnsi="IRNazanin" w:eastAsia="IRNazanin"/>
          <w:color w:val="111111"/>
          <w:sz w:val="28"/>
          <w:sz w:val="28"/>
          <w:szCs w:val="28"/>
          <w:rtl w:val="true"/>
          <w:lang w:bidi="fa-IR"/>
        </w:rPr>
        <w:t>من مسلک صاحب الاشارات من حکومة العقل بلزوم الاطاعة و الامتثال، فان الاطاعة التی أمر بها العقل لیست هی عین الأمر بالداعویة و إن کانت لا تحصل إلّا بالاتیان</w:t>
      </w:r>
    </w:p>
    <w:p>
      <w:pPr>
        <w:pStyle w:val="BookText"/>
        <w:rPr/>
      </w:pPr>
      <w:r>
        <w:rPr>
          <w:rFonts w:ascii="IRNazanin" w:hAnsi="IRNazanin" w:eastAsia="IRNazanin"/>
          <w:color w:val="111111"/>
          <w:sz w:val="28"/>
          <w:sz w:val="28"/>
          <w:szCs w:val="28"/>
          <w:rtl w:val="true"/>
          <w:lang w:bidi="fa-IR"/>
        </w:rPr>
        <w:t>بداعی الأمر،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لیس بحاکم، و أن أقصی ما عنده هو إدراک الحسن و القبح، فهو یستحسن الاطاعة و یقبّح المعصیة و لیس لدیه أمر و لا نهی، و حینئذ یندفع الاشکال الثانی عن مسلک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التأمل فیما هو مسلک الشیخ قدّس سرّه من الأمر الثانی الذی اصطلح علیه شیخنا قدّس سرّه بمتمم الجعل، مضافا إلی التأمل فیه من ناحیة اخری، و هی أنه لا مورد للتصرف الشرعی أو الأمر الشرعی فی مقام الامتثال</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التفرقة التی أفادها فی الکفایة</w:t>
      </w:r>
      <w:r>
        <w:rPr>
          <w:rStyle w:val="FootnoteAnchor"/>
          <w:rtl w:val="true"/>
        </w:rPr>
        <w:footnoteReference w:id="999"/>
      </w:r>
      <w:r>
        <w:rPr>
          <w:rFonts w:ascii="IRNazanin" w:hAnsi="IRNazanin" w:eastAsia="IRNazanin"/>
          <w:color w:val="111111"/>
          <w:sz w:val="28"/>
          <w:sz w:val="28"/>
          <w:szCs w:val="28"/>
          <w:rtl w:val="true"/>
          <w:lang w:bidi="fa-IR"/>
        </w:rPr>
        <w:t xml:space="preserve">بین الشک فی الجزئیة و بین ما نحن فیه فی الرجوع إلی البراءة فی الأوّل دون الثانی، مخدوشة بأن الأمر بواجد الجزء المشکوک و إن لم یکن معلوما إلّا أن الأمر بما عداه معلوم، و بواسطة الشک فی حصول الغرض بفاقد ذلک الجزء یکون سقوط الأمر مشکوکا فیجری فیه إشکال قصد القربة، و لا تکون البراءة الشرعیة نافعة إلّا بالأصل المثبت کما قرره شیخنا قدّس سرّه فی صفحة </w:t>
      </w:r>
      <w:r>
        <w:rPr>
          <w:rFonts w:eastAsia="IRNazanin" w:cs="IRNazanin"/>
          <w:color w:val="111111"/>
          <w:sz w:val="28"/>
          <w:szCs w:val="28"/>
          <w:lang w:bidi="fa-IR"/>
        </w:rPr>
        <w:t>106</w:t>
      </w:r>
      <w:r>
        <w:rPr>
          <w:rStyle w:val="FootnoteAnchor"/>
          <w:rtl w:val="true"/>
        </w:rPr>
        <w:footnoteReference w:id="1000"/>
      </w:r>
      <w:r>
        <w:rPr>
          <w:rFonts w:ascii="Amiri" w:hAnsi="Amiri" w:eastAsia="Amiri" w:cs="Amiri"/>
          <w:color w:val="111111"/>
          <w:sz w:val="28"/>
          <w:sz w:val="28"/>
          <w:szCs w:val="28"/>
          <w:rtl w:val="true"/>
          <w:lang w:bidi="ar-SA"/>
        </w:rPr>
        <w:t xml:space="preserve">فراجع، و راجع ما حررناه من صفحة </w:t>
      </w:r>
      <w:r>
        <w:rPr>
          <w:rFonts w:eastAsia="Amiri" w:cs="Amiri" w:ascii="Amiri" w:hAnsi="Amiri"/>
          <w:color w:val="111111"/>
          <w:sz w:val="28"/>
          <w:szCs w:val="28"/>
          <w:lang w:bidi="ar-SA"/>
        </w:rPr>
        <w:t>197</w:t>
      </w:r>
      <w:r>
        <w:rPr>
          <w:rStyle w:val="FootnoteAnchor"/>
          <w:rtl w:val="true"/>
        </w:rPr>
        <w:footnoteReference w:id="1001"/>
      </w:r>
      <w:r>
        <w:rPr>
          <w:rFonts w:ascii="IRNazanin" w:hAnsi="IRNazanin" w:eastAsia="IRNazanin"/>
          <w:color w:val="111111"/>
          <w:sz w:val="28"/>
          <w:sz w:val="28"/>
          <w:szCs w:val="28"/>
          <w:rtl w:val="true"/>
          <w:lang w:bidi="fa-IR"/>
        </w:rPr>
        <w:t>إلی هنا و تأمل</w:t>
      </w:r>
      <w:r>
        <w:rPr>
          <w:rFonts w:eastAsia="IRNazanin" w:cs="IRNazanin"/>
          <w:color w:val="111111"/>
          <w:sz w:val="28"/>
          <w:szCs w:val="28"/>
          <w:rtl w:val="true"/>
          <w:lang w:bidi="fa-IR"/>
        </w:rPr>
        <w:t>.</w:t>
      </w:r>
      <w:bookmarkStart w:id="675" w:name="pg19834_212604"/>
    </w:p>
    <w:p>
      <w:pPr>
        <w:pStyle w:val="Heading2"/>
        <w:numPr>
          <w:ilvl w:val="1"/>
          <w:numId w:val="1"/>
        </w:numPr>
        <w:rPr/>
      </w:pPr>
      <w:bookmarkStart w:id="676" w:name="__RefHeading___Toc3493907_2314609296"/>
      <w:bookmarkStart w:id="677" w:name="_Toc246"/>
      <w:bookmarkEnd w:id="675"/>
      <w:bookmarkEnd w:id="676"/>
      <w:r>
        <w:rPr>
          <w:rtl w:val="true"/>
        </w:rPr>
        <w:t>فهرس الموضوعات</w:t>
      </w:r>
      <w:bookmarkEnd w:id="677"/>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 xml:space="preserve">مرتبة علم الاصول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علم الاصول من المبادئ التصدیقیة لعلم الفقه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ما هی المبادئ التصدیقیة؟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موضوع کل علم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تفسیر الواسطة فی العروض و الثبوت و الاثبات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تحقیق مفصّل حول أقسام العرض و ما یکون ذاتیا و ما یکون غریبا و جهات اخری مرتبطة بالعوارض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الکلام فی الوضع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سبب الوضع هل هو إلهی أو بشری؟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عدم حصول الوضع بکثرة الاستعمال المجازی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حصول الوضع بالاستعمال و دفع الاشکال عنه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هل الوضع العام و الموضوع له الخاص ممکن أم لا؟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المعنی الحرفی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معانی الأسماء إخطاریة دون الحروف </w:t>
      </w:r>
      <w:r>
        <w:rPr>
          <w:rFonts w:eastAsia="IRNazanin" w:cs="IRNazanin"/>
          <w:color w:val="111111"/>
          <w:sz w:val="28"/>
          <w:szCs w:val="28"/>
          <w:lang w:bidi="fa-IR"/>
        </w:rPr>
        <w:t>41</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انقسام المعانی غیر الاخطاریة إلی إیجادیة و نسبیة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کون الحروف النسبیة موضوعة لجهة النسبة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کیفیة تصویر حمل الذات علی الموضوع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معنی أخذ الموضوع لا بشرط من ناحیة المحمول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تحقق الایجادیة بالهیئة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وجود النسبة بین عرضین و جوهرین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عدم خروج النسبة عن کونها إیجادیة کسائر المعانی الحرفیة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نقد کلام السید الخوئی قدّس سرّه فی المعنی الحرفی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کون العرض مع ملابساته کالفاعل و المفعول به فی مرتبة واحدة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تقسیم الحروف المستقلة فی الوجود من حیث وضعها للنسبة الأولیة و الثانویة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معنی الظرف المستقر و الظرف اللغو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معانی الحروف کلها إیجادیة نسبیة کانت أو غیرها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مناقشة ما اختاره صاحب الکفایة فی المعنی الحرفی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أدلة صاحب الکفایة علی استحالة أخذ اللحاظ فی المستعمل فیه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نقد القول بأن المعنی الحرفی ما لا یوجد فی الذهن إلا تبعا بخلاف الأسماء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نقد القول بأن معانی الحروف النسب و الارتباطات الواقعیة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ما أشکل به المحقق العراقی قدّس سرّه علی مسلک الکفایة قدّس سرّه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هل أسماء الاشارة موضوعة للذات فی مقام الاشارة أو للاشارة إلی الذات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دفع الاشکال علی کون أدوات الاشارة حروفا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دفع المنافاة بین إیجادیة الحروف للنسبة و اتصافها بالصدق و الکذب </w:t>
      </w:r>
      <w:r>
        <w:rPr>
          <w:rFonts w:eastAsia="IRNazanin" w:cs="IRNazanin"/>
          <w:color w:val="111111"/>
          <w:sz w:val="28"/>
          <w:szCs w:val="28"/>
          <w:lang w:bidi="fa-IR"/>
        </w:rPr>
        <w:t>70</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إمکان اجتماع النقیضین فی الذهن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کون المعنی الحرفی غیر ملتفت إلیه حال الاستعمال بخلاف المعنی الاسمی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کون النظر إلی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لفظ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المناقشة فی کون المعنی الحرفی آلة بالنسبة إلی معنی الاسمی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البرهان علی کون المعنی الحرفی منظورا إلیه استقلالا و المناقشة فیه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نقد کلام السید الخوئی قدّس سرّه فی المعنی الحرفی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مقالة المحقق العراقی فی حقیقة المعنی الحرفی و نقده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نقل کلام صاحب الحاشیة قدّس سرّه فی المعنی الحرفی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تفسیر و توضیح للروایة المنسوبة إلی علی علیه السّلام فی الحروف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مناقشة السید الخوئی قدّس سرّه فی المعنی الحرفی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مناقشة السید الخوئی قدّس سرّه فی وضع هیئة الجملة الاسمیة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مناقشة السید الخوئی قدّس سرّه فی وضع هیئة الأفعال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مناقشة السید الخوئی قدّس سرّه فی الفرق بین الانشاء و الاخبار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تنبیهات ثلاثة فی نهایة بحث المعنی الحرفی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تضمن أسماء الاشارة و أسماء الأفعال لمعنی الحرف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اتصاف معانی الحروف بالکلیة و الجزئیة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قابلیة المعانی الحرفیة للتقیید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استعمال اللفظ فی نوعه أو صنفه أو مثله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الکلام فی الحقیقة الشرعیة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تقدیم مقدمات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الحقیقة الشرعیة علی الاختراع و التسمیة و ذکر صور فی المقام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الحقیقة الشرعیة من الوضع التعیینی و التعینی </w:t>
      </w:r>
      <w:r>
        <w:rPr>
          <w:rFonts w:eastAsia="IRNazanin" w:cs="IRNazanin"/>
          <w:color w:val="111111"/>
          <w:sz w:val="28"/>
          <w:szCs w:val="28"/>
          <w:lang w:bidi="fa-IR"/>
        </w:rPr>
        <w:t>110</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استبعاد حصول الوضع الابتدائی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حصول الوضع بکثرة الاستعمال مجازا و المناقشة فیه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حصول الوضع بالاستعمال و بیان کلمات الأعلام قدّس سرّهم فیه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النزاع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نقد کلام صاحب الکفایة قدّس سرّه فی المقام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الکلام فی الصحیح و الأعم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توجیه جریان النزاع مع إنکار الحقیقة الشرعیة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توجیه آخر فی المقام و الاشکال علیه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إشکال بعض محشی الکفایة علی هذه التوجیهات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اختلاف ثمرة النزاع فی مسألة الحقیقة الشرعیة عن مسألة الصحیح و الأعم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نقل ما فی الکفایة من تأتّی النزاع علی القول بالحقیقة الشرعیة و إنکارها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تفسیر الصحة بالتمامیة و المناقشة فیه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تصویر الجامع علی القول بالوضع للصحیح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انتفاء النزاع بناء علی ما ذکره السید البروجردی قدّس سرّه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مناقشة السید الخوئی قدّس سرّه فی تصویر الجامع علی الأعم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التعرض لکلام المحقق القمی قدّس سرّه فی تصویر الجامع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دخول الشرائط فی محل النزاع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اعتبار قصد التقرب و عدم النهی و عدم المزاحم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القول بوضع لفظ الصلاة لمفهوم الصحیح أو فریضة الوقت و نقده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نقل کلام المحقق النائینی قدّس سرّه فی المقام و نقده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الکلام فی تصویر الجامع بمعنی معظم الأجزاء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هل الأعمی یمکنه التمسک بالاطلاقات </w:t>
      </w:r>
      <w:r>
        <w:rPr>
          <w:rFonts w:eastAsia="IRNazanin" w:cs="IRNazanin"/>
          <w:color w:val="111111"/>
          <w:sz w:val="28"/>
          <w:szCs w:val="28"/>
          <w:lang w:bidi="fa-IR"/>
        </w:rPr>
        <w:t>184</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تلخیص البحث و توضیحه ضمن امور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جریان النزاع فی المعاملات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الاشتراک و الترادف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استعمال اللفظ فی أکثر من معنی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مبحث المشتق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المراد بالمشتق فی محل النزاع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ابتناء تحریم المرضعة علی بحث المشتق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توهم خروج أسماء الزمان عن محل النزاع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نقد کلام صاحب الکفایة قدّس سرّه فی المقام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نقل عبارة العلّامة و فخر الدین فی مسألة الرضاع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مسألتان فی الرضاع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نقد ما ذکره الآخوند قدّس سرّه فی رسالته الرضاعیة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مناقشة المصنف للسید الخوئی قدّس سرّهما فی الرضاع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نقل کلام صاحب الدرر فی الرضاع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توهم خروج أسماء الزمان عن محل النزاع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نقد کلام صاحب الکفایة قدّس سرّه فی المقام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إدخال اسم الزمان فی محل النزاع من جهة اخری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نقد کلام المحقق النائینی فی المقام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النزاع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تفصیل الکلام فیما ینقل من إنکار المجاز فی الکلمة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الاشکال علی تفسیر الحال بفعلیة التلبس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الکلام فی مبدأ المشتقات و مفاد هیئاتها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بساطة المشتق و ترکبه </w:t>
      </w:r>
      <w:r>
        <w:rPr>
          <w:rFonts w:eastAsia="IRNazanin" w:cs="IRNazanin"/>
          <w:color w:val="111111"/>
          <w:sz w:val="28"/>
          <w:szCs w:val="28"/>
          <w:lang w:bidi="fa-IR"/>
        </w:rPr>
        <w:t>263</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المشتق و المصدر و اسم المصدر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البرهان علی بساطة المشتق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برهان السید الشریف علی استحالة الترکب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الأقوال فی وضع المشتق و المختار فیه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الاستدلال علی الوضع لخصوص المتلبس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الاستدلال علی المختار بتضاد المعانی الاشتقاقیة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تنبیه و تکمیل لا بأس بالاشارة إلیهما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الاستدلال علی القول بالأعم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المناقشة فی خروج اسم المفعول و اسم الآلة عن محل النزاع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الرد علی استدلال القائلین بالأعم بلزوم کثرة المجاز لو کان الموضوع له هو المتلبس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أخذ المشتقات لا بشرط، و الکلام فی صفاته تعالی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عدم توقف استعمال المشتق حقیقة علی کون الاسناد حقیقیا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مبحث الأوامر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فیما یتعلق بمادة الأمر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معانی الأمر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دلالة الأمر علی الوجوب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التأمل فی عدم صدق الأمر علی الطلب من المساوی أو السافل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فیما یتعلق بصیغة الأمر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فی الکلام عن هیئة الماضی و أنها قد تأتی لانشاء تحقق المادة فی عالم التشریع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الکلام فی مفاد صیغة الأمر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الکلام فی اتحاد الطلب مع الارادة </w:t>
      </w:r>
      <w:r>
        <w:rPr>
          <w:rFonts w:eastAsia="IRNazanin" w:cs="IRNazanin"/>
          <w:color w:val="111111"/>
          <w:sz w:val="28"/>
          <w:szCs w:val="28"/>
          <w:lang w:bidi="fa-IR"/>
        </w:rPr>
        <w:t>332</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دلالة الصیغة علی الوجوب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الفرق بین الوجوب و الاستحباب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مبحث التعبدی و التوصلی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الکلام فی التوصلی بمعنی ما یسقط و لو بفعل الغیر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مناقشة المصنف قدّس سرّه للسید الخوئی قدّس سرّه فی المقام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المناقشة فی فرع فقهی تعرض له المحقق النائینی قدّس سرّه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دلالة صیغة افعل علی الاختیاریة من وجهین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مناقشات المصنف قدّس سرّه مع السید الخوئی قدّس سرّه فی المقام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سقوط الواجب بفعل المحرّم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عدم معقولیة کون الأمر بنفسه داعیا للمکلف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توهم کون المراد من داعویة الأمر هی المحرکیة و السوق الخارجی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توهم کون الأمر یعطی الفعل عنوانا حسنا یکون داعیا للمأمور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ما یظهر من کلام السید البروجردی قدّس سرّه فی المقام و نقده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دعوی انحلال الأمر إلی حصة متعلقة بالذات و اخری متعلقة بداعویة الحصة الاولی و نقدها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دعوی کون القید داعویة الأمر الکلی و نقدها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هل یمکن الاهمال فی مقام الثبوت بالنسبة للآمر الجاهل بالانقسام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استحالة تقیید موضوع الحکم بحال العلم بالحکم للزوم الدور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نقد ما ذکره السید الخوئی قدّس سرّه تعلیقا علی کلام الماتن من استحالة الاهمال فی الواقع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نقد ما ذکره السید الخوئی قدّس سرّه فی الجواب عن التقابل بین الاطلاق و التقیید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استحالة تقیید موضوع الحکم بحال العلم به للزوم التقدم و التأخر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وجه آخر للاستحالة ذکره المحقق النائینی </w:t>
      </w:r>
      <w:r>
        <w:rPr>
          <w:rFonts w:eastAsia="IRNazanin" w:cs="IRNazanin"/>
          <w:color w:val="111111"/>
          <w:sz w:val="28"/>
          <w:szCs w:val="28"/>
          <w:lang w:bidi="fa-IR"/>
        </w:rPr>
        <w:t>418</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استحالة تقیید متعلق التکلیف بقصد امتثال الأمر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نقد مناقشة السید الخوئی قدّس سرّه فی أخذ الأمر مفروض الوجود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هل تأتی المحاذیر فی أخذ قصد القربة بمعنی قصد المصلحة؟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وجه امتناع أخذ الجامع المنطبق علی جمیع الدواعی فی المأمور به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وجوه تصویر عبادیة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العلّامة الشیرازی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الأمر بذاته للعبادیة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الفرق بین التعبدی و التوصلی من ناحیة الغرض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استدلال الشیخ الأنصاری قدّس سرّه علی أصالة التوصلیة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ما ذکره السید الخوئی قدّس سرّه من إمکان أخذ قصد القربة فی المتعلق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استدلال الکلباسی قدّس سرّه علی أصالة التعبدیة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تقریب آخر لما ذکره الکلباسی قدّس سرّه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عدم تحقق العبادیة بمجرد قصد الامتثال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ما ذکره فی البدائع من استدلال القائلین بأصالة التعبد بوجهین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نقل کلام صاحب الحاشیة فی المقام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ملخص ما فی الاشارات فی الاستدلال علی أصالة التعبدیة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ما ذکره صاحب العناوین فی المقام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توجیه متمم الجعل و دفع الاشکالات عنه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مقتضی الأصل العملی و اللفظی فی المقام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التأمل فی نظریة الذات التوأمة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إبطال دعوی التقید القهری الذی أفاده صاحب الاشارات و صاحب العناوین قدّس سرّهما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حاصل مطلب الکفایة فی مقتضی الأصل العملی </w:t>
      </w:r>
      <w:r>
        <w:rPr>
          <w:rFonts w:eastAsia="IRNazanin" w:cs="IRNazanin"/>
          <w:color w:val="111111"/>
          <w:sz w:val="28"/>
          <w:szCs w:val="28"/>
          <w:lang w:bidi="fa-IR"/>
        </w:rPr>
        <w:t>510</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المختار فی مسألة اعتبار داعویة الأمر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مناقشة السید الخوئی قدّس سرّه فی المقام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مناقشة ما أفاده السید الحکیم قدّس سرّه فی الحقائق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مطلب صاحب الکفایة قدّس سرّه لیس مبنیا علی التفرقة بین الأسباب و المسببات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مقتضی الأصل العملی بناء علی الاختلاف بین الأمر التعبدی و التوصلی بالهویة </w:t>
      </w:r>
      <w:r>
        <w:rPr>
          <w:rFonts w:eastAsia="IRNazanin" w:cs="IRNazanin"/>
          <w:color w:val="111111"/>
          <w:sz w:val="28"/>
          <w:szCs w:val="28"/>
          <w:lang w:bidi="fa-IR"/>
        </w:rPr>
        <w:t>527</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البحث فی أصالة التعبد أو التوصل </w:t>
      </w:r>
      <w:r>
        <w:rPr>
          <w:rFonts w:eastAsia="IRNazanin" w:cs="IRNazanin"/>
          <w:color w:val="111111"/>
          <w:sz w:val="28"/>
          <w:szCs w:val="28"/>
          <w:lang w:bidi="fa-IR"/>
        </w:rPr>
        <w:t>528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المتقی بن حسام الدین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فی سنن الأقوال و الأفعال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مؤسسة الرسالة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اللیثی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دار الحدیث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 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بن عبد السلام العکبری، المنتهی نسبه إلی قحطان، أبو عبد اللّه، المعروف بالشیخ المفید، ولد فی عکبرا علی عشرة فراسخ من بغداد عام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فی بغداد، انتهت إلیه رئاسة الشیعة فی العراق، له نحو مائتی مصنف فی الاصول و الکلام و الفقه، توفی فی بغداد عام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خیر الدین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بیروت دار العلم للملایین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عشرة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موسی بن محمد بن موسی بن إبراهیم بن الإمام موسی الکاظم علیه السّلام الملقب بعلم الهدی، المولود فی بغداد عام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نقیب الطالبیین، من أعلام الشیعة، و أجمع علی فضله العلماء و الأدباء، و عدّه بعض المؤرخین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مجددی مذهب الإمامیة فی رأس المائة الرابعة الهجریة، له مؤلفات کثیرة متنوعة، توفّی فی بغداد عام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المطبعة الحیدریة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و خیر الدین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طبع بیروت دار العلم للملایین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 عشرة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علی الطوسی ولد عام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انتقل من خراسان إلی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تلمّذ علی الشیخ المفید و من بعد وفاته تلمّذ علی السید المرتضی، و بعد وفاته عام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انتقلت إلیه رئاسة الشیعة فی بغداد، و بعد الحوادث الطائفیة التی حصلت فی بغداد انتقل إلی النجف و أسس الحوزة العلمیة فیها حتی وفاته عام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محمد بن میکائیل بن سلجوق الملقب رکن الدین، طغرل بک، أول ملوک الدولة السلجوقیة، کانوا قبل تملکهم یسکنون وراء النهر قریبا من بخاری، و هم أتراک، ولد طغرل عام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له مع ولاة خراسان وقائع، ردّ ملک بنی العباس بعد أن خطب للمستنصر الفاطمی علی منابر بغداد و العراق، و أبعد القائم بأمر اللّه العباسی من الحکم فناشده القائم العباسی بانقاذ العراق، و استنهضه إلی المسیر لبغداد و عودتها لحکم العباسیین، و کان حینذاک بنواحی خراسان، فعجّل التوجه إلی بغداد فدخلها عام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قوّض حکم البویهیین و ولی العراق من قبل القائم بأمر العباسی و أرجع الخطبة إلی العباسیین، فزوّجه القائم ابنته و زفّت إلیه ببغداد، توفّی عام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لزیادة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حیدرآباد دکن، و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فی أخبار مصر و القاهرة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و خیر الدین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محمد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الدراسة و تاریخها فی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ضمن موسوعة العتبات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النجف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إصدار دار التعارف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إدریس الحلی المولود عام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عرّفته المصادر الرجالیة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الحسن بن یحیی بن الحسن بن سعید الحلی الهذلی، الملقب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فقهاء الإمامیة و مشاهیرهم، تقول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یحضر مجلس درسه ما یقارب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من أهل الفضل فی الحوزة العلمیة فی الحلة، و بلغت الحرکة العلمیة فی عصره شأوا عظیما، و من مصنفاته القیمة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زال مرجعا للفقهاء و الباحثین إلی هذا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لزیادة الاطلاع علی الأسباب و العوامل التی أدت إلی الانتقال یراجع بحر العلوم البحث المتقدم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محمد باقر بن محمد أکمل الاصبهانی البهبهانی، المولود فی اصفهان عام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درس شوطه العلمی فی بهبهان، ثم انتقل إلی کربلاء و استفاد من أعلامها جولة علمیة رشحته لتسنم زعامة الحرکة العلمیة فیها، و باتت مدرسته الاصولیة معروفة فیها حتی وفاته عام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الخونساری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أحمد بن إبراهیم المنتهی نسبه إلی ابن عصفور البحرانی، ولد فی قریة الدراز إحدی قری البحرین عام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بعد الدراسة الأولیة هناک انتقل إلی کرمان ثم شیراز، ثم إلی کربلاء لیقیم فیها مدرسا و عالما و مرجعا، و أکمل فیها موسوعته الفقهیة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توفّی عام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بن مرتضی بن محمد بن عبد الکریم، المنتهی نسبه إلی إبراهیم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إسماعیل الدیباج بن إبراهیم الغمر بن الحسن المثنی بن الإمام الحسن علیه السّلام، المولود فی کربلاء عام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فیها، و ربّاه والده المرحوم السید مرتضی، حیث درس أولیات مقررات الحوزة فیها علی أعلام من الحوزة، ثم حضر درس خارج الاصول علی والده، و عند ما تقدم فی المسیرة العلمیة، اختص بالشیخ الاستاذ الوحید البهبهانی فی بحث الاصول، و فی الفقه بالشیخ یوسف البحرانی، و بقی فیها مفیدا و مستفیدا لعام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حیث انتقل إلی النجف، و حضر بحوث أعلام عصره فی الفلسفة و الحکمة، ثم مرجعا شاخصا حتی وفاته عام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فی الساحة الخارجیة لجامع الشیخ الطوسی فی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مفصلا فی مقدمة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العلمین السید محمد صادق و السید حسین بحر العلوم،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مطبعة الآداب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خضر بن شلال الجناجی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قری العذار فی 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لقب باسم کتابه الفقهی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النجف عام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فقیه مشهور من شیوخ الشیعة فی عصره، و زعیم اسرته المعروفة بالعلم و الأدب و الفضیلة فی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کاشف من أقطاب الجامعة العلمیة النجفیة، و کان الشیخ معاصرا للسید بحر العلوم، و أرجع له تقلید الامة فی زمانه، له مؤلفات عدیدة من أبرزها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مواقف مشهورة فی مجابهة الوهابیة، کما له موقف مع رئیس الأخباریة المیرزا محمد أمین الأسترآبادی الأخباری، توفّی بالنجف عام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بها فی مقبرتهم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حرز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رجال السید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الحاج نجف بن محمد النجفی المولود فی النجف سنة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نشأ فیها، من أعلام القرن الثالث عشر الهجری، و قد وصفته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الشیخ حسین نجف کان مثلا فی التقوی و الصلاح و طهارة النفس، حتی کان اعتقاد الناس جمیعا فیه علی نحو اعتقادهم فی سلمان الفارسی رضوان اللّه علیه، و أشارت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أخص الناس بالسید محمد مهدی بحر العلوم، حتی أنه کان وصیا من بعده، کما کان إمام جماعة یصلی بمسجد الهندی فی النجف بطلب من السید بحر العلوم، و عرّفته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شاعر، و له دیوان شعر فی مدح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تنقل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یعجز عن النظم فی غیر أهل البیت، و کانت قریحته لا تجود و القوافی لا تطیعه إذا رام النظم فی غیرهم، و لهذا لم یرث استاذه السید مهدی بحر العلوم مع کونه خصیصه و 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قصیدة فی مدح أمیر المؤمنین علیه السّلام تزید علی أربعمائة و خمسین بیتا، و مطلعها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حدود المصادر المتوفرة لدی لم أجد ترجمة للشیخ شریف محی الدین سوی ما جاء فی مقدمة کتاب السید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الذی أشرنا إلیه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بن باقر بن عبد الرحیم بن محمد بن عبد الرحیم الشریف النجفی، المولود فی النجف بحدود عام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نشأ فیه، و درس فی أولیات دروسه علی علماء عصره، و حضر فی دروسه الخارجیة علی السید محمد جواد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الشیخ جعفر النجفی صاحب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انتهت إلیه زعامة الشیعة و رئاسة المذهب الإمامی فی سائر الأقطار، و ثنیت له وسادة المرجعیة العامة زمنا طویلا، و صنف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موسوعة فقهیة جمعت أبواب الفقه عرضا و تحلیلا، و مناقشة لآراء العلماء السابقین علیه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بن محمد بن أمین الأنصاری، الذی ینتهی نسبه إلی الصحابی الجلیل جابر بن عبد اللّه الأنصاری، ولد فی مدینة دزفول سنة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کان مرجعا و إماما، و انتهت إلیه زعامة الحوزة العلمیة فی النجف، و رجعت له الشیعة بالتقلید، بعد أن اشتهرت مرجعیته، حتی نقل عن العلّامة الکبیر الشیخ أحمد النراقی أنه قال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خمسین مجتهدا لم یکن أحدهم مثل الشیخ مرتضی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محمد الباقر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محمد أمین الأسترآبادی مفجّر الحرکة الأخباریة، قال عنه الشیخ یوسف البحرانی المتوفّی عام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أخباریا صلبا، و هو أول من فتح باب الطعن علی المجتهدین، و تقسیم الشیعة إلی أخباری و مجتهد، و أکثر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بایران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التشنیع علی المجتهدین، بل ربما نسبهم علی تخریب الدین، و ما أحسن و ما أجاد، و لا وافق الصواب و السداد، لما ترتب علی ذلک من عظیم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یوسف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السید محمد صادق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آل البیت للطباعة و النشر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مهر الطبعة الثانیة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لمزید من الاطلاع علی الحرکة الأخباریة و الاصولیة یراجع کتاب محمد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اصوله و احکامه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دار الزهراء للطباعة و النشر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علی هذا التطور الاصولی یراجع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مهدی الآصفی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علم اصول الفقه فی مدرسة النجف الحدیثة علی ید الشیخ الأنصاری و تلامیذ مدرسته، مطبوع ضمن موسوعة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الدجیلی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دار الأضواء للطباعة و النشر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حسن بن المیرزا محمود بن المیرزا إسماعیل بن میر فتح اللّه بن عائد لطف اللّه بن میر محمد مؤمن الحسینی الشیرازی،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المجدد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فی شیراز عام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فیها، و هاجر إلی أصفهان، و أکمل مقدمات العلوم الحوزویة بها، ثمّ هاجر إلی النجف الأشرف و حضر علی حلقات بحوث علماء وقته، و اختص بالشیخ مرتضی الأنصاری حتی وفاته عام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فرجع المقلدون إلیه بالتقلید، و اتسعت مرجعیته، و انتقل إلی سامراء لغرض التقریب بین المذاهب الإسلامیة، و تخرّج علی یده جمع من الأعلام، توفّی فی سامراء عام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و نقل إلی النجف محمولا علی الرءوس، و دفن فی مقبرته الشهیرة بجوار باب الطوسی للصحن الحیدری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بن نور الدین، علی بن أحمد بن محمد العاملی الجبعی،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 عام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تمیزت مرجعیة السید المجدد الشیرازی بجوانب بالغة الأهمیة نوجزها بالآتی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لزیادة الاطلاع علی مسیرة الإمام المجدد الشیرازی یراجع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کتاب تقریرات آیة اللّه المجدد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کاظم بن عبد العظیم النجفی الطباطبائی الیزدی، ولد عام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قریة قرب مدینة یزد فی ایران، باشر أولیات دروسه الحوزویة فی مدینة یزد، ثم قرأ قسطا من الدروس فی اصفهان، و فی عام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إلی النجف و درس علی أساتذة معروفین فی الحوزة، ثم عرف بمکانته العلمیة و اشتهرت مرجعیته، و ألف کتابه الفقهی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أصبح مصدرا فقهیا مهما، شرح من قبل بعض أعلام المراجع، و من تلک الشروح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الراحل السید محسن الحکیم 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السید الطباطبائی الیزدی عام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فی الصحن الحیدری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نور الدین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کاظم بن ملا حسین الهروی الخراسانی النجفی، المعروف بالشیخ الآخوند المولود فی طوس عام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فیها و قرأ مقدمات دروسه العلمیة فی خراسان، حتی إذا أکملها هاجر إلی النجف عام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و له من العمر أربعة و عشرون عاما، و حضر لدی أعلام الحوزة، بعد ذلک استقل بتدریس الفقه و الاصول، و تخصص بعلم الاصول، و وضع کتابا أسماه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أصبح من بعده مرجعا لطلاب العلم یدرس فی الحوزات إلی هذا الیوم، و شرحه علماء و فضلاء من أعلام الحوزة العلمیة فی الحوزات الدینیة، توفّی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 ضیاء الدین علی بن المولی محمد العراقی النجفی، ولد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سلطان‌آباد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ایران، و درس فیها أولیات دروس الحوزة العلمیة، و هاجر منها إلی النجف فحضر حلقات درس صفوة من أعلام مدرسی الحوزة العلمیة النجفیة حینذاک، و بعد وفاة استاذه المرحوم الشیخ محمد کاظم الخراسانی تفرّغ للتدریس، و عرف بالتحقیق و التدقیق الفقهی و الاصولی، و اختص بصفوة من أعلام النجف الذین احتضنوا المرجعیة الدینیة من بعده حتی عام وفاته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بن محمد بن عبد الحمید الموسوی الاصفهانی، المولود فی قریة من قری أصفهان سنة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أکمل دراساته الأولیة فی مسقط رأسه اصفهان علی بعض أهل العلم، و هاجر بعد ذلک إلی النجف فی أوائل العقد الثانی من القرن الرابع عشر الهجری، و التحق بحلقة درس الشیخ محمد کاظم الخراسانی فقها و اصولا، و بعد وفاته استقل بالتدریس و التصدی للفتوی، و بعد وفاة المرجع الدینی میرزا محمد تقی الشیرازی و خلفه المرجع الدینی شیخ الشریعة الاصفهانی عام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شارک المیرزا محمد حسین النائینی بالزعامة الدینیة، و استقل بها بعد وفاة المیرزا النائینی عام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إلی حین وفاته عام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حیث فجع العالم الإسلامی بوفاته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الشاهرودی آل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بن الحاج حیدر الشیرازی النجفی، من فقهاء الحوزة العلمیة، تلمّذ علی المیرزا محمد تقی الشیرازی، و بقی ملازما له فی مدینة سامراء، و حین انتقل إلی کربلاء انتقل معه، و بعد وفاة المیرزا محمد تقی عام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إلی النجف، بدأ بالتدریس فی الفقه و الاصول، و بعد وفاة السید أبو الحسن الاصفهانی رجع الکثیر إلیه بالتقلید، و له مؤلفات عدیدة فی الفقه و الاصول، توفّی عام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بالنجف و دفن فی إحدی حجرات الصحن الحیدری، و طبعت بعض مؤلفاته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 حسین بن السید علی الطباطبائی المنتهی نسبه إلی إبراهیم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ینتهی إلی الإمام الحسن علیه السّلام، المولود فی بروجرد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إیران عام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فی مسقط رأسه و أنهی دروسه الأولیة فیها، ثم رحل عام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إلی أصفهان حیث واصل دروسه فی الفقه و الاصول إلی جانب علوم الفلسفة و الریاضیات، و فی عام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سافر إلی النجف لیحضر بحث الملا محمد کاظم الخراسانی، و داوم بالحضور فی حلقة درسه فترة تصل إلی عشر سنوات، کما حضر درس الفقه علی شیخ الشریعة الاصفهانی، و فی أواخر عام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إلی بروجرد یؤدی رسالته الدینیة فیها، و فی سنة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انتقل إلی قم المقدسة، و کان فیها أحد مراجع الدین، و بمرور الزمن ثنیت له وسادة المرجعیة الدینیة حتی وفاته عام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حسین بن السید محمود القمی، المولود فی عام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و تلقی علومه الدینیة الأولیة فیها، و هاجر إلی النجف، و حضر بحث الشیخ محمد کاظم الخراسانی و السید محمد کاظم الیزدی و غیرهما من أساطین البحث العلمی فی النجف، ثم انتقل إلی سامراء و حضر بحث المجدد الشیرازی المیرزا السید محمد حسن الشیرازی، و بعد وفاته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حضر بحث خلفه المیرزا محمد تقی الشیرازی لفترة تسع سنوات، وعد من أرکان بحثه، و بعده حضر بحث المیرزا النائینی حین کان یدرس فی سامراء، و عند انتقاله إلی النجف انتقل معه إلی النجف و واصل بحثه معه حتی وفاته، و انتقل بعد ذلک إلی مشهد الرضا علیه السّلام فی خراسان، و کان ذلک فی عهد الشاه رضا، و أخذ یدرس هناک، و ساءت علاقته مع الشاه فنفاه إلی العراق، فسکن کربلاء، و تصدی للمرجعیة فیها حتی وفاته 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حیث نقل إلی النجف و دفن فی إحدی مقابر الصحن الحیدری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بن الشیخ عبد الحسین بن باقر بن الشیخ محمد حسن آل یاسین الکاظمی، المولود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علی أبیه الجلیل نشأة عالیة ثم حضر فی الفقه و الاصول علی علماء أعلام، و رجع له المؤمنون بالتقلید و الزعامة بعد السید أبو الحسن الأصفهانی، و حضر نخبة من أعلام الفضل بحثه الفقهی، توفّی فی الکوفة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حمل علی الرءوس إلی النجف حیث دفن فی مقبرتهم الخاصة فی محلة العمارة، ثمّ نقل إلی وادی السلام بعد فتح الشوارع الحدیثة فی المحلة نفسها حول الصحن الحیدری فشملت مقبرته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و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محمد هادی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الفکر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بن الشیخ علی بن محمد بن رضا بن موسی بن الشیخ جعفر کاشف الغطاء، المولود فی النجف عام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نشأ فیها و درس سطوح العلوم الحوزویة مبکرا، و أکملها و هو شاب فاختص ببحث الشیخ محمد کاظم الخراسانی، و حضرها ست دورات، کما حضر بحث السید محمد کاظم الیزدی الطباطبائی، و بحث الشیخ آغا رضا الهمدانی، و کان محترما عند أساتذته لغزارة فضله، و کذلک درس الفلسفة و الکلام لدی أساتذة مشهورین فی المدرسة العلمیة فی النجف الأشرف، و ألف عدة کتب فی الفقه و الاصول، و الدعوة الإسلامیة و الدین و الإسلام، و حضر مؤتمرات عالمیة و إسلامیة فی القدس و باکستان و إیران، و التقی بشخصیات علمیة و سیاسیة و ثقافیة عربیة و إسلامیة کبیرة، و ملوک بعض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سافر إلی کرند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للراحة و الاستجمام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فیها عام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نقل إلی النجف و دفن فی مقبرة خاصة أعدها لنفسه فی وادی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حرز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عبد الهادی بن المیرزا إسماعیل بن رضی الدین بن المیرزا إسماعیل الحسینی الشیرازی، المولود فی سامراء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برعایة السید میرزا حسن المجدد الشیرازی، و ولد السید المجدد المیرزا علی الشیرازی، و بعد أن أکمل دراسة السطوح بدقة و اهتمام انتقل إلی النجف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التحق بحلقة الشیخ محمد کاظم الخراسانی، و بحث شیخ الشریعة فی الفقه و الاصول، و قلده الناس بعد وفاة السید البروجردی الطباطبائی عام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التف حول درسه نخبة من أهل العلم و الفضل فی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وافته المنیة عام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بن مهدی بن صالح المنتهی نسبه إلی إبراهیم الطباطبا بن إسماعیل الغمر بن الحسن المثنی بن الإمام الحسن علیه السّلام، المولود فی النجف عام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الطباطبائی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أن أکمل دراسته الأولیة درس مراحلها العالیة فی بحث الشیخ محمد کاظم الخراسانی، و الشیخ آغا ضیاء العراقی، و المیرزا حسین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مرجعیته واسعة الآفاق فی العالم الإسلامی، مرت فی أحرج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الظروف التی خیمت علی العالمین الإسلامی و العربی خاصة، توفّی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السید علی الحسینی الشاهرودی، المولود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احدی القری التابعة لشاهرود، حین أکمل مقدمات الدروس الحوزویة توجه إلی النجف، و التحق بدرس الشیخ محمد کاظم الخراسانی و له من العمر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کما التحق بدرس المیرزا النائینی، و بعد وفاة طبقة المیرزا النائینی رجعت إلیه الامة فی التقلید فی حیاة مرجعیة الإمام الراحل السید محسن الحکیم، و عرفته المصادر بالورع و الزهد، و کانت له حلقة درس فی الجامع الهندی، و له تقریرات استاذه المیرزا النائینی فی بعض أبواب الفقه، توفّی عام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بن السید علی أکبر بن المیر هاشم الموسوی الخوئی، المولود فی مدینة خوی عام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علی والده فی دروسه الأولیة، و فی حدود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إلی النجف، و حضر علی بحوث أساتذة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النائینی، و آغا ضیاء العراقی، و الکمپانی الشیخ محمد حسین، و کتب تقریراتهم فی الفقه و الاصول، و طبع معظمها، و استقل بالتدریس، فکانت حوزته فی الفقه و الاصول من أکبر حوزات العصر الدراسیة، و الکثیر ممن تلمذ علیه أصبح من مراجع التقلید، و قد توسعت ساحة مقلّدیه بعد رحیل الإمام السید محسن الحکیم، و خطی خطوة هامة إذا أمر بفتح المؤسسات فی العالم کلندن و نیویورک و کندا و باکستان و الهند و لبنان و غیرها فی بعض الدول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الحدیث عن الصفوة و الإشارة إلی موجز تراجمهم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جد الشیخ حسین الأعلی نزح إلی الحلة مع جماعة من أفراد اسرته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أنشئوا قریة تعرف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بین مقام النبی أیوب و الحلة، و تبعد عنها بنحو عشرین دقیقة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فی القرن الرابع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مشهد إیران مطبعة سعید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المرحوم السید عبد العزیز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یوسف کرکوش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فی الحیاة الفکریة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المطبعة الحیدریة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کرکوش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المدرسة تنسب إلی مؤسسها الشیخ مهدی بن الشیخ علی بن الشیخ جعفر کاشف الغطاء، المولود فی النجف عام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عالم فقیه و اصولی، و مؤلف و محقق، من آثاره الخیریة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المهدیة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خلف جامع الطوسی فی محلة المشراق من محلات النجف الأشرف، توفی عام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فی مقبرتهم المعروفة فی محلة العمارة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محبوبة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مطبعة النعمان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بحث المرحوم الشیخ محمد الخلیلی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النجف القدیمة و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منشور ضمن موسوعة العتبات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طه بن الشیخ مهدی بن الشیخ محمد رضا بن الشیخ محمد ابن المقدس الحاج نجف المولود عام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عالم جلیل معاصر للسید میرزا حسن الشیرازی، و تلمّذ علی الشیخ مرتضی الأنصاری، و ذکرته المصادر الرجالیة بالاحترام و التقدیر، توفی عام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حرز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من حیاة آیة اللّه الشیخ حسین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مرکز البحوث و الدراسات الإسلامیة 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فی القرن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السید عبد العزیز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إیران مطبعة سعید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رفیش من علماء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و رسالة الشیخ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الطهرانی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جمع من تلامذة السید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بمناسبة الذکری السنویة لوفاة السید محمد حسین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انتشارات علامة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محبوبة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مطبعة النعمان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سعید بن محمود بن قاسم بن کاظم بن الحسین الحبوبی الحسنی، من کبار فقهاء و أدباء عصره، ولد فی النجف سنة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نشأ بها علی والده، و قرأ المقدمات الأولیة علی خاله الشیخ عباس الأعسم، و حضر فی دراساته العلیا فی الفقه و الاصول علی أساتذة معروفین کالشیخ محمد حسین الکاظمی و الفاضل الشربیانی و الشیخ آغا رضا الهمدانی و الشیخ محمد طه نجف و غیرهم من علماء الحوزة العلمیة، ثم استقل بالبحث و التدریس، و أصبح من کبار الفقهاء و المجتهدین و أعلام الفضل و التقوی و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قاد الجیوش الکبیرة لصدّ الإنکلیز خلال احتلالهم العراق عام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کما کان من أعلام الأدب و الشعر، توفّی فی محافظة الناصریة عام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انکسار الجیش العثمانی، و نقل إلی النجف حیث دفن بالصحن الحیدری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له دیوانه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الفکر و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المطبعة العلمیة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آیة اللّه العظمی السید محمد سعید الحکیم عن الشیخ عباس عن المرحوم والده آیة اللّه الشیخ میرزا علی النائینی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المیرزا النائینی یقول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منذر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الدرس الاصولی فی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ضمن موسوعة النجف الأشرف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إصدار جعفر الدجیلی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شخصیة مع آیة اللّه العظمی السید محمد سعید الحکیم فی النجف الأشرف بتاریخ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أکد هذا القول سماحة آیة اللّه السید محمد علی الحکیم، بأن رسالة الشیخ النائینی هی من شغل الشیخ الحلی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مع سماحة الشیخ محمد مهدی الآصفی 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 الحدیث عن تأثر الشیخ الحلّی بالنائینی أو العراقی؟</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نص الاجازة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الشیخ الحلی أحد النخبة العلمیة التی اطلق علیها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سوف یأتی الحدیث عنها فی الفصول القادمة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شخصیة مع سماحة المرجع الدینی السید محمد سعید الحکیم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إصدار مجموعة من تلامیذ السید الطهرانی اللاله‌زاری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الذکری السنویة لوفاة السید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انتشارات علّامة طباطبائی مشهد الطبعة الاولی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نور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هذا التقریر ولدنا السید محمد علی بحر العلوم بتاریخ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الأول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بن الشیخ محمد رضا بن محمد علی بن محمد جعفر بن محمد إبراهیم الکرباسی، ولد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اصفهان و نشأ بها، و فی سنة أربعین من الهجرة انتقل إلی النجف و درس علی أعلام الحوزة النجفیة الدروس المقررة حوزویا و حضر بحوث أعلامها کالشیخ الحلی، و کان حیا فی حیاة الشیخ جعفر محبوبة، یقول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الیوم أحد الأفاضل فی التحصیل، منزو عن الناس مکبّ علی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محبوبة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تفضل الدکتور الشیخ عباس کاشف الغطاء بتزویدنا صور مجموعة من تقریرات الشیخ الحلی، و بعد الاطلاع علیها ظهر أنها بخط أحد تلامیذه علی الظاهر، و وردت أسماؤها بدلیل مخطوطات مؤسسة کاشف الغطاء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اسم المطبعة، و هی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عبد الأمیر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أعلام الفکر و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محمد حسین الطهرانی اللاله‌زاری فی کتابه آیت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حضر بحث الشیخ فی الاصول و دورة کاملة فی المکاسب، و بعض من کتاب الطهارة، و کتب تقریراته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دلیل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النجف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 الشیخ حسن سعید فی مقدمة کتابه دلیل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ب عن تطور الفقه، 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بسبعة أدوار، هی بإیجاز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الدین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الدیوانی بغداد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منذر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الدرس الاصولی فی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ضمن موسوعة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جعفر الدجیلی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دار الأضواء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تقی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انطباعاتی عن محاضرات الشیخ حسین الحلی فی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نفسها طبع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البیت للطباعة و النشر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تجارب الاصولیین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بیروت المؤسسة الدولیة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علاء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انطباعاتی عن محاضرات الاستاذ الشیخ حسین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فی اصول الفقه مطبوع فی ستة مجلدات یتناول بحوث الاصول فی جوانبه المتعددة، و قد طبع مرتین، الطبعة الثانیة طبعت فی مؤسسة المنار عام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الشیخ محمد مهدی الآصفی، حدیث خاص 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الشیخ حسن السعید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النجف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 الصدد هاشم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من حیاة آیة اللّه العظمی الشیخ حسین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إصدار مرکز البحوث و الدراسات الإسلامیة الطبعة الاولی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و محمد شریف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مطبعة برویز، و مجلة الموسم إصدار محمد سعید الطریحی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عن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خاص تقدمت الإشارة إلیه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 عن کتاب أصحاب الإجماع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الفکر و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کاظم عبد الأمیر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أعلام الفکر و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و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مجتهدی عن گنجینه دانشمندان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 و ذکره السید رضی المرعشی عن أبیه المرحوم السید جعفر المرعشی أنه کان زمیلا له فی بحث الشیخ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و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سماحة السید رضی المرعشی أنه کان زمیل أبیه فی درس الشیخ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 عن گنجینه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السید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القدسی فی ترجمة العلمین من آل القاموسی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مرکز الحکمة للدراسات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محمد شریف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 عن گنجینه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محمد شریف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یرد اسم الشیخ الحلی فی ذکر أساتذته ضمن من ذکرهم المرحوم السید عبد العزیز نفسه فی الترجمة التی کتبها بطلب من المرحوم السید حسن الأمین و نشرت فی مستدرک أعیان الشیعة للسید محسن الأمین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التعارف بیروت، و کذلک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 و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ذکراه المطبوعة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 عن گنجینه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فی حین لم یشر محبوبة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اسم الشیخ الحلی حین ذکر أسماء أساتذته، و کذلک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فی مصدر آخر ممن یشیر إلی أساتذته من یذکر الشیخ الحلی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سماحة السید محمد صالح الحکیم عن والده آیة اللّه السید محمد علی الحکیم أن الشیخ علی حرج کان ثالث زمیل لهم فی درس المکاسب عند الشیخ الحلی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السید محمد صالح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لقاء مساء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والده سماحة آیة اللّه السید محمد علی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 المرحوم السید یوسف الحکیم، و الشیخ علی قسام، و الشیخ علی حرج کنا نحضر عند الشیخ الحلی درس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 السید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مجلة الموسم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 عن مجلة کیهان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الفکر و الأدب فی النجف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ترجمة له فی المصادر المتوفرة لدی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الفتلاوی لم یشر إلی ذلک رغم ذکره لأساتذته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محبوبة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مجتهدی عن کتاب دانشنامه مشاهیر یزد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و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عن مجلة حوزة عدد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عن گنجینه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عن گنجینه دانشمندان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مجتهدی عن گنجینه دانشمندان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هو حضر عنده فی مبحث القطع، و معه بعض الإخوة الواردة أسماؤهم فی هذه القائمة بتاریخ مساء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 عن مجلة حوزة 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بدایة حیاته العلمیة ثمّ انتقل إلی الحیاة الأدبیة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 عن گنجینه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أعیان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 عن گنجینه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مجتهدی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لزیادة الاطلاع علی أسماء تلامیذ الشیخ الحلی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شریف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مطبعة برویز، و الشیخ محمد هادی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 الأدب فی النجف بأجزائه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و کاظم عبد الأمیر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أعلام الفکر و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مؤسسة المواهب للطباعة و النشر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بالاضافة إلی المصادر المذکورة فی الهامش</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حین کتابة المقال للمرحوم الخلیلی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عرفتهم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إیران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اوفست عن نسخة طبع بغداد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کلمته التی ألقیت فی الحفل التأبینی بمناسبة مرور أربعین یوما علی وفاة الزعیم الدینی حجة الإسلام و المسلمین السید علی بحر العلوم رحمه اللّه منها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بن الحسین بن عبد العالی الکرکی المعروف بالمحقق الثانی، أبو الحسن، ولد عام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جبل عامل بلبنان، و رحل إلی سوریا و مصر فأخذ عن علمائها، ثم انتقل إلی النجف و درس فیها زمنا، و انتقل إلی إیران لأداء رسالته، و التقی بالشاه طهماسب الصفوی و أعجب بعلمه، و جعل له الولایة فی إدارة ملکه، و کتب إلی حکام بلاده بامتثال أوامره باعتباره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فکان الشیخ یکتب إلی جمیع البلدان الخاضعة لحکم الشاه الصفوی طهماسب بدستور العمل فی شأن الرعیة و أمر البلاد، توفی عام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العلم للملایین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و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آل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الخیون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المشروطة و المستبدة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التعارف للمطبوعات بیروت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فیاض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مطبعة دار السلام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سعید بن محمود بن القاسم بن کاظم بن الحسین الحبوبی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النجف عام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بها، و درس فی جامعتها الدینیة و حضر فی الفقه و الاصول علی أعلامها کالشیخ محمد حسن الکاظمی، و الفاضل الشربیانی، و الشیخ آغا رضا الهمدانی و الشیخ موسی شرارة، و السید مهدی الحکیم، و الشیخ محمد طه نجف، و لازمه، و بعد ذلک استقل بالبحث و التدریس، و کان من کبار الفقهاء و المجتهدین و أعلام الفضل و التقوی و الصلاح، کما عرف بمکانته الشعریة فی الأوساط الأدبیة، توفی فی الناصریة متأثرا من خسارة المعرکة ضد الانکلیز عام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محمد حرز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علی الخاقانی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کاظم عبود الفتلاوی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المدفونین فی الصحن العلوی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جعفر الشیخ عبد الحسین آل الشیخ راضی، المنتهی نسبه إلی الشیخ خضر الجناجی النجفی، من علماء و زعماء الاسرة البارزین الشهیرة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الشیخ راضی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النجفیة، و التی عرفت بالعلم و الفقاهة و الزعامة، حضر فی دروس الفقه و الاصول علی أعلام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کاظم الخراسانی، و الشیخ محمد طه نجف، و الشیخ آغا رضا الهمدانی، و غیرهم، توفی عام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الکریم بن الشیخ علی بن الشیخ کاظم، المنتهی نسبه إلی الشیخ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کبیر و زعیم دینی معروف، ولد عام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النجف و درس علی ید أعلام الحوزة النجفیة، و قد حضر فی درس الاصول علی الشیخ محمد کاظم الخراسانی، و الشیخ حسن بن صاحب الجواهر، و فی الفقه علی الشیخ محمد طه نجف، و السید محمد کاظم الیزدی، و غیرهم من العلماء، کما عرف بالمکانة الأدبیة و الشعریة، کما أنه من الشخصیات الوطنیة التی عرفت بالجهاد ضد الاستعمار، و قائد محنک، و مرجع لمختلف الناس، توفی فی النجف عام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ترجمه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فی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ترجمته فی حدود المصادر المتوفرة لدی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منصور بن الشیخ محمد بن الشیخ علی المحتصر، ولد عام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قبیلة بنی سعید فی المنتفک، و صفته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من العلماء الفقهاء الثقاة، حضر علی أعلام الحوزة العلمیة النجفیة، منهم الشیخ محمد کاظم الخراسانی فی الاصول، و السید محمد کاظم الیزدی فی الفقه، و کذلک من أساتذته الشیخ علی الشیخ باقر الجواهری، توفی عام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فی الصحن الحیدری فی النجف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الحریة للطباعة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حسن الشیخ علی الأخ الأکبر للشیخ الحلی، ولد فی النجف عام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علی أبیه العالم الجلیل، و غیره من الأجلاء، و اختلف علی أندیة أعلام الأدب، و قرض الشعر و أجاد فیه و أبدع، و کان شدید الملازمة لحضور نادی العلّامة السید محمد سعید الحبوبی، توفی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البشر فی القرن الرابع عشر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 محمد علی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المطبعة العلمیة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المطبعة العلمیة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شخصی مع سماحة السید محمد سعید الحکیم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حسن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رشید خیون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دار الحریة للطباعة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المشار إلیه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فضل اللّه بن عباس النوری المولود فی إیران عام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هاجر إلی العراق، و سکن فی النجف، و درس فیها، و عاد إلی إیران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أقام فی طهران، و کان علما من أعلام الإسلام، و استنکر أعمال رجال المشروطة و عارضهم، فالقی القبض علیه و حاکموه فحکم بالإعدام و نفذ فیه الحکم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باقر بن عبد المحسن الاصطهباناتی الشیرازی، و صفته المصادر بأنه فقیه عالم، حکیم محقق فی العلوم العقلیة و النقلیة، هاجر إلی النجف عام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انتقل إلی سامراء للالتحاق بالسید میرزا محمد حسن الشیرازی، و کان من المقربین له، و بعد وفاة السید عاد إلی النجف، و انشغل بالدرس و التدریس، و عاد إلی موطنه شیراز، و صادف فیها أحداث المشروطة و قتل فیها عام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حرز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الدین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الدین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الدین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نور محمد حسین الطهرانی اللاله‌زاری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الحومانی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النهرین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مطبعة الکشاف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شروعنا فی هذه الدورة فی شوال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و کان شروعنا فی التی قبلها سنة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و قد تمت هذه الدورة و شرعنا فی دورة جدیدة شوال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نسخة الأصل هنا ذکر لهذا المتن من الأجود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دأب المصنف قدّس سرّه فی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هو اضافة منا رعایة للتناسب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من متن الأجود لم یرد فی نسخة الأصل و إنّما ذکرناه هنا للتناسب مع سائر الموارد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الأصل ورقة مرفقة تضمنت نقل عبارة المحقّق الاصفهانی لم یحدّد لها قدّس سرّه موضعا، فرأینا إیرادها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تنبّه علی المشکلة التی أدت إلی طرح هذه الأبحاث و هی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نقل ذلک فی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العبارة کسائر عبائرهم المعقّدة، و الظاهر أنّ المراد هو أنّ البسائط لمّا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 لها جنس و لا فصل، لم یکن بینها اشتراک بحسب الذات، بل کان کل منها مباینا للآخر بالذات، فهذا البیاض الشدید و ذلک البیاض الضعیف متباینان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هذا جار فی الفصول مثل الناطق و الصاهل، و هکذا الحال فی مقابلة الجنس و الفصل بمعنی المادة و الصورة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سیأتی ما یرتبط بالمقام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المرحوم الشیخ عبد الهادی شلیلة فی شرح منظومته فی المنطق منه قدّس سرّه راجع منتقی الجمان فی شرح لؤلؤة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فی شرح لؤلؤة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یحمل علیه من جهة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فی شرح لؤلؤة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الکتابة، و الصحیح ما أثبتناه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التنبیهات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الأصل، و إنما أضفناه للمناسبة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فی شرح لؤلؤة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حکمة الإشراق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لذلک مزید توضیح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فی شرح لؤلؤة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الأصل و إنما أضفناه للمناسبة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الشریف فی الحاشیة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الاشتباه إنما نشأ من عدم الفرق بین الواسطة فی التصدیق و هو المفسّر بذلک التفسیر، و بین الواسطة فی الثبوت بحسب نفس الأمر، بل فی العروض، و هی المعتبرة فی الحصر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حکمة الإشراق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علی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یحمل، و الصحیح ما أثبتناه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عمّا فی النسختین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لم تطبع بعد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مع النسخة القدیمة غیر المحشاة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أنّ قصور معناها مانع من ذلک لعدم معقولیة حضوره فی الذهن وحده بدون المنتسبین، فکذلک قصور لفظها فإنّه و إن ترکب من حرفین أو ثلاثة أو أزید إلّا أنه جزء الموضوع، حیث إن الموضوع للاستعلاء لیس هو مطلق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 الموضوع للاستعلاء هو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المتوسطة بین الصعود و السطح، فلو جئت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مجردة عن هذین کانت بمنزلة الاتیان بنصف لفظة الاسم فی الخروج عن کونه موضوعا و دالا علی معناه، و الخلاصة هی أن المانع هو قصور اللفظ و المعنی لا قصور المعنی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مع النسخة القدیمة غیر المحشاة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الثانیة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مع النسخة القدیمة غیر المحشاة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 الصحیح ما أثبتناه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علی الإظهار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الظاهر أنه لا فرق فی ذلک بین ما أفاده قدّس سرّه من کون مفاد الحروف هو النسب الخاصة، و بین ما احتملناه من أن المتکفل للنسب لیس هو إلّا الهیئات و أن الحروف هی جهات خاصة لتلک النسبة، و أنّ الحاصل من توسط الحرف فی تلک الهیئة فی مثل ضربت فی الدار أو سرت من البصرة هو إیجاد نسبة الضرب إلی الدار علی جهة الظرفیة، و إیجاد نسبة السیر إلی البصرة علی جهة 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الأصل و إنما أضفناه للمناسبة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فی الأصل، و إنما أضفناها للمناسبة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فی الأصل، و إنما أضفناها للمناسبة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فی الأصل، و إنما أضفناها للمناسبة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الأصل و إنما أضفناه للمناسبة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أنه، و الصحیح ما أثبتناه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تقدم من کلمات المحقق العراقی قدّس سرّه لم یذکر مسلکه فلاحظ</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فی الأصل ورقة مرفقة و کأنها فهرسة لأبحاثه ارتأینا جعلها فی الهامش و هی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مظانّه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الحرفی، و الصحیح ما أثبتناه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الأصل، و إنّما أضفناه للمناسبة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الأصل، و إنما أضفناه للمناسبة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الأصل، و إنما أضفناه للمناسبة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الزجاجی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مرسوم فی الطبعة، و حینئذ یکون ماضیا مبنیا للمجهول من أنبأ،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مکسور الباء، فلأجل ذلک رسم الهمزة بالیاء لأجل انکسار ما قبلها، و یکون المراد أن الفعل هو الذی قد اخبر به عن فاعله منه قدّس سرّه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نزهة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الرابعة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 للمناسبة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فیما یتراءی من الأصل، و یحتمل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الأدوی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انتزعوا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 للمناسبة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حواشی المصنّف قدّس سرّه الآتیة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الثانی من هذا الکتاب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مع النسخة القدیمة غیر المحشاة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قد تقدم ما یرتبط بالمقام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الابتداء، و الصحیح ما أثبتناه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الاستعمال، و الصحیح ما أثبتناه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فی الأصل، و إنما أضفناها للمناسبة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فی الأصل، و إنما أضفناها للمناسبة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أشار إلیه فی 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المقصود، و الصحیح ما أثبتناه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الابتداء، و الصحیح ما أثبتناه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قدّس سرّه جملة قصیرة من العبارة الثانیة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قدّس سرّه جملة قصیرة من العبارة الثانیة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الحادی عشر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لاستقامة العبارة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هذا فی الأصل، و إنّما أضفناه للمناسبة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قدّس سرّه أدلة الطرفین، نعم اشیر إلی بعضها إجمالا فی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و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و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السید البروجردی سلّمه اللّه تعالی منه قدّس سرّه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و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صاحب القوانین قدّس سرّه حیث ذهب إلی کون الموضوع له هو الأرکان، راجع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و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للمحقق الآملی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قد أوضح فکرة التوأمیة فی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قدّس سرّه بذلک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القدیمة من الأجود و التی تقدمت فی 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و قد أشار إلی تصویر الجامع فی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تعلیقة الشیخ علی القوچانی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الخامس من هذا الکتاب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الاطلاع علی مسلک التوأمیة راجع بحث التعبدی و التوصلی من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و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فی ورقة مرفقة فی نسخة الأصل حکایة عبارة المکاسب بلفظها، و کأنّه من جهة تکرر التأمل فی مفادها فی هذه التعلیقة و ما بعدها، فلننقلها کما جاء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قدّس سرّه بعد نقله عن الشهیدین قدّس سرّهما ما مفاده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البیع حقیقة فی الصحیح مجاز فی الفاسد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إرادة الاطلاق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یشکل ما ذکراه بأن وضعها للصحیح یوجب عدم جواز التمسک باطلاق نحو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اللّه البیع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إطلاقات أدلة سائر العقود فی مقام الشک فی اعتبار شی‌ء فیها، مع أنّ سیرة علماء الاسلام علی التمسک بها فی هذه المقامات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ورقة مرفقة فیها کلام فیه تکرار لبعض ما تقدّم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التحقیق هو عدم تمامیة هذا النقض، و تفصیل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فی المعاملات أسبابا و مسببات و أسماؤها للمسببات، فلا یمکن التمسک باطلاقها، و قول الشیخ فی التقریرات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المسببات لمّا کانت عرفیة و کانوا فی مورد الشک یحکمون بوجود المسبب ینزّل کلام الشارع علی ذلک مخدوش، فانّ نظر العرف إنّما یتبع فی تحدید المفاهیم لا فی وجود مصداقها، فلو کان شخص مرتفع الحرارة إلی درجة خمسین و أمرنا بتخفیض حرارته، فان شک فی مقدار التخفیض و فی وقته مثلا و نحو ذلک من حدوده، کان المرجع فی ذلک هو العرف، أما لو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فی حدوث التخفیض بشرب الدواء الفلانی فلا یرجع فیه إلی العرف، إذ لیست المسألة حینئذ مسألة شک فی حد المفهوم، و إنّما هی شک فی الوجود، و لا یکون العرف فی مثله إلّا شاهدا علی ما لا یکون محسوسا عنده، فلا یکون قوله معتبرا فی ذلک حتی من باب الشهادة بالوجود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البحث عن الترادف فی مبحث الصحیح و الأعم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ذکره جرجی زیدان فی تاریخ آداب اللغة العربیة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حررها قدّس سرّه فی ذیل هذه الحاشیة، و قد ارتأینا إدراجها فی المتن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الرسائل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مخالف مع النسخة القدیمة غیر المحشاة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لاستقامة العبارة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الافکار للمحقق الرشی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فی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 علی هذه العبارة مرة اخری</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مع النسخة القدیمة غیر المحشاة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یحرم بالرضاع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یحرم بالرضاع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فیما یتراءی من 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مع النسخة القدیمة غیر المحشاة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الرسائل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ذلک هو مراده، فانه یرید أن یبطلهما من ناحیة اجتماع الزوجیتین لیکون له تجدید العقد علی کل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السادس من هذا الکتاب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الرسائل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علّق قدّس سرّه علی هذه العبارة سابقا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یتقدم منه قدّس سرّه بحث بعنوان أمارات الحقیقة و المجاز</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یتقدم منه قدّس سرّه بحث بعنوان علائم الحقیقة و المجاز</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ناظر إلی ما أفاده الشیخ قدّس سرّه فی الرسالة المنسوبة إلیه المطبوعة مع رسالة التسامح فی أدلة السنن قدیما و المطبوعة أخیرا مستقلا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ذلک قوله فی 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لا إشکال فی أنّ المتبادر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کون التلبس متحققا فی زمان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یخفی أنّه لا دلالة لهذا الکلام علی ذلک بل هو علی خلافه أدل، فراجعه و تأمل منه قدّس سرّه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عقیل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المنسوبة إلی المجدد الشیرازی قدّس سرّه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من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یرتبط بالمقام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تهذیب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لیت شعری أیّ علاقة بین من انقضی عنه المبدأ و من تلبس به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علاقة ما کان لا واقعیة لها، فلا مثال إلّا أمثلة المشتق التی هی محل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عمّا فی النسختین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اضفناه لاستقامة العبارة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مستدرک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و الصحیح حذف لفظة العدم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الطبعة القدیمة من أجود التقریرات، 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راجع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یقطین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یبیع البیع و لا یقبضه صاحبه و لا یقبض الثمن؟</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الأمر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فذلک، و الصحیح ما أثبتناه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أمر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المحشاة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یتعرض قدّس سرّه فیما تقدم أو ما سیأتی لشبهة الجبر بالتفصیل، و إنما أشار إلی ذلک فی طیّات هذه المباحث، فراجع صفحة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 و ربما نقله قدّس سرّه عن بعض تقریراته المخطوطة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لاستقامة العبارة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ثانیا و ثالثا فلاحظ</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وجب، فانه حکی ذلک عن التلویح، و لاحظ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لاستقامة العبارة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ستأتی حواشی المصنّف قدّس سرّه علی ذلک فی المجلّد الثالث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ستأتی حواشی المصنّف قدّس سرّه علی ذلک فی المجلّد الثالث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ورد فی ذیل حاشیته قدّس سرّه علی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الثامن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راجع أیضا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قبله، راجع الحاشیتین الآتیتین فی المجلّد الثالث من هذا الکتاب، الصفحة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من المجلد الرابع من هذا الکتاب، و 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السادس فی الحاشیة علی قول الماتن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یقاس الشک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قدّس سرّه ذکر أربعا من الملکات الخمس المذکورة فی المصدر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هنا موافق مع النسخة القدیمة غیر المحشاة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المجلّد السادس فی الحاشیة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جعل آخر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بذلک فی موارد،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بحث التعبدی و التوصلی،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سیأتی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الأصل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هذا لو تم فی تقابل العلم و الجهل فهو غیر جار فی محل الکلام الذی هو تقابل الاطلاق و التقیید، إذ لا مورد یفرض فیه تقابلهما تقابل الإیجاب و السلب بعد فرض کون أصل التقابل بینهما تقابل العدم و الملکة، إلّا أن یکون ذلک هو العلم بالحکم فی قبال باقی القیود التی یکون التقابل فیها بین الاطلاق و التقیید تقابل العدم و الملکة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أجود التقریرات حسب الطبعة القدیمة غیر المحشاة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منه قدّس سرّه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الثالث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مع النسخة القدیمة غیر المحشاة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ما تقدّم من الدور کان بالنسبة إلی تحقق الحکم المجعول و أمّا بالنسبة إلی أصل 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یخفی أن المجعول بین قوسین هو شرح المصنّف قدّس سرّه لکلام صاحب الکفایة قدّس سرّه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قلت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السید البروجردی قدّس سرّه فی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للاستقامة العبارة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للمناسبة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لاستقامة العبارة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لفظه، نعم روی ما یستفاد ذلک منه، 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التعبدی و التوصلی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الاستئجار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الأصل، و إنما أضفناه لاستقامة العبارة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قبل الأخیرة فی کلام صاحب الکفایة قدّس سرّه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التعبدی و التوصلی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و الصحیح ما أثبتناه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فیما یتراءی من الأصل، و لم نطّلع علی کتابه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بها الحاشیة الآتیة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عما فی النسخة القدیمة غیر المحشاة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و الصحیح ما أثبتناه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الأصل، و إنما أضفناه لاستقامة العبارة به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الأصل، و إنما أضفناه لاستقامة العبارة به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الأصل، و إنما أضفناه لاستقامة العبارة به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قد تقدمت الحاشیة علی ذلک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للارادات، و الصحیح ما أثبتناه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و الصحیح ما أثبتناه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للآملی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البدائع منه قدّس سرّه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ما وجدته فی الحاشیة، و لکن صاحب البدائع نقله فی 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اخری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بالمأمور به علی وجه الامتثال، فالآتی بالمأمور به لا علی وجه الامتثال منه قدّس سرّه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للمحقق الرشتی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یؤمروا إلا بالتوحید لیعبدوا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أوائل المجلّد السادس، الحاشیة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جعل آخر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راجع أیضا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المطلب مضمون ما ذکره المحقّق الخراسانی قدّس سرّه فی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للآملی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الأصل، و إنما أضفناه لاستقامة العبارة به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قدّس سرّه ذلک فی موارد،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ستأتی حواشی المصنّف قدّس سرّه علی ذلک فی المجلّد الثامن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لم یذکر الجواب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ادعی مدع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فالأنسب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صحیحا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 ذلک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القدیمة غیر المحشاة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ستأتی حواشیه قدّس سرّه علیه فی المجلّد التاسع</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لیس إلّا الأمر الأولی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هنا موافق مع النسخة القدیمة غیر المحشاة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هو ثالث الوجوه و ان لم یذکره بعنوان الثالث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 راجع أیضا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image" Target="media/image2.jpeg"/><Relationship Id="rId663" Type="http://schemas.openxmlformats.org/officeDocument/2006/relationships/image" Target="media/image2.jpeg"/><Relationship Id="rId664" Type="http://schemas.openxmlformats.org/officeDocument/2006/relationships/footer" Target="footer657.xml"/><Relationship Id="rId665" Type="http://schemas.openxmlformats.org/officeDocument/2006/relationships/footnotes" Target="footnotes.xml"/><Relationship Id="rId666" Type="http://schemas.openxmlformats.org/officeDocument/2006/relationships/numbering" Target="numbering.xml"/><Relationship Id="rId667" Type="http://schemas.openxmlformats.org/officeDocument/2006/relationships/fontTable" Target="fontTable.xml"/><Relationship Id="rId668" Type="http://schemas.openxmlformats.org/officeDocument/2006/relationships/settings" Target="settings.xml"/><Relationship Id="rId6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666</Pages>
  <Words>106703</Words>
  <Characters>437831</Characters>
  <CharactersWithSpaces>542506</CharactersWithSpaces>
  <Paragraphs>2029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2026-08-26T01:44:25Z</dcterms:created>
  <dc:creator>ghaemiyeh.com</dc:creator>
  <dc:description/>
  <dc:language>en-US</dc:language>
  <cp:lastModifiedBy/>
  <dcterms:modified xsi:type="dcterms:W3CDTF">2026-08-26T05:14:42Z</dcterms:modified>
  <cp:revision>1</cp:revision>
  <dc:subject/>
  <dc:title>اصول الفقه جلد 1</dc:title>
</cp:coreProperties>
</file>

<file path=docProps/custom.xml><?xml version="1.0" encoding="utf-8"?>
<Properties xmlns="http://schemas.openxmlformats.org/officeDocument/2006/custom-properties" xmlns:vt="http://schemas.openxmlformats.org/officeDocument/2006/docPropsVTypes"/>
</file>