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تبصره المتعلمین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1097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51099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51101_2314609296">
            <w:r>
              <w:rPr>
                <w:webHidden/>
                <w:rStyle w:val="IndexLink"/>
                <w:rtl w:val="true"/>
              </w:rPr>
              <w:t>[</w:t>
            </w:r>
            <w:r>
              <w:rPr>
                <w:rStyle w:val="IndexLink"/>
                <w:rtl w:val="true"/>
              </w:rPr>
              <w:t>مقدمة التحقيق</w:t>
            </w:r>
            <w:r>
              <w:rPr>
                <w:rStyle w:val="IndexLink"/>
                <w:rtl w:val="true"/>
              </w:rPr>
              <w:t>]</w:t>
              <w:tab/>
            </w:r>
            <w:r>
              <w:rPr>
                <w:rStyle w:val="IndexLink"/>
              </w:rPr>
              <w:t>9</w:t>
            </w:r>
          </w:hyperlink>
        </w:p>
        <w:p>
          <w:pPr>
            <w:pStyle w:val="Contents3"/>
            <w:tabs>
              <w:tab w:val="clear" w:pos="8459"/>
              <w:tab w:val="right" w:pos="9026" w:leader="dot"/>
            </w:tabs>
            <w:rPr/>
          </w:pPr>
          <w:hyperlink w:anchor="__RefHeading___Toc3251103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251105_2314609296">
            <w:r>
              <w:rPr>
                <w:webHidden/>
                <w:rStyle w:val="IndexLink"/>
                <w:rtl w:val="true"/>
              </w:rPr>
              <w:t>تبصرة المتعلمين في أحكام الدين</w:t>
            </w:r>
            <w:r>
              <w:rPr>
                <w:rStyle w:val="IndexLink"/>
                <w:rtl w:val="true"/>
              </w:rPr>
              <w:t>:</w:t>
              <w:tab/>
            </w:r>
            <w:r>
              <w:rPr>
                <w:rStyle w:val="IndexLink"/>
              </w:rPr>
              <w:t>10</w:t>
            </w:r>
          </w:hyperlink>
        </w:p>
        <w:p>
          <w:pPr>
            <w:pStyle w:val="Contents3"/>
            <w:tabs>
              <w:tab w:val="clear" w:pos="8459"/>
              <w:tab w:val="right" w:pos="9026" w:leader="dot"/>
            </w:tabs>
            <w:rPr/>
          </w:pPr>
          <w:hyperlink w:anchor="__RefHeading___Toc3251107_2314609296">
            <w:r>
              <w:rPr>
                <w:webHidden/>
                <w:rStyle w:val="IndexLink"/>
                <w:rtl w:val="true"/>
              </w:rPr>
              <w:t>العلامة الحلّي</w:t>
            </w:r>
            <w:r>
              <w:rPr>
                <w:rStyle w:val="IndexLink"/>
                <w:rtl w:val="true"/>
              </w:rPr>
              <w:t>:</w:t>
              <w:tab/>
            </w:r>
            <w:r>
              <w:rPr>
                <w:rStyle w:val="IndexLink"/>
              </w:rPr>
              <w:t>17</w:t>
            </w:r>
          </w:hyperlink>
        </w:p>
        <w:p>
          <w:pPr>
            <w:pStyle w:val="Contents4"/>
            <w:tabs>
              <w:tab w:val="clear" w:pos="8176"/>
              <w:tab w:val="right" w:pos="9026" w:leader="dot"/>
            </w:tabs>
            <w:rPr/>
          </w:pPr>
          <w:hyperlink w:anchor="__RefHeading___Toc3251109_2314609296">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251111_2314609296">
            <w:r>
              <w:rPr>
                <w:webHidden/>
                <w:rStyle w:val="IndexLink"/>
                <w:rtl w:val="true"/>
              </w:rPr>
              <w:t>(</w:t>
            </w:r>
            <w:r>
              <w:rPr>
                <w:rStyle w:val="IndexLink"/>
              </w:rPr>
              <w:t>1</w:t>
            </w:r>
            <w:r>
              <w:rPr>
                <w:rStyle w:val="IndexLink"/>
                <w:rtl w:val="true"/>
              </w:rPr>
              <w:t xml:space="preserve">) </w:t>
            </w:r>
            <w:r>
              <w:rPr>
                <w:rStyle w:val="IndexLink"/>
                <w:rtl w:val="true"/>
              </w:rPr>
              <w:t>اسمه و نسبه</w:t>
            </w:r>
            <w:r>
              <w:rPr>
                <w:rStyle w:val="IndexLink"/>
                <w:rtl w:val="true"/>
              </w:rPr>
              <w:t>:</w:t>
              <w:tab/>
            </w:r>
            <w:r>
              <w:rPr>
                <w:rStyle w:val="IndexLink"/>
              </w:rPr>
              <w:t>17</w:t>
            </w:r>
          </w:hyperlink>
        </w:p>
        <w:p>
          <w:pPr>
            <w:pStyle w:val="Contents4"/>
            <w:tabs>
              <w:tab w:val="clear" w:pos="8176"/>
              <w:tab w:val="right" w:pos="9026" w:leader="dot"/>
            </w:tabs>
            <w:rPr/>
          </w:pPr>
          <w:hyperlink w:anchor="__RefHeading___Toc3251113_2314609296">
            <w:r>
              <w:rPr>
                <w:webHidden/>
                <w:rStyle w:val="IndexLink"/>
                <w:rtl w:val="true"/>
              </w:rPr>
              <w:t>(</w:t>
            </w:r>
            <w:r>
              <w:rPr>
                <w:rStyle w:val="IndexLink"/>
              </w:rPr>
              <w:t>2</w:t>
            </w:r>
            <w:r>
              <w:rPr>
                <w:rStyle w:val="IndexLink"/>
                <w:rtl w:val="true"/>
              </w:rPr>
              <w:t xml:space="preserve">) </w:t>
            </w:r>
            <w:r>
              <w:rPr>
                <w:rStyle w:val="IndexLink"/>
                <w:rtl w:val="true"/>
              </w:rPr>
              <w:t>موطنه</w:t>
            </w:r>
            <w:r>
              <w:rPr>
                <w:rStyle w:val="IndexLink"/>
                <w:rtl w:val="true"/>
              </w:rPr>
              <w:t>:</w:t>
              <w:tab/>
            </w:r>
            <w:r>
              <w:rPr>
                <w:rStyle w:val="IndexLink"/>
              </w:rPr>
              <w:t>19</w:t>
            </w:r>
          </w:hyperlink>
        </w:p>
        <w:p>
          <w:pPr>
            <w:pStyle w:val="Contents4"/>
            <w:tabs>
              <w:tab w:val="clear" w:pos="8176"/>
              <w:tab w:val="right" w:pos="9026" w:leader="dot"/>
            </w:tabs>
            <w:rPr/>
          </w:pPr>
          <w:hyperlink w:anchor="__RefHeading___Toc3251115_2314609296">
            <w:r>
              <w:rPr>
                <w:webHidden/>
                <w:rStyle w:val="IndexLink"/>
                <w:rtl w:val="true"/>
              </w:rPr>
              <w:t>(</w:t>
            </w:r>
            <w:r>
              <w:rPr>
                <w:rStyle w:val="IndexLink"/>
              </w:rPr>
              <w:t>3</w:t>
            </w:r>
            <w:r>
              <w:rPr>
                <w:rStyle w:val="IndexLink"/>
                <w:rtl w:val="true"/>
              </w:rPr>
              <w:t xml:space="preserve">) </w:t>
            </w:r>
            <w:r>
              <w:rPr>
                <w:rStyle w:val="IndexLink"/>
                <w:rtl w:val="true"/>
              </w:rPr>
              <w:t>مولده</w:t>
            </w:r>
            <w:r>
              <w:rPr>
                <w:rStyle w:val="IndexLink"/>
                <w:rtl w:val="true"/>
              </w:rPr>
              <w:t>:</w:t>
              <w:tab/>
            </w:r>
            <w:r>
              <w:rPr>
                <w:rStyle w:val="IndexLink"/>
              </w:rPr>
              <w:t>21</w:t>
            </w:r>
          </w:hyperlink>
        </w:p>
        <w:p>
          <w:pPr>
            <w:pStyle w:val="Contents4"/>
            <w:tabs>
              <w:tab w:val="clear" w:pos="8176"/>
              <w:tab w:val="right" w:pos="9026" w:leader="dot"/>
            </w:tabs>
            <w:rPr/>
          </w:pPr>
          <w:hyperlink w:anchor="__RefHeading___Toc3251117_2314609296">
            <w:r>
              <w:rPr>
                <w:webHidden/>
                <w:rStyle w:val="IndexLink"/>
                <w:rtl w:val="true"/>
              </w:rPr>
              <w:t>(</w:t>
            </w:r>
            <w:r>
              <w:rPr>
                <w:rStyle w:val="IndexLink"/>
              </w:rPr>
              <w:t>4</w:t>
            </w:r>
            <w:r>
              <w:rPr>
                <w:rStyle w:val="IndexLink"/>
                <w:rtl w:val="true"/>
              </w:rPr>
              <w:t xml:space="preserve">) </w:t>
            </w:r>
            <w:r>
              <w:rPr>
                <w:rStyle w:val="IndexLink"/>
                <w:rtl w:val="true"/>
              </w:rPr>
              <w:t>أسرته</w:t>
            </w:r>
            <w:r>
              <w:rPr>
                <w:rStyle w:val="IndexLink"/>
                <w:rtl w:val="true"/>
              </w:rPr>
              <w:t>:</w:t>
              <w:tab/>
            </w:r>
            <w:r>
              <w:rPr>
                <w:rStyle w:val="IndexLink"/>
              </w:rPr>
              <w:t>24</w:t>
            </w:r>
          </w:hyperlink>
        </w:p>
        <w:p>
          <w:pPr>
            <w:pStyle w:val="Contents4"/>
            <w:tabs>
              <w:tab w:val="clear" w:pos="8176"/>
              <w:tab w:val="right" w:pos="9026" w:leader="dot"/>
            </w:tabs>
            <w:rPr/>
          </w:pPr>
          <w:hyperlink w:anchor="__RefHeading___Toc3251119_2314609296">
            <w:r>
              <w:rPr>
                <w:webHidden/>
                <w:rStyle w:val="IndexLink"/>
                <w:rtl w:val="true"/>
              </w:rPr>
              <w:t>(</w:t>
            </w:r>
            <w:r>
              <w:rPr>
                <w:rStyle w:val="IndexLink"/>
              </w:rPr>
              <w:t>5</w:t>
            </w:r>
            <w:r>
              <w:rPr>
                <w:rStyle w:val="IndexLink"/>
                <w:rtl w:val="true"/>
              </w:rPr>
              <w:t xml:space="preserve">) </w:t>
            </w:r>
            <w:r>
              <w:rPr>
                <w:rStyle w:val="IndexLink"/>
                <w:rtl w:val="true"/>
              </w:rPr>
              <w:t>نشأته</w:t>
            </w:r>
            <w:r>
              <w:rPr>
                <w:rStyle w:val="IndexLink"/>
                <w:rtl w:val="true"/>
              </w:rPr>
              <w:t>:</w:t>
              <w:tab/>
            </w:r>
            <w:r>
              <w:rPr>
                <w:rStyle w:val="IndexLink"/>
              </w:rPr>
              <w:t>27</w:t>
            </w:r>
          </w:hyperlink>
        </w:p>
        <w:p>
          <w:pPr>
            <w:pStyle w:val="Contents4"/>
            <w:tabs>
              <w:tab w:val="clear" w:pos="8176"/>
              <w:tab w:val="right" w:pos="9026" w:leader="dot"/>
            </w:tabs>
            <w:rPr/>
          </w:pPr>
          <w:hyperlink w:anchor="__RefHeading___Toc3251121_2314609296">
            <w:r>
              <w:rPr>
                <w:webHidden/>
                <w:rStyle w:val="IndexLink"/>
                <w:rtl w:val="true"/>
              </w:rPr>
              <w:t>(</w:t>
            </w:r>
            <w:r>
              <w:rPr>
                <w:rStyle w:val="IndexLink"/>
              </w:rPr>
              <w:t>6</w:t>
            </w:r>
            <w:r>
              <w:rPr>
                <w:rStyle w:val="IndexLink"/>
                <w:rtl w:val="true"/>
              </w:rPr>
              <w:t xml:space="preserve">) </w:t>
            </w:r>
            <w:r>
              <w:rPr>
                <w:rStyle w:val="IndexLink"/>
                <w:rtl w:val="true"/>
              </w:rPr>
              <w:t>عصره و معاصروه</w:t>
            </w:r>
            <w:r>
              <w:rPr>
                <w:rStyle w:val="IndexLink"/>
                <w:rtl w:val="true"/>
              </w:rPr>
              <w:t>:</w:t>
              <w:tab/>
            </w:r>
            <w:r>
              <w:rPr>
                <w:rStyle w:val="IndexLink"/>
              </w:rPr>
              <w:t>29</w:t>
            </w:r>
          </w:hyperlink>
        </w:p>
        <w:p>
          <w:pPr>
            <w:pStyle w:val="Contents4"/>
            <w:tabs>
              <w:tab w:val="clear" w:pos="8176"/>
              <w:tab w:val="right" w:pos="9026" w:leader="dot"/>
            </w:tabs>
            <w:rPr/>
          </w:pPr>
          <w:hyperlink w:anchor="__RefHeading___Toc3251123_2314609296">
            <w:r>
              <w:rPr>
                <w:webHidden/>
                <w:rStyle w:val="IndexLink"/>
                <w:rtl w:val="true"/>
              </w:rPr>
              <w:t>(</w:t>
            </w:r>
            <w:r>
              <w:rPr>
                <w:rStyle w:val="IndexLink"/>
              </w:rPr>
              <w:t>7</w:t>
            </w:r>
            <w:r>
              <w:rPr>
                <w:rStyle w:val="IndexLink"/>
                <w:rtl w:val="true"/>
              </w:rPr>
              <w:t xml:space="preserve">) </w:t>
            </w:r>
            <w:r>
              <w:rPr>
                <w:rStyle w:val="IndexLink"/>
                <w:rtl w:val="true"/>
              </w:rPr>
              <w:t>مشايخه في القراءة و الإجازة</w:t>
            </w:r>
            <w:r>
              <w:rPr>
                <w:rStyle w:val="IndexLink"/>
                <w:rtl w:val="true"/>
              </w:rPr>
              <w:t>:</w:t>
              <w:tab/>
            </w:r>
            <w:r>
              <w:rPr>
                <w:rStyle w:val="IndexLink"/>
              </w:rPr>
              <w:t>32</w:t>
            </w:r>
          </w:hyperlink>
        </w:p>
        <w:p>
          <w:pPr>
            <w:pStyle w:val="Contents4"/>
            <w:tabs>
              <w:tab w:val="clear" w:pos="8176"/>
              <w:tab w:val="right" w:pos="9026" w:leader="dot"/>
            </w:tabs>
            <w:rPr/>
          </w:pPr>
          <w:hyperlink w:anchor="__RefHeading___Toc3251125_2314609296">
            <w:r>
              <w:rPr>
                <w:webHidden/>
                <w:rStyle w:val="IndexLink"/>
                <w:rtl w:val="true"/>
              </w:rPr>
              <w:t>(</w:t>
            </w:r>
            <w:r>
              <w:rPr>
                <w:rStyle w:val="IndexLink"/>
              </w:rPr>
              <w:t>8</w:t>
            </w:r>
            <w:r>
              <w:rPr>
                <w:rStyle w:val="IndexLink"/>
                <w:rtl w:val="true"/>
              </w:rPr>
              <w:t xml:space="preserve">) </w:t>
            </w:r>
            <w:r>
              <w:rPr>
                <w:rStyle w:val="IndexLink"/>
                <w:rtl w:val="true"/>
              </w:rPr>
              <w:t>تلامذته و الراوون عنه</w:t>
            </w:r>
            <w:r>
              <w:rPr>
                <w:rStyle w:val="IndexLink"/>
                <w:rtl w:val="true"/>
              </w:rPr>
              <w:t>:</w:t>
              <w:tab/>
            </w:r>
            <w:r>
              <w:rPr>
                <w:rStyle w:val="IndexLink"/>
              </w:rPr>
              <w:t>33</w:t>
            </w:r>
          </w:hyperlink>
        </w:p>
        <w:p>
          <w:pPr>
            <w:pStyle w:val="Contents4"/>
            <w:tabs>
              <w:tab w:val="clear" w:pos="8176"/>
              <w:tab w:val="right" w:pos="9026" w:leader="dot"/>
            </w:tabs>
            <w:rPr/>
          </w:pPr>
          <w:hyperlink w:anchor="__RefHeading___Toc3251127_2314609296">
            <w:r>
              <w:rPr>
                <w:webHidden/>
                <w:rStyle w:val="IndexLink"/>
                <w:rtl w:val="true"/>
              </w:rPr>
              <w:t>(</w:t>
            </w:r>
            <w:r>
              <w:rPr>
                <w:rStyle w:val="IndexLink"/>
              </w:rPr>
              <w:t>9</w:t>
            </w:r>
            <w:r>
              <w:rPr>
                <w:rStyle w:val="IndexLink"/>
                <w:rtl w:val="true"/>
              </w:rPr>
              <w:t xml:space="preserve">) </w:t>
            </w:r>
            <w:r>
              <w:rPr>
                <w:rStyle w:val="IndexLink"/>
                <w:rtl w:val="true"/>
              </w:rPr>
              <w:t>إطراء العلماء له</w:t>
            </w:r>
            <w:r>
              <w:rPr>
                <w:rStyle w:val="IndexLink"/>
                <w:rtl w:val="true"/>
              </w:rPr>
              <w:t>:</w:t>
              <w:tab/>
            </w:r>
            <w:r>
              <w:rPr>
                <w:rStyle w:val="IndexLink"/>
              </w:rPr>
              <w:t>35</w:t>
            </w:r>
          </w:hyperlink>
        </w:p>
        <w:p>
          <w:pPr>
            <w:pStyle w:val="Contents4"/>
            <w:tabs>
              <w:tab w:val="clear" w:pos="8176"/>
              <w:tab w:val="right" w:pos="9026" w:leader="dot"/>
            </w:tabs>
            <w:rPr/>
          </w:pPr>
          <w:hyperlink w:anchor="__RefHeading___Toc3251129_2314609296">
            <w:r>
              <w:rPr>
                <w:webHidden/>
                <w:rStyle w:val="IndexLink"/>
                <w:rtl w:val="true"/>
              </w:rPr>
              <w:t>(</w:t>
            </w:r>
            <w:r>
              <w:rPr>
                <w:rStyle w:val="IndexLink"/>
              </w:rPr>
              <w:t>10</w:t>
            </w:r>
            <w:r>
              <w:rPr>
                <w:rStyle w:val="IndexLink"/>
                <w:rtl w:val="true"/>
              </w:rPr>
              <w:t xml:space="preserve">) </w:t>
            </w:r>
            <w:r>
              <w:rPr>
                <w:rStyle w:val="IndexLink"/>
                <w:rtl w:val="true"/>
              </w:rPr>
              <w:t>مؤلّفاته</w:t>
            </w:r>
            <w:r>
              <w:rPr>
                <w:rStyle w:val="IndexLink"/>
                <w:rtl w:val="true"/>
              </w:rPr>
              <w:t>:</w:t>
              <w:tab/>
            </w:r>
            <w:r>
              <w:rPr>
                <w:rStyle w:val="IndexLink"/>
              </w:rPr>
              <w:t>40</w:t>
            </w:r>
          </w:hyperlink>
        </w:p>
        <w:p>
          <w:pPr>
            <w:pStyle w:val="Contents4"/>
            <w:tabs>
              <w:tab w:val="clear" w:pos="8176"/>
              <w:tab w:val="right" w:pos="9026" w:leader="dot"/>
            </w:tabs>
            <w:rPr/>
          </w:pPr>
          <w:hyperlink w:anchor="__RefHeading___Toc3251131_2314609296">
            <w:r>
              <w:rPr>
                <w:webHidden/>
                <w:rStyle w:val="IndexLink"/>
                <w:rtl w:val="true"/>
              </w:rPr>
              <w:t>(</w:t>
            </w:r>
            <w:r>
              <w:rPr>
                <w:rStyle w:val="IndexLink"/>
              </w:rPr>
              <w:t>11</w:t>
            </w:r>
            <w:r>
              <w:rPr>
                <w:rStyle w:val="IndexLink"/>
                <w:rtl w:val="true"/>
              </w:rPr>
              <w:t xml:space="preserve">) </w:t>
            </w:r>
            <w:r>
              <w:rPr>
                <w:rStyle w:val="IndexLink"/>
                <w:rtl w:val="true"/>
              </w:rPr>
              <w:t>العلّامة و السلطان أولجايتو</w:t>
            </w:r>
            <w:r>
              <w:rPr>
                <w:rStyle w:val="IndexLink"/>
                <w:rtl w:val="true"/>
              </w:rPr>
              <w:t>:</w:t>
              <w:tab/>
            </w:r>
            <w:r>
              <w:rPr>
                <w:rStyle w:val="IndexLink"/>
              </w:rPr>
              <w:t>58</w:t>
            </w:r>
          </w:hyperlink>
        </w:p>
        <w:p>
          <w:pPr>
            <w:pStyle w:val="Contents4"/>
            <w:tabs>
              <w:tab w:val="clear" w:pos="8176"/>
              <w:tab w:val="right" w:pos="9026" w:leader="dot"/>
            </w:tabs>
            <w:rPr/>
          </w:pPr>
          <w:hyperlink w:anchor="__RefHeading___Toc3251133_2314609296">
            <w:r>
              <w:rPr>
                <w:webHidden/>
                <w:rStyle w:val="IndexLink"/>
                <w:rtl w:val="true"/>
              </w:rPr>
              <w:t>(</w:t>
            </w:r>
            <w:r>
              <w:rPr>
                <w:rStyle w:val="IndexLink"/>
              </w:rPr>
              <w:t>12</w:t>
            </w:r>
            <w:r>
              <w:rPr>
                <w:rStyle w:val="IndexLink"/>
                <w:rtl w:val="true"/>
              </w:rPr>
              <w:t xml:space="preserve">) </w:t>
            </w:r>
            <w:r>
              <w:rPr>
                <w:rStyle w:val="IndexLink"/>
                <w:rtl w:val="true"/>
              </w:rPr>
              <w:t>العلّامة و الشعر</w:t>
            </w:r>
            <w:r>
              <w:rPr>
                <w:rStyle w:val="IndexLink"/>
                <w:rtl w:val="true"/>
              </w:rPr>
              <w:t>:</w:t>
              <w:tab/>
            </w:r>
            <w:r>
              <w:rPr>
                <w:rStyle w:val="IndexLink"/>
              </w:rPr>
              <w:t>72</w:t>
            </w:r>
          </w:hyperlink>
        </w:p>
        <w:p>
          <w:pPr>
            <w:pStyle w:val="Contents4"/>
            <w:tabs>
              <w:tab w:val="clear" w:pos="8176"/>
              <w:tab w:val="right" w:pos="9026" w:leader="dot"/>
            </w:tabs>
            <w:rPr/>
          </w:pPr>
          <w:hyperlink w:anchor="__RefHeading___Toc3251135_2314609296">
            <w:r>
              <w:rPr>
                <w:webHidden/>
                <w:rStyle w:val="IndexLink"/>
                <w:rtl w:val="true"/>
              </w:rPr>
              <w:t>(</w:t>
            </w:r>
            <w:r>
              <w:rPr>
                <w:rStyle w:val="IndexLink"/>
              </w:rPr>
              <w:t>13</w:t>
            </w:r>
            <w:r>
              <w:rPr>
                <w:rStyle w:val="IndexLink"/>
                <w:rtl w:val="true"/>
              </w:rPr>
              <w:t xml:space="preserve">) </w:t>
            </w:r>
            <w:r>
              <w:rPr>
                <w:rStyle w:val="IndexLink"/>
                <w:rtl w:val="true"/>
              </w:rPr>
              <w:t>وفاته و مدفنه</w:t>
            </w:r>
            <w:r>
              <w:rPr>
                <w:rStyle w:val="IndexLink"/>
                <w:rtl w:val="true"/>
              </w:rPr>
              <w:t>:</w:t>
              <w:tab/>
            </w:r>
            <w:r>
              <w:rPr>
                <w:rStyle w:val="IndexLink"/>
              </w:rPr>
              <w:t>74</w:t>
            </w:r>
          </w:hyperlink>
        </w:p>
        <w:p>
          <w:pPr>
            <w:pStyle w:val="Contents3"/>
            <w:tabs>
              <w:tab w:val="clear" w:pos="8459"/>
              <w:tab w:val="right" w:pos="9026" w:leader="dot"/>
            </w:tabs>
            <w:rPr/>
          </w:pPr>
          <w:hyperlink w:anchor="__RefHeading___Toc3251137_2314609296">
            <w:r>
              <w:rPr>
                <w:webHidden/>
                <w:rStyle w:val="IndexLink"/>
                <w:rtl w:val="true"/>
              </w:rPr>
              <w:t>شرح التبصرة</w:t>
            </w:r>
            <w:r>
              <w:rPr>
                <w:rStyle w:val="IndexLink"/>
                <w:rtl w:val="true"/>
              </w:rPr>
              <w:t>:</w:t>
              <w:tab/>
            </w:r>
            <w:r>
              <w:rPr>
                <w:rStyle w:val="IndexLink"/>
              </w:rPr>
              <w:t>77</w:t>
            </w:r>
          </w:hyperlink>
        </w:p>
        <w:p>
          <w:pPr>
            <w:pStyle w:val="Contents4"/>
            <w:tabs>
              <w:tab w:val="clear" w:pos="8176"/>
              <w:tab w:val="right" w:pos="9026" w:leader="dot"/>
            </w:tabs>
            <w:rPr/>
          </w:pPr>
          <w:hyperlink w:anchor="__RefHeading___Toc3251139_2314609296">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251141_2314609296">
            <w:r>
              <w:rPr>
                <w:webHidden/>
                <w:rStyle w:val="IndexLink"/>
                <w:rtl w:val="true"/>
              </w:rPr>
              <w:t>الشيخ ضياء الدين العراقي</w:t>
            </w:r>
            <w:r>
              <w:rPr>
                <w:rStyle w:val="IndexLink"/>
                <w:rtl w:val="true"/>
              </w:rPr>
              <w:t>:</w:t>
              <w:tab/>
            </w:r>
            <w:r>
              <w:rPr>
                <w:rStyle w:val="IndexLink"/>
              </w:rPr>
              <w:t>79</w:t>
            </w:r>
          </w:hyperlink>
        </w:p>
        <w:p>
          <w:pPr>
            <w:pStyle w:val="Contents5"/>
            <w:tabs>
              <w:tab w:val="clear" w:pos="7892"/>
              <w:tab w:val="right" w:pos="9026" w:leader="dot"/>
            </w:tabs>
            <w:rPr/>
          </w:pPr>
          <w:hyperlink w:anchor="__RefHeading___Toc3251143_231460929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251145_2314609296">
            <w:r>
              <w:rPr>
                <w:webHidden/>
                <w:rStyle w:val="IndexLink"/>
                <w:rtl w:val="true"/>
              </w:rPr>
              <w:t>اسمه و نسبه و نشأته</w:t>
            </w:r>
            <w:r>
              <w:rPr>
                <w:rStyle w:val="IndexLink"/>
                <w:rtl w:val="true"/>
              </w:rPr>
              <w:t>:</w:t>
              <w:tab/>
            </w:r>
            <w:r>
              <w:rPr>
                <w:rStyle w:val="IndexLink"/>
              </w:rPr>
              <w:t>79</w:t>
            </w:r>
          </w:hyperlink>
        </w:p>
        <w:p>
          <w:pPr>
            <w:pStyle w:val="Contents5"/>
            <w:tabs>
              <w:tab w:val="clear" w:pos="7892"/>
              <w:tab w:val="right" w:pos="9026" w:leader="dot"/>
            </w:tabs>
            <w:rPr/>
          </w:pPr>
          <w:hyperlink w:anchor="__RefHeading___Toc3251147_2314609296">
            <w:r>
              <w:rPr>
                <w:webHidden/>
                <w:rStyle w:val="IndexLink"/>
                <w:rtl w:val="true"/>
              </w:rPr>
              <w:t>إطراء العلماء له</w:t>
            </w:r>
            <w:r>
              <w:rPr>
                <w:rStyle w:val="IndexLink"/>
                <w:rtl w:val="true"/>
              </w:rPr>
              <w:t>:</w:t>
              <w:tab/>
            </w:r>
            <w:r>
              <w:rPr>
                <w:rStyle w:val="IndexLink"/>
              </w:rPr>
              <w:t>82</w:t>
            </w:r>
          </w:hyperlink>
        </w:p>
        <w:p>
          <w:pPr>
            <w:pStyle w:val="Contents5"/>
            <w:tabs>
              <w:tab w:val="clear" w:pos="7892"/>
              <w:tab w:val="right" w:pos="9026" w:leader="dot"/>
            </w:tabs>
            <w:rPr/>
          </w:pPr>
          <w:hyperlink w:anchor="__RefHeading___Toc3251149_2314609296">
            <w:r>
              <w:rPr>
                <w:webHidden/>
                <w:rStyle w:val="IndexLink"/>
                <w:rtl w:val="true"/>
              </w:rPr>
              <w:t>أساتذته</w:t>
            </w:r>
            <w:r>
              <w:rPr>
                <w:rStyle w:val="IndexLink"/>
                <w:rtl w:val="true"/>
              </w:rPr>
              <w:t>:</w:t>
              <w:tab/>
            </w:r>
            <w:r>
              <w:rPr>
                <w:rStyle w:val="IndexLink"/>
              </w:rPr>
              <w:t>83</w:t>
            </w:r>
          </w:hyperlink>
        </w:p>
        <w:p>
          <w:pPr>
            <w:pStyle w:val="Contents5"/>
            <w:tabs>
              <w:tab w:val="clear" w:pos="7892"/>
              <w:tab w:val="right" w:pos="9026" w:leader="dot"/>
            </w:tabs>
            <w:rPr/>
          </w:pPr>
          <w:hyperlink w:anchor="__RefHeading___Toc3251151_2314609296">
            <w:r>
              <w:rPr>
                <w:webHidden/>
                <w:rStyle w:val="IndexLink"/>
                <w:rtl w:val="true"/>
              </w:rPr>
              <w:t>تلامذته</w:t>
            </w:r>
            <w:r>
              <w:rPr>
                <w:rStyle w:val="IndexLink"/>
                <w:rtl w:val="true"/>
              </w:rPr>
              <w:t>:</w:t>
              <w:tab/>
            </w:r>
            <w:r>
              <w:rPr>
                <w:rStyle w:val="IndexLink"/>
              </w:rPr>
              <w:t>83</w:t>
            </w:r>
          </w:hyperlink>
        </w:p>
        <w:p>
          <w:pPr>
            <w:pStyle w:val="Contents5"/>
            <w:tabs>
              <w:tab w:val="clear" w:pos="7892"/>
              <w:tab w:val="right" w:pos="9026" w:leader="dot"/>
            </w:tabs>
            <w:rPr/>
          </w:pPr>
          <w:hyperlink w:anchor="__RefHeading___Toc3251153_2314609296">
            <w:r>
              <w:rPr>
                <w:webHidden/>
                <w:rStyle w:val="IndexLink"/>
                <w:rtl w:val="true"/>
              </w:rPr>
              <w:t>مؤلّفاته</w:t>
            </w:r>
            <w:r>
              <w:rPr>
                <w:rStyle w:val="IndexLink"/>
                <w:rtl w:val="true"/>
              </w:rPr>
              <w:t>:</w:t>
              <w:tab/>
            </w:r>
            <w:r>
              <w:rPr>
                <w:rStyle w:val="IndexLink"/>
              </w:rPr>
              <w:t>85</w:t>
            </w:r>
          </w:hyperlink>
        </w:p>
        <w:p>
          <w:pPr>
            <w:pStyle w:val="Contents5"/>
            <w:tabs>
              <w:tab w:val="clear" w:pos="7892"/>
              <w:tab w:val="right" w:pos="9026" w:leader="dot"/>
            </w:tabs>
            <w:rPr/>
          </w:pPr>
          <w:hyperlink w:anchor="__RefHeading___Toc3251155_2314609296">
            <w:r>
              <w:rPr>
                <w:webHidden/>
                <w:rStyle w:val="IndexLink"/>
                <w:rtl w:val="true"/>
              </w:rPr>
              <w:t>وفاته و مدفنه</w:t>
            </w:r>
            <w:r>
              <w:rPr>
                <w:rStyle w:val="IndexLink"/>
                <w:rtl w:val="true"/>
              </w:rPr>
              <w:t>:</w:t>
              <w:tab/>
            </w:r>
            <w:r>
              <w:rPr>
                <w:rStyle w:val="IndexLink"/>
              </w:rPr>
              <w:t>86</w:t>
            </w:r>
          </w:hyperlink>
        </w:p>
        <w:p>
          <w:pPr>
            <w:pStyle w:val="Contents3"/>
            <w:tabs>
              <w:tab w:val="clear" w:pos="8459"/>
              <w:tab w:val="right" w:pos="9026" w:leader="dot"/>
            </w:tabs>
            <w:rPr/>
          </w:pPr>
          <w:hyperlink w:anchor="__RefHeading___Toc3251157_2314609296">
            <w:r>
              <w:rPr>
                <w:webHidden/>
                <w:rStyle w:val="IndexLink"/>
                <w:rtl w:val="true"/>
              </w:rPr>
              <w:t>النسخ الخطية المعتمدة في التحقيق</w:t>
            </w:r>
            <w:r>
              <w:rPr>
                <w:rStyle w:val="IndexLink"/>
                <w:rtl w:val="true"/>
              </w:rPr>
              <w:t>:</w:t>
              <w:tab/>
            </w:r>
            <w:r>
              <w:rPr>
                <w:rStyle w:val="IndexLink"/>
              </w:rPr>
              <w:t>86</w:t>
            </w:r>
          </w:hyperlink>
        </w:p>
        <w:p>
          <w:pPr>
            <w:pStyle w:val="Contents3"/>
            <w:tabs>
              <w:tab w:val="clear" w:pos="8459"/>
              <w:tab w:val="right" w:pos="9026" w:leader="dot"/>
            </w:tabs>
            <w:rPr/>
          </w:pPr>
          <w:hyperlink w:anchor="__RefHeading___Toc3251159_2314609296">
            <w:r>
              <w:rPr>
                <w:webHidden/>
                <w:rStyle w:val="IndexLink"/>
                <w:rtl w:val="true"/>
              </w:rPr>
              <w:t>منهجية التحقيق</w:t>
            </w:r>
            <w:r>
              <w:rPr>
                <w:rStyle w:val="IndexLink"/>
                <w:rtl w:val="true"/>
              </w:rPr>
              <w:t>:</w:t>
              <w:tab/>
            </w:r>
            <w:r>
              <w:rPr>
                <w:rStyle w:val="IndexLink"/>
              </w:rPr>
              <w:t>87</w:t>
            </w:r>
          </w:hyperlink>
        </w:p>
        <w:p>
          <w:pPr>
            <w:pStyle w:val="Contents2"/>
            <w:tabs>
              <w:tab w:val="clear" w:pos="8743"/>
              <w:tab w:val="right" w:pos="9026" w:leader="dot"/>
            </w:tabs>
            <w:rPr/>
          </w:pPr>
          <w:hyperlink w:anchor="__RefHeading___Toc3251161_2314609296">
            <w:r>
              <w:rPr>
                <w:webHidden/>
                <w:rStyle w:val="IndexLink"/>
                <w:rtl w:val="true"/>
              </w:rPr>
              <w:t>كتاب الطهارة</w:t>
            </w:r>
            <w:r>
              <w:rPr>
                <w:rStyle w:val="IndexLink"/>
                <w:rtl w:val="true"/>
              </w:rPr>
              <w:tab/>
            </w:r>
            <w:r>
              <w:rPr>
                <w:rStyle w:val="IndexLink"/>
              </w:rPr>
              <w:t>88</w:t>
            </w:r>
          </w:hyperlink>
        </w:p>
        <w:p>
          <w:pPr>
            <w:pStyle w:val="Contents3"/>
            <w:tabs>
              <w:tab w:val="clear" w:pos="8459"/>
              <w:tab w:val="right" w:pos="9026" w:leader="dot"/>
            </w:tabs>
            <w:rPr/>
          </w:pPr>
          <w:hyperlink w:anchor="__RefHeading___Toc3251163_2314609296">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3251165_2314609296">
            <w:r>
              <w:rPr>
                <w:webHidden/>
                <w:rStyle w:val="IndexLink"/>
                <w:rtl w:val="true"/>
              </w:rPr>
              <w:t>[</w:t>
            </w:r>
            <w:r>
              <w:rPr>
                <w:rStyle w:val="IndexLink"/>
                <w:rtl w:val="true"/>
              </w:rPr>
              <w:t>أبواب</w:t>
            </w:r>
            <w:r>
              <w:rPr>
                <w:rStyle w:val="IndexLink"/>
                <w:rtl w:val="true"/>
              </w:rPr>
              <w:t>]</w:t>
              <w:tab/>
            </w:r>
            <w:r>
              <w:rPr>
                <w:rStyle w:val="IndexLink"/>
              </w:rPr>
              <w:t>90</w:t>
            </w:r>
          </w:hyperlink>
        </w:p>
        <w:p>
          <w:pPr>
            <w:pStyle w:val="Contents4"/>
            <w:tabs>
              <w:tab w:val="clear" w:pos="8176"/>
              <w:tab w:val="right" w:pos="9026" w:leader="dot"/>
            </w:tabs>
            <w:rPr/>
          </w:pPr>
          <w:hyperlink w:anchor="__RefHeading___Toc3251167_2314609296">
            <w:r>
              <w:rPr>
                <w:webHidden/>
                <w:rStyle w:val="IndexLink"/>
                <w:rtl w:val="true"/>
              </w:rPr>
              <w:t>الباب الأول</w:t>
            </w:r>
            <w:r>
              <w:rPr>
                <w:rStyle w:val="IndexLink"/>
                <w:rtl w:val="true"/>
              </w:rPr>
              <w:t xml:space="preserve">: </w:t>
            </w:r>
            <w:r>
              <w:rPr>
                <w:rStyle w:val="IndexLink"/>
                <w:rtl w:val="true"/>
              </w:rPr>
              <w:t>في المياه</w:t>
            </w:r>
            <w:r>
              <w:rPr>
                <w:rStyle w:val="IndexLink"/>
                <w:rtl w:val="true"/>
              </w:rPr>
              <w:tab/>
            </w:r>
            <w:r>
              <w:rPr>
                <w:rStyle w:val="IndexLink"/>
              </w:rPr>
              <w:t>90</w:t>
            </w:r>
          </w:hyperlink>
        </w:p>
        <w:p>
          <w:pPr>
            <w:pStyle w:val="Contents5"/>
            <w:tabs>
              <w:tab w:val="clear" w:pos="7892"/>
              <w:tab w:val="right" w:pos="9026" w:leader="dot"/>
            </w:tabs>
            <w:rPr/>
          </w:pPr>
          <w:hyperlink w:anchor="__RefHeading___Toc3251169_231460929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251171_2314609296">
            <w:r>
              <w:rPr>
                <w:webHidden/>
                <w:rStyle w:val="IndexLink"/>
                <w:rtl w:val="true"/>
              </w:rPr>
              <w:t>[</w:t>
            </w:r>
            <w:r>
              <w:rPr>
                <w:rStyle w:val="IndexLink"/>
                <w:rtl w:val="true"/>
              </w:rPr>
              <w:t>الماء المطلق</w:t>
            </w:r>
            <w:r>
              <w:rPr>
                <w:rStyle w:val="IndexLink"/>
                <w:rtl w:val="true"/>
              </w:rPr>
              <w:t>]</w:t>
              <w:tab/>
            </w:r>
            <w:r>
              <w:rPr>
                <w:rStyle w:val="IndexLink"/>
              </w:rPr>
              <w:t>90</w:t>
            </w:r>
          </w:hyperlink>
        </w:p>
        <w:p>
          <w:pPr>
            <w:pStyle w:val="Contents6"/>
            <w:tabs>
              <w:tab w:val="clear" w:pos="7609"/>
              <w:tab w:val="right" w:pos="9026" w:leader="dot"/>
            </w:tabs>
            <w:rPr/>
          </w:pPr>
          <w:hyperlink w:anchor="__RefHeading___Toc3251173_2314609296">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251175_2314609296">
            <w:r>
              <w:rPr>
                <w:webHidden/>
                <w:rStyle w:val="IndexLink"/>
                <w:rtl w:val="true"/>
              </w:rPr>
              <w:t>الأول</w:t>
            </w:r>
            <w:r>
              <w:rPr>
                <w:rStyle w:val="IndexLink"/>
                <w:rtl w:val="true"/>
              </w:rPr>
              <w:t xml:space="preserve">: </w:t>
            </w:r>
            <w:r>
              <w:rPr>
                <w:rStyle w:val="IndexLink"/>
                <w:rtl w:val="true"/>
              </w:rPr>
              <w:t>الماء الجاري</w:t>
            </w:r>
            <w:r>
              <w:rPr>
                <w:rStyle w:val="IndexLink"/>
                <w:rtl w:val="true"/>
              </w:rPr>
              <w:tab/>
            </w:r>
            <w:r>
              <w:rPr>
                <w:rStyle w:val="IndexLink"/>
              </w:rPr>
              <w:t>91</w:t>
            </w:r>
          </w:hyperlink>
        </w:p>
        <w:p>
          <w:pPr>
            <w:pStyle w:val="Contents6"/>
            <w:tabs>
              <w:tab w:val="clear" w:pos="7609"/>
              <w:tab w:val="right" w:pos="9026" w:leader="dot"/>
            </w:tabs>
            <w:rPr/>
          </w:pPr>
          <w:hyperlink w:anchor="__RefHeading___Toc3251177_2314609296">
            <w:r>
              <w:rPr>
                <w:webHidden/>
                <w:rStyle w:val="IndexLink"/>
                <w:rtl w:val="true"/>
              </w:rPr>
              <w:t>الثاني</w:t>
            </w:r>
            <w:r>
              <w:rPr>
                <w:rStyle w:val="IndexLink"/>
                <w:rtl w:val="true"/>
              </w:rPr>
              <w:t xml:space="preserve">: </w:t>
            </w:r>
            <w:r>
              <w:rPr>
                <w:rStyle w:val="IndexLink"/>
                <w:rtl w:val="true"/>
              </w:rPr>
              <w:t>الماء الراكد</w:t>
            </w:r>
            <w:r>
              <w:rPr>
                <w:rStyle w:val="IndexLink"/>
                <w:rtl w:val="true"/>
              </w:rPr>
              <w:tab/>
            </w:r>
            <w:r>
              <w:rPr>
                <w:rStyle w:val="IndexLink"/>
              </w:rPr>
              <w:t>96</w:t>
            </w:r>
          </w:hyperlink>
        </w:p>
        <w:p>
          <w:pPr>
            <w:pStyle w:val="Contents6"/>
            <w:tabs>
              <w:tab w:val="clear" w:pos="7609"/>
              <w:tab w:val="right" w:pos="9026" w:leader="dot"/>
            </w:tabs>
            <w:rPr/>
          </w:pPr>
          <w:hyperlink w:anchor="__RefHeading___Toc3251179_2314609296">
            <w:r>
              <w:rPr>
                <w:webHidden/>
                <w:rStyle w:val="IndexLink"/>
                <w:rtl w:val="true"/>
              </w:rPr>
              <w:t>الثالث</w:t>
            </w:r>
            <w:r>
              <w:rPr>
                <w:rStyle w:val="IndexLink"/>
                <w:rtl w:val="true"/>
              </w:rPr>
              <w:t xml:space="preserve">: </w:t>
            </w:r>
            <w:r>
              <w:rPr>
                <w:rStyle w:val="IndexLink"/>
                <w:rtl w:val="true"/>
              </w:rPr>
              <w:t>ماء البئر</w:t>
            </w:r>
            <w:r>
              <w:rPr>
                <w:rStyle w:val="IndexLink"/>
                <w:rtl w:val="true"/>
              </w:rPr>
              <w:tab/>
            </w:r>
            <w:r>
              <w:rPr>
                <w:rStyle w:val="IndexLink"/>
              </w:rPr>
              <w:t>105</w:t>
            </w:r>
          </w:hyperlink>
        </w:p>
        <w:p>
          <w:pPr>
            <w:pStyle w:val="Contents6"/>
            <w:tabs>
              <w:tab w:val="clear" w:pos="7609"/>
              <w:tab w:val="right" w:pos="9026" w:leader="dot"/>
            </w:tabs>
            <w:rPr/>
          </w:pPr>
          <w:hyperlink w:anchor="__RefHeading___Toc3251181_2314609296">
            <w:r>
              <w:rPr>
                <w:webHidden/>
                <w:rStyle w:val="IndexLink"/>
                <w:rtl w:val="true"/>
              </w:rPr>
              <w:t>الرابع</w:t>
            </w:r>
            <w:r>
              <w:rPr>
                <w:rStyle w:val="IndexLink"/>
                <w:rtl w:val="true"/>
              </w:rPr>
              <w:t xml:space="preserve">: </w:t>
            </w:r>
            <w:r>
              <w:rPr>
                <w:rStyle w:val="IndexLink"/>
                <w:rtl w:val="true"/>
              </w:rPr>
              <w:t>الأسئار</w:t>
            </w:r>
            <w:r>
              <w:rPr>
                <w:rStyle w:val="IndexLink"/>
                <w:rtl w:val="true"/>
              </w:rPr>
              <w:tab/>
            </w:r>
            <w:r>
              <w:rPr>
                <w:rStyle w:val="IndexLink"/>
              </w:rPr>
              <w:t>123</w:t>
            </w:r>
          </w:hyperlink>
        </w:p>
        <w:p>
          <w:pPr>
            <w:pStyle w:val="Contents6"/>
            <w:tabs>
              <w:tab w:val="clear" w:pos="7609"/>
              <w:tab w:val="right" w:pos="9026" w:leader="dot"/>
            </w:tabs>
            <w:rPr/>
          </w:pPr>
          <w:hyperlink w:anchor="__RefHeading___Toc3251183_2314609296">
            <w:r>
              <w:rPr>
                <w:webHidden/>
                <w:rStyle w:val="IndexLink"/>
                <w:rtl w:val="true"/>
              </w:rPr>
              <w:t>تتميم الماء النجس كرا</w:t>
            </w:r>
            <w:r>
              <w:rPr>
                <w:rStyle w:val="IndexLink"/>
                <w:rtl w:val="true"/>
              </w:rPr>
              <w:tab/>
            </w:r>
            <w:r>
              <w:rPr>
                <w:rStyle w:val="IndexLink"/>
              </w:rPr>
              <w:t>126</w:t>
            </w:r>
          </w:hyperlink>
        </w:p>
        <w:p>
          <w:pPr>
            <w:pStyle w:val="Contents5"/>
            <w:tabs>
              <w:tab w:val="clear" w:pos="7892"/>
              <w:tab w:val="right" w:pos="9026" w:leader="dot"/>
            </w:tabs>
            <w:rPr/>
          </w:pPr>
          <w:hyperlink w:anchor="__RefHeading___Toc3251185_2314609296">
            <w:r>
              <w:rPr>
                <w:webHidden/>
                <w:rStyle w:val="IndexLink"/>
                <w:rtl w:val="true"/>
              </w:rPr>
              <w:t>و أما المضاف فهو المعتصر من الأجسام</w:t>
            </w:r>
            <w:r>
              <w:rPr>
                <w:rStyle w:val="IndexLink"/>
                <w:rtl w:val="true"/>
              </w:rPr>
              <w:tab/>
            </w:r>
            <w:r>
              <w:rPr>
                <w:rStyle w:val="IndexLink"/>
              </w:rPr>
              <w:t>128</w:t>
            </w:r>
          </w:hyperlink>
        </w:p>
        <w:p>
          <w:pPr>
            <w:pStyle w:val="Contents6"/>
            <w:tabs>
              <w:tab w:val="clear" w:pos="7609"/>
              <w:tab w:val="right" w:pos="9026" w:leader="dot"/>
            </w:tabs>
            <w:rPr/>
          </w:pPr>
          <w:hyperlink w:anchor="__RefHeading___Toc3251187_231460929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251189_2314609296">
            <w:r>
              <w:rPr>
                <w:webHidden/>
                <w:rStyle w:val="IndexLink"/>
                <w:rtl w:val="true"/>
              </w:rPr>
              <w:t>مسائل</w:t>
            </w:r>
            <w:r>
              <w:rPr>
                <w:rStyle w:val="IndexLink"/>
                <w:rtl w:val="true"/>
              </w:rPr>
              <w:tab/>
            </w:r>
            <w:r>
              <w:rPr>
                <w:rStyle w:val="IndexLink"/>
              </w:rPr>
              <w:t>129</w:t>
            </w:r>
          </w:hyperlink>
        </w:p>
        <w:p>
          <w:pPr>
            <w:pStyle w:val="Contents6"/>
            <w:tabs>
              <w:tab w:val="clear" w:pos="7609"/>
              <w:tab w:val="right" w:pos="9026" w:leader="dot"/>
            </w:tabs>
            <w:rPr/>
          </w:pPr>
          <w:hyperlink w:anchor="__RefHeading___Toc3251191_2314609296">
            <w:r>
              <w:rPr>
                <w:webHidden/>
                <w:rStyle w:val="IndexLink"/>
                <w:rtl w:val="true"/>
              </w:rPr>
              <w:t>الأولى</w:t>
            </w:r>
            <w:r>
              <w:rPr>
                <w:rStyle w:val="IndexLink"/>
                <w:rtl w:val="true"/>
              </w:rPr>
              <w:t>:</w:t>
              <w:tab/>
            </w:r>
            <w:r>
              <w:rPr>
                <w:rStyle w:val="IndexLink"/>
              </w:rPr>
              <w:t>129</w:t>
            </w:r>
          </w:hyperlink>
        </w:p>
        <w:p>
          <w:pPr>
            <w:pStyle w:val="Contents6"/>
            <w:tabs>
              <w:tab w:val="clear" w:pos="7609"/>
              <w:tab w:val="right" w:pos="9026" w:leader="dot"/>
            </w:tabs>
            <w:rPr/>
          </w:pPr>
          <w:hyperlink w:anchor="__RefHeading___Toc3251193_2314609296">
            <w:r>
              <w:rPr>
                <w:webHidden/>
                <w:rStyle w:val="IndexLink"/>
                <w:rtl w:val="true"/>
              </w:rPr>
              <w:t>المسألة الثانية</w:t>
            </w:r>
            <w:r>
              <w:rPr>
                <w:rStyle w:val="IndexLink"/>
                <w:rtl w:val="true"/>
              </w:rPr>
              <w:t>:</w:t>
              <w:tab/>
            </w:r>
            <w:r>
              <w:rPr>
                <w:rStyle w:val="IndexLink"/>
              </w:rPr>
              <w:t>130</w:t>
            </w:r>
          </w:hyperlink>
        </w:p>
        <w:p>
          <w:pPr>
            <w:pStyle w:val="Contents6"/>
            <w:tabs>
              <w:tab w:val="clear" w:pos="7609"/>
              <w:tab w:val="right" w:pos="9026" w:leader="dot"/>
            </w:tabs>
            <w:rPr/>
          </w:pPr>
          <w:hyperlink w:anchor="__RefHeading___Toc3251195_2314609296">
            <w:r>
              <w:rPr>
                <w:webHidden/>
                <w:rStyle w:val="IndexLink"/>
                <w:rtl w:val="true"/>
              </w:rPr>
              <w:t>المسألة الثالثة</w:t>
            </w:r>
            <w:r>
              <w:rPr>
                <w:rStyle w:val="IndexLink"/>
                <w:rtl w:val="true"/>
              </w:rPr>
              <w:t>:</w:t>
              <w:tab/>
            </w:r>
            <w:r>
              <w:rPr>
                <w:rStyle w:val="IndexLink"/>
              </w:rPr>
              <w:t>134</w:t>
            </w:r>
          </w:hyperlink>
        </w:p>
        <w:p>
          <w:pPr>
            <w:pStyle w:val="Contents6"/>
            <w:tabs>
              <w:tab w:val="clear" w:pos="7609"/>
              <w:tab w:val="right" w:pos="9026" w:leader="dot"/>
            </w:tabs>
            <w:rPr/>
          </w:pPr>
          <w:hyperlink w:anchor="__RefHeading___Toc3251197_2314609296">
            <w:r>
              <w:rPr>
                <w:webHidden/>
                <w:rStyle w:val="IndexLink"/>
                <w:rtl w:val="true"/>
              </w:rPr>
              <w:t>المسألة الرابعة</w:t>
            </w:r>
            <w:r>
              <w:rPr>
                <w:rStyle w:val="IndexLink"/>
                <w:rtl w:val="true"/>
              </w:rPr>
              <w:t>:</w:t>
              <w:tab/>
            </w:r>
            <w:r>
              <w:rPr>
                <w:rStyle w:val="IndexLink"/>
              </w:rPr>
              <w:t>136</w:t>
            </w:r>
          </w:hyperlink>
        </w:p>
        <w:p>
          <w:pPr>
            <w:pStyle w:val="Contents4"/>
            <w:tabs>
              <w:tab w:val="clear" w:pos="8176"/>
              <w:tab w:val="right" w:pos="9026" w:leader="dot"/>
            </w:tabs>
            <w:rPr/>
          </w:pPr>
          <w:hyperlink w:anchor="__RefHeading___Toc3251199_2314609296">
            <w:r>
              <w:rPr>
                <w:webHidden/>
                <w:rStyle w:val="IndexLink"/>
                <w:rtl w:val="true"/>
              </w:rPr>
              <w:t>الباب الثاني في الوضوء،</w:t>
            </w:r>
            <w:r>
              <w:rPr>
                <w:rStyle w:val="IndexLink"/>
                <w:rtl w:val="true"/>
              </w:rPr>
              <w:tab/>
            </w:r>
            <w:r>
              <w:rPr>
                <w:rStyle w:val="IndexLink"/>
              </w:rPr>
              <w:t>138</w:t>
            </w:r>
          </w:hyperlink>
        </w:p>
        <w:p>
          <w:pPr>
            <w:pStyle w:val="Contents5"/>
            <w:tabs>
              <w:tab w:val="clear" w:pos="7892"/>
              <w:tab w:val="right" w:pos="9026" w:leader="dot"/>
            </w:tabs>
            <w:rPr/>
          </w:pPr>
          <w:hyperlink w:anchor="__RefHeading___Toc3251201_2314609296">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3251203_2314609296">
            <w:r>
              <w:rPr>
                <w:webHidden/>
                <w:rStyle w:val="IndexLink"/>
                <w:rtl w:val="true"/>
              </w:rPr>
              <w:t>الفصل الأول في موجبه و مقتضيه</w:t>
            </w:r>
            <w:r>
              <w:rPr>
                <w:rStyle w:val="IndexLink"/>
                <w:rtl w:val="true"/>
              </w:rPr>
              <w:t>.</w:t>
              <w:tab/>
            </w:r>
            <w:r>
              <w:rPr>
                <w:rStyle w:val="IndexLink"/>
              </w:rPr>
              <w:t>138</w:t>
            </w:r>
          </w:hyperlink>
        </w:p>
        <w:p>
          <w:pPr>
            <w:pStyle w:val="Contents5"/>
            <w:tabs>
              <w:tab w:val="clear" w:pos="7892"/>
              <w:tab w:val="right" w:pos="9026" w:leader="dot"/>
            </w:tabs>
            <w:rPr/>
          </w:pPr>
          <w:hyperlink w:anchor="__RefHeading___Toc3251205_2314609296">
            <w:r>
              <w:rPr>
                <w:webHidden/>
                <w:rStyle w:val="IndexLink"/>
                <w:rtl w:val="true"/>
              </w:rPr>
              <w:t>الفصل الثاني، في آداب الخلوة</w:t>
            </w:r>
            <w:r>
              <w:rPr>
                <w:rStyle w:val="IndexLink"/>
                <w:rtl w:val="true"/>
              </w:rPr>
              <w:t>.</w:t>
              <w:tab/>
            </w:r>
            <w:r>
              <w:rPr>
                <w:rStyle w:val="IndexLink"/>
              </w:rPr>
              <w:t>140</w:t>
            </w:r>
          </w:hyperlink>
        </w:p>
        <w:p>
          <w:pPr>
            <w:pStyle w:val="Contents5"/>
            <w:tabs>
              <w:tab w:val="clear" w:pos="7892"/>
              <w:tab w:val="right" w:pos="9026" w:leader="dot"/>
            </w:tabs>
            <w:rPr/>
          </w:pPr>
          <w:hyperlink w:anchor="__RefHeading___Toc3251207_2314609296">
            <w:r>
              <w:rPr>
                <w:webHidden/>
                <w:rStyle w:val="IndexLink"/>
                <w:rtl w:val="true"/>
              </w:rPr>
              <w:t>الفصل الثالث</w:t>
            </w:r>
            <w:r>
              <w:rPr>
                <w:rStyle w:val="IndexLink"/>
                <w:rtl w:val="true"/>
              </w:rPr>
              <w:t xml:space="preserve">: </w:t>
            </w:r>
            <w:r>
              <w:rPr>
                <w:rStyle w:val="IndexLink"/>
                <w:rtl w:val="true"/>
              </w:rPr>
              <w:t>في كيفية الوضوء</w:t>
            </w:r>
            <w:r>
              <w:rPr>
                <w:rStyle w:val="IndexLink"/>
                <w:rtl w:val="true"/>
              </w:rPr>
              <w:tab/>
            </w:r>
            <w:r>
              <w:rPr>
                <w:rStyle w:val="IndexLink"/>
              </w:rPr>
              <w:t>153</w:t>
            </w:r>
          </w:hyperlink>
        </w:p>
        <w:p>
          <w:pPr>
            <w:pStyle w:val="Contents6"/>
            <w:tabs>
              <w:tab w:val="clear" w:pos="7609"/>
              <w:tab w:val="right" w:pos="9026" w:leader="dot"/>
            </w:tabs>
            <w:rPr/>
          </w:pPr>
          <w:hyperlink w:anchor="__RefHeading___Toc3251209_2314609296">
            <w:r>
              <w:rPr>
                <w:webHidden/>
                <w:rStyle w:val="IndexLink"/>
                <w:rtl w:val="true"/>
              </w:rPr>
              <w:t>(</w:t>
            </w:r>
            <w:r>
              <w:rPr>
                <w:rStyle w:val="IndexLink"/>
                <w:rtl w:val="true"/>
              </w:rPr>
              <w:t>و يجب فيه سبعة أشياء</w:t>
            </w:r>
            <w:r>
              <w:rPr>
                <w:rStyle w:val="IndexLink"/>
                <w:rtl w:val="true"/>
              </w:rPr>
              <w:t>):</w:t>
              <w:tab/>
            </w:r>
            <w:r>
              <w:rPr>
                <w:rStyle w:val="IndexLink"/>
              </w:rPr>
              <w:t>153</w:t>
            </w:r>
          </w:hyperlink>
        </w:p>
        <w:p>
          <w:pPr>
            <w:pStyle w:val="Contents6"/>
            <w:tabs>
              <w:tab w:val="clear" w:pos="7609"/>
              <w:tab w:val="right" w:pos="9026" w:leader="dot"/>
            </w:tabs>
            <w:rPr/>
          </w:pPr>
          <w:hyperlink w:anchor="__RefHeading___Toc3251211_2314609296">
            <w:r>
              <w:rPr>
                <w:webHidden/>
                <w:rStyle w:val="IndexLink"/>
                <w:rtl w:val="true"/>
              </w:rPr>
              <w:t>أولها</w:t>
            </w:r>
            <w:r>
              <w:rPr>
                <w:rStyle w:val="IndexLink"/>
                <w:rtl w:val="true"/>
              </w:rPr>
              <w:t xml:space="preserve">: </w:t>
            </w:r>
            <w:r>
              <w:rPr>
                <w:rStyle w:val="IndexLink"/>
                <w:rtl w:val="true"/>
              </w:rPr>
              <w:t>النية</w:t>
            </w:r>
            <w:r>
              <w:rPr>
                <w:rStyle w:val="IndexLink"/>
                <w:rtl w:val="true"/>
              </w:rPr>
              <w:tab/>
            </w:r>
            <w:r>
              <w:rPr>
                <w:rStyle w:val="IndexLink"/>
              </w:rPr>
              <w:t>153</w:t>
            </w:r>
          </w:hyperlink>
        </w:p>
        <w:p>
          <w:pPr>
            <w:pStyle w:val="Contents6"/>
            <w:tabs>
              <w:tab w:val="clear" w:pos="7609"/>
              <w:tab w:val="right" w:pos="9026" w:leader="dot"/>
            </w:tabs>
            <w:rPr/>
          </w:pPr>
          <w:hyperlink w:anchor="__RefHeading___Toc3251213_2314609296">
            <w:r>
              <w:rPr>
                <w:webHidden/>
                <w:rStyle w:val="IndexLink"/>
                <w:rtl w:val="true"/>
              </w:rPr>
              <w:t>و ثانيها غسل الوجه</w:t>
            </w:r>
            <w:r>
              <w:rPr>
                <w:rStyle w:val="IndexLink"/>
                <w:rtl w:val="true"/>
              </w:rPr>
              <w:tab/>
            </w:r>
            <w:r>
              <w:rPr>
                <w:rStyle w:val="IndexLink"/>
              </w:rPr>
              <w:t>155</w:t>
            </w:r>
          </w:hyperlink>
        </w:p>
        <w:p>
          <w:pPr>
            <w:pStyle w:val="Contents6"/>
            <w:tabs>
              <w:tab w:val="clear" w:pos="7609"/>
              <w:tab w:val="right" w:pos="9026" w:leader="dot"/>
            </w:tabs>
            <w:rPr/>
          </w:pPr>
          <w:hyperlink w:anchor="__RefHeading___Toc3251215_2314609296">
            <w:r>
              <w:rPr>
                <w:webHidden/>
                <w:rStyle w:val="IndexLink"/>
                <w:rtl w:val="true"/>
              </w:rPr>
              <w:t>و الثالث من واجبات الوضوء غسل اليدين</w:t>
            </w:r>
            <w:r>
              <w:rPr>
                <w:rStyle w:val="IndexLink"/>
                <w:rtl w:val="true"/>
              </w:rPr>
              <w:tab/>
            </w:r>
            <w:r>
              <w:rPr>
                <w:rStyle w:val="IndexLink"/>
              </w:rPr>
              <w:t>157</w:t>
            </w:r>
          </w:hyperlink>
        </w:p>
        <w:p>
          <w:pPr>
            <w:pStyle w:val="Contents6"/>
            <w:tabs>
              <w:tab w:val="clear" w:pos="7609"/>
              <w:tab w:val="right" w:pos="9026" w:leader="dot"/>
            </w:tabs>
            <w:rPr/>
          </w:pPr>
          <w:hyperlink w:anchor="__RefHeading___Toc3251217_2314609296">
            <w:r>
              <w:rPr>
                <w:webHidden/>
                <w:rStyle w:val="IndexLink"/>
                <w:rtl w:val="true"/>
              </w:rPr>
              <w:t>و الرابع من واجبات الوضوء مسح بشرة مقدّم الرأس</w:t>
            </w:r>
            <w:r>
              <w:rPr>
                <w:rStyle w:val="IndexLink"/>
                <w:rtl w:val="true"/>
              </w:rPr>
              <w:tab/>
            </w:r>
            <w:r>
              <w:rPr>
                <w:rStyle w:val="IndexLink"/>
              </w:rPr>
              <w:t>159</w:t>
            </w:r>
          </w:hyperlink>
        </w:p>
        <w:p>
          <w:pPr>
            <w:pStyle w:val="Contents6"/>
            <w:tabs>
              <w:tab w:val="clear" w:pos="7609"/>
              <w:tab w:val="right" w:pos="9026" w:leader="dot"/>
            </w:tabs>
            <w:rPr/>
          </w:pPr>
          <w:hyperlink w:anchor="__RefHeading___Toc3251219_2314609296">
            <w:r>
              <w:rPr>
                <w:webHidden/>
                <w:rStyle w:val="IndexLink"/>
                <w:rtl w:val="true"/>
              </w:rPr>
              <w:t>و الخامس من واجبات الوضوء كتابا و سنة مسح بشرة الرجلين</w:t>
            </w:r>
            <w:r>
              <w:rPr>
                <w:rStyle w:val="IndexLink"/>
                <w:rtl w:val="true"/>
              </w:rPr>
              <w:tab/>
            </w:r>
            <w:r>
              <w:rPr>
                <w:rStyle w:val="IndexLink"/>
              </w:rPr>
              <w:t>162</w:t>
            </w:r>
          </w:hyperlink>
        </w:p>
        <w:p>
          <w:pPr>
            <w:pStyle w:val="Contents6"/>
            <w:tabs>
              <w:tab w:val="clear" w:pos="7609"/>
              <w:tab w:val="right" w:pos="9026" w:leader="dot"/>
            </w:tabs>
            <w:rPr/>
          </w:pPr>
          <w:hyperlink w:anchor="__RefHeading___Toc3251221_2314609296">
            <w:r>
              <w:rPr>
                <w:webHidden/>
                <w:rStyle w:val="IndexLink"/>
                <w:rtl w:val="true"/>
              </w:rPr>
              <w:t>السادس من واجبات الوضوء الترتيب</w:t>
            </w:r>
            <w:r>
              <w:rPr>
                <w:rStyle w:val="IndexLink"/>
                <w:rtl w:val="true"/>
              </w:rPr>
              <w:tab/>
            </w:r>
            <w:r>
              <w:rPr>
                <w:rStyle w:val="IndexLink"/>
              </w:rPr>
              <w:t>167</w:t>
            </w:r>
          </w:hyperlink>
        </w:p>
        <w:p>
          <w:pPr>
            <w:pStyle w:val="Contents6"/>
            <w:tabs>
              <w:tab w:val="clear" w:pos="7609"/>
              <w:tab w:val="right" w:pos="9026" w:leader="dot"/>
            </w:tabs>
            <w:rPr/>
          </w:pPr>
          <w:hyperlink w:anchor="__RefHeading___Toc3251223_2314609296">
            <w:r>
              <w:rPr>
                <w:webHidden/>
                <w:rStyle w:val="IndexLink"/>
                <w:rtl w:val="true"/>
              </w:rPr>
              <w:t>و السابع الموالاة</w:t>
            </w:r>
            <w:r>
              <w:rPr>
                <w:rStyle w:val="IndexLink"/>
                <w:rtl w:val="true"/>
              </w:rPr>
              <w:tab/>
            </w:r>
            <w:r>
              <w:rPr>
                <w:rStyle w:val="IndexLink"/>
              </w:rPr>
              <w:t>167</w:t>
            </w:r>
          </w:hyperlink>
        </w:p>
        <w:p>
          <w:pPr>
            <w:pStyle w:val="Contents6"/>
            <w:tabs>
              <w:tab w:val="clear" w:pos="7609"/>
              <w:tab w:val="right" w:pos="9026" w:leader="dot"/>
            </w:tabs>
            <w:rPr/>
          </w:pPr>
          <w:hyperlink w:anchor="__RefHeading___Toc3251225_2314609296">
            <w:r>
              <w:rPr>
                <w:webHidden/>
                <w:rStyle w:val="IndexLink"/>
                <w:rtl w:val="true"/>
              </w:rPr>
              <w:t>بقي في المقام فرعان</w:t>
            </w:r>
            <w:r>
              <w:rPr>
                <w:rStyle w:val="IndexLink"/>
                <w:rtl w:val="true"/>
              </w:rPr>
              <w:t>:</w:t>
              <w:tab/>
            </w:r>
            <w:r>
              <w:rPr>
                <w:rStyle w:val="IndexLink"/>
              </w:rPr>
              <w:t>168</w:t>
            </w:r>
          </w:hyperlink>
        </w:p>
        <w:p>
          <w:pPr>
            <w:pStyle w:val="Contents6"/>
            <w:tabs>
              <w:tab w:val="clear" w:pos="7609"/>
              <w:tab w:val="right" w:pos="9026" w:leader="dot"/>
            </w:tabs>
            <w:rPr/>
          </w:pPr>
          <w:hyperlink w:anchor="__RefHeading___Toc3251227_2314609296">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251229_2314609296">
            <w:r>
              <w:rPr>
                <w:webHidden/>
                <w:rStyle w:val="IndexLink"/>
                <w:rtl w:val="true"/>
              </w:rPr>
              <w:t>أحدهما</w:t>
            </w:r>
            <w:r>
              <w:rPr>
                <w:rStyle w:val="IndexLink"/>
                <w:rtl w:val="true"/>
              </w:rPr>
              <w:t xml:space="preserve">: </w:t>
            </w:r>
            <w:r>
              <w:rPr>
                <w:rStyle w:val="IndexLink"/>
                <w:rtl w:val="true"/>
              </w:rPr>
              <w:t>انّ من كان في بعض أعضائه جبيرة، فإن أمكنه إيصال الماء إلى المحل بلا عسر و لا نجاسة محل، فلا إشكال في وجوبه،</w:t>
            </w:r>
            <w:r>
              <w:rPr>
                <w:rStyle w:val="IndexLink"/>
                <w:rtl w:val="true"/>
              </w:rPr>
              <w:tab/>
            </w:r>
            <w:r>
              <w:rPr>
                <w:rStyle w:val="IndexLink"/>
              </w:rPr>
              <w:t>169</w:t>
            </w:r>
          </w:hyperlink>
        </w:p>
        <w:p>
          <w:pPr>
            <w:pStyle w:val="Contents6"/>
            <w:tabs>
              <w:tab w:val="clear" w:pos="7609"/>
              <w:tab w:val="right" w:pos="9026" w:leader="dot"/>
            </w:tabs>
            <w:rPr/>
          </w:pPr>
          <w:hyperlink w:anchor="__RefHeading___Toc3251231_2314609296">
            <w:r>
              <w:rPr>
                <w:webHidden/>
                <w:rStyle w:val="IndexLink"/>
                <w:rtl w:val="true"/>
              </w:rPr>
              <w:t>ثانيهما</w:t>
            </w:r>
            <w:r>
              <w:rPr>
                <w:rStyle w:val="IndexLink"/>
                <w:rtl w:val="true"/>
              </w:rPr>
              <w:t xml:space="preserve">: </w:t>
            </w:r>
            <w:r>
              <w:rPr>
                <w:rStyle w:val="IndexLink"/>
                <w:rtl w:val="true"/>
              </w:rPr>
              <w:t>من به السلس إن كانت له فترة تتسع الوضوء و الصلاة، فإنه يجب عليه الانتظار إليه</w:t>
            </w:r>
            <w:r>
              <w:rPr>
                <w:rStyle w:val="IndexLink"/>
                <w:rtl w:val="true"/>
              </w:rPr>
              <w:tab/>
            </w:r>
            <w:r>
              <w:rPr>
                <w:rStyle w:val="IndexLink"/>
              </w:rPr>
              <w:t>171</w:t>
            </w:r>
          </w:hyperlink>
        </w:p>
        <w:p>
          <w:pPr>
            <w:pStyle w:val="Contents6"/>
            <w:tabs>
              <w:tab w:val="clear" w:pos="7609"/>
              <w:tab w:val="right" w:pos="9026" w:leader="dot"/>
            </w:tabs>
            <w:rPr/>
          </w:pPr>
          <w:hyperlink w:anchor="__RefHeading___Toc3251233_2314609296">
            <w:r>
              <w:rPr>
                <w:webHidden/>
                <w:rStyle w:val="IndexLink"/>
                <w:rtl w:val="true"/>
              </w:rPr>
              <w:t>مسائل</w:t>
            </w:r>
            <w:r>
              <w:rPr>
                <w:rStyle w:val="IndexLink"/>
                <w:rtl w:val="true"/>
              </w:rPr>
              <w:tab/>
            </w:r>
            <w:r>
              <w:rPr>
                <w:rStyle w:val="IndexLink"/>
              </w:rPr>
              <w:t>175</w:t>
            </w:r>
          </w:hyperlink>
        </w:p>
        <w:p>
          <w:pPr>
            <w:pStyle w:val="Contents6"/>
            <w:tabs>
              <w:tab w:val="clear" w:pos="7609"/>
              <w:tab w:val="right" w:pos="9026" w:leader="dot"/>
            </w:tabs>
            <w:rPr/>
          </w:pPr>
          <w:hyperlink w:anchor="__RefHeading___Toc3251235_2314609296">
            <w:r>
              <w:rPr>
                <w:webHidden/>
                <w:rStyle w:val="IndexLink"/>
                <w:rtl w:val="true"/>
              </w:rPr>
              <w:t>الاولى</w:t>
            </w:r>
            <w:r>
              <w:rPr>
                <w:rStyle w:val="IndexLink"/>
                <w:rtl w:val="true"/>
              </w:rPr>
              <w:t xml:space="preserve">: </w:t>
            </w:r>
            <w:r>
              <w:rPr>
                <w:rStyle w:val="IndexLink"/>
                <w:rtl w:val="true"/>
              </w:rPr>
              <w:t>لا يجوز للمحدث مس كتابة القرآن</w:t>
            </w:r>
            <w:r>
              <w:rPr>
                <w:rStyle w:val="IndexLink"/>
                <w:rtl w:val="true"/>
              </w:rPr>
              <w:tab/>
            </w:r>
            <w:r>
              <w:rPr>
                <w:rStyle w:val="IndexLink"/>
              </w:rPr>
              <w:t>175</w:t>
            </w:r>
          </w:hyperlink>
        </w:p>
        <w:p>
          <w:pPr>
            <w:pStyle w:val="Contents6"/>
            <w:tabs>
              <w:tab w:val="clear" w:pos="7609"/>
              <w:tab w:val="right" w:pos="9026" w:leader="dot"/>
            </w:tabs>
            <w:rPr/>
          </w:pPr>
          <w:hyperlink w:anchor="__RefHeading___Toc3251237_2314609296">
            <w:r>
              <w:rPr>
                <w:webHidden/>
                <w:rStyle w:val="IndexLink"/>
                <w:rtl w:val="true"/>
              </w:rPr>
              <w:t>الثانية</w:t>
            </w:r>
            <w:r>
              <w:rPr>
                <w:rStyle w:val="IndexLink"/>
                <w:rtl w:val="true"/>
              </w:rPr>
              <w:t xml:space="preserve">: </w:t>
            </w:r>
            <w:r>
              <w:rPr>
                <w:rStyle w:val="IndexLink"/>
                <w:rtl w:val="true"/>
              </w:rPr>
              <w:t>لو تيقّن الحدث و شك في الطهارة تطهّر</w:t>
            </w:r>
            <w:r>
              <w:rPr>
                <w:rStyle w:val="IndexLink"/>
                <w:rtl w:val="true"/>
              </w:rPr>
              <w:tab/>
            </w:r>
            <w:r>
              <w:rPr>
                <w:rStyle w:val="IndexLink"/>
              </w:rPr>
              <w:t>176</w:t>
            </w:r>
          </w:hyperlink>
        </w:p>
        <w:p>
          <w:pPr>
            <w:pStyle w:val="Contents6"/>
            <w:tabs>
              <w:tab w:val="clear" w:pos="7609"/>
              <w:tab w:val="right" w:pos="9026" w:leader="dot"/>
            </w:tabs>
            <w:rPr/>
          </w:pPr>
          <w:hyperlink w:anchor="__RefHeading___Toc3251239_2314609296">
            <w:r>
              <w:rPr>
                <w:webHidden/>
                <w:rStyle w:val="IndexLink"/>
                <w:rtl w:val="true"/>
              </w:rPr>
              <w:t>الثالثة</w:t>
            </w:r>
            <w:r>
              <w:rPr>
                <w:rStyle w:val="IndexLink"/>
                <w:rtl w:val="true"/>
              </w:rPr>
              <w:t xml:space="preserve">: </w:t>
            </w:r>
            <w:r>
              <w:rPr>
                <w:rStyle w:val="IndexLink"/>
                <w:rtl w:val="true"/>
              </w:rPr>
              <w:t>لو شك في شي‌ء من أفعال الوضوء</w:t>
            </w:r>
            <w:r>
              <w:rPr>
                <w:rStyle w:val="IndexLink"/>
                <w:rtl w:val="true"/>
              </w:rPr>
              <w:t xml:space="preserve">- </w:t>
            </w:r>
            <w:r>
              <w:rPr>
                <w:rStyle w:val="IndexLink"/>
                <w:rtl w:val="true"/>
              </w:rPr>
              <w:t>و هو على حاله</w:t>
            </w:r>
            <w:r>
              <w:rPr>
                <w:rStyle w:val="IndexLink"/>
                <w:rtl w:val="true"/>
              </w:rPr>
              <w:t xml:space="preserve">- </w:t>
            </w:r>
            <w:r>
              <w:rPr>
                <w:rStyle w:val="IndexLink"/>
                <w:rtl w:val="true"/>
              </w:rPr>
              <w:t>أتى به و بما بعده</w:t>
            </w:r>
            <w:r>
              <w:rPr>
                <w:rStyle w:val="IndexLink"/>
                <w:rtl w:val="true"/>
              </w:rPr>
              <w:tab/>
            </w:r>
            <w:r>
              <w:rPr>
                <w:rStyle w:val="IndexLink"/>
              </w:rPr>
              <w:t>177</w:t>
            </w:r>
          </w:hyperlink>
        </w:p>
        <w:p>
          <w:pPr>
            <w:pStyle w:val="Contents6"/>
            <w:tabs>
              <w:tab w:val="clear" w:pos="7609"/>
              <w:tab w:val="right" w:pos="9026" w:leader="dot"/>
            </w:tabs>
            <w:rPr/>
          </w:pPr>
          <w:hyperlink w:anchor="__RefHeading___Toc3251241_2314609296">
            <w:r>
              <w:rPr>
                <w:webHidden/>
                <w:rStyle w:val="IndexLink"/>
                <w:rtl w:val="true"/>
              </w:rPr>
              <w:t>فرع</w:t>
            </w:r>
            <w:r>
              <w:rPr>
                <w:rStyle w:val="IndexLink"/>
                <w:rtl w:val="true"/>
              </w:rPr>
              <w:t xml:space="preserve">: </w:t>
            </w:r>
            <w:r>
              <w:rPr>
                <w:rStyle w:val="IndexLink"/>
                <w:rtl w:val="true"/>
              </w:rPr>
              <w:t>لو جدّد الوضوء فلا إشكال في كونه نورا على نور،</w:t>
            </w:r>
            <w:r>
              <w:rPr>
                <w:rStyle w:val="IndexLink"/>
                <w:rtl w:val="true"/>
              </w:rPr>
              <w:tab/>
            </w:r>
            <w:r>
              <w:rPr>
                <w:rStyle w:val="IndexLink"/>
              </w:rPr>
              <w:t>178</w:t>
            </w:r>
          </w:hyperlink>
        </w:p>
        <w:p>
          <w:pPr>
            <w:pStyle w:val="Contents4"/>
            <w:tabs>
              <w:tab w:val="clear" w:pos="8176"/>
              <w:tab w:val="right" w:pos="9026" w:leader="dot"/>
            </w:tabs>
            <w:rPr/>
          </w:pPr>
          <w:hyperlink w:anchor="__RefHeading___Toc3251243_2314609296">
            <w:r>
              <w:rPr>
                <w:webHidden/>
                <w:rStyle w:val="IndexLink"/>
                <w:rtl w:val="true"/>
              </w:rPr>
              <w:t>الباب الثالث في الغسل</w:t>
            </w:r>
            <w:r>
              <w:rPr>
                <w:rStyle w:val="IndexLink"/>
                <w:rtl w:val="true"/>
              </w:rPr>
              <w:tab/>
            </w:r>
            <w:r>
              <w:rPr>
                <w:rStyle w:val="IndexLink"/>
              </w:rPr>
              <w:t>180</w:t>
            </w:r>
          </w:hyperlink>
        </w:p>
        <w:p>
          <w:pPr>
            <w:pStyle w:val="Contents5"/>
            <w:tabs>
              <w:tab w:val="clear" w:pos="7892"/>
              <w:tab w:val="right" w:pos="9026" w:leader="dot"/>
            </w:tabs>
            <w:rPr/>
          </w:pPr>
          <w:hyperlink w:anchor="__RefHeading___Toc3251245_2314609296">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251247_2314609296">
            <w:r>
              <w:rPr>
                <w:webHidden/>
                <w:rStyle w:val="IndexLink"/>
                <w:rtl w:val="true"/>
              </w:rPr>
              <w:t>الفصل الأول</w:t>
            </w:r>
            <w:r>
              <w:rPr>
                <w:rStyle w:val="IndexLink"/>
                <w:rtl w:val="true"/>
              </w:rPr>
              <w:t xml:space="preserve">: </w:t>
            </w:r>
            <w:r>
              <w:rPr>
                <w:rStyle w:val="IndexLink"/>
                <w:rtl w:val="true"/>
              </w:rPr>
              <w:t xml:space="preserve">في </w:t>
            </w:r>
            <w:r>
              <w:rPr>
                <w:rStyle w:val="IndexLink"/>
                <w:rtl w:val="true"/>
              </w:rPr>
              <w:t>[</w:t>
            </w:r>
            <w:r>
              <w:rPr>
                <w:rStyle w:val="IndexLink"/>
                <w:rtl w:val="true"/>
              </w:rPr>
              <w:t>غسل الجنابة</w:t>
            </w:r>
            <w:r>
              <w:rPr>
                <w:rStyle w:val="IndexLink"/>
                <w:rtl w:val="true"/>
              </w:rPr>
              <w:t>]</w:t>
              <w:tab/>
            </w:r>
            <w:r>
              <w:rPr>
                <w:rStyle w:val="IndexLink"/>
              </w:rPr>
              <w:t>180</w:t>
            </w:r>
          </w:hyperlink>
        </w:p>
        <w:p>
          <w:pPr>
            <w:pStyle w:val="Contents6"/>
            <w:tabs>
              <w:tab w:val="clear" w:pos="7609"/>
              <w:tab w:val="right" w:pos="9026" w:leader="dot"/>
            </w:tabs>
            <w:rPr/>
          </w:pPr>
          <w:hyperlink w:anchor="__RefHeading___Toc3251249_2314609296">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251251_2314609296">
            <w:r>
              <w:rPr>
                <w:webHidden/>
                <w:rStyle w:val="IndexLink"/>
                <w:rtl w:val="true"/>
              </w:rPr>
              <w:t>و هي تحصل بإنزال الماء الدافق</w:t>
            </w:r>
            <w:r>
              <w:rPr>
                <w:rStyle w:val="IndexLink"/>
                <w:rtl w:val="true"/>
              </w:rPr>
              <w:tab/>
            </w:r>
            <w:r>
              <w:rPr>
                <w:rStyle w:val="IndexLink"/>
              </w:rPr>
              <w:t>180</w:t>
            </w:r>
          </w:hyperlink>
        </w:p>
        <w:p>
          <w:pPr>
            <w:pStyle w:val="Contents6"/>
            <w:tabs>
              <w:tab w:val="clear" w:pos="7609"/>
              <w:tab w:val="right" w:pos="9026" w:leader="dot"/>
            </w:tabs>
            <w:rPr/>
          </w:pPr>
          <w:hyperlink w:anchor="__RefHeading___Toc3251253_2314609296">
            <w:r>
              <w:rPr>
                <w:webHidden/>
                <w:rStyle w:val="IndexLink"/>
                <w:rtl w:val="true"/>
              </w:rPr>
              <w:t>و تتحقق الجنابة أيضا بالجماع في الفرج</w:t>
            </w:r>
            <w:r>
              <w:rPr>
                <w:rStyle w:val="IndexLink"/>
                <w:rtl w:val="true"/>
              </w:rPr>
              <w:tab/>
            </w:r>
            <w:r>
              <w:rPr>
                <w:rStyle w:val="IndexLink"/>
              </w:rPr>
              <w:t>182</w:t>
            </w:r>
          </w:hyperlink>
        </w:p>
        <w:p>
          <w:pPr>
            <w:pStyle w:val="Contents6"/>
            <w:tabs>
              <w:tab w:val="clear" w:pos="7609"/>
              <w:tab w:val="right" w:pos="9026" w:leader="dot"/>
            </w:tabs>
            <w:rPr/>
          </w:pPr>
          <w:hyperlink w:anchor="__RefHeading___Toc3251255_2314609296">
            <w:r>
              <w:rPr>
                <w:webHidden/>
                <w:rStyle w:val="IndexLink"/>
                <w:rtl w:val="true"/>
              </w:rPr>
              <w:t>[</w:t>
            </w:r>
            <w:r>
              <w:rPr>
                <w:rStyle w:val="IndexLink"/>
                <w:rtl w:val="true"/>
              </w:rPr>
              <w:t>واجبات غسل الجنابة</w:t>
            </w:r>
            <w:r>
              <w:rPr>
                <w:rStyle w:val="IndexLink"/>
                <w:rtl w:val="true"/>
              </w:rPr>
              <w:t>]</w:t>
              <w:tab/>
            </w:r>
            <w:r>
              <w:rPr>
                <w:rStyle w:val="IndexLink"/>
              </w:rPr>
              <w:t>183</w:t>
            </w:r>
          </w:hyperlink>
        </w:p>
        <w:p>
          <w:pPr>
            <w:pStyle w:val="Contents6"/>
            <w:tabs>
              <w:tab w:val="clear" w:pos="7609"/>
              <w:tab w:val="right" w:pos="9026" w:leader="dot"/>
            </w:tabs>
            <w:rPr/>
          </w:pPr>
          <w:hyperlink w:anchor="__RefHeading___Toc3251257_2314609296">
            <w:r>
              <w:rPr>
                <w:webHidden/>
                <w:rStyle w:val="IndexLink"/>
                <w:rtl w:val="true"/>
              </w:rPr>
              <w:t>و يجب بها أي بالجنابة الغسل</w:t>
            </w:r>
            <w:r>
              <w:rPr>
                <w:rStyle w:val="IndexLink"/>
                <w:rtl w:val="true"/>
              </w:rPr>
              <w:tab/>
            </w:r>
            <w:r>
              <w:rPr>
                <w:rStyle w:val="IndexLink"/>
              </w:rPr>
              <w:t>183</w:t>
            </w:r>
          </w:hyperlink>
        </w:p>
        <w:p>
          <w:pPr>
            <w:pStyle w:val="Contents6"/>
            <w:tabs>
              <w:tab w:val="clear" w:pos="7609"/>
              <w:tab w:val="right" w:pos="9026" w:leader="dot"/>
            </w:tabs>
            <w:rPr/>
          </w:pPr>
          <w:hyperlink w:anchor="__RefHeading___Toc3251259_2314609296">
            <w:r>
              <w:rPr>
                <w:webHidden/>
                <w:rStyle w:val="IndexLink"/>
                <w:rtl w:val="true"/>
              </w:rPr>
              <w:t>و يجب فيه أي في الغسل النية</w:t>
            </w:r>
            <w:r>
              <w:rPr>
                <w:rStyle w:val="IndexLink"/>
                <w:rtl w:val="true"/>
              </w:rPr>
              <w:tab/>
            </w:r>
            <w:r>
              <w:rPr>
                <w:rStyle w:val="IndexLink"/>
              </w:rPr>
              <w:t>184</w:t>
            </w:r>
          </w:hyperlink>
        </w:p>
        <w:p>
          <w:pPr>
            <w:pStyle w:val="Contents6"/>
            <w:tabs>
              <w:tab w:val="clear" w:pos="7609"/>
              <w:tab w:val="right" w:pos="9026" w:leader="dot"/>
            </w:tabs>
            <w:rPr/>
          </w:pPr>
          <w:hyperlink w:anchor="__RefHeading___Toc3251261_2314609296">
            <w:r>
              <w:rPr>
                <w:webHidden/>
                <w:rStyle w:val="IndexLink"/>
                <w:rtl w:val="true"/>
              </w:rPr>
              <w:t>و يجب أيضا استدامة الحكم</w:t>
            </w:r>
            <w:r>
              <w:rPr>
                <w:rStyle w:val="IndexLink"/>
                <w:rtl w:val="true"/>
              </w:rPr>
              <w:tab/>
            </w:r>
            <w:r>
              <w:rPr>
                <w:rStyle w:val="IndexLink"/>
              </w:rPr>
              <w:t>184</w:t>
            </w:r>
          </w:hyperlink>
        </w:p>
        <w:p>
          <w:pPr>
            <w:pStyle w:val="Contents6"/>
            <w:tabs>
              <w:tab w:val="clear" w:pos="7609"/>
              <w:tab w:val="right" w:pos="9026" w:leader="dot"/>
            </w:tabs>
            <w:rPr/>
          </w:pPr>
          <w:hyperlink w:anchor="__RefHeading___Toc3251263_2314609296">
            <w:r>
              <w:rPr>
                <w:webHidden/>
                <w:rStyle w:val="IndexLink"/>
                <w:rtl w:val="true"/>
              </w:rPr>
              <w:t>و يجب استيعاب الجسد بالغسل</w:t>
            </w:r>
            <w:r>
              <w:rPr>
                <w:rStyle w:val="IndexLink"/>
                <w:rtl w:val="true"/>
              </w:rPr>
              <w:tab/>
            </w:r>
            <w:r>
              <w:rPr>
                <w:rStyle w:val="IndexLink"/>
              </w:rPr>
              <w:t>184</w:t>
            </w:r>
          </w:hyperlink>
        </w:p>
        <w:p>
          <w:pPr>
            <w:pStyle w:val="Contents6"/>
            <w:tabs>
              <w:tab w:val="clear" w:pos="7609"/>
              <w:tab w:val="right" w:pos="9026" w:leader="dot"/>
            </w:tabs>
            <w:rPr/>
          </w:pPr>
          <w:hyperlink w:anchor="__RefHeading___Toc3251265_2314609296">
            <w:r>
              <w:rPr>
                <w:webHidden/>
                <w:rStyle w:val="IndexLink"/>
                <w:rtl w:val="true"/>
              </w:rPr>
              <w:t>و يجب حينئذ في الغسل المزبور لما عرفت تخليل ما لا يصل إليه الماء إلّا به، و البدأة بالرأس</w:t>
            </w:r>
            <w:r>
              <w:rPr>
                <w:rStyle w:val="IndexLink"/>
                <w:rtl w:val="true"/>
              </w:rPr>
              <w:tab/>
            </w:r>
            <w:r>
              <w:rPr>
                <w:rStyle w:val="IndexLink"/>
              </w:rPr>
              <w:t>185</w:t>
            </w:r>
          </w:hyperlink>
        </w:p>
        <w:p>
          <w:pPr>
            <w:pStyle w:val="Contents6"/>
            <w:tabs>
              <w:tab w:val="clear" w:pos="7609"/>
              <w:tab w:val="right" w:pos="9026" w:leader="dot"/>
            </w:tabs>
            <w:rPr/>
          </w:pPr>
          <w:hyperlink w:anchor="__RefHeading___Toc3251267_2314609296">
            <w:r>
              <w:rPr>
                <w:webHidden/>
                <w:rStyle w:val="IndexLink"/>
                <w:rtl w:val="true"/>
              </w:rPr>
              <w:t>[</w:t>
            </w:r>
            <w:r>
              <w:rPr>
                <w:rStyle w:val="IndexLink"/>
                <w:rtl w:val="true"/>
              </w:rPr>
              <w:t>مستحبات غسل الجنابة</w:t>
            </w:r>
            <w:r>
              <w:rPr>
                <w:rStyle w:val="IndexLink"/>
                <w:rtl w:val="true"/>
              </w:rPr>
              <w:t>]</w:t>
              <w:tab/>
            </w:r>
            <w:r>
              <w:rPr>
                <w:rStyle w:val="IndexLink"/>
              </w:rPr>
              <w:t>187</w:t>
            </w:r>
          </w:hyperlink>
        </w:p>
        <w:p>
          <w:pPr>
            <w:pStyle w:val="Contents6"/>
            <w:tabs>
              <w:tab w:val="clear" w:pos="7609"/>
              <w:tab w:val="right" w:pos="9026" w:leader="dot"/>
            </w:tabs>
            <w:rPr/>
          </w:pPr>
          <w:hyperlink w:anchor="__RefHeading___Toc3251269_2314609296">
            <w:r>
              <w:rPr>
                <w:webHidden/>
                <w:rStyle w:val="IndexLink"/>
                <w:rtl w:val="true"/>
              </w:rPr>
              <w:t>و يستحب فيه أي الغسل الاستبراء بالبول، و الاجتهاد</w:t>
            </w:r>
            <w:r>
              <w:rPr>
                <w:rStyle w:val="IndexLink"/>
                <w:rtl w:val="true"/>
              </w:rPr>
              <w:tab/>
            </w:r>
            <w:r>
              <w:rPr>
                <w:rStyle w:val="IndexLink"/>
              </w:rPr>
              <w:t>187</w:t>
            </w:r>
          </w:hyperlink>
        </w:p>
        <w:p>
          <w:pPr>
            <w:pStyle w:val="Contents6"/>
            <w:tabs>
              <w:tab w:val="clear" w:pos="7609"/>
              <w:tab w:val="right" w:pos="9026" w:leader="dot"/>
            </w:tabs>
            <w:rPr/>
          </w:pPr>
          <w:hyperlink w:anchor="__RefHeading___Toc3251271_2314609296">
            <w:r>
              <w:rPr>
                <w:webHidden/>
                <w:rStyle w:val="IndexLink"/>
                <w:rtl w:val="true"/>
              </w:rPr>
              <w:t>و يستحب أيضا المضمضة و الاستنشاق</w:t>
            </w:r>
            <w:r>
              <w:rPr>
                <w:rStyle w:val="IndexLink"/>
                <w:rtl w:val="true"/>
              </w:rPr>
              <w:tab/>
            </w:r>
            <w:r>
              <w:rPr>
                <w:rStyle w:val="IndexLink"/>
              </w:rPr>
              <w:t>187</w:t>
            </w:r>
          </w:hyperlink>
        </w:p>
        <w:p>
          <w:pPr>
            <w:pStyle w:val="Contents6"/>
            <w:tabs>
              <w:tab w:val="clear" w:pos="7609"/>
              <w:tab w:val="right" w:pos="9026" w:leader="dot"/>
            </w:tabs>
            <w:rPr/>
          </w:pPr>
          <w:hyperlink w:anchor="__RefHeading___Toc3251273_2314609296">
            <w:r>
              <w:rPr>
                <w:webHidden/>
                <w:rStyle w:val="IndexLink"/>
                <w:rtl w:val="true"/>
              </w:rPr>
              <w:t>[</w:t>
            </w:r>
            <w:r>
              <w:rPr>
                <w:rStyle w:val="IndexLink"/>
                <w:rtl w:val="true"/>
              </w:rPr>
              <w:t>محرمات غسل الجنابة</w:t>
            </w:r>
            <w:r>
              <w:rPr>
                <w:rStyle w:val="IndexLink"/>
                <w:rtl w:val="true"/>
              </w:rPr>
              <w:t>]</w:t>
              <w:tab/>
            </w:r>
            <w:r>
              <w:rPr>
                <w:rStyle w:val="IndexLink"/>
              </w:rPr>
              <w:t>188</w:t>
            </w:r>
          </w:hyperlink>
        </w:p>
        <w:p>
          <w:pPr>
            <w:pStyle w:val="Contents6"/>
            <w:tabs>
              <w:tab w:val="clear" w:pos="7609"/>
              <w:tab w:val="right" w:pos="9026" w:leader="dot"/>
            </w:tabs>
            <w:rPr/>
          </w:pPr>
          <w:hyperlink w:anchor="__RefHeading___Toc3251275_2314609296">
            <w:r>
              <w:rPr>
                <w:webHidden/>
                <w:rStyle w:val="IndexLink"/>
                <w:rtl w:val="true"/>
              </w:rPr>
              <w:t>و يحرم عليه أي على المجنب قبل الغسل قراءة العزائم</w:t>
            </w:r>
            <w:r>
              <w:rPr>
                <w:rStyle w:val="IndexLink"/>
                <w:rtl w:val="true"/>
              </w:rPr>
              <w:tab/>
            </w:r>
            <w:r>
              <w:rPr>
                <w:rStyle w:val="IndexLink"/>
              </w:rPr>
              <w:t>188</w:t>
            </w:r>
          </w:hyperlink>
        </w:p>
        <w:p>
          <w:pPr>
            <w:pStyle w:val="Contents6"/>
            <w:tabs>
              <w:tab w:val="clear" w:pos="7609"/>
              <w:tab w:val="right" w:pos="9026" w:leader="dot"/>
            </w:tabs>
            <w:rPr/>
          </w:pPr>
          <w:hyperlink w:anchor="__RefHeading___Toc3251277_2314609296">
            <w:r>
              <w:rPr>
                <w:webHidden/>
                <w:rStyle w:val="IndexLink"/>
                <w:rtl w:val="true"/>
              </w:rPr>
              <w:t>و يحرم عليه أيضا مسّ كتابة القرآن</w:t>
            </w:r>
            <w:r>
              <w:rPr>
                <w:rStyle w:val="IndexLink"/>
                <w:rtl w:val="true"/>
              </w:rPr>
              <w:tab/>
            </w:r>
            <w:r>
              <w:rPr>
                <w:rStyle w:val="IndexLink"/>
              </w:rPr>
              <w:t>188</w:t>
            </w:r>
          </w:hyperlink>
        </w:p>
        <w:p>
          <w:pPr>
            <w:pStyle w:val="Contents6"/>
            <w:tabs>
              <w:tab w:val="clear" w:pos="7609"/>
              <w:tab w:val="right" w:pos="9026" w:leader="dot"/>
            </w:tabs>
            <w:rPr/>
          </w:pPr>
          <w:hyperlink w:anchor="__RefHeading___Toc3251279_2314609296">
            <w:r>
              <w:rPr>
                <w:webHidden/>
                <w:rStyle w:val="IndexLink"/>
                <w:rtl w:val="true"/>
              </w:rPr>
              <w:t>و يحرم عليه أيضا دخول المساجد إلّا اجتيازا</w:t>
            </w:r>
            <w:r>
              <w:rPr>
                <w:rStyle w:val="IndexLink"/>
                <w:rtl w:val="true"/>
              </w:rPr>
              <w:tab/>
            </w:r>
            <w:r>
              <w:rPr>
                <w:rStyle w:val="IndexLink"/>
              </w:rPr>
              <w:t>188</w:t>
            </w:r>
          </w:hyperlink>
        </w:p>
        <w:p>
          <w:pPr>
            <w:pStyle w:val="Contents6"/>
            <w:tabs>
              <w:tab w:val="clear" w:pos="7609"/>
              <w:tab w:val="right" w:pos="9026" w:leader="dot"/>
            </w:tabs>
            <w:rPr/>
          </w:pPr>
          <w:hyperlink w:anchor="__RefHeading___Toc3251281_2314609296">
            <w:r>
              <w:rPr>
                <w:webHidden/>
                <w:rStyle w:val="IndexLink"/>
                <w:rtl w:val="true"/>
              </w:rPr>
              <w:t>و يحرم الدخول لوضع شي‌ء فيه</w:t>
            </w:r>
            <w:r>
              <w:rPr>
                <w:rStyle w:val="IndexLink"/>
                <w:rtl w:val="true"/>
              </w:rPr>
              <w:tab/>
            </w:r>
            <w:r>
              <w:rPr>
                <w:rStyle w:val="IndexLink"/>
              </w:rPr>
              <w:t>189</w:t>
            </w:r>
          </w:hyperlink>
        </w:p>
        <w:p>
          <w:pPr>
            <w:pStyle w:val="Contents6"/>
            <w:tabs>
              <w:tab w:val="clear" w:pos="7609"/>
              <w:tab w:val="right" w:pos="9026" w:leader="dot"/>
            </w:tabs>
            <w:rPr/>
          </w:pPr>
          <w:hyperlink w:anchor="__RefHeading___Toc3251283_2314609296">
            <w:r>
              <w:rPr>
                <w:webHidden/>
                <w:rStyle w:val="IndexLink"/>
                <w:rtl w:val="true"/>
              </w:rPr>
              <w:t>فرع</w:t>
            </w:r>
            <w:r>
              <w:rPr>
                <w:rStyle w:val="IndexLink"/>
                <w:rtl w:val="true"/>
              </w:rPr>
              <w:t xml:space="preserve">: </w:t>
            </w:r>
            <w:r>
              <w:rPr>
                <w:rStyle w:val="IndexLink"/>
                <w:rtl w:val="true"/>
              </w:rPr>
              <w:t>لو أجنب في المسجد، ففي بعض النصوص التفصيل بين المسجدين و غيرهما</w:t>
            </w:r>
            <w:r>
              <w:rPr>
                <w:rStyle w:val="IndexLink"/>
                <w:rtl w:val="true"/>
              </w:rPr>
              <w:tab/>
            </w:r>
            <w:r>
              <w:rPr>
                <w:rStyle w:val="IndexLink"/>
              </w:rPr>
              <w:t>190</w:t>
            </w:r>
          </w:hyperlink>
        </w:p>
        <w:p>
          <w:pPr>
            <w:pStyle w:val="Contents6"/>
            <w:tabs>
              <w:tab w:val="clear" w:pos="7609"/>
              <w:tab w:val="right" w:pos="9026" w:leader="dot"/>
            </w:tabs>
            <w:rPr/>
          </w:pPr>
          <w:hyperlink w:anchor="__RefHeading___Toc3251285_2314609296">
            <w:r>
              <w:rPr>
                <w:webHidden/>
                <w:rStyle w:val="IndexLink"/>
                <w:rtl w:val="true"/>
              </w:rPr>
              <w:t>[</w:t>
            </w:r>
            <w:r>
              <w:rPr>
                <w:rStyle w:val="IndexLink"/>
                <w:rtl w:val="true"/>
              </w:rPr>
              <w:t>مكروهات غسل الجنابة</w:t>
            </w:r>
            <w:r>
              <w:rPr>
                <w:rStyle w:val="IndexLink"/>
                <w:rtl w:val="true"/>
              </w:rPr>
              <w:t>]</w:t>
              <w:tab/>
            </w:r>
            <w:r>
              <w:rPr>
                <w:rStyle w:val="IndexLink"/>
              </w:rPr>
              <w:t>191</w:t>
            </w:r>
          </w:hyperlink>
        </w:p>
        <w:p>
          <w:pPr>
            <w:pStyle w:val="Contents6"/>
            <w:tabs>
              <w:tab w:val="clear" w:pos="7609"/>
              <w:tab w:val="right" w:pos="9026" w:leader="dot"/>
            </w:tabs>
            <w:rPr/>
          </w:pPr>
          <w:hyperlink w:anchor="__RefHeading___Toc3251287_2314609296">
            <w:r>
              <w:rPr>
                <w:webHidden/>
                <w:rStyle w:val="IndexLink"/>
                <w:rtl w:val="true"/>
              </w:rPr>
              <w:t>و يكره على الجنب قراءة ما زاد على سبع آيات</w:t>
            </w:r>
            <w:r>
              <w:rPr>
                <w:rStyle w:val="IndexLink"/>
                <w:rtl w:val="true"/>
              </w:rPr>
              <w:tab/>
            </w:r>
            <w:r>
              <w:rPr>
                <w:rStyle w:val="IndexLink"/>
              </w:rPr>
              <w:t>191</w:t>
            </w:r>
          </w:hyperlink>
        </w:p>
        <w:p>
          <w:pPr>
            <w:pStyle w:val="Contents6"/>
            <w:tabs>
              <w:tab w:val="clear" w:pos="7609"/>
              <w:tab w:val="right" w:pos="9026" w:leader="dot"/>
            </w:tabs>
            <w:rPr/>
          </w:pPr>
          <w:hyperlink w:anchor="__RefHeading___Toc3251289_2314609296">
            <w:r>
              <w:rPr>
                <w:webHidden/>
                <w:rStyle w:val="IndexLink"/>
                <w:rtl w:val="true"/>
              </w:rPr>
              <w:t>و يكره عليه أيضا مس المصحف</w:t>
            </w:r>
            <w:r>
              <w:rPr>
                <w:rStyle w:val="IndexLink"/>
                <w:rtl w:val="true"/>
              </w:rPr>
              <w:tab/>
            </w:r>
            <w:r>
              <w:rPr>
                <w:rStyle w:val="IndexLink"/>
              </w:rPr>
              <w:t>191</w:t>
            </w:r>
          </w:hyperlink>
        </w:p>
        <w:p>
          <w:pPr>
            <w:pStyle w:val="Contents6"/>
            <w:tabs>
              <w:tab w:val="clear" w:pos="7609"/>
              <w:tab w:val="right" w:pos="9026" w:leader="dot"/>
            </w:tabs>
            <w:rPr/>
          </w:pPr>
          <w:hyperlink w:anchor="__RefHeading___Toc3251291_2314609296">
            <w:r>
              <w:rPr>
                <w:webHidden/>
                <w:rStyle w:val="IndexLink"/>
                <w:rtl w:val="true"/>
              </w:rPr>
              <w:t>و كذا الأكل و الشرب إلّا بعد المضمضة</w:t>
            </w:r>
            <w:r>
              <w:rPr>
                <w:rStyle w:val="IndexLink"/>
                <w:rtl w:val="true"/>
              </w:rPr>
              <w:tab/>
            </w:r>
            <w:r>
              <w:rPr>
                <w:rStyle w:val="IndexLink"/>
              </w:rPr>
              <w:t>192</w:t>
            </w:r>
          </w:hyperlink>
        </w:p>
        <w:p>
          <w:pPr>
            <w:pStyle w:val="Contents6"/>
            <w:tabs>
              <w:tab w:val="clear" w:pos="7609"/>
              <w:tab w:val="right" w:pos="9026" w:leader="dot"/>
            </w:tabs>
            <w:rPr/>
          </w:pPr>
          <w:hyperlink w:anchor="__RefHeading___Toc3251293_2314609296">
            <w:r>
              <w:rPr>
                <w:webHidden/>
                <w:rStyle w:val="IndexLink"/>
                <w:rtl w:val="true"/>
              </w:rPr>
              <w:t>و يكره النوم إلّا بعد الوضوء</w:t>
            </w:r>
            <w:r>
              <w:rPr>
                <w:rStyle w:val="IndexLink"/>
                <w:rtl w:val="true"/>
              </w:rPr>
              <w:tab/>
            </w:r>
            <w:r>
              <w:rPr>
                <w:rStyle w:val="IndexLink"/>
              </w:rPr>
              <w:t>192</w:t>
            </w:r>
          </w:hyperlink>
        </w:p>
        <w:p>
          <w:pPr>
            <w:pStyle w:val="Contents6"/>
            <w:tabs>
              <w:tab w:val="clear" w:pos="7609"/>
              <w:tab w:val="right" w:pos="9026" w:leader="dot"/>
            </w:tabs>
            <w:rPr/>
          </w:pPr>
          <w:hyperlink w:anchor="__RefHeading___Toc3251295_2314609296">
            <w:r>
              <w:rPr>
                <w:webHidden/>
                <w:rStyle w:val="IndexLink"/>
                <w:rtl w:val="true"/>
              </w:rPr>
              <w:t>فرع</w:t>
            </w:r>
            <w:r>
              <w:rPr>
                <w:rStyle w:val="IndexLink"/>
                <w:rtl w:val="true"/>
              </w:rPr>
              <w:t xml:space="preserve">: </w:t>
            </w:r>
            <w:r>
              <w:rPr>
                <w:rStyle w:val="IndexLink"/>
                <w:rtl w:val="true"/>
              </w:rPr>
              <w:t>إذا اجتمعت عليه أغسال فلا شبهة في الاجتزاء بغسل واحد</w:t>
            </w:r>
            <w:r>
              <w:rPr>
                <w:rStyle w:val="IndexLink"/>
                <w:rtl w:val="true"/>
              </w:rPr>
              <w:tab/>
            </w:r>
            <w:r>
              <w:rPr>
                <w:rStyle w:val="IndexLink"/>
              </w:rPr>
              <w:t>192</w:t>
            </w:r>
          </w:hyperlink>
        </w:p>
        <w:p>
          <w:pPr>
            <w:pStyle w:val="Contents5"/>
            <w:tabs>
              <w:tab w:val="clear" w:pos="7892"/>
              <w:tab w:val="right" w:pos="9026" w:leader="dot"/>
            </w:tabs>
            <w:rPr/>
          </w:pPr>
          <w:hyperlink w:anchor="__RefHeading___Toc3251297_2314609296">
            <w:r>
              <w:rPr>
                <w:webHidden/>
                <w:rStyle w:val="IndexLink"/>
                <w:rtl w:val="true"/>
              </w:rPr>
              <w:t>الفصل الثاني</w:t>
            </w:r>
            <w:r>
              <w:rPr>
                <w:rStyle w:val="IndexLink"/>
                <w:rtl w:val="true"/>
              </w:rPr>
              <w:t xml:space="preserve">: </w:t>
            </w:r>
            <w:r>
              <w:rPr>
                <w:rStyle w:val="IndexLink"/>
                <w:rtl w:val="true"/>
              </w:rPr>
              <w:t>في الحيض</w:t>
            </w:r>
            <w:r>
              <w:rPr>
                <w:rStyle w:val="IndexLink"/>
                <w:rtl w:val="true"/>
              </w:rPr>
              <w:tab/>
            </w:r>
            <w:r>
              <w:rPr>
                <w:rStyle w:val="IndexLink"/>
              </w:rPr>
              <w:t>193</w:t>
            </w:r>
          </w:hyperlink>
        </w:p>
        <w:p>
          <w:pPr>
            <w:pStyle w:val="Contents6"/>
            <w:tabs>
              <w:tab w:val="clear" w:pos="7609"/>
              <w:tab w:val="right" w:pos="9026" w:leader="dot"/>
            </w:tabs>
            <w:rPr/>
          </w:pPr>
          <w:hyperlink w:anchor="__RefHeading___Toc3251299_231460929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251301_2314609296">
            <w:r>
              <w:rPr>
                <w:webHidden/>
                <w:rStyle w:val="IndexLink"/>
                <w:rtl w:val="true"/>
              </w:rPr>
              <w:t>بقي في المقام التنبيه على أمر</w:t>
            </w:r>
            <w:r>
              <w:rPr>
                <w:rStyle w:val="IndexLink"/>
                <w:rtl w:val="true"/>
              </w:rPr>
              <w:tab/>
            </w:r>
            <w:r>
              <w:rPr>
                <w:rStyle w:val="IndexLink"/>
              </w:rPr>
              <w:t>209</w:t>
            </w:r>
          </w:hyperlink>
        </w:p>
        <w:p>
          <w:pPr>
            <w:pStyle w:val="Contents6"/>
            <w:tabs>
              <w:tab w:val="clear" w:pos="7609"/>
              <w:tab w:val="right" w:pos="9026" w:leader="dot"/>
            </w:tabs>
            <w:rPr/>
          </w:pPr>
          <w:hyperlink w:anchor="__RefHeading___Toc3251303_2314609296">
            <w:r>
              <w:rPr>
                <w:webHidden/>
                <w:rStyle w:val="IndexLink"/>
                <w:rtl w:val="true"/>
              </w:rPr>
              <w:t>و من أحكام الحيض، انه يحرم عليها دخول المساجد</w:t>
            </w:r>
            <w:r>
              <w:rPr>
                <w:rStyle w:val="IndexLink"/>
                <w:rtl w:val="true"/>
              </w:rPr>
              <w:tab/>
            </w:r>
            <w:r>
              <w:rPr>
                <w:rStyle w:val="IndexLink"/>
              </w:rPr>
              <w:t>211</w:t>
            </w:r>
          </w:hyperlink>
        </w:p>
        <w:p>
          <w:pPr>
            <w:pStyle w:val="Contents6"/>
            <w:tabs>
              <w:tab w:val="clear" w:pos="7609"/>
              <w:tab w:val="right" w:pos="9026" w:leader="dot"/>
            </w:tabs>
            <w:rPr/>
          </w:pPr>
          <w:hyperlink w:anchor="__RefHeading___Toc3251305_2314609296">
            <w:r>
              <w:rPr>
                <w:webHidden/>
                <w:rStyle w:val="IndexLink"/>
                <w:rtl w:val="true"/>
              </w:rPr>
              <w:t>و يكره لها قراءة ما عدا العزائم</w:t>
            </w:r>
            <w:r>
              <w:rPr>
                <w:rStyle w:val="IndexLink"/>
                <w:rtl w:val="true"/>
              </w:rPr>
              <w:tab/>
            </w:r>
            <w:r>
              <w:rPr>
                <w:rStyle w:val="IndexLink"/>
              </w:rPr>
              <w:t>216</w:t>
            </w:r>
          </w:hyperlink>
        </w:p>
        <w:p>
          <w:pPr>
            <w:pStyle w:val="Contents6"/>
            <w:tabs>
              <w:tab w:val="clear" w:pos="7609"/>
              <w:tab w:val="right" w:pos="9026" w:leader="dot"/>
            </w:tabs>
            <w:rPr/>
          </w:pPr>
          <w:hyperlink w:anchor="__RefHeading___Toc3251307_2314609296">
            <w:r>
              <w:rPr>
                <w:webHidden/>
                <w:rStyle w:val="IndexLink"/>
                <w:rtl w:val="true"/>
              </w:rPr>
              <w:t>و يستحب لها الوضوء لكل صلاة فريضة</w:t>
            </w:r>
            <w:r>
              <w:rPr>
                <w:rStyle w:val="IndexLink"/>
                <w:rtl w:val="true"/>
              </w:rPr>
              <w:tab/>
            </w:r>
            <w:r>
              <w:rPr>
                <w:rStyle w:val="IndexLink"/>
              </w:rPr>
              <w:t>217</w:t>
            </w:r>
          </w:hyperlink>
        </w:p>
        <w:p>
          <w:pPr>
            <w:pStyle w:val="Contents5"/>
            <w:tabs>
              <w:tab w:val="clear" w:pos="7892"/>
              <w:tab w:val="right" w:pos="9026" w:leader="dot"/>
            </w:tabs>
            <w:rPr/>
          </w:pPr>
          <w:hyperlink w:anchor="__RefHeading___Toc3251309_2314609296">
            <w:r>
              <w:rPr>
                <w:webHidden/>
                <w:rStyle w:val="IndexLink"/>
                <w:rtl w:val="true"/>
              </w:rPr>
              <w:t>الفصل الثالث</w:t>
            </w:r>
            <w:r>
              <w:rPr>
                <w:rStyle w:val="IndexLink"/>
                <w:rtl w:val="true"/>
              </w:rPr>
              <w:t xml:space="preserve">: </w:t>
            </w:r>
            <w:r>
              <w:rPr>
                <w:rStyle w:val="IndexLink"/>
                <w:rtl w:val="true"/>
              </w:rPr>
              <w:t>في الاستحاضة</w:t>
            </w:r>
            <w:r>
              <w:rPr>
                <w:rStyle w:val="IndexLink"/>
                <w:rtl w:val="true"/>
              </w:rPr>
              <w:tab/>
            </w:r>
            <w:r>
              <w:rPr>
                <w:rStyle w:val="IndexLink"/>
              </w:rPr>
              <w:t>218</w:t>
            </w:r>
          </w:hyperlink>
        </w:p>
        <w:p>
          <w:pPr>
            <w:pStyle w:val="Contents5"/>
            <w:tabs>
              <w:tab w:val="clear" w:pos="7892"/>
              <w:tab w:val="right" w:pos="9026" w:leader="dot"/>
            </w:tabs>
            <w:rPr/>
          </w:pPr>
          <w:hyperlink w:anchor="__RefHeading___Toc3251311_2314609296">
            <w:r>
              <w:rPr>
                <w:webHidden/>
                <w:rStyle w:val="IndexLink"/>
                <w:rtl w:val="true"/>
              </w:rPr>
              <w:t>الفصل الرابع</w:t>
            </w:r>
            <w:r>
              <w:rPr>
                <w:rStyle w:val="IndexLink"/>
                <w:rtl w:val="true"/>
              </w:rPr>
              <w:t xml:space="preserve">: </w:t>
            </w:r>
            <w:r>
              <w:rPr>
                <w:rStyle w:val="IndexLink"/>
                <w:rtl w:val="true"/>
              </w:rPr>
              <w:t>في النفاس</w:t>
            </w:r>
            <w:r>
              <w:rPr>
                <w:rStyle w:val="IndexLink"/>
                <w:rtl w:val="true"/>
              </w:rPr>
              <w:tab/>
            </w:r>
            <w:r>
              <w:rPr>
                <w:rStyle w:val="IndexLink"/>
              </w:rPr>
              <w:t>226</w:t>
            </w:r>
          </w:hyperlink>
        </w:p>
        <w:p>
          <w:pPr>
            <w:pStyle w:val="Contents5"/>
            <w:tabs>
              <w:tab w:val="clear" w:pos="7892"/>
              <w:tab w:val="right" w:pos="9026" w:leader="dot"/>
            </w:tabs>
            <w:rPr/>
          </w:pPr>
          <w:hyperlink w:anchor="__RefHeading___Toc3251313_2314609296">
            <w:r>
              <w:rPr>
                <w:webHidden/>
                <w:rStyle w:val="IndexLink"/>
                <w:rtl w:val="true"/>
              </w:rPr>
              <w:t>الفصل الخامس</w:t>
            </w:r>
            <w:r>
              <w:rPr>
                <w:rStyle w:val="IndexLink"/>
                <w:rtl w:val="true"/>
              </w:rPr>
              <w:t xml:space="preserve">: </w:t>
            </w:r>
            <w:r>
              <w:rPr>
                <w:rStyle w:val="IndexLink"/>
                <w:rtl w:val="true"/>
              </w:rPr>
              <w:t>في غسل الأموات</w:t>
            </w:r>
            <w:r>
              <w:rPr>
                <w:rStyle w:val="IndexLink"/>
                <w:rtl w:val="true"/>
              </w:rPr>
              <w:tab/>
            </w:r>
            <w:r>
              <w:rPr>
                <w:rStyle w:val="IndexLink"/>
              </w:rPr>
              <w:t>231</w:t>
            </w:r>
          </w:hyperlink>
        </w:p>
        <w:p>
          <w:pPr>
            <w:pStyle w:val="Contents6"/>
            <w:tabs>
              <w:tab w:val="clear" w:pos="7609"/>
              <w:tab w:val="right" w:pos="9026" w:leader="dot"/>
            </w:tabs>
            <w:rPr/>
          </w:pPr>
          <w:hyperlink w:anchor="__RefHeading___Toc3251315_2314609296">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251317_2314609296">
            <w:r>
              <w:rPr>
                <w:webHidden/>
                <w:rStyle w:val="IndexLink"/>
                <w:rtl w:val="true"/>
              </w:rPr>
              <w:t>الأول</w:t>
            </w:r>
            <w:r>
              <w:rPr>
                <w:rStyle w:val="IndexLink"/>
                <w:rtl w:val="true"/>
              </w:rPr>
              <w:t xml:space="preserve">: </w:t>
            </w:r>
            <w:r>
              <w:rPr>
                <w:rStyle w:val="IndexLink"/>
                <w:rtl w:val="true"/>
              </w:rPr>
              <w:t>الاحتضار</w:t>
            </w:r>
            <w:r>
              <w:rPr>
                <w:rStyle w:val="IndexLink"/>
                <w:rtl w:val="true"/>
              </w:rPr>
              <w:tab/>
            </w:r>
            <w:r>
              <w:rPr>
                <w:rStyle w:val="IndexLink"/>
              </w:rPr>
              <w:t>231</w:t>
            </w:r>
          </w:hyperlink>
        </w:p>
        <w:p>
          <w:pPr>
            <w:pStyle w:val="Contents6"/>
            <w:tabs>
              <w:tab w:val="clear" w:pos="7609"/>
              <w:tab w:val="right" w:pos="9026" w:leader="dot"/>
            </w:tabs>
            <w:rPr/>
          </w:pPr>
          <w:hyperlink w:anchor="__RefHeading___Toc3251319_2314609296">
            <w:r>
              <w:rPr>
                <w:webHidden/>
                <w:rStyle w:val="IndexLink"/>
                <w:rtl w:val="true"/>
              </w:rPr>
              <w:t>البحث الثاني في الغسل</w:t>
            </w:r>
            <w:r>
              <w:rPr>
                <w:rStyle w:val="IndexLink"/>
                <w:rtl w:val="true"/>
              </w:rPr>
              <w:t>.</w:t>
              <w:tab/>
            </w:r>
            <w:r>
              <w:rPr>
                <w:rStyle w:val="IndexLink"/>
              </w:rPr>
              <w:t>234</w:t>
            </w:r>
          </w:hyperlink>
        </w:p>
        <w:p>
          <w:pPr>
            <w:pStyle w:val="Contents6"/>
            <w:tabs>
              <w:tab w:val="clear" w:pos="7609"/>
              <w:tab w:val="right" w:pos="9026" w:leader="dot"/>
            </w:tabs>
            <w:rPr/>
          </w:pPr>
          <w:hyperlink w:anchor="__RefHeading___Toc3251321_2314609296">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251323_2314609296">
            <w:r>
              <w:rPr>
                <w:webHidden/>
                <w:rStyle w:val="IndexLink"/>
                <w:rtl w:val="true"/>
              </w:rPr>
              <w:t>فروع</w:t>
            </w:r>
            <w:r>
              <w:rPr>
                <w:rStyle w:val="IndexLink"/>
                <w:rtl w:val="true"/>
              </w:rPr>
              <w:tab/>
            </w:r>
            <w:r>
              <w:rPr>
                <w:rStyle w:val="IndexLink"/>
              </w:rPr>
              <w:t>238</w:t>
            </w:r>
          </w:hyperlink>
        </w:p>
        <w:p>
          <w:pPr>
            <w:pStyle w:val="Contents6"/>
            <w:tabs>
              <w:tab w:val="clear" w:pos="7609"/>
              <w:tab w:val="right" w:pos="9026" w:leader="dot"/>
            </w:tabs>
            <w:rPr/>
          </w:pPr>
          <w:hyperlink w:anchor="__RefHeading___Toc3251325_2314609296">
            <w:r>
              <w:rPr>
                <w:webHidden/>
                <w:rStyle w:val="IndexLink"/>
                <w:rtl w:val="true"/>
              </w:rPr>
              <w:t>الأول</w:t>
            </w:r>
            <w:r>
              <w:rPr>
                <w:rStyle w:val="IndexLink"/>
                <w:rtl w:val="true"/>
              </w:rPr>
              <w:t xml:space="preserve">: </w:t>
            </w:r>
            <w:r>
              <w:rPr>
                <w:rStyle w:val="IndexLink"/>
                <w:rtl w:val="true"/>
              </w:rPr>
              <w:t>لو تعذّر الماء إلّا لغسلين، فعلى احتمال أن يكون الأمر بالقراحية لمحض دفع توهم الحصر، فلا اشكال،</w:t>
            </w:r>
            <w:r>
              <w:rPr>
                <w:rStyle w:val="IndexLink"/>
                <w:rtl w:val="true"/>
              </w:rPr>
              <w:tab/>
            </w:r>
            <w:r>
              <w:rPr>
                <w:rStyle w:val="IndexLink"/>
              </w:rPr>
              <w:t>238</w:t>
            </w:r>
          </w:hyperlink>
        </w:p>
        <w:p>
          <w:pPr>
            <w:pStyle w:val="Contents6"/>
            <w:tabs>
              <w:tab w:val="clear" w:pos="7609"/>
              <w:tab w:val="right" w:pos="9026" w:leader="dot"/>
            </w:tabs>
            <w:rPr/>
          </w:pPr>
          <w:hyperlink w:anchor="__RefHeading___Toc3251327_2314609296">
            <w:r>
              <w:rPr>
                <w:webHidden/>
                <w:rStyle w:val="IndexLink"/>
                <w:rtl w:val="true"/>
              </w:rPr>
              <w:t>الثاني</w:t>
            </w:r>
            <w:r>
              <w:rPr>
                <w:rStyle w:val="IndexLink"/>
                <w:rtl w:val="true"/>
              </w:rPr>
              <w:t xml:space="preserve">: </w:t>
            </w:r>
            <w:r>
              <w:rPr>
                <w:rStyle w:val="IndexLink"/>
                <w:rtl w:val="true"/>
              </w:rPr>
              <w:t>لو دار الأمر في سقوط أحد الخليطين،</w:t>
            </w:r>
            <w:r>
              <w:rPr>
                <w:rStyle w:val="IndexLink"/>
                <w:rtl w:val="true"/>
              </w:rPr>
              <w:tab/>
            </w:r>
            <w:r>
              <w:rPr>
                <w:rStyle w:val="IndexLink"/>
              </w:rPr>
              <w:t>238</w:t>
            </w:r>
          </w:hyperlink>
        </w:p>
        <w:p>
          <w:pPr>
            <w:pStyle w:val="Contents6"/>
            <w:tabs>
              <w:tab w:val="clear" w:pos="7609"/>
              <w:tab w:val="right" w:pos="9026" w:leader="dot"/>
            </w:tabs>
            <w:rPr/>
          </w:pPr>
          <w:hyperlink w:anchor="__RefHeading___Toc3251329_2314609296">
            <w:r>
              <w:rPr>
                <w:webHidden/>
                <w:rStyle w:val="IndexLink"/>
                <w:rtl w:val="true"/>
              </w:rPr>
              <w:t>الثالث</w:t>
            </w:r>
            <w:r>
              <w:rPr>
                <w:rStyle w:val="IndexLink"/>
                <w:rtl w:val="true"/>
              </w:rPr>
              <w:t xml:space="preserve">: </w:t>
            </w:r>
            <w:r>
              <w:rPr>
                <w:rStyle w:val="IndexLink"/>
                <w:rtl w:val="true"/>
              </w:rPr>
              <w:t>إذ تعذّر أحد الأغسال الثلاثة، ففي قيام التيمم مقامه وجه</w:t>
            </w:r>
            <w:r>
              <w:rPr>
                <w:rStyle w:val="IndexLink"/>
                <w:rtl w:val="true"/>
              </w:rPr>
              <w:tab/>
            </w:r>
            <w:r>
              <w:rPr>
                <w:rStyle w:val="IndexLink"/>
              </w:rPr>
              <w:t>239</w:t>
            </w:r>
          </w:hyperlink>
        </w:p>
        <w:p>
          <w:pPr>
            <w:pStyle w:val="Contents6"/>
            <w:tabs>
              <w:tab w:val="clear" w:pos="7609"/>
              <w:tab w:val="right" w:pos="9026" w:leader="dot"/>
            </w:tabs>
            <w:rPr/>
          </w:pPr>
          <w:hyperlink w:anchor="__RefHeading___Toc3251331_2314609296">
            <w:r>
              <w:rPr>
                <w:webHidden/>
                <w:rStyle w:val="IndexLink"/>
                <w:rtl w:val="true"/>
              </w:rPr>
              <w:t>الرابع</w:t>
            </w:r>
            <w:r>
              <w:rPr>
                <w:rStyle w:val="IndexLink"/>
                <w:rtl w:val="true"/>
              </w:rPr>
              <w:t xml:space="preserve">: </w:t>
            </w:r>
            <w:r>
              <w:rPr>
                <w:rStyle w:val="IndexLink"/>
                <w:rtl w:val="true"/>
              </w:rPr>
              <w:t>لو تعذّر الخليطان أو اضطر إلى تركهما، فالواجب حينئذ هو الغسل بماء القراح ثلاثا،</w:t>
            </w:r>
            <w:r>
              <w:rPr>
                <w:rStyle w:val="IndexLink"/>
                <w:rtl w:val="true"/>
              </w:rPr>
              <w:tab/>
            </w:r>
            <w:r>
              <w:rPr>
                <w:rStyle w:val="IndexLink"/>
              </w:rPr>
              <w:t>239</w:t>
            </w:r>
          </w:hyperlink>
        </w:p>
        <w:p>
          <w:pPr>
            <w:pStyle w:val="Contents6"/>
            <w:tabs>
              <w:tab w:val="clear" w:pos="7609"/>
              <w:tab w:val="right" w:pos="9026" w:leader="dot"/>
            </w:tabs>
            <w:rPr/>
          </w:pPr>
          <w:hyperlink w:anchor="__RefHeading___Toc3251333_2314609296">
            <w:r>
              <w:rPr>
                <w:webHidden/>
                <w:rStyle w:val="IndexLink"/>
                <w:rtl w:val="true"/>
              </w:rPr>
              <w:t>الخامس</w:t>
            </w:r>
            <w:r>
              <w:rPr>
                <w:rStyle w:val="IndexLink"/>
                <w:rtl w:val="true"/>
              </w:rPr>
              <w:t xml:space="preserve">: </w:t>
            </w:r>
            <w:r>
              <w:rPr>
                <w:rStyle w:val="IndexLink"/>
                <w:rtl w:val="true"/>
              </w:rPr>
              <w:t>لو غسل الميت بالأغسال الاضطرارية</w:t>
            </w:r>
            <w:r>
              <w:rPr>
                <w:rStyle w:val="IndexLink"/>
                <w:rtl w:val="true"/>
              </w:rPr>
              <w:tab/>
            </w:r>
            <w:r>
              <w:rPr>
                <w:rStyle w:val="IndexLink"/>
              </w:rPr>
              <w:t>239</w:t>
            </w:r>
          </w:hyperlink>
        </w:p>
        <w:p>
          <w:pPr>
            <w:pStyle w:val="Contents6"/>
            <w:tabs>
              <w:tab w:val="clear" w:pos="7609"/>
              <w:tab w:val="right" w:pos="9026" w:leader="dot"/>
            </w:tabs>
            <w:rPr/>
          </w:pPr>
          <w:hyperlink w:anchor="__RefHeading___Toc3251335_2314609296">
            <w:r>
              <w:rPr>
                <w:webHidden/>
                <w:rStyle w:val="IndexLink"/>
                <w:rtl w:val="true"/>
              </w:rPr>
              <w:t>مسائل</w:t>
            </w:r>
            <w:r>
              <w:rPr>
                <w:rStyle w:val="IndexLink"/>
                <w:rtl w:val="true"/>
              </w:rPr>
              <w:t>:</w:t>
              <w:tab/>
            </w:r>
            <w:r>
              <w:rPr>
                <w:rStyle w:val="IndexLink"/>
              </w:rPr>
              <w:t>243</w:t>
            </w:r>
          </w:hyperlink>
        </w:p>
        <w:p>
          <w:pPr>
            <w:pStyle w:val="Contents6"/>
            <w:tabs>
              <w:tab w:val="clear" w:pos="7609"/>
              <w:tab w:val="right" w:pos="9026" w:leader="dot"/>
            </w:tabs>
            <w:rPr/>
          </w:pPr>
          <w:hyperlink w:anchor="__RefHeading___Toc3251337_2314609296">
            <w:r>
              <w:rPr>
                <w:webHidden/>
                <w:rStyle w:val="IndexLink"/>
                <w:rtl w:val="true"/>
              </w:rPr>
              <w:t>إحداها</w:t>
            </w:r>
            <w:r>
              <w:rPr>
                <w:rStyle w:val="IndexLink"/>
                <w:rtl w:val="true"/>
              </w:rPr>
              <w:t xml:space="preserve">: </w:t>
            </w:r>
            <w:r>
              <w:rPr>
                <w:rStyle w:val="IndexLink"/>
                <w:rtl w:val="true"/>
              </w:rPr>
              <w:t>انه لا إشكال في لزوم المماثلة بين الغاسل و المغسول في الرجولية و الأنوثية،</w:t>
            </w:r>
            <w:r>
              <w:rPr>
                <w:rStyle w:val="IndexLink"/>
                <w:rtl w:val="true"/>
              </w:rPr>
              <w:tab/>
            </w:r>
            <w:r>
              <w:rPr>
                <w:rStyle w:val="IndexLink"/>
              </w:rPr>
              <w:t>243</w:t>
            </w:r>
          </w:hyperlink>
        </w:p>
        <w:p>
          <w:pPr>
            <w:pStyle w:val="Contents6"/>
            <w:tabs>
              <w:tab w:val="clear" w:pos="7609"/>
              <w:tab w:val="right" w:pos="9026" w:leader="dot"/>
            </w:tabs>
            <w:rPr/>
          </w:pPr>
          <w:hyperlink w:anchor="__RefHeading___Toc3251339_2314609296">
            <w:r>
              <w:rPr>
                <w:webHidden/>
                <w:rStyle w:val="IndexLink"/>
                <w:rtl w:val="true"/>
              </w:rPr>
              <w:t>ثانيها</w:t>
            </w:r>
            <w:r>
              <w:rPr>
                <w:rStyle w:val="IndexLink"/>
                <w:rtl w:val="true"/>
              </w:rPr>
              <w:t xml:space="preserve">: </w:t>
            </w:r>
            <w:r>
              <w:rPr>
                <w:rStyle w:val="IndexLink"/>
                <w:rtl w:val="true"/>
              </w:rPr>
              <w:t>انه يعتبر في الغاسل كونه ممن تصح منه العبادة</w:t>
            </w:r>
            <w:r>
              <w:rPr>
                <w:rStyle w:val="IndexLink"/>
                <w:rtl w:val="true"/>
              </w:rPr>
              <w:t>.</w:t>
              <w:tab/>
            </w:r>
            <w:r>
              <w:rPr>
                <w:rStyle w:val="IndexLink"/>
              </w:rPr>
              <w:t>248</w:t>
            </w:r>
          </w:hyperlink>
        </w:p>
        <w:p>
          <w:pPr>
            <w:pStyle w:val="Contents6"/>
            <w:tabs>
              <w:tab w:val="clear" w:pos="7609"/>
              <w:tab w:val="right" w:pos="9026" w:leader="dot"/>
            </w:tabs>
            <w:rPr/>
          </w:pPr>
          <w:hyperlink w:anchor="__RefHeading___Toc3251341_2314609296">
            <w:r>
              <w:rPr>
                <w:webHidden/>
                <w:rStyle w:val="IndexLink"/>
                <w:rtl w:val="true"/>
              </w:rPr>
              <w:t>ثالثها</w:t>
            </w:r>
            <w:r>
              <w:rPr>
                <w:rStyle w:val="IndexLink"/>
                <w:rtl w:val="true"/>
              </w:rPr>
              <w:t xml:space="preserve">: </w:t>
            </w:r>
            <w:r>
              <w:rPr>
                <w:rStyle w:val="IndexLink"/>
                <w:rtl w:val="true"/>
              </w:rPr>
              <w:t>المشهور وجوب تغسيل كل مظهر للشهادتين،</w:t>
            </w:r>
            <w:r>
              <w:rPr>
                <w:rStyle w:val="IndexLink"/>
                <w:rtl w:val="true"/>
              </w:rPr>
              <w:tab/>
            </w:r>
            <w:r>
              <w:rPr>
                <w:rStyle w:val="IndexLink"/>
              </w:rPr>
              <w:t>249</w:t>
            </w:r>
          </w:hyperlink>
        </w:p>
        <w:p>
          <w:pPr>
            <w:pStyle w:val="Contents6"/>
            <w:tabs>
              <w:tab w:val="clear" w:pos="7609"/>
              <w:tab w:val="right" w:pos="9026" w:leader="dot"/>
            </w:tabs>
            <w:rPr/>
          </w:pPr>
          <w:hyperlink w:anchor="__RefHeading___Toc3251343_2314609296">
            <w:r>
              <w:rPr>
                <w:webHidden/>
                <w:rStyle w:val="IndexLink"/>
                <w:rtl w:val="true"/>
              </w:rPr>
              <w:t>رابعها</w:t>
            </w:r>
            <w:r>
              <w:rPr>
                <w:rStyle w:val="IndexLink"/>
                <w:rtl w:val="true"/>
              </w:rPr>
              <w:t xml:space="preserve">: </w:t>
            </w:r>
            <w:r>
              <w:rPr>
                <w:rStyle w:val="IndexLink"/>
                <w:rtl w:val="true"/>
              </w:rPr>
              <w:t>الشهيد لا يغسّل و لا يكفّن، و يدفن في ثيابه،</w:t>
            </w:r>
            <w:r>
              <w:rPr>
                <w:rStyle w:val="IndexLink"/>
                <w:rtl w:val="true"/>
              </w:rPr>
              <w:tab/>
            </w:r>
            <w:r>
              <w:rPr>
                <w:rStyle w:val="IndexLink"/>
              </w:rPr>
              <w:t>251</w:t>
            </w:r>
          </w:hyperlink>
        </w:p>
        <w:p>
          <w:pPr>
            <w:pStyle w:val="Contents6"/>
            <w:tabs>
              <w:tab w:val="clear" w:pos="7609"/>
              <w:tab w:val="right" w:pos="9026" w:leader="dot"/>
            </w:tabs>
            <w:rPr/>
          </w:pPr>
          <w:hyperlink w:anchor="__RefHeading___Toc3251345_2314609296">
            <w:r>
              <w:rPr>
                <w:webHidden/>
                <w:rStyle w:val="IndexLink"/>
                <w:rtl w:val="true"/>
              </w:rPr>
              <w:t>خامسها</w:t>
            </w:r>
            <w:r>
              <w:rPr>
                <w:rStyle w:val="IndexLink"/>
                <w:rtl w:val="true"/>
              </w:rPr>
              <w:t xml:space="preserve">: </w:t>
            </w:r>
            <w:r>
              <w:rPr>
                <w:rStyle w:val="IndexLink"/>
                <w:rtl w:val="true"/>
              </w:rPr>
              <w:t>لا اشكال ظاهرا في وجوب غسل ما يصدق عليه البدن،</w:t>
            </w:r>
            <w:r>
              <w:rPr>
                <w:rStyle w:val="IndexLink"/>
                <w:rtl w:val="true"/>
              </w:rPr>
              <w:tab/>
            </w:r>
            <w:r>
              <w:rPr>
                <w:rStyle w:val="IndexLink"/>
              </w:rPr>
              <w:t>253</w:t>
            </w:r>
          </w:hyperlink>
        </w:p>
        <w:p>
          <w:pPr>
            <w:pStyle w:val="Contents6"/>
            <w:tabs>
              <w:tab w:val="clear" w:pos="7609"/>
              <w:tab w:val="right" w:pos="9026" w:leader="dot"/>
            </w:tabs>
            <w:rPr/>
          </w:pPr>
          <w:hyperlink w:anchor="__RefHeading___Toc3251347_2314609296">
            <w:r>
              <w:rPr>
                <w:webHidden/>
                <w:rStyle w:val="IndexLink"/>
                <w:rtl w:val="true"/>
              </w:rPr>
              <w:t>سادسها</w:t>
            </w:r>
            <w:r>
              <w:rPr>
                <w:rStyle w:val="IndexLink"/>
                <w:rtl w:val="true"/>
              </w:rPr>
              <w:t xml:space="preserve">: </w:t>
            </w:r>
            <w:r>
              <w:rPr>
                <w:rStyle w:val="IndexLink"/>
                <w:rtl w:val="true"/>
              </w:rPr>
              <w:t>السقط لأربعة أشهر فأزيد يغسّل و يكفّن بالقطع المخصوصة،</w:t>
            </w:r>
            <w:r>
              <w:rPr>
                <w:rStyle w:val="IndexLink"/>
                <w:rtl w:val="true"/>
              </w:rPr>
              <w:tab/>
            </w:r>
            <w:r>
              <w:rPr>
                <w:rStyle w:val="IndexLink"/>
              </w:rPr>
              <w:t>254</w:t>
            </w:r>
          </w:hyperlink>
        </w:p>
        <w:p>
          <w:pPr>
            <w:pStyle w:val="Contents6"/>
            <w:tabs>
              <w:tab w:val="clear" w:pos="7609"/>
              <w:tab w:val="right" w:pos="9026" w:leader="dot"/>
            </w:tabs>
            <w:rPr/>
          </w:pPr>
          <w:hyperlink w:anchor="__RefHeading___Toc3251349_2314609296">
            <w:r>
              <w:rPr>
                <w:webHidden/>
                <w:rStyle w:val="IndexLink"/>
                <w:rtl w:val="true"/>
              </w:rPr>
              <w:t>الثالث من أحكام الميت التكفين</w:t>
            </w:r>
            <w:r>
              <w:rPr>
                <w:rStyle w:val="IndexLink"/>
                <w:rtl w:val="true"/>
              </w:rPr>
              <w:tab/>
            </w:r>
            <w:r>
              <w:rPr>
                <w:rStyle w:val="IndexLink"/>
              </w:rPr>
              <w:t>256</w:t>
            </w:r>
          </w:hyperlink>
        </w:p>
        <w:p>
          <w:pPr>
            <w:pStyle w:val="Contents6"/>
            <w:tabs>
              <w:tab w:val="clear" w:pos="7609"/>
              <w:tab w:val="right" w:pos="9026" w:leader="dot"/>
            </w:tabs>
            <w:rPr/>
          </w:pPr>
          <w:hyperlink w:anchor="__RefHeading___Toc3251351_2314609296">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251353_2314609296">
            <w:r>
              <w:rPr>
                <w:webHidden/>
                <w:rStyle w:val="IndexLink"/>
                <w:rtl w:val="true"/>
              </w:rPr>
              <w:t>فرع</w:t>
            </w:r>
            <w:r>
              <w:rPr>
                <w:rStyle w:val="IndexLink"/>
                <w:rtl w:val="true"/>
              </w:rPr>
              <w:t xml:space="preserve">: </w:t>
            </w:r>
            <w:r>
              <w:rPr>
                <w:rStyle w:val="IndexLink"/>
                <w:rtl w:val="true"/>
              </w:rPr>
              <w:t>لا اشكال عندهم في انّ كفن المرأة على زوجها،</w:t>
            </w:r>
            <w:r>
              <w:rPr>
                <w:rStyle w:val="IndexLink"/>
                <w:rtl w:val="true"/>
              </w:rPr>
              <w:tab/>
            </w:r>
            <w:r>
              <w:rPr>
                <w:rStyle w:val="IndexLink"/>
              </w:rPr>
              <w:t>259</w:t>
            </w:r>
          </w:hyperlink>
        </w:p>
        <w:p>
          <w:pPr>
            <w:pStyle w:val="Contents6"/>
            <w:tabs>
              <w:tab w:val="clear" w:pos="7609"/>
              <w:tab w:val="right" w:pos="9026" w:leader="dot"/>
            </w:tabs>
            <w:rPr/>
          </w:pPr>
          <w:hyperlink w:anchor="__RefHeading___Toc3251355_2314609296">
            <w:r>
              <w:rPr>
                <w:webHidden/>
                <w:rStyle w:val="IndexLink"/>
                <w:rtl w:val="true"/>
              </w:rPr>
              <w:t>الرابع</w:t>
            </w:r>
            <w:r>
              <w:rPr>
                <w:rStyle w:val="IndexLink"/>
                <w:rtl w:val="true"/>
              </w:rPr>
              <w:t xml:space="preserve">: </w:t>
            </w:r>
            <w:r>
              <w:rPr>
                <w:rStyle w:val="IndexLink"/>
                <w:rtl w:val="true"/>
              </w:rPr>
              <w:t>الصلاة عليه</w:t>
            </w:r>
            <w:r>
              <w:rPr>
                <w:rStyle w:val="IndexLink"/>
                <w:rtl w:val="true"/>
              </w:rPr>
              <w:tab/>
            </w:r>
            <w:r>
              <w:rPr>
                <w:rStyle w:val="IndexLink"/>
              </w:rPr>
              <w:t>263</w:t>
            </w:r>
          </w:hyperlink>
        </w:p>
        <w:p>
          <w:pPr>
            <w:pStyle w:val="Contents6"/>
            <w:tabs>
              <w:tab w:val="clear" w:pos="7609"/>
              <w:tab w:val="right" w:pos="9026" w:leader="dot"/>
            </w:tabs>
            <w:rPr/>
          </w:pPr>
          <w:hyperlink w:anchor="__RefHeading___Toc3251357_231460929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251359_2314609296">
            <w:r>
              <w:rPr>
                <w:webHidden/>
                <w:rStyle w:val="IndexLink"/>
                <w:rtl w:val="true"/>
              </w:rPr>
              <w:t>و كيفيتها</w:t>
            </w:r>
            <w:r>
              <w:rPr>
                <w:rStyle w:val="IndexLink"/>
                <w:rtl w:val="true"/>
              </w:rPr>
              <w:t xml:space="preserve">: </w:t>
            </w:r>
            <w:r>
              <w:rPr>
                <w:rStyle w:val="IndexLink"/>
                <w:rtl w:val="true"/>
              </w:rPr>
              <w:t>أن يكبّر بعد النية المتعلّقة بالميت الخاص و لو بالتعيين الإجمالي،</w:t>
            </w:r>
            <w:r>
              <w:rPr>
                <w:rStyle w:val="IndexLink"/>
                <w:rtl w:val="true"/>
              </w:rPr>
              <w:tab/>
            </w:r>
            <w:r>
              <w:rPr>
                <w:rStyle w:val="IndexLink"/>
              </w:rPr>
              <w:t>268</w:t>
            </w:r>
          </w:hyperlink>
        </w:p>
        <w:p>
          <w:pPr>
            <w:pStyle w:val="Contents6"/>
            <w:tabs>
              <w:tab w:val="clear" w:pos="7609"/>
              <w:tab w:val="right" w:pos="9026" w:leader="dot"/>
            </w:tabs>
            <w:rPr/>
          </w:pPr>
          <w:hyperlink w:anchor="__RefHeading___Toc3251361_2314609296">
            <w:r>
              <w:rPr>
                <w:webHidden/>
                <w:rStyle w:val="IndexLink"/>
                <w:rtl w:val="true"/>
              </w:rPr>
              <w:t>بقي في المقام شي‌ء،</w:t>
            </w:r>
            <w:r>
              <w:rPr>
                <w:rStyle w:val="IndexLink"/>
                <w:rtl w:val="true"/>
              </w:rPr>
              <w:tab/>
            </w:r>
            <w:r>
              <w:rPr>
                <w:rStyle w:val="IndexLink"/>
              </w:rPr>
              <w:t>272</w:t>
            </w:r>
          </w:hyperlink>
        </w:p>
        <w:p>
          <w:pPr>
            <w:pStyle w:val="Contents6"/>
            <w:tabs>
              <w:tab w:val="clear" w:pos="7609"/>
              <w:tab w:val="right" w:pos="9026" w:leader="dot"/>
            </w:tabs>
            <w:rPr/>
          </w:pPr>
          <w:hyperlink w:anchor="__RefHeading___Toc3251363_2314609296">
            <w:r>
              <w:rPr>
                <w:webHidden/>
                <w:rStyle w:val="IndexLink"/>
                <w:rtl w:val="true"/>
              </w:rPr>
              <w:t>مسائل</w:t>
            </w:r>
            <w:r>
              <w:rPr>
                <w:rStyle w:val="IndexLink"/>
                <w:rtl w:val="true"/>
              </w:rPr>
              <w:t>:</w:t>
              <w:tab/>
            </w:r>
            <w:r>
              <w:rPr>
                <w:rStyle w:val="IndexLink"/>
              </w:rPr>
              <w:t>274</w:t>
            </w:r>
          </w:hyperlink>
        </w:p>
        <w:p>
          <w:pPr>
            <w:pStyle w:val="Contents6"/>
            <w:tabs>
              <w:tab w:val="clear" w:pos="7609"/>
              <w:tab w:val="right" w:pos="9026" w:leader="dot"/>
            </w:tabs>
            <w:rPr/>
          </w:pPr>
          <w:hyperlink w:anchor="__RefHeading___Toc3251365_2314609296">
            <w:r>
              <w:rPr>
                <w:webHidden/>
                <w:rStyle w:val="IndexLink"/>
                <w:rtl w:val="true"/>
              </w:rPr>
              <w:t>الاولى</w:t>
            </w:r>
            <w:r>
              <w:rPr>
                <w:rStyle w:val="IndexLink"/>
                <w:rtl w:val="true"/>
              </w:rPr>
              <w:t xml:space="preserve">: </w:t>
            </w:r>
            <w:r>
              <w:rPr>
                <w:rStyle w:val="IndexLink"/>
                <w:rtl w:val="true"/>
              </w:rPr>
              <w:t>لا يصلى عليه إلّا بعد تغسيله و تكفينه</w:t>
            </w:r>
            <w:r>
              <w:rPr>
                <w:rStyle w:val="IndexLink"/>
                <w:rtl w:val="true"/>
              </w:rPr>
              <w:tab/>
            </w:r>
            <w:r>
              <w:rPr>
                <w:rStyle w:val="IndexLink"/>
              </w:rPr>
              <w:t>274</w:t>
            </w:r>
          </w:hyperlink>
        </w:p>
        <w:p>
          <w:pPr>
            <w:pStyle w:val="Contents6"/>
            <w:tabs>
              <w:tab w:val="clear" w:pos="7609"/>
              <w:tab w:val="right" w:pos="9026" w:leader="dot"/>
            </w:tabs>
            <w:rPr/>
          </w:pPr>
          <w:hyperlink w:anchor="__RefHeading___Toc3251367_2314609296">
            <w:r>
              <w:rPr>
                <w:webHidden/>
                <w:rStyle w:val="IndexLink"/>
                <w:rtl w:val="true"/>
              </w:rPr>
              <w:t>الثانية</w:t>
            </w:r>
            <w:r>
              <w:rPr>
                <w:rStyle w:val="IndexLink"/>
                <w:rtl w:val="true"/>
              </w:rPr>
              <w:t xml:space="preserve">: </w:t>
            </w:r>
            <w:r>
              <w:rPr>
                <w:rStyle w:val="IndexLink"/>
                <w:rtl w:val="true"/>
              </w:rPr>
              <w:t>تكره الصلاة على الجنائز مرتين</w:t>
            </w:r>
            <w:r>
              <w:rPr>
                <w:rStyle w:val="IndexLink"/>
                <w:rtl w:val="true"/>
              </w:rPr>
              <w:tab/>
            </w:r>
            <w:r>
              <w:rPr>
                <w:rStyle w:val="IndexLink"/>
              </w:rPr>
              <w:t>275</w:t>
            </w:r>
          </w:hyperlink>
        </w:p>
        <w:p>
          <w:pPr>
            <w:pStyle w:val="Contents6"/>
            <w:tabs>
              <w:tab w:val="clear" w:pos="7609"/>
              <w:tab w:val="right" w:pos="9026" w:leader="dot"/>
            </w:tabs>
            <w:rPr/>
          </w:pPr>
          <w:hyperlink w:anchor="__RefHeading___Toc3251369_2314609296">
            <w:r>
              <w:rPr>
                <w:webHidden/>
                <w:rStyle w:val="IndexLink"/>
                <w:rtl w:val="true"/>
              </w:rPr>
              <w:t>الثالثة</w:t>
            </w:r>
            <w:r>
              <w:rPr>
                <w:rStyle w:val="IndexLink"/>
                <w:rtl w:val="true"/>
              </w:rPr>
              <w:t xml:space="preserve">: </w:t>
            </w:r>
            <w:r>
              <w:rPr>
                <w:rStyle w:val="IndexLink"/>
                <w:rtl w:val="true"/>
              </w:rPr>
              <w:t>لو لم يصلّ على الميت صلّى على قبره</w:t>
            </w:r>
            <w:r>
              <w:rPr>
                <w:rStyle w:val="IndexLink"/>
                <w:rtl w:val="true"/>
              </w:rPr>
              <w:tab/>
            </w:r>
            <w:r>
              <w:rPr>
                <w:rStyle w:val="IndexLink"/>
              </w:rPr>
              <w:t>277</w:t>
            </w:r>
          </w:hyperlink>
        </w:p>
        <w:p>
          <w:pPr>
            <w:pStyle w:val="Contents6"/>
            <w:tabs>
              <w:tab w:val="clear" w:pos="7609"/>
              <w:tab w:val="right" w:pos="9026" w:leader="dot"/>
            </w:tabs>
            <w:rPr/>
          </w:pPr>
          <w:hyperlink w:anchor="__RefHeading___Toc3251371_2314609296">
            <w:r>
              <w:rPr>
                <w:webHidden/>
                <w:rStyle w:val="IndexLink"/>
                <w:rtl w:val="true"/>
              </w:rPr>
              <w:t>الرابعة</w:t>
            </w:r>
            <w:r>
              <w:rPr>
                <w:rStyle w:val="IndexLink"/>
                <w:rtl w:val="true"/>
              </w:rPr>
              <w:t xml:space="preserve">: </w:t>
            </w:r>
            <w:r>
              <w:rPr>
                <w:rStyle w:val="IndexLink"/>
                <w:rtl w:val="true"/>
              </w:rPr>
              <w:t>يستحب أن يقف الإمام عند وسط الرجل و صدر المرأة،</w:t>
            </w:r>
            <w:r>
              <w:rPr>
                <w:rStyle w:val="IndexLink"/>
                <w:rtl w:val="true"/>
              </w:rPr>
              <w:tab/>
            </w:r>
            <w:r>
              <w:rPr>
                <w:rStyle w:val="IndexLink"/>
              </w:rPr>
              <w:t>278</w:t>
            </w:r>
          </w:hyperlink>
        </w:p>
        <w:p>
          <w:pPr>
            <w:pStyle w:val="Contents6"/>
            <w:tabs>
              <w:tab w:val="clear" w:pos="7609"/>
              <w:tab w:val="right" w:pos="9026" w:leader="dot"/>
            </w:tabs>
            <w:rPr/>
          </w:pPr>
          <w:hyperlink w:anchor="__RefHeading___Toc3251373_2314609296">
            <w:r>
              <w:rPr>
                <w:webHidden/>
                <w:rStyle w:val="IndexLink"/>
                <w:rtl w:val="true"/>
              </w:rPr>
              <w:t>الخامسة</w:t>
            </w:r>
            <w:r>
              <w:rPr>
                <w:rStyle w:val="IndexLink"/>
                <w:rtl w:val="true"/>
              </w:rPr>
              <w:t xml:space="preserve">: </w:t>
            </w:r>
            <w:r>
              <w:rPr>
                <w:rStyle w:val="IndexLink"/>
                <w:rtl w:val="true"/>
              </w:rPr>
              <w:t>يجب أن يجعل رأس الميت عن يمين المصلي</w:t>
            </w:r>
            <w:r>
              <w:rPr>
                <w:rStyle w:val="IndexLink"/>
                <w:rtl w:val="true"/>
              </w:rPr>
              <w:tab/>
            </w:r>
            <w:r>
              <w:rPr>
                <w:rStyle w:val="IndexLink"/>
              </w:rPr>
              <w:t>278</w:t>
            </w:r>
          </w:hyperlink>
        </w:p>
        <w:p>
          <w:pPr>
            <w:pStyle w:val="Contents6"/>
            <w:tabs>
              <w:tab w:val="clear" w:pos="7609"/>
              <w:tab w:val="right" w:pos="9026" w:leader="dot"/>
            </w:tabs>
            <w:rPr/>
          </w:pPr>
          <w:hyperlink w:anchor="__RefHeading___Toc3251375_2314609296">
            <w:r>
              <w:rPr>
                <w:webHidden/>
                <w:rStyle w:val="IndexLink"/>
                <w:rtl w:val="true"/>
              </w:rPr>
              <w:t>السادسة</w:t>
            </w:r>
            <w:r>
              <w:rPr>
                <w:rStyle w:val="IndexLink"/>
                <w:rtl w:val="true"/>
              </w:rPr>
              <w:t xml:space="preserve">: </w:t>
            </w:r>
            <w:r>
              <w:rPr>
                <w:rStyle w:val="IndexLink"/>
                <w:rtl w:val="true"/>
              </w:rPr>
              <w:t>انّ الأوقات بأجمعها صالحة لصلاة الجنازة،</w:t>
            </w:r>
            <w:r>
              <w:rPr>
                <w:rStyle w:val="IndexLink"/>
                <w:rtl w:val="true"/>
              </w:rPr>
              <w:tab/>
            </w:r>
            <w:r>
              <w:rPr>
                <w:rStyle w:val="IndexLink"/>
              </w:rPr>
              <w:t>279</w:t>
            </w:r>
          </w:hyperlink>
        </w:p>
        <w:p>
          <w:pPr>
            <w:pStyle w:val="Contents6"/>
            <w:tabs>
              <w:tab w:val="clear" w:pos="7609"/>
              <w:tab w:val="right" w:pos="9026" w:leader="dot"/>
            </w:tabs>
            <w:rPr/>
          </w:pPr>
          <w:hyperlink w:anchor="__RefHeading___Toc3251377_2314609296">
            <w:r>
              <w:rPr>
                <w:webHidden/>
                <w:rStyle w:val="IndexLink"/>
                <w:rtl w:val="true"/>
              </w:rPr>
              <w:t>السابعة</w:t>
            </w:r>
            <w:r>
              <w:rPr>
                <w:rStyle w:val="IndexLink"/>
                <w:rtl w:val="true"/>
              </w:rPr>
              <w:t xml:space="preserve">: </w:t>
            </w:r>
            <w:r>
              <w:rPr>
                <w:rStyle w:val="IndexLink"/>
                <w:rtl w:val="true"/>
              </w:rPr>
              <w:t>انه في كل مورد صلّي على الميت صلاة ناقصة من جهة الاضطرار لقاعدة الميسور أو غيره، فمقتضى القاعدة عدم الاجزاء</w:t>
            </w:r>
            <w:r>
              <w:rPr>
                <w:rStyle w:val="IndexLink"/>
                <w:rtl w:val="true"/>
              </w:rPr>
              <w:tab/>
            </w:r>
            <w:r>
              <w:rPr>
                <w:rStyle w:val="IndexLink"/>
              </w:rPr>
              <w:t>279</w:t>
            </w:r>
          </w:hyperlink>
        </w:p>
        <w:p>
          <w:pPr>
            <w:pStyle w:val="Contents6"/>
            <w:tabs>
              <w:tab w:val="clear" w:pos="7609"/>
              <w:tab w:val="right" w:pos="9026" w:leader="dot"/>
            </w:tabs>
            <w:rPr/>
          </w:pPr>
          <w:hyperlink w:anchor="__RefHeading___Toc3251379_2314609296">
            <w:r>
              <w:rPr>
                <w:webHidden/>
                <w:rStyle w:val="IndexLink"/>
                <w:rtl w:val="true"/>
              </w:rPr>
              <w:t>الثامنة</w:t>
            </w:r>
            <w:r>
              <w:rPr>
                <w:rStyle w:val="IndexLink"/>
                <w:rtl w:val="true"/>
              </w:rPr>
              <w:t xml:space="preserve">: </w:t>
            </w:r>
            <w:r>
              <w:rPr>
                <w:rStyle w:val="IndexLink"/>
                <w:rtl w:val="true"/>
              </w:rPr>
              <w:t>إذا صلّى على جنازة بعض الصلاة، فمقتضى القاعدة</w:t>
            </w:r>
            <w:r>
              <w:rPr>
                <w:rStyle w:val="IndexLink"/>
                <w:rtl w:val="true"/>
              </w:rPr>
              <w:t xml:space="preserve">- </w:t>
            </w:r>
            <w:r>
              <w:rPr>
                <w:rStyle w:val="IndexLink"/>
                <w:rtl w:val="true"/>
              </w:rPr>
              <w:t>بعد عدم دليل على حرمة قطع صلاة الجنازة</w:t>
            </w:r>
            <w:r>
              <w:rPr>
                <w:rStyle w:val="IndexLink"/>
                <w:rtl w:val="true"/>
              </w:rPr>
              <w:t xml:space="preserve">- </w:t>
            </w:r>
            <w:r>
              <w:rPr>
                <w:rStyle w:val="IndexLink"/>
                <w:rtl w:val="true"/>
              </w:rPr>
              <w:t>التخيير</w:t>
            </w:r>
            <w:r>
              <w:rPr>
                <w:rStyle w:val="IndexLink"/>
                <w:rtl w:val="true"/>
              </w:rPr>
              <w:tab/>
            </w:r>
            <w:r>
              <w:rPr>
                <w:rStyle w:val="IndexLink"/>
              </w:rPr>
              <w:t>280</w:t>
            </w:r>
          </w:hyperlink>
        </w:p>
        <w:p>
          <w:pPr>
            <w:pStyle w:val="Contents6"/>
            <w:tabs>
              <w:tab w:val="clear" w:pos="7609"/>
              <w:tab w:val="right" w:pos="9026" w:leader="dot"/>
            </w:tabs>
            <w:rPr/>
          </w:pPr>
          <w:hyperlink w:anchor="__RefHeading___Toc3251381_2314609296">
            <w:r>
              <w:rPr>
                <w:webHidden/>
                <w:rStyle w:val="IndexLink"/>
                <w:rtl w:val="true"/>
              </w:rPr>
              <w:t>الخامس</w:t>
            </w:r>
            <w:r>
              <w:rPr>
                <w:rStyle w:val="IndexLink"/>
                <w:rtl w:val="true"/>
              </w:rPr>
              <w:t xml:space="preserve">: </w:t>
            </w:r>
            <w:r>
              <w:rPr>
                <w:rStyle w:val="IndexLink"/>
                <w:rtl w:val="true"/>
              </w:rPr>
              <w:t>الدفن</w:t>
            </w:r>
            <w:r>
              <w:rPr>
                <w:rStyle w:val="IndexLink"/>
                <w:rtl w:val="true"/>
              </w:rPr>
              <w:tab/>
            </w:r>
            <w:r>
              <w:rPr>
                <w:rStyle w:val="IndexLink"/>
              </w:rPr>
              <w:t>280</w:t>
            </w:r>
          </w:hyperlink>
        </w:p>
        <w:p>
          <w:pPr>
            <w:pStyle w:val="Contents6"/>
            <w:tabs>
              <w:tab w:val="clear" w:pos="7609"/>
              <w:tab w:val="right" w:pos="9026" w:leader="dot"/>
            </w:tabs>
            <w:rPr/>
          </w:pPr>
          <w:hyperlink w:anchor="__RefHeading___Toc3251383_2314609296">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3251385_2314609296">
            <w:r>
              <w:rPr>
                <w:webHidden/>
                <w:rStyle w:val="IndexLink"/>
                <w:rtl w:val="true"/>
              </w:rPr>
              <w:t>مسائل</w:t>
            </w:r>
            <w:r>
              <w:rPr>
                <w:rStyle w:val="IndexLink"/>
                <w:rtl w:val="true"/>
              </w:rPr>
              <w:tab/>
            </w:r>
            <w:r>
              <w:rPr>
                <w:rStyle w:val="IndexLink"/>
              </w:rPr>
              <w:t>288</w:t>
            </w:r>
          </w:hyperlink>
        </w:p>
        <w:p>
          <w:pPr>
            <w:pStyle w:val="Contents6"/>
            <w:tabs>
              <w:tab w:val="clear" w:pos="7609"/>
              <w:tab w:val="right" w:pos="9026" w:leader="dot"/>
            </w:tabs>
            <w:rPr/>
          </w:pPr>
          <w:hyperlink w:anchor="__RefHeading___Toc3251387_2314609296">
            <w:r>
              <w:rPr>
                <w:webHidden/>
                <w:rStyle w:val="IndexLink"/>
                <w:rtl w:val="true"/>
              </w:rPr>
              <w:t>الأولى</w:t>
            </w:r>
            <w:r>
              <w:rPr>
                <w:rStyle w:val="IndexLink"/>
                <w:rtl w:val="true"/>
              </w:rPr>
              <w:t xml:space="preserve">: </w:t>
            </w:r>
            <w:r>
              <w:rPr>
                <w:rStyle w:val="IndexLink"/>
                <w:rtl w:val="true"/>
              </w:rPr>
              <w:t>الشهيد لا يغسّل و لا يكفّن، بل يصلّى عليه و يدفن بثيابه</w:t>
            </w:r>
            <w:r>
              <w:rPr>
                <w:rStyle w:val="IndexLink"/>
                <w:rtl w:val="true"/>
              </w:rPr>
              <w:tab/>
            </w:r>
            <w:r>
              <w:rPr>
                <w:rStyle w:val="IndexLink"/>
              </w:rPr>
              <w:t>288</w:t>
            </w:r>
          </w:hyperlink>
        </w:p>
        <w:p>
          <w:pPr>
            <w:pStyle w:val="Contents6"/>
            <w:tabs>
              <w:tab w:val="clear" w:pos="7609"/>
              <w:tab w:val="right" w:pos="9026" w:leader="dot"/>
            </w:tabs>
            <w:rPr/>
          </w:pPr>
          <w:hyperlink w:anchor="__RefHeading___Toc3251389_2314609296">
            <w:r>
              <w:rPr>
                <w:webHidden/>
                <w:rStyle w:val="IndexLink"/>
                <w:rtl w:val="true"/>
              </w:rPr>
              <w:t>الثانية</w:t>
            </w:r>
            <w:r>
              <w:rPr>
                <w:rStyle w:val="IndexLink"/>
                <w:rtl w:val="true"/>
              </w:rPr>
              <w:t xml:space="preserve">: </w:t>
            </w:r>
            <w:r>
              <w:rPr>
                <w:rStyle w:val="IndexLink"/>
                <w:rtl w:val="true"/>
              </w:rPr>
              <w:t>صدر الميت كالميت في أحكامه</w:t>
            </w:r>
            <w:r>
              <w:rPr>
                <w:rStyle w:val="IndexLink"/>
                <w:rtl w:val="true"/>
              </w:rPr>
              <w:tab/>
            </w:r>
            <w:r>
              <w:rPr>
                <w:rStyle w:val="IndexLink"/>
              </w:rPr>
              <w:t>288</w:t>
            </w:r>
          </w:hyperlink>
        </w:p>
        <w:p>
          <w:pPr>
            <w:pStyle w:val="Contents6"/>
            <w:tabs>
              <w:tab w:val="clear" w:pos="7609"/>
              <w:tab w:val="right" w:pos="9026" w:leader="dot"/>
            </w:tabs>
            <w:rPr/>
          </w:pPr>
          <w:hyperlink w:anchor="__RefHeading___Toc3251391_2314609296">
            <w:r>
              <w:rPr>
                <w:webHidden/>
                <w:rStyle w:val="IndexLink"/>
                <w:rtl w:val="true"/>
              </w:rPr>
              <w:t>الثالثة</w:t>
            </w:r>
            <w:r>
              <w:rPr>
                <w:rStyle w:val="IndexLink"/>
                <w:rtl w:val="true"/>
              </w:rPr>
              <w:t xml:space="preserve">: </w:t>
            </w:r>
            <w:r>
              <w:rPr>
                <w:rStyle w:val="IndexLink"/>
                <w:rtl w:val="true"/>
              </w:rPr>
              <w:t>يؤخذ الكفن من أصل التركة</w:t>
            </w:r>
            <w:r>
              <w:rPr>
                <w:rStyle w:val="IndexLink"/>
                <w:rtl w:val="true"/>
              </w:rPr>
              <w:tab/>
            </w:r>
            <w:r>
              <w:rPr>
                <w:rStyle w:val="IndexLink"/>
              </w:rPr>
              <w:t>288</w:t>
            </w:r>
          </w:hyperlink>
        </w:p>
        <w:p>
          <w:pPr>
            <w:pStyle w:val="Contents6"/>
            <w:tabs>
              <w:tab w:val="clear" w:pos="7609"/>
              <w:tab w:val="right" w:pos="9026" w:leader="dot"/>
            </w:tabs>
            <w:rPr/>
          </w:pPr>
          <w:hyperlink w:anchor="__RefHeading___Toc3251393_2314609296">
            <w:r>
              <w:rPr>
                <w:webHidden/>
                <w:rStyle w:val="IndexLink"/>
                <w:rtl w:val="true"/>
              </w:rPr>
              <w:t>الرابعة</w:t>
            </w:r>
            <w:r>
              <w:rPr>
                <w:rStyle w:val="IndexLink"/>
                <w:rtl w:val="true"/>
              </w:rPr>
              <w:t xml:space="preserve">: </w:t>
            </w:r>
            <w:r>
              <w:rPr>
                <w:rStyle w:val="IndexLink"/>
                <w:rtl w:val="true"/>
              </w:rPr>
              <w:t>الحرام كالحلال إلّا في الكافور فلا يقربه</w:t>
            </w:r>
            <w:r>
              <w:rPr>
                <w:rStyle w:val="IndexLink"/>
                <w:rtl w:val="true"/>
              </w:rPr>
              <w:tab/>
            </w:r>
            <w:r>
              <w:rPr>
                <w:rStyle w:val="IndexLink"/>
              </w:rPr>
              <w:t>289</w:t>
            </w:r>
          </w:hyperlink>
        </w:p>
        <w:p>
          <w:pPr>
            <w:pStyle w:val="Contents6"/>
            <w:tabs>
              <w:tab w:val="clear" w:pos="7609"/>
              <w:tab w:val="right" w:pos="9026" w:leader="dot"/>
            </w:tabs>
            <w:rPr/>
          </w:pPr>
          <w:hyperlink w:anchor="__RefHeading___Toc3251395_2314609296">
            <w:r>
              <w:rPr>
                <w:webHidden/>
                <w:rStyle w:val="IndexLink"/>
                <w:rtl w:val="true"/>
              </w:rPr>
              <w:t>الخامسة</w:t>
            </w:r>
            <w:r>
              <w:rPr>
                <w:rStyle w:val="IndexLink"/>
                <w:rtl w:val="true"/>
              </w:rPr>
              <w:t xml:space="preserve">: </w:t>
            </w:r>
            <w:r>
              <w:rPr>
                <w:rStyle w:val="IndexLink"/>
                <w:rtl w:val="true"/>
              </w:rPr>
              <w:t>من مسّ ميتا من الناس بعد برده بالموت و قبل تطهيره بالغسل</w:t>
            </w:r>
            <w:r>
              <w:rPr>
                <w:rStyle w:val="IndexLink"/>
                <w:rtl w:val="true"/>
              </w:rPr>
              <w:tab/>
            </w:r>
            <w:r>
              <w:rPr>
                <w:rStyle w:val="IndexLink"/>
              </w:rPr>
              <w:t>289</w:t>
            </w:r>
          </w:hyperlink>
        </w:p>
        <w:p>
          <w:pPr>
            <w:pStyle w:val="Contents6"/>
            <w:tabs>
              <w:tab w:val="clear" w:pos="7609"/>
              <w:tab w:val="right" w:pos="9026" w:leader="dot"/>
            </w:tabs>
            <w:rPr/>
          </w:pPr>
          <w:hyperlink w:anchor="__RefHeading___Toc3251397_2314609296">
            <w:r>
              <w:rPr>
                <w:webHidden/>
                <w:rStyle w:val="IndexLink"/>
                <w:rtl w:val="true"/>
              </w:rPr>
              <w:t>بقي في المقام شي‌ء،</w:t>
            </w:r>
            <w:r>
              <w:rPr>
                <w:rStyle w:val="IndexLink"/>
                <w:rtl w:val="true"/>
              </w:rPr>
              <w:tab/>
            </w:r>
            <w:r>
              <w:rPr>
                <w:rStyle w:val="IndexLink"/>
              </w:rPr>
              <w:t>291</w:t>
            </w:r>
          </w:hyperlink>
        </w:p>
        <w:p>
          <w:pPr>
            <w:pStyle w:val="Contents6"/>
            <w:tabs>
              <w:tab w:val="clear" w:pos="7609"/>
              <w:tab w:val="right" w:pos="9026" w:leader="dot"/>
            </w:tabs>
            <w:rPr/>
          </w:pPr>
          <w:hyperlink w:anchor="__RefHeading___Toc3251399_2314609296">
            <w:r>
              <w:rPr>
                <w:webHidden/>
                <w:rStyle w:val="IndexLink"/>
                <w:rtl w:val="true"/>
              </w:rPr>
              <w:t>فرع</w:t>
            </w:r>
            <w:r>
              <w:rPr>
                <w:rStyle w:val="IndexLink"/>
                <w:rtl w:val="true"/>
              </w:rPr>
              <w:t xml:space="preserve">: </w:t>
            </w:r>
            <w:r>
              <w:rPr>
                <w:rStyle w:val="IndexLink"/>
                <w:rtl w:val="true"/>
              </w:rPr>
              <w:t>لو ماتت الحامل و في بطنها ولد حي، فلا شبهة في وجوب حفظ الولد بشق جنبها و إخراجه</w:t>
            </w:r>
            <w:r>
              <w:rPr>
                <w:rStyle w:val="IndexLink"/>
                <w:rtl w:val="true"/>
              </w:rPr>
              <w:tab/>
            </w:r>
            <w:r>
              <w:rPr>
                <w:rStyle w:val="IndexLink"/>
              </w:rPr>
              <w:t>292</w:t>
            </w:r>
          </w:hyperlink>
        </w:p>
        <w:p>
          <w:pPr>
            <w:pStyle w:val="Contents5"/>
            <w:tabs>
              <w:tab w:val="clear" w:pos="7892"/>
              <w:tab w:val="right" w:pos="9026" w:leader="dot"/>
            </w:tabs>
            <w:rPr/>
          </w:pPr>
          <w:hyperlink w:anchor="__RefHeading___Toc3251401_2314609296">
            <w:r>
              <w:rPr>
                <w:webHidden/>
                <w:rStyle w:val="IndexLink"/>
                <w:rtl w:val="true"/>
              </w:rPr>
              <w:t>الفصل السادس</w:t>
            </w:r>
            <w:r>
              <w:rPr>
                <w:rStyle w:val="IndexLink"/>
                <w:rtl w:val="true"/>
              </w:rPr>
              <w:t xml:space="preserve">: </w:t>
            </w:r>
            <w:r>
              <w:rPr>
                <w:rStyle w:val="IndexLink"/>
                <w:rtl w:val="true"/>
              </w:rPr>
              <w:t>في الأغسال المسنونة</w:t>
            </w:r>
            <w:r>
              <w:rPr>
                <w:rStyle w:val="IndexLink"/>
                <w:rtl w:val="true"/>
              </w:rPr>
              <w:tab/>
            </w:r>
            <w:r>
              <w:rPr>
                <w:rStyle w:val="IndexLink"/>
              </w:rPr>
              <w:t>293</w:t>
            </w:r>
          </w:hyperlink>
        </w:p>
        <w:p>
          <w:pPr>
            <w:pStyle w:val="Contents4"/>
            <w:tabs>
              <w:tab w:val="clear" w:pos="8176"/>
              <w:tab w:val="right" w:pos="9026" w:leader="dot"/>
            </w:tabs>
            <w:rPr/>
          </w:pPr>
          <w:hyperlink w:anchor="__RefHeading___Toc3251403_2314609296">
            <w:r>
              <w:rPr>
                <w:webHidden/>
                <w:rStyle w:val="IndexLink"/>
                <w:rtl w:val="true"/>
              </w:rPr>
              <w:t>الباب الرابع في التيمم</w:t>
            </w:r>
            <w:r>
              <w:rPr>
                <w:rStyle w:val="IndexLink"/>
                <w:rtl w:val="true"/>
              </w:rPr>
              <w:tab/>
            </w:r>
            <w:r>
              <w:rPr>
                <w:rStyle w:val="IndexLink"/>
              </w:rPr>
              <w:t>296</w:t>
            </w:r>
          </w:hyperlink>
        </w:p>
        <w:p>
          <w:pPr>
            <w:pStyle w:val="Contents5"/>
            <w:tabs>
              <w:tab w:val="clear" w:pos="7892"/>
              <w:tab w:val="right" w:pos="9026" w:leader="dot"/>
            </w:tabs>
            <w:rPr/>
          </w:pPr>
          <w:hyperlink w:anchor="__RefHeading___Toc3251405_2314609296">
            <w:r>
              <w:rPr>
                <w:webHidden/>
                <w:rStyle w:val="IndexLink"/>
                <w:rtl w:val="true"/>
              </w:rPr>
              <w:t>و يجب سفرا و حضرا عند فقد الماء</w:t>
            </w:r>
            <w:r>
              <w:rPr>
                <w:rStyle w:val="IndexLink"/>
                <w:rtl w:val="true"/>
              </w:rPr>
              <w:tab/>
            </w:r>
            <w:r>
              <w:rPr>
                <w:rStyle w:val="IndexLink"/>
              </w:rPr>
              <w:t>296</w:t>
            </w:r>
          </w:hyperlink>
        </w:p>
        <w:p>
          <w:pPr>
            <w:pStyle w:val="Contents5"/>
            <w:tabs>
              <w:tab w:val="clear" w:pos="7892"/>
              <w:tab w:val="right" w:pos="9026" w:leader="dot"/>
            </w:tabs>
            <w:rPr/>
          </w:pPr>
          <w:hyperlink w:anchor="__RefHeading___Toc3251407_2314609296">
            <w:r>
              <w:rPr>
                <w:webHidden/>
                <w:rStyle w:val="IndexLink"/>
                <w:rtl w:val="true"/>
              </w:rPr>
              <w:t>و يسقط أيضا وجوب الوضوء للحرج من جهة استعمال الماء،</w:t>
            </w:r>
            <w:r>
              <w:rPr>
                <w:rStyle w:val="IndexLink"/>
                <w:rtl w:val="true"/>
              </w:rPr>
              <w:tab/>
            </w:r>
            <w:r>
              <w:rPr>
                <w:rStyle w:val="IndexLink"/>
              </w:rPr>
              <w:t>299</w:t>
            </w:r>
          </w:hyperlink>
        </w:p>
        <w:p>
          <w:pPr>
            <w:pStyle w:val="Contents5"/>
            <w:tabs>
              <w:tab w:val="clear" w:pos="7892"/>
              <w:tab w:val="right" w:pos="9026" w:leader="dot"/>
            </w:tabs>
            <w:rPr/>
          </w:pPr>
          <w:hyperlink w:anchor="__RefHeading___Toc3251409_2314609296">
            <w:r>
              <w:rPr>
                <w:webHidden/>
                <w:rStyle w:val="IndexLink"/>
                <w:rtl w:val="true"/>
              </w:rPr>
              <w:t>و أيضا تنتقل الوظيفة إلى التيمم عند عدم التمكن من الوصول إلى الماء الموجود،</w:t>
            </w:r>
            <w:r>
              <w:rPr>
                <w:rStyle w:val="IndexLink"/>
                <w:rtl w:val="true"/>
              </w:rPr>
              <w:tab/>
            </w:r>
            <w:r>
              <w:rPr>
                <w:rStyle w:val="IndexLink"/>
              </w:rPr>
              <w:t>300</w:t>
            </w:r>
          </w:hyperlink>
        </w:p>
        <w:p>
          <w:pPr>
            <w:pStyle w:val="Contents5"/>
            <w:tabs>
              <w:tab w:val="clear" w:pos="7892"/>
              <w:tab w:val="right" w:pos="9026" w:leader="dot"/>
            </w:tabs>
            <w:rPr/>
          </w:pPr>
          <w:hyperlink w:anchor="__RefHeading___Toc3251411_2314609296">
            <w:r>
              <w:rPr>
                <w:webHidden/>
                <w:rStyle w:val="IndexLink"/>
                <w:rtl w:val="true"/>
              </w:rPr>
              <w:t>و لا يصح التيمم إلّا بالتراب الخالص</w:t>
            </w:r>
            <w:r>
              <w:rPr>
                <w:rStyle w:val="IndexLink"/>
                <w:rtl w:val="true"/>
              </w:rPr>
              <w:tab/>
            </w:r>
            <w:r>
              <w:rPr>
                <w:rStyle w:val="IndexLink"/>
              </w:rPr>
              <w:t>303</w:t>
            </w:r>
          </w:hyperlink>
        </w:p>
        <w:p>
          <w:pPr>
            <w:pStyle w:val="Contents5"/>
            <w:tabs>
              <w:tab w:val="clear" w:pos="7892"/>
              <w:tab w:val="right" w:pos="9026" w:leader="dot"/>
            </w:tabs>
            <w:rPr/>
          </w:pPr>
          <w:hyperlink w:anchor="__RefHeading___Toc3251413_2314609296">
            <w:r>
              <w:rPr>
                <w:webHidden/>
                <w:rStyle w:val="IndexLink"/>
                <w:rtl w:val="true"/>
              </w:rPr>
              <w:t>و أما كيفيته فهي</w:t>
            </w:r>
            <w:r>
              <w:rPr>
                <w:rStyle w:val="IndexLink"/>
                <w:rtl w:val="true"/>
              </w:rPr>
              <w:tab/>
            </w:r>
            <w:r>
              <w:rPr>
                <w:rStyle w:val="IndexLink"/>
              </w:rPr>
              <w:t>306</w:t>
            </w:r>
          </w:hyperlink>
        </w:p>
        <w:p>
          <w:pPr>
            <w:pStyle w:val="Contents4"/>
            <w:tabs>
              <w:tab w:val="clear" w:pos="8176"/>
              <w:tab w:val="right" w:pos="9026" w:leader="dot"/>
            </w:tabs>
            <w:rPr/>
          </w:pPr>
          <w:hyperlink w:anchor="__RefHeading___Toc3251415_2314609296">
            <w:r>
              <w:rPr>
                <w:webHidden/>
                <w:rStyle w:val="IndexLink"/>
                <w:rtl w:val="true"/>
              </w:rPr>
              <w:t>الباب الخامس في النجاسات</w:t>
            </w:r>
            <w:r>
              <w:rPr>
                <w:rStyle w:val="IndexLink"/>
                <w:rtl w:val="true"/>
              </w:rPr>
              <w:tab/>
            </w:r>
            <w:r>
              <w:rPr>
                <w:rStyle w:val="IndexLink"/>
              </w:rPr>
              <w:t>315</w:t>
            </w:r>
          </w:hyperlink>
        </w:p>
        <w:p>
          <w:pPr>
            <w:pStyle w:val="Contents5"/>
            <w:tabs>
              <w:tab w:val="clear" w:pos="7892"/>
              <w:tab w:val="right" w:pos="9026" w:leader="dot"/>
            </w:tabs>
            <w:rPr/>
          </w:pPr>
          <w:hyperlink w:anchor="__RefHeading___Toc3251417_2314609296">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3251419_2314609296">
            <w:r>
              <w:rPr>
                <w:webHidden/>
                <w:rStyle w:val="IndexLink"/>
                <w:rtl w:val="true"/>
              </w:rPr>
              <w:t>الأول، و الثاني</w:t>
            </w:r>
            <w:r>
              <w:rPr>
                <w:rStyle w:val="IndexLink"/>
                <w:rtl w:val="true"/>
              </w:rPr>
              <w:t xml:space="preserve">: </w:t>
            </w:r>
            <w:r>
              <w:rPr>
                <w:rStyle w:val="IndexLink"/>
                <w:rtl w:val="true"/>
              </w:rPr>
              <w:t>البول و الغائط</w:t>
            </w:r>
            <w:r>
              <w:rPr>
                <w:rStyle w:val="IndexLink"/>
                <w:rtl w:val="true"/>
              </w:rPr>
              <w:tab/>
            </w:r>
            <w:r>
              <w:rPr>
                <w:rStyle w:val="IndexLink"/>
              </w:rPr>
              <w:t>315</w:t>
            </w:r>
          </w:hyperlink>
        </w:p>
        <w:p>
          <w:pPr>
            <w:pStyle w:val="Contents5"/>
            <w:tabs>
              <w:tab w:val="clear" w:pos="7892"/>
              <w:tab w:val="right" w:pos="9026" w:leader="dot"/>
            </w:tabs>
            <w:rPr/>
          </w:pPr>
          <w:hyperlink w:anchor="__RefHeading___Toc3251421_2314609296">
            <w:r>
              <w:rPr>
                <w:webHidden/>
                <w:rStyle w:val="IndexLink"/>
                <w:rtl w:val="true"/>
              </w:rPr>
              <w:t>و الثالث</w:t>
            </w:r>
            <w:r>
              <w:rPr>
                <w:rStyle w:val="IndexLink"/>
                <w:rtl w:val="true"/>
              </w:rPr>
              <w:t xml:space="preserve">: </w:t>
            </w:r>
            <w:r>
              <w:rPr>
                <w:rStyle w:val="IndexLink"/>
                <w:rtl w:val="true"/>
              </w:rPr>
              <w:t>المني من ذي النفس السائلة</w:t>
            </w:r>
            <w:r>
              <w:rPr>
                <w:rStyle w:val="IndexLink"/>
                <w:rtl w:val="true"/>
              </w:rPr>
              <w:tab/>
            </w:r>
            <w:r>
              <w:rPr>
                <w:rStyle w:val="IndexLink"/>
              </w:rPr>
              <w:t>317</w:t>
            </w:r>
          </w:hyperlink>
        </w:p>
        <w:p>
          <w:pPr>
            <w:pStyle w:val="Contents5"/>
            <w:tabs>
              <w:tab w:val="clear" w:pos="7892"/>
              <w:tab w:val="right" w:pos="9026" w:leader="dot"/>
            </w:tabs>
            <w:rPr/>
          </w:pPr>
          <w:hyperlink w:anchor="__RefHeading___Toc3251423_2314609296">
            <w:r>
              <w:rPr>
                <w:webHidden/>
                <w:rStyle w:val="IndexLink"/>
                <w:rtl w:val="true"/>
              </w:rPr>
              <w:t>و الرابع</w:t>
            </w:r>
            <w:r>
              <w:rPr>
                <w:rStyle w:val="IndexLink"/>
                <w:rtl w:val="true"/>
              </w:rPr>
              <w:t xml:space="preserve">: </w:t>
            </w:r>
            <w:r>
              <w:rPr>
                <w:rStyle w:val="IndexLink"/>
                <w:rtl w:val="true"/>
              </w:rPr>
              <w:t>الميتة</w:t>
            </w:r>
            <w:r>
              <w:rPr>
                <w:rStyle w:val="IndexLink"/>
                <w:rtl w:val="true"/>
              </w:rPr>
              <w:tab/>
            </w:r>
            <w:r>
              <w:rPr>
                <w:rStyle w:val="IndexLink"/>
              </w:rPr>
              <w:t>317</w:t>
            </w:r>
          </w:hyperlink>
        </w:p>
        <w:p>
          <w:pPr>
            <w:pStyle w:val="Contents5"/>
            <w:tabs>
              <w:tab w:val="clear" w:pos="7892"/>
              <w:tab w:val="right" w:pos="9026" w:leader="dot"/>
            </w:tabs>
            <w:rPr/>
          </w:pPr>
          <w:hyperlink w:anchor="__RefHeading___Toc3251425_2314609296">
            <w:r>
              <w:rPr>
                <w:webHidden/>
                <w:rStyle w:val="IndexLink"/>
                <w:rtl w:val="true"/>
              </w:rPr>
              <w:t>و الخامس</w:t>
            </w:r>
            <w:r>
              <w:rPr>
                <w:rStyle w:val="IndexLink"/>
                <w:rtl w:val="true"/>
              </w:rPr>
              <w:t xml:space="preserve">: </w:t>
            </w:r>
            <w:r>
              <w:rPr>
                <w:rStyle w:val="IndexLink"/>
                <w:rtl w:val="true"/>
              </w:rPr>
              <w:t>الدم منه</w:t>
            </w:r>
            <w:r>
              <w:rPr>
                <w:rStyle w:val="IndexLink"/>
                <w:rtl w:val="true"/>
              </w:rPr>
              <w:tab/>
            </w:r>
            <w:r>
              <w:rPr>
                <w:rStyle w:val="IndexLink"/>
              </w:rPr>
              <w:t>320</w:t>
            </w:r>
          </w:hyperlink>
        </w:p>
        <w:p>
          <w:pPr>
            <w:pStyle w:val="Contents5"/>
            <w:tabs>
              <w:tab w:val="clear" w:pos="7892"/>
              <w:tab w:val="right" w:pos="9026" w:leader="dot"/>
            </w:tabs>
            <w:rPr/>
          </w:pPr>
          <w:hyperlink w:anchor="__RefHeading___Toc3251427_2314609296">
            <w:r>
              <w:rPr>
                <w:webHidden/>
                <w:rStyle w:val="IndexLink"/>
                <w:rtl w:val="true"/>
              </w:rPr>
              <w:t>و السادس، و السابع</w:t>
            </w:r>
            <w:r>
              <w:rPr>
                <w:rStyle w:val="IndexLink"/>
                <w:rtl w:val="true"/>
              </w:rPr>
              <w:t xml:space="preserve">: </w:t>
            </w:r>
            <w:r>
              <w:rPr>
                <w:rStyle w:val="IndexLink"/>
                <w:rtl w:val="true"/>
              </w:rPr>
              <w:t>الكلب و الخنزير</w:t>
            </w:r>
            <w:r>
              <w:rPr>
                <w:rStyle w:val="IndexLink"/>
                <w:rtl w:val="true"/>
              </w:rPr>
              <w:tab/>
            </w:r>
            <w:r>
              <w:rPr>
                <w:rStyle w:val="IndexLink"/>
              </w:rPr>
              <w:t>322</w:t>
            </w:r>
          </w:hyperlink>
        </w:p>
        <w:p>
          <w:pPr>
            <w:pStyle w:val="Contents5"/>
            <w:tabs>
              <w:tab w:val="clear" w:pos="7892"/>
              <w:tab w:val="right" w:pos="9026" w:leader="dot"/>
            </w:tabs>
            <w:rPr/>
          </w:pPr>
          <w:hyperlink w:anchor="__RefHeading___Toc3251429_2314609296">
            <w:r>
              <w:rPr>
                <w:webHidden/>
                <w:rStyle w:val="IndexLink"/>
                <w:rtl w:val="true"/>
              </w:rPr>
              <w:t>و الثامن</w:t>
            </w:r>
            <w:r>
              <w:rPr>
                <w:rStyle w:val="IndexLink"/>
                <w:rtl w:val="true"/>
              </w:rPr>
              <w:t xml:space="preserve">: </w:t>
            </w:r>
            <w:r>
              <w:rPr>
                <w:rStyle w:val="IndexLink"/>
                <w:rtl w:val="true"/>
              </w:rPr>
              <w:t>الكافر</w:t>
            </w:r>
            <w:r>
              <w:rPr>
                <w:rStyle w:val="IndexLink"/>
                <w:rtl w:val="true"/>
              </w:rPr>
              <w:tab/>
            </w:r>
            <w:r>
              <w:rPr>
                <w:rStyle w:val="IndexLink"/>
              </w:rPr>
              <w:t>322</w:t>
            </w:r>
          </w:hyperlink>
        </w:p>
        <w:p>
          <w:pPr>
            <w:pStyle w:val="Contents5"/>
            <w:tabs>
              <w:tab w:val="clear" w:pos="7892"/>
              <w:tab w:val="right" w:pos="9026" w:leader="dot"/>
            </w:tabs>
            <w:rPr/>
          </w:pPr>
          <w:hyperlink w:anchor="__RefHeading___Toc3251431_2314609296">
            <w:r>
              <w:rPr>
                <w:webHidden/>
                <w:rStyle w:val="IndexLink"/>
                <w:rtl w:val="true"/>
              </w:rPr>
              <w:t>و التاسع</w:t>
            </w:r>
            <w:r>
              <w:rPr>
                <w:rStyle w:val="IndexLink"/>
                <w:rtl w:val="true"/>
              </w:rPr>
              <w:t xml:space="preserve">: </w:t>
            </w:r>
            <w:r>
              <w:rPr>
                <w:rStyle w:val="IndexLink"/>
                <w:rtl w:val="true"/>
              </w:rPr>
              <w:t>المسكر</w:t>
            </w:r>
            <w:r>
              <w:rPr>
                <w:rStyle w:val="IndexLink"/>
                <w:rtl w:val="true"/>
              </w:rPr>
              <w:tab/>
            </w:r>
            <w:r>
              <w:rPr>
                <w:rStyle w:val="IndexLink"/>
              </w:rPr>
              <w:t>326</w:t>
            </w:r>
          </w:hyperlink>
        </w:p>
        <w:p>
          <w:pPr>
            <w:pStyle w:val="Contents5"/>
            <w:tabs>
              <w:tab w:val="clear" w:pos="7892"/>
              <w:tab w:val="right" w:pos="9026" w:leader="dot"/>
            </w:tabs>
            <w:rPr/>
          </w:pPr>
          <w:hyperlink w:anchor="__RefHeading___Toc3251433_2314609296">
            <w:r>
              <w:rPr>
                <w:webHidden/>
                <w:rStyle w:val="IndexLink"/>
                <w:rtl w:val="true"/>
              </w:rPr>
              <w:t>و العاشر</w:t>
            </w:r>
            <w:r>
              <w:rPr>
                <w:rStyle w:val="IndexLink"/>
                <w:rtl w:val="true"/>
              </w:rPr>
              <w:t xml:space="preserve">: </w:t>
            </w:r>
            <w:r>
              <w:rPr>
                <w:rStyle w:val="IndexLink"/>
                <w:rtl w:val="true"/>
              </w:rPr>
              <w:t>الفقّاع</w:t>
            </w:r>
            <w:r>
              <w:rPr>
                <w:rStyle w:val="IndexLink"/>
                <w:rtl w:val="true"/>
              </w:rPr>
              <w:tab/>
            </w:r>
            <w:r>
              <w:rPr>
                <w:rStyle w:val="IndexLink"/>
              </w:rPr>
              <w:t>329</w:t>
            </w:r>
          </w:hyperlink>
        </w:p>
        <w:p>
          <w:pPr>
            <w:pStyle w:val="Contents5"/>
            <w:tabs>
              <w:tab w:val="clear" w:pos="7892"/>
              <w:tab w:val="right" w:pos="9026" w:leader="dot"/>
            </w:tabs>
            <w:rPr/>
          </w:pPr>
          <w:hyperlink w:anchor="__RefHeading___Toc3251435_2314609296">
            <w:r>
              <w:rPr>
                <w:webHidden/>
                <w:rStyle w:val="IndexLink"/>
                <w:rtl w:val="true"/>
              </w:rPr>
              <w:t>أحكام النجاسات</w:t>
            </w:r>
            <w:r>
              <w:rPr>
                <w:rStyle w:val="IndexLink"/>
                <w:rtl w:val="true"/>
              </w:rPr>
              <w:tab/>
            </w:r>
            <w:r>
              <w:rPr>
                <w:rStyle w:val="IndexLink"/>
              </w:rPr>
              <w:t>330</w:t>
            </w:r>
          </w:hyperlink>
        </w:p>
        <w:p>
          <w:pPr>
            <w:pStyle w:val="Contents2"/>
            <w:tabs>
              <w:tab w:val="clear" w:pos="8743"/>
              <w:tab w:val="right" w:pos="9026" w:leader="dot"/>
            </w:tabs>
            <w:rPr/>
          </w:pPr>
          <w:hyperlink w:anchor="__RefHeading___Toc3251437_2314609296">
            <w:r>
              <w:rPr>
                <w:webHidden/>
                <w:rStyle w:val="IndexLink"/>
                <w:rtl w:val="true"/>
              </w:rPr>
              <w:t>كتاب الصلاة</w:t>
            </w:r>
            <w:r>
              <w:rPr>
                <w:rStyle w:val="IndexLink"/>
                <w:rtl w:val="true"/>
              </w:rPr>
              <w:tab/>
            </w:r>
            <w:r>
              <w:rPr>
                <w:rStyle w:val="IndexLink"/>
              </w:rPr>
              <w:t>356</w:t>
            </w:r>
          </w:hyperlink>
        </w:p>
        <w:p>
          <w:pPr>
            <w:pStyle w:val="Contents3"/>
            <w:tabs>
              <w:tab w:val="clear" w:pos="8459"/>
              <w:tab w:val="right" w:pos="9026" w:leader="dot"/>
            </w:tabs>
            <w:rPr/>
          </w:pPr>
          <w:hyperlink w:anchor="__RefHeading___Toc3251439_2314609296">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3251441_2314609296">
            <w:r>
              <w:rPr>
                <w:webHidden/>
                <w:rStyle w:val="IndexLink"/>
                <w:rtl w:val="true"/>
              </w:rPr>
              <w:t>الباب الأول في المقدمات</w:t>
            </w:r>
            <w:r>
              <w:rPr>
                <w:rStyle w:val="IndexLink"/>
                <w:rtl w:val="true"/>
              </w:rPr>
              <w:tab/>
            </w:r>
            <w:r>
              <w:rPr>
                <w:rStyle w:val="IndexLink"/>
              </w:rPr>
              <w:t>358</w:t>
            </w:r>
          </w:hyperlink>
        </w:p>
        <w:p>
          <w:pPr>
            <w:pStyle w:val="Contents4"/>
            <w:tabs>
              <w:tab w:val="clear" w:pos="8176"/>
              <w:tab w:val="right" w:pos="9026" w:leader="dot"/>
            </w:tabs>
            <w:rPr/>
          </w:pPr>
          <w:hyperlink w:anchor="__RefHeading___Toc3251443_2314609296">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3251445_2314609296">
            <w:r>
              <w:rPr>
                <w:webHidden/>
                <w:rStyle w:val="IndexLink"/>
                <w:rtl w:val="true"/>
              </w:rPr>
              <w:t>الفصل الأول</w:t>
            </w:r>
            <w:r>
              <w:rPr>
                <w:rStyle w:val="IndexLink"/>
                <w:rtl w:val="true"/>
              </w:rPr>
              <w:t xml:space="preserve">: </w:t>
            </w:r>
            <w:r>
              <w:rPr>
                <w:rStyle w:val="IndexLink"/>
                <w:rtl w:val="true"/>
              </w:rPr>
              <w:t>في أعدادها</w:t>
            </w:r>
            <w:r>
              <w:rPr>
                <w:rStyle w:val="IndexLink"/>
                <w:rtl w:val="true"/>
              </w:rPr>
              <w:t>.</w:t>
              <w:tab/>
            </w:r>
            <w:r>
              <w:rPr>
                <w:rStyle w:val="IndexLink"/>
              </w:rPr>
              <w:t>358</w:t>
            </w:r>
          </w:hyperlink>
        </w:p>
        <w:p>
          <w:pPr>
            <w:pStyle w:val="Contents4"/>
            <w:tabs>
              <w:tab w:val="clear" w:pos="8176"/>
              <w:tab w:val="right" w:pos="9026" w:leader="dot"/>
            </w:tabs>
            <w:rPr/>
          </w:pPr>
          <w:hyperlink w:anchor="__RefHeading___Toc3251447_2314609296">
            <w:r>
              <w:rPr>
                <w:webHidden/>
                <w:rStyle w:val="IndexLink"/>
                <w:rtl w:val="true"/>
              </w:rPr>
              <w:t>الفصل الثاني</w:t>
            </w:r>
            <w:r>
              <w:rPr>
                <w:rStyle w:val="IndexLink"/>
                <w:rtl w:val="true"/>
              </w:rPr>
              <w:t xml:space="preserve">: </w:t>
            </w:r>
            <w:r>
              <w:rPr>
                <w:rStyle w:val="IndexLink"/>
                <w:rtl w:val="true"/>
              </w:rPr>
              <w:t>في أوقاتها</w:t>
            </w:r>
            <w:r>
              <w:rPr>
                <w:rStyle w:val="IndexLink"/>
                <w:rtl w:val="true"/>
              </w:rPr>
              <w:tab/>
            </w:r>
            <w:r>
              <w:rPr>
                <w:rStyle w:val="IndexLink"/>
              </w:rPr>
              <w:t>363</w:t>
            </w:r>
          </w:hyperlink>
        </w:p>
        <w:p>
          <w:pPr>
            <w:pStyle w:val="Contents5"/>
            <w:tabs>
              <w:tab w:val="clear" w:pos="7892"/>
              <w:tab w:val="right" w:pos="9026" w:leader="dot"/>
            </w:tabs>
            <w:rPr/>
          </w:pPr>
          <w:hyperlink w:anchor="__RefHeading___Toc3251449_2314609296">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251451_2314609296">
            <w:r>
              <w:rPr>
                <w:webHidden/>
                <w:rStyle w:val="IndexLink"/>
                <w:rtl w:val="true"/>
              </w:rPr>
              <w:t>بقي أمران</w:t>
            </w:r>
            <w:r>
              <w:rPr>
                <w:rStyle w:val="IndexLink"/>
                <w:rtl w:val="true"/>
              </w:rPr>
              <w:t>:</w:t>
              <w:tab/>
            </w:r>
            <w:r>
              <w:rPr>
                <w:rStyle w:val="IndexLink"/>
              </w:rPr>
              <w:t>368</w:t>
            </w:r>
          </w:hyperlink>
        </w:p>
        <w:p>
          <w:pPr>
            <w:pStyle w:val="Contents6"/>
            <w:tabs>
              <w:tab w:val="clear" w:pos="7609"/>
              <w:tab w:val="right" w:pos="9026" w:leader="dot"/>
            </w:tabs>
            <w:rPr/>
          </w:pPr>
          <w:hyperlink w:anchor="__RefHeading___Toc3251453_2314609296">
            <w:r>
              <w:rPr>
                <w:webHidden/>
                <w:rStyle w:val="IndexLink"/>
                <w:rtl w:val="true"/>
              </w:rPr>
              <w:t>أحدهما</w:t>
            </w:r>
            <w:r>
              <w:rPr>
                <w:rStyle w:val="IndexLink"/>
                <w:rtl w:val="true"/>
              </w:rPr>
              <w:t xml:space="preserve">: </w:t>
            </w:r>
            <w:r>
              <w:rPr>
                <w:rStyle w:val="IndexLink"/>
                <w:rtl w:val="true"/>
              </w:rPr>
              <w:t>انّ من نتائج القول بالاختصاص عدم صحة العصر</w:t>
            </w:r>
            <w:r>
              <w:rPr>
                <w:rStyle w:val="IndexLink"/>
                <w:rtl w:val="true"/>
              </w:rPr>
              <w:tab/>
            </w:r>
            <w:r>
              <w:rPr>
                <w:rStyle w:val="IndexLink"/>
              </w:rPr>
              <w:t>368</w:t>
            </w:r>
          </w:hyperlink>
        </w:p>
        <w:p>
          <w:pPr>
            <w:pStyle w:val="Contents6"/>
            <w:tabs>
              <w:tab w:val="clear" w:pos="7609"/>
              <w:tab w:val="right" w:pos="9026" w:leader="dot"/>
            </w:tabs>
            <w:rPr/>
          </w:pPr>
          <w:hyperlink w:anchor="__RefHeading___Toc3251455_2314609296">
            <w:r>
              <w:rPr>
                <w:webHidden/>
                <w:rStyle w:val="IndexLink"/>
                <w:rtl w:val="true"/>
              </w:rPr>
              <w:t>ثانيهما</w:t>
            </w:r>
            <w:r>
              <w:rPr>
                <w:rStyle w:val="IndexLink"/>
                <w:rtl w:val="true"/>
              </w:rPr>
              <w:t xml:space="preserve">: </w:t>
            </w:r>
            <w:r>
              <w:rPr>
                <w:rStyle w:val="IndexLink"/>
                <w:rtl w:val="true"/>
              </w:rPr>
              <w:t>انّ النصف الذي هو منتهى وقت العشاء ليس له حد مخصوص،</w:t>
            </w:r>
            <w:r>
              <w:rPr>
                <w:rStyle w:val="IndexLink"/>
                <w:rtl w:val="true"/>
              </w:rPr>
              <w:tab/>
            </w:r>
            <w:r>
              <w:rPr>
                <w:rStyle w:val="IndexLink"/>
              </w:rPr>
              <w:t>370</w:t>
            </w:r>
          </w:hyperlink>
        </w:p>
        <w:p>
          <w:pPr>
            <w:pStyle w:val="Contents5"/>
            <w:tabs>
              <w:tab w:val="clear" w:pos="7892"/>
              <w:tab w:val="right" w:pos="9026" w:leader="dot"/>
            </w:tabs>
            <w:rPr/>
          </w:pPr>
          <w:hyperlink w:anchor="__RefHeading___Toc3251457_2314609296">
            <w:r>
              <w:rPr>
                <w:webHidden/>
                <w:rStyle w:val="IndexLink"/>
                <w:rtl w:val="true"/>
              </w:rPr>
              <w:t>مسائل</w:t>
            </w:r>
            <w:r>
              <w:rPr>
                <w:rStyle w:val="IndexLink"/>
                <w:rtl w:val="true"/>
              </w:rPr>
              <w:tab/>
            </w:r>
            <w:r>
              <w:rPr>
                <w:rStyle w:val="IndexLink"/>
              </w:rPr>
              <w:t>379</w:t>
            </w:r>
          </w:hyperlink>
        </w:p>
        <w:p>
          <w:pPr>
            <w:pStyle w:val="Contents6"/>
            <w:tabs>
              <w:tab w:val="clear" w:pos="7609"/>
              <w:tab w:val="right" w:pos="9026" w:leader="dot"/>
            </w:tabs>
            <w:rPr/>
          </w:pPr>
          <w:hyperlink w:anchor="__RefHeading___Toc3251459_2314609296">
            <w:r>
              <w:rPr>
                <w:webHidden/>
                <w:rStyle w:val="IndexLink"/>
                <w:rtl w:val="true"/>
              </w:rPr>
              <w:t>الأولى</w:t>
            </w:r>
            <w:r>
              <w:rPr>
                <w:rStyle w:val="IndexLink"/>
                <w:rtl w:val="true"/>
              </w:rPr>
              <w:t xml:space="preserve">: </w:t>
            </w:r>
            <w:r>
              <w:rPr>
                <w:rStyle w:val="IndexLink"/>
                <w:rtl w:val="true"/>
              </w:rPr>
              <w:t>تصلّى الفرائض في كل وقت من أوقاتها أداء،</w:t>
            </w:r>
            <w:r>
              <w:rPr>
                <w:rStyle w:val="IndexLink"/>
                <w:rtl w:val="true"/>
              </w:rPr>
              <w:tab/>
            </w:r>
            <w:r>
              <w:rPr>
                <w:rStyle w:val="IndexLink"/>
              </w:rPr>
              <w:t>379</w:t>
            </w:r>
          </w:hyperlink>
        </w:p>
        <w:p>
          <w:pPr>
            <w:pStyle w:val="Contents6"/>
            <w:tabs>
              <w:tab w:val="clear" w:pos="7609"/>
              <w:tab w:val="right" w:pos="9026" w:leader="dot"/>
            </w:tabs>
            <w:rPr/>
          </w:pPr>
          <w:hyperlink w:anchor="__RefHeading___Toc3251461_2314609296">
            <w:r>
              <w:rPr>
                <w:webHidden/>
                <w:rStyle w:val="IndexLink"/>
                <w:rtl w:val="true"/>
              </w:rPr>
              <w:t>الثانية</w:t>
            </w:r>
            <w:r>
              <w:rPr>
                <w:rStyle w:val="IndexLink"/>
                <w:rtl w:val="true"/>
              </w:rPr>
              <w:t xml:space="preserve">: </w:t>
            </w:r>
            <w:r>
              <w:rPr>
                <w:rStyle w:val="IndexLink"/>
                <w:rtl w:val="true"/>
              </w:rPr>
              <w:t>يكره ابتداء النوافل عند طلوع الشمس، و عند غروبها،</w:t>
            </w:r>
            <w:r>
              <w:rPr>
                <w:rStyle w:val="IndexLink"/>
                <w:rtl w:val="true"/>
              </w:rPr>
              <w:tab/>
            </w:r>
            <w:r>
              <w:rPr>
                <w:rStyle w:val="IndexLink"/>
              </w:rPr>
              <w:t>381</w:t>
            </w:r>
          </w:hyperlink>
        </w:p>
        <w:p>
          <w:pPr>
            <w:pStyle w:val="Contents6"/>
            <w:tabs>
              <w:tab w:val="clear" w:pos="7609"/>
              <w:tab w:val="right" w:pos="9026" w:leader="dot"/>
            </w:tabs>
            <w:rPr/>
          </w:pPr>
          <w:hyperlink w:anchor="__RefHeading___Toc3251463_2314609296">
            <w:r>
              <w:rPr>
                <w:webHidden/>
                <w:rStyle w:val="IndexLink"/>
                <w:rtl w:val="true"/>
              </w:rPr>
              <w:t>الثالثة</w:t>
            </w:r>
            <w:r>
              <w:rPr>
                <w:rStyle w:val="IndexLink"/>
                <w:rtl w:val="true"/>
              </w:rPr>
              <w:t xml:space="preserve">: </w:t>
            </w:r>
            <w:r>
              <w:rPr>
                <w:rStyle w:val="IndexLink"/>
                <w:rtl w:val="true"/>
              </w:rPr>
              <w:t>تقديم كل صلاة فريضة في أول وقتها أفضل</w:t>
            </w:r>
            <w:r>
              <w:rPr>
                <w:rStyle w:val="IndexLink"/>
                <w:rtl w:val="true"/>
              </w:rPr>
              <w:tab/>
            </w:r>
            <w:r>
              <w:rPr>
                <w:rStyle w:val="IndexLink"/>
              </w:rPr>
              <w:t>383</w:t>
            </w:r>
          </w:hyperlink>
        </w:p>
        <w:p>
          <w:pPr>
            <w:pStyle w:val="Contents5"/>
            <w:tabs>
              <w:tab w:val="clear" w:pos="7892"/>
              <w:tab w:val="right" w:pos="9026" w:leader="dot"/>
            </w:tabs>
            <w:rPr/>
          </w:pPr>
          <w:hyperlink w:anchor="__RefHeading___Toc3251465_2314609296">
            <w:r>
              <w:rPr>
                <w:webHidden/>
                <w:rStyle w:val="IndexLink"/>
                <w:rtl w:val="true"/>
              </w:rPr>
              <w:t>بقي في المقام أمران</w:t>
            </w:r>
            <w:r>
              <w:rPr>
                <w:rStyle w:val="IndexLink"/>
                <w:rtl w:val="true"/>
              </w:rPr>
              <w:t>:</w:t>
              <w:tab/>
            </w:r>
            <w:r>
              <w:rPr>
                <w:rStyle w:val="IndexLink"/>
              </w:rPr>
              <w:t>384</w:t>
            </w:r>
          </w:hyperlink>
        </w:p>
        <w:p>
          <w:pPr>
            <w:pStyle w:val="Contents6"/>
            <w:tabs>
              <w:tab w:val="clear" w:pos="7609"/>
              <w:tab w:val="right" w:pos="9026" w:leader="dot"/>
            </w:tabs>
            <w:rPr/>
          </w:pPr>
          <w:hyperlink w:anchor="__RefHeading___Toc3251467_2314609296">
            <w:r>
              <w:rPr>
                <w:webHidden/>
                <w:rStyle w:val="IndexLink"/>
                <w:rtl w:val="true"/>
              </w:rPr>
              <w:t>الأول</w:t>
            </w:r>
            <w:r>
              <w:rPr>
                <w:rStyle w:val="IndexLink"/>
                <w:rtl w:val="true"/>
              </w:rPr>
              <w:t xml:space="preserve">: </w:t>
            </w:r>
            <w:r>
              <w:rPr>
                <w:rStyle w:val="IndexLink"/>
                <w:rtl w:val="true"/>
              </w:rPr>
              <w:t>انّ تحصيل العلم بالوقت مقدمة لاجتزائه في العمل،</w:t>
            </w:r>
            <w:r>
              <w:rPr>
                <w:rStyle w:val="IndexLink"/>
                <w:rtl w:val="true"/>
              </w:rPr>
              <w:tab/>
            </w:r>
            <w:r>
              <w:rPr>
                <w:rStyle w:val="IndexLink"/>
              </w:rPr>
              <w:t>384</w:t>
            </w:r>
          </w:hyperlink>
        </w:p>
        <w:p>
          <w:pPr>
            <w:pStyle w:val="Contents6"/>
            <w:tabs>
              <w:tab w:val="clear" w:pos="7609"/>
              <w:tab w:val="right" w:pos="9026" w:leader="dot"/>
            </w:tabs>
            <w:rPr/>
          </w:pPr>
          <w:hyperlink w:anchor="__RefHeading___Toc3251469_2314609296">
            <w:r>
              <w:rPr>
                <w:webHidden/>
                <w:rStyle w:val="IndexLink"/>
                <w:rtl w:val="true"/>
              </w:rPr>
              <w:t>الثاني</w:t>
            </w:r>
            <w:r>
              <w:rPr>
                <w:rStyle w:val="IndexLink"/>
                <w:rtl w:val="true"/>
              </w:rPr>
              <w:t xml:space="preserve">: </w:t>
            </w:r>
            <w:r>
              <w:rPr>
                <w:rStyle w:val="IndexLink"/>
                <w:rtl w:val="true"/>
              </w:rPr>
              <w:t>لا اشكال</w:t>
            </w:r>
            <w:r>
              <w:rPr>
                <w:rStyle w:val="IndexLink"/>
                <w:rtl w:val="true"/>
              </w:rPr>
              <w:t xml:space="preserve">- </w:t>
            </w:r>
            <w:r>
              <w:rPr>
                <w:rStyle w:val="IndexLink"/>
                <w:rtl w:val="true"/>
              </w:rPr>
              <w:t>كما أشرنا سابقا</w:t>
            </w:r>
            <w:r>
              <w:rPr>
                <w:rStyle w:val="IndexLink"/>
                <w:rtl w:val="true"/>
              </w:rPr>
              <w:t xml:space="preserve">- </w:t>
            </w:r>
            <w:r>
              <w:rPr>
                <w:rStyle w:val="IndexLink"/>
                <w:rtl w:val="true"/>
              </w:rPr>
              <w:t>في وجوب الترتيب في المشتركات اليومية أداء و قضاء،</w:t>
            </w:r>
            <w:r>
              <w:rPr>
                <w:rStyle w:val="IndexLink"/>
                <w:rtl w:val="true"/>
              </w:rPr>
              <w:tab/>
            </w:r>
            <w:r>
              <w:rPr>
                <w:rStyle w:val="IndexLink"/>
              </w:rPr>
              <w:t>385</w:t>
            </w:r>
          </w:hyperlink>
        </w:p>
        <w:p>
          <w:pPr>
            <w:pStyle w:val="Contents4"/>
            <w:tabs>
              <w:tab w:val="clear" w:pos="8176"/>
              <w:tab w:val="right" w:pos="9026" w:leader="dot"/>
            </w:tabs>
            <w:rPr/>
          </w:pPr>
          <w:hyperlink w:anchor="__RefHeading___Toc3251471_2314609296">
            <w:r>
              <w:rPr>
                <w:webHidden/>
                <w:rStyle w:val="IndexLink"/>
                <w:rtl w:val="true"/>
              </w:rPr>
              <w:t>الفصل الثالث</w:t>
            </w:r>
            <w:r>
              <w:rPr>
                <w:rStyle w:val="IndexLink"/>
                <w:rtl w:val="true"/>
              </w:rPr>
              <w:t xml:space="preserve">: </w:t>
            </w:r>
            <w:r>
              <w:rPr>
                <w:rStyle w:val="IndexLink"/>
                <w:rtl w:val="true"/>
              </w:rPr>
              <w:t>في القبلة</w:t>
            </w:r>
            <w:r>
              <w:rPr>
                <w:rStyle w:val="IndexLink"/>
                <w:rtl w:val="true"/>
              </w:rPr>
              <w:tab/>
            </w:r>
            <w:r>
              <w:rPr>
                <w:rStyle w:val="IndexLink"/>
              </w:rPr>
              <w:t>387</w:t>
            </w:r>
          </w:hyperlink>
        </w:p>
        <w:p>
          <w:pPr>
            <w:pStyle w:val="Contents4"/>
            <w:tabs>
              <w:tab w:val="clear" w:pos="8176"/>
              <w:tab w:val="right" w:pos="9026" w:leader="dot"/>
            </w:tabs>
            <w:rPr/>
          </w:pPr>
          <w:hyperlink w:anchor="__RefHeading___Toc3251473_2314609296">
            <w:r>
              <w:rPr>
                <w:webHidden/>
                <w:rStyle w:val="IndexLink"/>
                <w:rtl w:val="true"/>
              </w:rPr>
              <w:t>الفصل الرابع</w:t>
            </w:r>
            <w:r>
              <w:rPr>
                <w:rStyle w:val="IndexLink"/>
                <w:rtl w:val="true"/>
              </w:rPr>
              <w:t xml:space="preserve">: </w:t>
            </w:r>
            <w:r>
              <w:rPr>
                <w:rStyle w:val="IndexLink"/>
                <w:rtl w:val="true"/>
              </w:rPr>
              <w:t>في اللباس</w:t>
            </w:r>
            <w:r>
              <w:rPr>
                <w:rStyle w:val="IndexLink"/>
                <w:rtl w:val="true"/>
              </w:rPr>
              <w:tab/>
            </w:r>
            <w:r>
              <w:rPr>
                <w:rStyle w:val="IndexLink"/>
              </w:rPr>
              <w:t>397</w:t>
            </w:r>
          </w:hyperlink>
        </w:p>
        <w:p>
          <w:pPr>
            <w:pStyle w:val="Contents5"/>
            <w:tabs>
              <w:tab w:val="clear" w:pos="7892"/>
              <w:tab w:val="right" w:pos="9026" w:leader="dot"/>
            </w:tabs>
            <w:rPr/>
          </w:pPr>
          <w:hyperlink w:anchor="__RefHeading___Toc3251475_2314609296">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251477_2314609296">
            <w:r>
              <w:rPr>
                <w:webHidden/>
                <w:rStyle w:val="IndexLink"/>
                <w:rtl w:val="true"/>
              </w:rPr>
              <w:t>ثم انه قد يستثنى من حرمة لبس الحرير في الصلاة موارد</w:t>
            </w:r>
            <w:r>
              <w:rPr>
                <w:rStyle w:val="IndexLink"/>
                <w:rtl w:val="true"/>
              </w:rPr>
              <w:t>:</w:t>
              <w:tab/>
            </w:r>
            <w:r>
              <w:rPr>
                <w:rStyle w:val="IndexLink"/>
              </w:rPr>
              <w:t>406</w:t>
            </w:r>
          </w:hyperlink>
        </w:p>
        <w:p>
          <w:pPr>
            <w:pStyle w:val="Contents6"/>
            <w:tabs>
              <w:tab w:val="clear" w:pos="7609"/>
              <w:tab w:val="right" w:pos="9026" w:leader="dot"/>
            </w:tabs>
            <w:rPr/>
          </w:pPr>
          <w:hyperlink w:anchor="__RefHeading___Toc3251479_2314609296">
            <w:r>
              <w:rPr>
                <w:webHidden/>
                <w:rStyle w:val="IndexLink"/>
                <w:rtl w:val="true"/>
              </w:rPr>
              <w:t>منها</w:t>
            </w:r>
            <w:r>
              <w:rPr>
                <w:rStyle w:val="IndexLink"/>
                <w:rtl w:val="true"/>
              </w:rPr>
              <w:t xml:space="preserve">: </w:t>
            </w:r>
            <w:r>
              <w:rPr>
                <w:rStyle w:val="IndexLink"/>
                <w:rtl w:val="true"/>
              </w:rPr>
              <w:t>ما لا تتم الصلاة فيه وحده،</w:t>
            </w:r>
            <w:r>
              <w:rPr>
                <w:rStyle w:val="IndexLink"/>
                <w:rtl w:val="true"/>
              </w:rPr>
              <w:tab/>
            </w:r>
            <w:r>
              <w:rPr>
                <w:rStyle w:val="IndexLink"/>
              </w:rPr>
              <w:t>406</w:t>
            </w:r>
          </w:hyperlink>
        </w:p>
        <w:p>
          <w:pPr>
            <w:pStyle w:val="Contents6"/>
            <w:tabs>
              <w:tab w:val="clear" w:pos="7609"/>
              <w:tab w:val="right" w:pos="9026" w:leader="dot"/>
            </w:tabs>
            <w:rPr/>
          </w:pPr>
          <w:hyperlink w:anchor="__RefHeading___Toc3251481_2314609296">
            <w:r>
              <w:rPr>
                <w:webHidden/>
                <w:rStyle w:val="IndexLink"/>
                <w:rtl w:val="true"/>
              </w:rPr>
              <w:t>و منها</w:t>
            </w:r>
            <w:r>
              <w:rPr>
                <w:rStyle w:val="IndexLink"/>
                <w:rtl w:val="true"/>
              </w:rPr>
              <w:t xml:space="preserve">: </w:t>
            </w:r>
            <w:r>
              <w:rPr>
                <w:rStyle w:val="IndexLink"/>
                <w:rtl w:val="true"/>
              </w:rPr>
              <w:t>المكفوف بالديباج،</w:t>
            </w:r>
            <w:r>
              <w:rPr>
                <w:rStyle w:val="IndexLink"/>
                <w:rtl w:val="true"/>
              </w:rPr>
              <w:tab/>
            </w:r>
            <w:r>
              <w:rPr>
                <w:rStyle w:val="IndexLink"/>
              </w:rPr>
              <w:t>407</w:t>
            </w:r>
          </w:hyperlink>
        </w:p>
        <w:p>
          <w:pPr>
            <w:pStyle w:val="Contents6"/>
            <w:tabs>
              <w:tab w:val="clear" w:pos="7609"/>
              <w:tab w:val="right" w:pos="9026" w:leader="dot"/>
            </w:tabs>
            <w:rPr/>
          </w:pPr>
          <w:hyperlink w:anchor="__RefHeading___Toc3251483_2314609296">
            <w:r>
              <w:rPr>
                <w:webHidden/>
                <w:rStyle w:val="IndexLink"/>
                <w:rtl w:val="true"/>
              </w:rPr>
              <w:t>و منها</w:t>
            </w:r>
            <w:r>
              <w:rPr>
                <w:rStyle w:val="IndexLink"/>
                <w:rtl w:val="true"/>
              </w:rPr>
              <w:t xml:space="preserve">: </w:t>
            </w:r>
            <w:r>
              <w:rPr>
                <w:rStyle w:val="IndexLink"/>
                <w:rtl w:val="true"/>
              </w:rPr>
              <w:t>انه يجوز في الحرب</w:t>
            </w:r>
            <w:r>
              <w:rPr>
                <w:rStyle w:val="IndexLink"/>
                <w:rtl w:val="true"/>
              </w:rPr>
              <w:tab/>
            </w:r>
            <w:r>
              <w:rPr>
                <w:rStyle w:val="IndexLink"/>
              </w:rPr>
              <w:t>407</w:t>
            </w:r>
          </w:hyperlink>
        </w:p>
        <w:p>
          <w:pPr>
            <w:pStyle w:val="Contents5"/>
            <w:tabs>
              <w:tab w:val="clear" w:pos="7892"/>
              <w:tab w:val="right" w:pos="9026" w:leader="dot"/>
            </w:tabs>
            <w:rPr/>
          </w:pPr>
          <w:hyperlink w:anchor="__RefHeading___Toc3251485_2314609296">
            <w:r>
              <w:rPr>
                <w:webHidden/>
                <w:rStyle w:val="IndexLink"/>
                <w:rtl w:val="true"/>
              </w:rPr>
              <w:t>و لا تجوز الصلاة في الثوب المغصوب</w:t>
            </w:r>
            <w:r>
              <w:rPr>
                <w:rStyle w:val="IndexLink"/>
                <w:rtl w:val="true"/>
              </w:rPr>
              <w:tab/>
            </w:r>
            <w:r>
              <w:rPr>
                <w:rStyle w:val="IndexLink"/>
              </w:rPr>
              <w:t>409</w:t>
            </w:r>
          </w:hyperlink>
        </w:p>
        <w:p>
          <w:pPr>
            <w:pStyle w:val="Contents4"/>
            <w:tabs>
              <w:tab w:val="clear" w:pos="8176"/>
              <w:tab w:val="right" w:pos="9026" w:leader="dot"/>
            </w:tabs>
            <w:rPr/>
          </w:pPr>
          <w:hyperlink w:anchor="__RefHeading___Toc3251487_2314609296">
            <w:r>
              <w:rPr>
                <w:webHidden/>
                <w:rStyle w:val="IndexLink"/>
                <w:rtl w:val="true"/>
              </w:rPr>
              <w:t>الفصل الخامس</w:t>
            </w:r>
            <w:r>
              <w:rPr>
                <w:rStyle w:val="IndexLink"/>
                <w:rtl w:val="true"/>
              </w:rPr>
              <w:t xml:space="preserve">: </w:t>
            </w:r>
            <w:r>
              <w:rPr>
                <w:rStyle w:val="IndexLink"/>
                <w:rtl w:val="true"/>
              </w:rPr>
              <w:t>في المكان</w:t>
            </w:r>
            <w:r>
              <w:rPr>
                <w:rStyle w:val="IndexLink"/>
                <w:rtl w:val="true"/>
              </w:rPr>
              <w:tab/>
            </w:r>
            <w:r>
              <w:rPr>
                <w:rStyle w:val="IndexLink"/>
              </w:rPr>
              <w:t>413</w:t>
            </w:r>
          </w:hyperlink>
        </w:p>
        <w:p>
          <w:pPr>
            <w:pStyle w:val="Contents5"/>
            <w:tabs>
              <w:tab w:val="clear" w:pos="7892"/>
              <w:tab w:val="right" w:pos="9026" w:leader="dot"/>
            </w:tabs>
            <w:rPr/>
          </w:pPr>
          <w:hyperlink w:anchor="__RefHeading___Toc3251489_2314609296">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3251491_2314609296">
            <w:r>
              <w:rPr>
                <w:webHidden/>
                <w:rStyle w:val="IndexLink"/>
                <w:rtl w:val="true"/>
              </w:rPr>
              <w:t>فرع</w:t>
            </w:r>
            <w:r>
              <w:rPr>
                <w:rStyle w:val="IndexLink"/>
                <w:rtl w:val="true"/>
              </w:rPr>
              <w:t>:</w:t>
              <w:tab/>
            </w:r>
            <w:r>
              <w:rPr>
                <w:rStyle w:val="IndexLink"/>
              </w:rPr>
              <w:t>418</w:t>
            </w:r>
          </w:hyperlink>
        </w:p>
        <w:p>
          <w:pPr>
            <w:pStyle w:val="Contents5"/>
            <w:tabs>
              <w:tab w:val="clear" w:pos="7892"/>
              <w:tab w:val="right" w:pos="9026" w:leader="dot"/>
            </w:tabs>
            <w:rPr/>
          </w:pPr>
          <w:hyperlink w:anchor="__RefHeading___Toc3251493_2314609296">
            <w:r>
              <w:rPr>
                <w:webHidden/>
                <w:rStyle w:val="IndexLink"/>
                <w:rtl w:val="true"/>
              </w:rPr>
              <w:t>و تستحب الفريضة في المسجد، و النافلة في المنزل</w:t>
            </w:r>
            <w:r>
              <w:rPr>
                <w:rStyle w:val="IndexLink"/>
                <w:rtl w:val="true"/>
              </w:rPr>
              <w:t>.</w:t>
              <w:tab/>
            </w:r>
            <w:r>
              <w:rPr>
                <w:rStyle w:val="IndexLink"/>
              </w:rPr>
              <w:t>418</w:t>
            </w:r>
          </w:hyperlink>
        </w:p>
        <w:p>
          <w:pPr>
            <w:pStyle w:val="Contents5"/>
            <w:tabs>
              <w:tab w:val="clear" w:pos="7892"/>
              <w:tab w:val="right" w:pos="9026" w:leader="dot"/>
            </w:tabs>
            <w:rPr/>
          </w:pPr>
          <w:hyperlink w:anchor="__RefHeading___Toc3251495_2314609296">
            <w:r>
              <w:rPr>
                <w:webHidden/>
                <w:rStyle w:val="IndexLink"/>
                <w:rtl w:val="true"/>
              </w:rPr>
              <w:t>و لا يجوز السجود إلّا على الأرض، أو ما أنبتته الأرض مما لا يؤكل و لا يلبس</w:t>
            </w:r>
            <w:r>
              <w:rPr>
                <w:rStyle w:val="IndexLink"/>
                <w:rtl w:val="true"/>
              </w:rPr>
              <w:tab/>
            </w:r>
            <w:r>
              <w:rPr>
                <w:rStyle w:val="IndexLink"/>
              </w:rPr>
              <w:t>423</w:t>
            </w:r>
          </w:hyperlink>
        </w:p>
        <w:p>
          <w:pPr>
            <w:pStyle w:val="Contents4"/>
            <w:tabs>
              <w:tab w:val="clear" w:pos="8176"/>
              <w:tab w:val="right" w:pos="9026" w:leader="dot"/>
            </w:tabs>
            <w:rPr/>
          </w:pPr>
          <w:hyperlink w:anchor="__RefHeading___Toc3251497_2314609296">
            <w:r>
              <w:rPr>
                <w:webHidden/>
                <w:rStyle w:val="IndexLink"/>
                <w:rtl w:val="true"/>
              </w:rPr>
              <w:t>الفصل السادس</w:t>
            </w:r>
            <w:r>
              <w:rPr>
                <w:rStyle w:val="IndexLink"/>
                <w:rtl w:val="true"/>
              </w:rPr>
              <w:t xml:space="preserve">: </w:t>
            </w:r>
            <w:r>
              <w:rPr>
                <w:rStyle w:val="IndexLink"/>
                <w:rtl w:val="true"/>
              </w:rPr>
              <w:t>في الأذان و الإقامة</w:t>
            </w:r>
            <w:r>
              <w:rPr>
                <w:rStyle w:val="IndexLink"/>
                <w:rtl w:val="true"/>
              </w:rPr>
              <w:tab/>
            </w:r>
            <w:r>
              <w:rPr>
                <w:rStyle w:val="IndexLink"/>
              </w:rPr>
              <w:t>426</w:t>
            </w:r>
          </w:hyperlink>
        </w:p>
        <w:p>
          <w:pPr>
            <w:pStyle w:val="Contents5"/>
            <w:tabs>
              <w:tab w:val="clear" w:pos="7892"/>
              <w:tab w:val="right" w:pos="9026" w:leader="dot"/>
            </w:tabs>
            <w:rPr/>
          </w:pPr>
          <w:hyperlink w:anchor="__RefHeading___Toc3251499_2314609296">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251501_2314609296">
            <w:r>
              <w:rPr>
                <w:webHidden/>
                <w:rStyle w:val="IndexLink"/>
                <w:rtl w:val="true"/>
              </w:rPr>
              <w:t>و يشترط فيه و في الإقامة أيضا أمور</w:t>
            </w:r>
            <w:r>
              <w:rPr>
                <w:rStyle w:val="IndexLink"/>
                <w:rtl w:val="true"/>
              </w:rPr>
              <w:t>:</w:t>
              <w:tab/>
            </w:r>
            <w:r>
              <w:rPr>
                <w:rStyle w:val="IndexLink"/>
              </w:rPr>
              <w:t>431</w:t>
            </w:r>
          </w:hyperlink>
        </w:p>
        <w:p>
          <w:pPr>
            <w:pStyle w:val="Contents6"/>
            <w:tabs>
              <w:tab w:val="clear" w:pos="7609"/>
              <w:tab w:val="right" w:pos="9026" w:leader="dot"/>
            </w:tabs>
            <w:rPr/>
          </w:pPr>
          <w:hyperlink w:anchor="__RefHeading___Toc3251503_2314609296">
            <w:r>
              <w:rPr>
                <w:webHidden/>
                <w:rStyle w:val="IndexLink"/>
                <w:rtl w:val="true"/>
              </w:rPr>
              <w:t>أحدها</w:t>
            </w:r>
            <w:r>
              <w:rPr>
                <w:rStyle w:val="IndexLink"/>
                <w:rtl w:val="true"/>
              </w:rPr>
              <w:t xml:space="preserve">: </w:t>
            </w:r>
            <w:r>
              <w:rPr>
                <w:rStyle w:val="IndexLink"/>
                <w:rtl w:val="true"/>
              </w:rPr>
              <w:t>النية</w:t>
            </w:r>
            <w:r>
              <w:rPr>
                <w:rStyle w:val="IndexLink"/>
                <w:rtl w:val="true"/>
              </w:rPr>
              <w:tab/>
            </w:r>
            <w:r>
              <w:rPr>
                <w:rStyle w:val="IndexLink"/>
              </w:rPr>
              <w:t>431</w:t>
            </w:r>
          </w:hyperlink>
        </w:p>
        <w:p>
          <w:pPr>
            <w:pStyle w:val="Contents6"/>
            <w:tabs>
              <w:tab w:val="clear" w:pos="7609"/>
              <w:tab w:val="right" w:pos="9026" w:leader="dot"/>
            </w:tabs>
            <w:rPr/>
          </w:pPr>
          <w:hyperlink w:anchor="__RefHeading___Toc3251505_2314609296">
            <w:r>
              <w:rPr>
                <w:webHidden/>
                <w:rStyle w:val="IndexLink"/>
                <w:rtl w:val="true"/>
              </w:rPr>
              <w:t>ثانيها</w:t>
            </w:r>
            <w:r>
              <w:rPr>
                <w:rStyle w:val="IndexLink"/>
                <w:rtl w:val="true"/>
              </w:rPr>
              <w:t xml:space="preserve">: </w:t>
            </w:r>
            <w:r>
              <w:rPr>
                <w:rStyle w:val="IndexLink"/>
                <w:rtl w:val="true"/>
              </w:rPr>
              <w:t>الترتيب بينه و بين الإقامة</w:t>
            </w:r>
            <w:r>
              <w:rPr>
                <w:rStyle w:val="IndexLink"/>
                <w:rtl w:val="true"/>
              </w:rPr>
              <w:tab/>
            </w:r>
            <w:r>
              <w:rPr>
                <w:rStyle w:val="IndexLink"/>
              </w:rPr>
              <w:t>431</w:t>
            </w:r>
          </w:hyperlink>
        </w:p>
        <w:p>
          <w:pPr>
            <w:pStyle w:val="Contents6"/>
            <w:tabs>
              <w:tab w:val="clear" w:pos="7609"/>
              <w:tab w:val="right" w:pos="9026" w:leader="dot"/>
            </w:tabs>
            <w:rPr/>
          </w:pPr>
          <w:hyperlink w:anchor="__RefHeading___Toc3251507_2314609296">
            <w:r>
              <w:rPr>
                <w:webHidden/>
                <w:rStyle w:val="IndexLink"/>
                <w:rtl w:val="true"/>
              </w:rPr>
              <w:t>و ثالثها</w:t>
            </w:r>
            <w:r>
              <w:rPr>
                <w:rStyle w:val="IndexLink"/>
                <w:rtl w:val="true"/>
              </w:rPr>
              <w:t xml:space="preserve">: </w:t>
            </w:r>
            <w:r>
              <w:rPr>
                <w:rStyle w:val="IndexLink"/>
                <w:rtl w:val="true"/>
              </w:rPr>
              <w:t>الموالاة،</w:t>
            </w:r>
            <w:r>
              <w:rPr>
                <w:rStyle w:val="IndexLink"/>
                <w:rtl w:val="true"/>
              </w:rPr>
              <w:tab/>
            </w:r>
            <w:r>
              <w:rPr>
                <w:rStyle w:val="IndexLink"/>
              </w:rPr>
              <w:t>432</w:t>
            </w:r>
          </w:hyperlink>
        </w:p>
        <w:p>
          <w:pPr>
            <w:pStyle w:val="Contents5"/>
            <w:tabs>
              <w:tab w:val="clear" w:pos="7892"/>
              <w:tab w:val="right" w:pos="9026" w:leader="dot"/>
            </w:tabs>
            <w:rPr/>
          </w:pPr>
          <w:hyperlink w:anchor="__RefHeading___Toc3251509_2314609296">
            <w:r>
              <w:rPr>
                <w:webHidden/>
                <w:rStyle w:val="IndexLink"/>
                <w:rtl w:val="true"/>
              </w:rPr>
              <w:t>هذا، و يستحب كون المؤذن عدلا</w:t>
            </w:r>
            <w:r>
              <w:rPr>
                <w:rStyle w:val="IndexLink"/>
                <w:rtl w:val="true"/>
              </w:rPr>
              <w:tab/>
            </w:r>
            <w:r>
              <w:rPr>
                <w:rStyle w:val="IndexLink"/>
              </w:rPr>
              <w:t>433</w:t>
            </w:r>
          </w:hyperlink>
        </w:p>
        <w:p>
          <w:pPr>
            <w:pStyle w:val="Contents5"/>
            <w:tabs>
              <w:tab w:val="clear" w:pos="7892"/>
              <w:tab w:val="right" w:pos="9026" w:leader="dot"/>
            </w:tabs>
            <w:rPr/>
          </w:pPr>
          <w:hyperlink w:anchor="__RefHeading___Toc3251511_2314609296">
            <w:r>
              <w:rPr>
                <w:webHidden/>
                <w:rStyle w:val="IndexLink"/>
                <w:rtl w:val="true"/>
              </w:rPr>
              <w:t>و يكره أن يكون ماشيا أو راكبا</w:t>
            </w:r>
            <w:r>
              <w:rPr>
                <w:rStyle w:val="IndexLink"/>
                <w:rtl w:val="true"/>
              </w:rPr>
              <w:tab/>
            </w:r>
            <w:r>
              <w:rPr>
                <w:rStyle w:val="IndexLink"/>
              </w:rPr>
              <w:t>434</w:t>
            </w:r>
          </w:hyperlink>
        </w:p>
        <w:p>
          <w:pPr>
            <w:pStyle w:val="Contents5"/>
            <w:tabs>
              <w:tab w:val="clear" w:pos="7892"/>
              <w:tab w:val="right" w:pos="9026" w:leader="dot"/>
            </w:tabs>
            <w:rPr/>
          </w:pPr>
          <w:hyperlink w:anchor="__RefHeading___Toc3251513_2314609296">
            <w:r>
              <w:rPr>
                <w:webHidden/>
                <w:rStyle w:val="IndexLink"/>
                <w:rtl w:val="true"/>
              </w:rPr>
              <w:t>و يحرم تشريعا قول</w:t>
            </w:r>
            <w:r>
              <w:rPr>
                <w:rStyle w:val="IndexLink"/>
                <w:rtl w:val="true"/>
              </w:rPr>
              <w:t xml:space="preserve">: </w:t>
            </w:r>
            <w:r>
              <w:rPr>
                <w:rStyle w:val="IndexLink"/>
                <w:rtl w:val="true"/>
              </w:rPr>
              <w:t>الصلاة خير من النوم</w:t>
            </w:r>
            <w:r>
              <w:rPr>
                <w:rStyle w:val="IndexLink"/>
                <w:rtl w:val="true"/>
              </w:rPr>
              <w:tab/>
            </w:r>
            <w:r>
              <w:rPr>
                <w:rStyle w:val="IndexLink"/>
              </w:rPr>
              <w:t>435</w:t>
            </w:r>
          </w:hyperlink>
        </w:p>
        <w:p>
          <w:pPr>
            <w:pStyle w:val="Contents5"/>
            <w:tabs>
              <w:tab w:val="clear" w:pos="7892"/>
              <w:tab w:val="right" w:pos="9026" w:leader="dot"/>
            </w:tabs>
            <w:rPr/>
          </w:pPr>
          <w:hyperlink w:anchor="__RefHeading___Toc3251515_2314609296">
            <w:r>
              <w:rPr>
                <w:webHidden/>
                <w:rStyle w:val="IndexLink"/>
                <w:rtl w:val="true"/>
              </w:rPr>
              <w:t>بقي في المقام شي‌ء، و هو انّ مقتضى النصوص المستفيضة حرمة أخذ الأجرة على الأذان</w:t>
            </w:r>
            <w:r>
              <w:rPr>
                <w:rStyle w:val="IndexLink"/>
                <w:rtl w:val="true"/>
              </w:rPr>
              <w:t>.</w:t>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9_212553"/>
      <w:bookmarkStart w:id="1" w:name="pg19729_212553"/>
      <w:bookmarkEnd w:id="1"/>
    </w:p>
    <w:p>
      <w:pPr>
        <w:pStyle w:val="Heading2"/>
        <w:numPr>
          <w:ilvl w:val="1"/>
          <w:numId w:val="1"/>
        </w:numPr>
        <w:rPr/>
      </w:pPr>
      <w:bookmarkStart w:id="2" w:name="pg19729_212553"/>
      <w:bookmarkStart w:id="3" w:name="__RefHeading___Toc325109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تبصره‌المتعلمین‌فی‌احکام‌الدین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تبصره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ضیاءالدین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فی الحوزه العلمیه بقم، موسسه النشر‌الاسلامی،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المشرفه؛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المتعلمین‌فی احکام‌الدین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۲۰۲۱۶۵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1099_2314609296"/>
      <w:bookmarkStart w:id="6" w:name="_Toc2"/>
      <w:bookmarkEnd w:id="5"/>
      <w:r>
        <w:rPr>
          <w:rtl w:val="true"/>
        </w:rPr>
        <w:t>اشارة</w:t>
      </w:r>
      <w:bookmarkStart w:id="7" w:name="pg19729_212557"/>
      <w:bookmarkEnd w:id="6"/>
    </w:p>
    <w:p>
      <w:pPr>
        <w:pStyle w:val="Heading2"/>
        <w:numPr>
          <w:ilvl w:val="1"/>
          <w:numId w:val="1"/>
        </w:numPr>
        <w:rPr/>
      </w:pPr>
      <w:bookmarkStart w:id="8" w:name="__RefHeading___Toc3251101_2314609296"/>
      <w:bookmarkStart w:id="9" w:name="_Toc3"/>
      <w:bookmarkEnd w:id="7"/>
      <w:bookmarkEnd w:id="8"/>
      <w:r>
        <w:rPr>
          <w:rtl w:val="true"/>
        </w:rPr>
        <w:t>[</w:t>
      </w:r>
      <w:r>
        <w:rPr>
          <w:rtl w:val="true"/>
        </w:rPr>
        <w:t>مقدمة التحقيق</w:t>
      </w:r>
      <w:r>
        <w:rPr>
          <w:rtl w:val="true"/>
        </w:rPr>
        <w:t>]</w:t>
      </w:r>
      <w:bookmarkEnd w:id="9"/>
    </w:p>
    <w:p>
      <w:pPr>
        <w:pStyle w:val="Heading3"/>
        <w:numPr>
          <w:ilvl w:val="2"/>
          <w:numId w:val="1"/>
        </w:numPr>
        <w:rPr/>
      </w:pPr>
      <w:bookmarkStart w:id="10" w:name="__RefHeading___Toc3251103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 اللّٰه أجمعين أبي القاسم محمّد، و على آله الطيبين الطاهرين، و اللعن الدائم المؤبّد على أعدائهم أعداء اللّٰه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تشهد 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نجاح الثورة الإسلامية فيها بقيادة زعيمها الديني و السياسي الإمام الخميني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تطورا ملحوظا في مجال تحقيق تراث أهل البيت عليهم السّلام و طبعه و نشره بالشكل اللائق و المناسب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تأسست عدّة مؤسسات علمية تحقيقية من أجل القيام بهذا العب‌ء الثقيل، و في مقدمتها مؤسسة النشر الإسلامي التابعة لجماعة المدرسين في مدينة قم المقدسة، حيث قامت هذه المؤسسة الفتية بطبع المئات من الكتب التراثية التي تعد من المصادر الرئيسية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تكتف بذلك القدر فقط، بل تجاوزته إلى إنشاء مركز علمي لتحقيق التراث، حيث يضم هذا المركز نخبة من العاملين في مجال التحقيق، و هم بحمد اللّٰه تعالى و توفيقه يقومون بتحقيق العشرات من أمهات الكتب، فبعضها قد طبع، و البعض الآخر تحت الطبع، و الآخر قيد التحقيق</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إحدى زياراتي المتكررة لهذه المؤسسة التحقيقية اقترح عليّ الاخوة المسئولون فيها المساهمة في إحياء كتاب من الكتب التي قررت هذه المؤسسة</w:t>
      </w:r>
      <w:bookmarkStart w:id="12" w:name="pg19729_212558"/>
    </w:p>
    <w:p>
      <w:pPr>
        <w:pStyle w:val="BookText"/>
        <w:rPr/>
      </w:pPr>
      <w:bookmarkEnd w:id="12"/>
      <w:r>
        <w:rPr>
          <w:rFonts w:ascii="Amiri" w:hAnsi="Amiri" w:eastAsia="Amiri" w:cs="Amiri"/>
          <w:color w:val="111111"/>
          <w:sz w:val="28"/>
          <w:sz w:val="28"/>
          <w:szCs w:val="28"/>
          <w:rtl w:val="true"/>
          <w:lang w:bidi="ar-SA"/>
        </w:rPr>
        <w:t>تحقيقها، فأجبت الطلب، و اخترت هذا الكتاب الذي بين يديك عزيزي القارئ، و هو شرح تبصرة المتعلمين للعالم الجليل آية اللّٰه العظمى الشيخ ضياء الدين العراقي تغمّده اللّٰه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قدّمت للكتاب مقدّمة بسيطة تبحث عن التبصرة و مؤلّفها و الشرح و مؤلّفه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251105_2314609296"/>
      <w:bookmarkStart w:id="14" w:name="_Toc5"/>
      <w:bookmarkEnd w:id="13"/>
      <w:r>
        <w:rPr>
          <w:rtl w:val="true"/>
        </w:rPr>
        <w:t>تبصرة المتعلمين في أحكام الدين</w:t>
      </w:r>
      <w:r>
        <w:rPr>
          <w:rtl w:val="true"/>
        </w:rPr>
        <w:t>:</w:t>
      </w:r>
      <w:bookmarkEnd w:id="14"/>
    </w:p>
    <w:p>
      <w:pPr>
        <w:pStyle w:val="BookText"/>
        <w:rPr/>
      </w:pPr>
      <w:r>
        <w:rPr>
          <w:rFonts w:ascii="Amiri" w:hAnsi="Amiri" w:eastAsia="Amiri" w:cs="Amiri"/>
          <w:color w:val="111111"/>
          <w:sz w:val="28"/>
          <w:sz w:val="28"/>
          <w:szCs w:val="28"/>
          <w:rtl w:val="true"/>
          <w:lang w:bidi="ar-SA"/>
        </w:rPr>
        <w:t>يعتبر هذا الكتاب من المتون الفقهية المختصرة و على طريق الفتوى، و يحتوي على دورة فقهية تامة من الطهارة إلى الديات، و قد أحصى بعض الفضلاء مسائله في أربعة آلاف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بالنظر لو جازته و سلاسة عبارته كثر اهتمام الفقهاء به منذ عصر مؤلّفه حتى هذه الأيام، و تولّوه بالشروح و التعليق و الدرس و البحث، و هو الآن من الكتب الدراسية في مبادئ الفقه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مصنّفه العلّامة الحلي رحمه اللّٰه في الإجازة،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مجلد </w:t>
      </w:r>
      <w:r>
        <w:rPr>
          <w:rStyle w:val="FootnoteAnchor"/>
          <w:rtl w:val="true"/>
        </w:rPr>
        <w:footnoteReference w:id="3"/>
      </w:r>
      <w:r>
        <w:rPr>
          <w:rFonts w:ascii="Amiri" w:hAnsi="Amiri" w:eastAsia="Amiri" w:cs="Amiri"/>
          <w:color w:val="111111"/>
          <w:sz w:val="28"/>
          <w:sz w:val="28"/>
          <w:szCs w:val="28"/>
          <w:rtl w:val="true"/>
          <w:lang w:bidi="ar-SA"/>
        </w:rPr>
        <w:t xml:space="preserve">، و ذكره أيضا في الخلاصة ضمن مؤلفاته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طبع هذا الكتاب عدّة مرات و بطبعات مختلفة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صغيرة الحجم، صحّحها الآقا ميرزا عبد الحسين الحائري سبط آية اللّٰه الحائري اليزدي، طبعته المكتبة العلمية الإسلامية في طهران في رجب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هذه الطبعة 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طبع معها رسالة واجب الاعتقاد للعلّامة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حروفية بتحقيق السيد أحمد الحسيني و الشيخ هادي اليوسفي، طبعت في مجمع الذخائر الإسلامية ضمن سلسلة المختار من التراث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اعتمدا في تحقيقه على نسخة قديمة ضمن مجموعة في مكتبة المجلس في طهران برقم </w:t>
      </w:r>
      <w:r>
        <w:rPr>
          <w:rFonts w:eastAsia="Amiri" w:cs="Amiri" w:ascii="Amiri" w:hAnsi="Amiri"/>
          <w:color w:val="111111"/>
          <w:sz w:val="28"/>
          <w:szCs w:val="28"/>
          <w:lang w:bidi="ar-SA"/>
        </w:rPr>
        <w:t>4953</w:t>
      </w:r>
      <w:r>
        <w:rPr>
          <w:rFonts w:ascii="Amiri" w:hAnsi="Amiri" w:eastAsia="Amiri" w:cs="Amiri"/>
          <w:color w:val="111111"/>
          <w:sz w:val="28"/>
          <w:sz w:val="28"/>
          <w:szCs w:val="28"/>
          <w:rtl w:val="true"/>
          <w:lang w:bidi="ar-SA"/>
        </w:rPr>
        <w:t xml:space="preserve">، تأريخها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على الورقة الأولى منها اجازة فخر الدين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نتيجة لأهمية هذا الكتاب و بالرغم من صغر حجمه فقد تناوله العلماء بالتعليق و الشرح، حتى ذكر بعض المحققين أنّ 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ذكر جلّها الشيخ الطهراني في الذريعة،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السالكين في شرح 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معز الدين محمد المهدي ابن الحسن الحسيني القزويني الحلّي المتوفّى في الثاني عشر من ربيع الأوّل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شرح مبسوط فيه تمام كتب الفقه إلّا الحج، في ثمانية عشر مجلدا كتابيا توجد في مكتبته بالحلّة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في 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بن الحسين ابن لنقي الرضوي القمي الكشميري المولد، المتوفّى بلاهور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المجتهدين في شرح 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مهدي بن الحسن القزويني الحلّي النجفي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في أربع مجلدات مستخرجة من شرحه الكبير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حكى بعض أحفاده أنّ الأصل و المختصر كلاهما موجودان بمكتبته بالحلّة، لكن ذكر أبو المجد المدعو بآقا رضا الأصفهاني أنّ الشرح المختصر في مجلدين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البصائر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زين الدين الأحسائي، نسبه إليه تلميذه</w:t>
      </w:r>
    </w:p>
    <w:p>
      <w:pPr>
        <w:pStyle w:val="BookText"/>
        <w:rPr/>
      </w:pPr>
      <w:r>
        <w:rPr>
          <w:rFonts w:ascii="Amiri" w:hAnsi="Amiri" w:eastAsia="Amiri" w:cs="Amiri"/>
          <w:color w:val="111111"/>
          <w:sz w:val="28"/>
          <w:sz w:val="28"/>
          <w:szCs w:val="28"/>
          <w:rtl w:val="true"/>
          <w:lang w:bidi="ar-SA"/>
        </w:rPr>
        <w:t xml:space="preserve">السيد كاظم الرشتي في بعض تصانيفه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العلّامة النوري، و لم يعرف مؤلّفه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بن إسماعيل الحسيني القمي الحائري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المرحوم السيد عبد الحسين بن السيد يوسف شرف الدين العاملي، المتوفّى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خرج منه كتاب الطهارة، و هو من كتبه التي نهبت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بن الشيخ حسين آل أبي خمسين الأحسائي، المتوفّى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للفاضل زين العابدين ذي المجدين، الأستاذ في جامعة طهران، طبع في مجلدين، و هو من منشورات الجامعة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شريف ابن المولى محمد حسين ابن المولى محمد محسن ابن المولى حسين بن علم الهدى ابن الفيض الكاشاني، لم يتمه، توجد نسخة منه بخطه في كرمانشاه عند أحد أحفاده و هو المولى آقا مهدي الذي توفي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الميرزا صادق التبريزي،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انتهى فيه إلى أحكام السلس، كما ذكره ولده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التبصرة للحجة الشيخ ضياء الدين العراقي، و هو هذا الكتاب الذي بين يديك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الصاحب ابن الشيخ محمد حسن الصغير ابن العلّامة الشيخ محمد حسن صاحب الجواهر، النجفي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علي ابن الأمير السيد محمد حسين ابن الأمير محمد علي الكبير ابن الأمير محمد إسماعيل الحسيني المرعشي الشهير بالشهرستاني، المتوفّى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مزجي مبسوط خرج منه مجلدان في الطهارة و الدماء و الصوم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علي ابن المولى إبراهيم القمي النجفي،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شرح مبسوط في أربعة أربعة مجلدات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علي الموصوف بالمجتهد القرداغي جد العلّامة الميرزا صادق التبريزي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الأعرجي، ينقل عنه السيّد محمد تقي اللكنهوي في شرحه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محسن الأمين،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مع المتن 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ابن السيد مهدي الطباطبائي الحكيم</w:t>
      </w:r>
    </w:p>
    <w:p>
      <w:pPr>
        <w:pStyle w:val="BookText"/>
        <w:rPr/>
      </w:pPr>
      <w:r>
        <w:rPr>
          <w:rFonts w:ascii="Amiri" w:hAnsi="Amiri" w:eastAsia="Amiri" w:cs="Amiri"/>
          <w:color w:val="111111"/>
          <w:sz w:val="28"/>
          <w:sz w:val="28"/>
          <w:szCs w:val="28"/>
          <w:rtl w:val="true"/>
          <w:lang w:bidi="ar-SA"/>
        </w:rPr>
        <w:t xml:space="preserve">النجفي، يقع في خمس مجلدات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محسن ابن المولى محمد سميع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بن عاشور الكرمانشاهي، خرج منه الطهارة إلى آخر الدماء، ثم الصوم و الزكاة و الخمس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بن محمد حسن المظاهري الأصفهاني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مهدي القزويني، و الذي له شرحان آخران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المجتهدين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موسى بن جعفر بن باقر الكرمانشاهي الحائري المتوفّى حدود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مهدي ابن المولى محمد محسن ابن المولى محمد سميع الكرمانشاهي، و هو ناقص و صل فيه الى آخر كتاب الطهارة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بن أحمد بن الحسين الموسوي الأحسائي،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صادق ابن الميرزا محمود بن صادق الروحاني القمي، طبع منه ثلاثة أجزاء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المستبصرين في شرح 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ابن ملا محمد جعفر الأسترآبادي، المتوفّى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خرج منه إلى أواخر المياه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التذكرة في 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رضا بن قاسم الغراوي النجفي، خرج منه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كرأسه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التذكرة لمدارك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الجواد بن علي المرندي، يقع في أحد عشر مجلدا ضخما، انتهى منه في العاشر من رجب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 في شرح 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بن حسين بن دلدار علي النقوي النصيرآبادي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بالإضافة لما مرّ من الشروح، عليه حواش و تعليقات كثيرة، حيث 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حواش فتوائية كثيرة لكنها مختصرة غير قابلة للذكر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تكملة أيضا لآية اللّٰه الشيخ محمد كاظم الخراساني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عمد إلى التبصرة و غيّر بعض مواضيعها على طبق فتوى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هذه التكملة تلميذه السيد حسن بن الحاج آقا مير القزويني الحائري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خطية كثيرة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العلّامة النوري و التي بخط ابن عم الآبي، قرأها على المؤلّف العلّامة فكتب له العلّامة بخطه اجازة على ظهرها، و لا يعلم إلى من انتقلت بعده، و لعلها اليوم في طهران عند سبطه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الطهراني في</w:t>
      </w:r>
    </w:p>
    <w:p>
      <w:pPr>
        <w:pStyle w:val="BookText"/>
        <w:rPr/>
      </w:pPr>
      <w:r>
        <w:rPr>
          <w:rFonts w:ascii="Amiri" w:hAnsi="Amiri" w:eastAsia="Amiri" w:cs="Amiri"/>
          <w:color w:val="111111"/>
          <w:sz w:val="28"/>
          <w:sz w:val="28"/>
          <w:szCs w:val="28"/>
          <w:rtl w:val="true"/>
          <w:lang w:bidi="ar-SA"/>
        </w:rPr>
        <w:t xml:space="preserve">الذريعة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تاريخها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كانت سابقا من موقوفات مدرسة فاضل خان، ثم نقلت إلى مكتبة الآستانة الرضوية في مشهد المقدسة و أعطيت رقم </w:t>
      </w:r>
      <w:r>
        <w:rPr>
          <w:rFonts w:eastAsia="Amiri" w:cs="Amiri" w:ascii="Amiri" w:hAnsi="Amiri"/>
          <w:color w:val="111111"/>
          <w:sz w:val="28"/>
          <w:szCs w:val="28"/>
          <w:lang w:bidi="ar-SA"/>
        </w:rPr>
        <w:t>13854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أيضا تاريخها 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محفوظة في مكتبة الآستانة الرضوية في مشهد المقدسة تحت رقم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أيضا تاريخها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محفوظة في مكتبة مجلس الشورى في طهران ضمن المجموعة المرقمة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bookmarkStart w:id="15" w:name="pg19729_212565"/>
    </w:p>
    <w:p>
      <w:pPr>
        <w:pStyle w:val="Heading3"/>
        <w:numPr>
          <w:ilvl w:val="2"/>
          <w:numId w:val="1"/>
        </w:numPr>
        <w:rPr/>
      </w:pPr>
      <w:bookmarkStart w:id="16" w:name="__RefHeading___Toc3251107_2314609296"/>
      <w:bookmarkStart w:id="17" w:name="_Toc6"/>
      <w:bookmarkEnd w:id="15"/>
      <w:bookmarkEnd w:id="16"/>
      <w:r>
        <w:rPr>
          <w:rtl w:val="true"/>
        </w:rPr>
        <w:t>العلامة الحلّي</w:t>
      </w:r>
      <w:r>
        <w:rPr>
          <w:rtl w:val="true"/>
        </w:rPr>
        <w:t>:</w:t>
      </w:r>
      <w:bookmarkEnd w:id="17"/>
    </w:p>
    <w:p>
      <w:pPr>
        <w:pStyle w:val="Heading4"/>
        <w:numPr>
          <w:ilvl w:val="3"/>
          <w:numId w:val="1"/>
        </w:numPr>
        <w:rPr/>
      </w:pPr>
      <w:bookmarkStart w:id="18" w:name="__RefHeading___Toc3251109_2314609296"/>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و معاصروه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في القراءة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تلامذته و الراوون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إطراء العلماء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السلطان اولجايتو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و مدفنه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251111_2314609296"/>
      <w:bookmarkStart w:id="21" w:name="_Toc8"/>
      <w:bookmarkEnd w:id="20"/>
      <w:r>
        <w:rPr>
          <w:rtl w:val="true"/>
        </w:rPr>
        <w:t>(</w:t>
      </w:r>
      <w:r>
        <w:rPr/>
        <w:t>1</w:t>
      </w:r>
      <w:r>
        <w:rPr>
          <w:rtl w:val="true"/>
        </w:rPr>
        <w:t xml:space="preserve">) </w:t>
      </w:r>
      <w:r>
        <w:rPr>
          <w:rtl w:val="true"/>
        </w:rPr>
        <w:t>اسمه و نسبه</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المترجم في ذكر 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علي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المضمومة، و الطاء غير المعجمة، و الهاء المشددة،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الحلّي مولدا</w:t>
      </w:r>
    </w:p>
    <w:p>
      <w:pPr>
        <w:pStyle w:val="BookText"/>
        <w:rPr/>
      </w:pPr>
      <w:r>
        <w:rPr>
          <w:rFonts w:ascii="Amiri" w:hAnsi="Amiri" w:eastAsia="Amiri" w:cs="Amiri"/>
          <w:color w:val="111111"/>
          <w:sz w:val="28"/>
          <w:sz w:val="28"/>
          <w:szCs w:val="28"/>
          <w:rtl w:val="true"/>
          <w:lang w:bidi="ar-SA"/>
        </w:rPr>
        <w:t xml:space="preserve">و مسكنا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كما ذكره هو بنفسه و اتفق عليه أكثر المؤرخين، لكن بعض مؤرخي العامة ذكر أنّ اسمه الحسين، كالصفدي </w:t>
      </w:r>
      <w:r>
        <w:rPr>
          <w:rStyle w:val="FootnoteAnchor"/>
          <w:rtl w:val="true"/>
        </w:rPr>
        <w:footnoteReference w:id="40"/>
      </w:r>
      <w:r>
        <w:rPr>
          <w:rFonts w:ascii="IRNazanin" w:hAnsi="IRNazanin" w:eastAsia="IRNazanin"/>
          <w:color w:val="111111"/>
          <w:sz w:val="28"/>
          <w:sz w:val="28"/>
          <w:szCs w:val="28"/>
          <w:rtl w:val="true"/>
          <w:lang w:bidi="fa-IR"/>
        </w:rPr>
        <w:t xml:space="preserve">و ابن حجر </w:t>
      </w:r>
      <w:r>
        <w:rPr>
          <w:rStyle w:val="FootnoteAnchor"/>
          <w:rtl w:val="true"/>
        </w:rPr>
        <w:footnoteReference w:id="41"/>
      </w:r>
      <w:r>
        <w:rPr>
          <w:rFonts w:ascii="Amiri" w:hAnsi="Amiri" w:eastAsia="Amiri" w:cs="Amiri"/>
          <w:color w:val="111111"/>
          <w:sz w:val="28"/>
          <w:sz w:val="28"/>
          <w:szCs w:val="28"/>
          <w:rtl w:val="true"/>
          <w:lang w:bidi="ar-SA"/>
        </w:rPr>
        <w:t xml:space="preserve">و غيرهما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ذكره خير الدين الزركلي في الإعلام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الحسين، و أورد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صفحة من كتاب نهج المسترشدين للعلامة فيها أن اسمه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يخطئ من يسمّيه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 واضح، لمخالفته لما ذكره هو بنفسه في الخلاصة، و جميع كتبه الموجودة الآن بخطه أو خط تلاميذه، و لمخالفته لأكثر المؤرخين و من ذكر اسمه، سواء في الإجازات أم غيرها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فساد ما ذكره الشيخ علي بن هلال الجزائري في إجازته للمحقّق الكركي </w:t>
      </w:r>
      <w:r>
        <w:rPr>
          <w:rStyle w:val="FootnoteAnchor"/>
          <w:rtl w:val="true"/>
        </w:rPr>
        <w:footnoteReference w:id="43"/>
      </w:r>
      <w:r>
        <w:rPr>
          <w:rFonts w:ascii="IRNazanin" w:hAnsi="IRNazanin" w:eastAsia="IRNazanin"/>
          <w:color w:val="111111"/>
          <w:sz w:val="28"/>
          <w:sz w:val="28"/>
          <w:szCs w:val="28"/>
          <w:rtl w:val="true"/>
          <w:lang w:bidi="fa-IR"/>
        </w:rPr>
        <w:t xml:space="preserve">، و ابن حجر </w:t>
      </w:r>
      <w:r>
        <w:rPr>
          <w:rStyle w:val="FootnoteAnchor"/>
          <w:rtl w:val="true"/>
        </w:rPr>
        <w:footnoteReference w:id="44"/>
      </w:r>
      <w:r>
        <w:rPr>
          <w:rFonts w:ascii="Amiri" w:hAnsi="Amiri" w:eastAsia="Amiri" w:cs="Amiri"/>
          <w:color w:val="111111"/>
          <w:sz w:val="28"/>
          <w:sz w:val="28"/>
          <w:szCs w:val="28"/>
          <w:rtl w:val="true"/>
          <w:lang w:bidi="ar-SA"/>
        </w:rPr>
        <w:t xml:space="preserve">، و الشيخ شمس الدين كما نقله عنه الصفدي </w:t>
      </w:r>
      <w:r>
        <w:rPr>
          <w:rStyle w:val="FootnoteAnchor"/>
          <w:rtl w:val="true"/>
        </w:rPr>
        <w:footnoteReference w:id="45"/>
      </w:r>
      <w:r>
        <w:rPr>
          <w:rFonts w:ascii="Amiri" w:hAnsi="Amiri" w:eastAsia="Amiri" w:cs="Amiri"/>
          <w:color w:val="111111"/>
          <w:sz w:val="28"/>
          <w:sz w:val="28"/>
          <w:szCs w:val="28"/>
          <w:rtl w:val="true"/>
          <w:lang w:bidi="ar-SA"/>
        </w:rPr>
        <w:t xml:space="preserve">من أن اسمه يوسف، و كذا ما ذكره الشيخ إبراهيم القطيفي من أن اسمه محمد كما نقله عنه المولى الأفندي </w:t>
      </w:r>
      <w:r>
        <w:rPr>
          <w:rStyle w:val="FootnoteAnchor"/>
          <w:rtl w:val="true"/>
        </w:rPr>
        <w:footnoteReference w:id="46"/>
      </w:r>
      <w:r>
        <w:rPr>
          <w:rFonts w:ascii="Amiri" w:hAnsi="Amiri" w:eastAsia="Amiri" w:cs="Amiri"/>
          <w:color w:val="111111"/>
          <w:sz w:val="28"/>
          <w:sz w:val="28"/>
          <w:szCs w:val="28"/>
          <w:rtl w:val="true"/>
          <w:lang w:bidi="ar-SA"/>
        </w:rPr>
        <w:t>، و كذا ما ذكره الحاج خليفة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ابن</w:t>
      </w:r>
      <w:bookmarkStart w:id="22" w:name="pg19729_212567"/>
    </w:p>
    <w:p>
      <w:pPr>
        <w:pStyle w:val="BookText"/>
        <w:rPr/>
      </w:pPr>
      <w:bookmarkEnd w:id="22"/>
      <w:r>
        <w:rPr>
          <w:rFonts w:ascii="Amiri" w:hAnsi="Amiri" w:eastAsia="Amiri" w:cs="Amiri"/>
          <w:color w:val="111111"/>
          <w:sz w:val="28"/>
          <w:sz w:val="28"/>
          <w:szCs w:val="28"/>
          <w:rtl w:val="true"/>
          <w:lang w:bidi="ar-SA"/>
        </w:rPr>
        <w:t xml:space="preserve">و المطهّر بن حسن بن يوسف الحلّي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كما كنّاه بها والده </w:t>
      </w:r>
      <w:r>
        <w:rPr>
          <w:rStyle w:val="FootnoteAnchor"/>
          <w:rtl w:val="true"/>
        </w:rPr>
        <w:footnoteReference w:id="48"/>
      </w:r>
      <w:r>
        <w:rPr>
          <w:rFonts w:ascii="Amiri" w:hAnsi="Amiri" w:eastAsia="Amiri" w:cs="Amiri"/>
          <w:color w:val="111111"/>
          <w:sz w:val="28"/>
          <w:sz w:val="28"/>
          <w:szCs w:val="28"/>
          <w:rtl w:val="true"/>
          <w:lang w:bidi="ar-SA"/>
        </w:rPr>
        <w:t xml:space="preserve">، ذكرها هو في الخلاصة </w:t>
      </w:r>
      <w:r>
        <w:rPr>
          <w:rStyle w:val="FootnoteAnchor"/>
          <w:rtl w:val="true"/>
        </w:rPr>
        <w:footnoteReference w:id="49"/>
      </w:r>
      <w:r>
        <w:rPr>
          <w:rFonts w:ascii="Amiri" w:hAnsi="Amiri" w:eastAsia="Amiri" w:cs="Amiri"/>
          <w:color w:val="111111"/>
          <w:sz w:val="28"/>
          <w:sz w:val="28"/>
          <w:szCs w:val="28"/>
          <w:rtl w:val="true"/>
          <w:lang w:bidi="ar-SA"/>
        </w:rPr>
        <w:t>، و هي الكنية التي اختصت بذكرها المصادر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المطهّر، نسبة إلى جده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اللقب المذكور في المصادر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جمال الدين، و هو اللقب المذكور في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علّامة الدهر، و الإمام، و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الصفدي و ابن حجر و غيرهما بالمعتزلي </w:t>
      </w:r>
      <w:r>
        <w:rPr>
          <w:rStyle w:val="FootnoteAnchor"/>
          <w:rtl w:val="true"/>
        </w:rPr>
        <w:footnoteReference w:id="50"/>
      </w:r>
      <w:r>
        <w:rPr>
          <w:rFonts w:ascii="Amiri" w:hAnsi="Amiri" w:eastAsia="Amiri" w:cs="Amiri"/>
          <w:color w:val="111111"/>
          <w:sz w:val="28"/>
          <w:sz w:val="28"/>
          <w:szCs w:val="28"/>
          <w:rtl w:val="true"/>
          <w:lang w:bidi="ar-SA"/>
        </w:rPr>
        <w:t>، و 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مبني على موافقة المعتزلة الشيعة في بعض الأصول المعروفة كما وقع لكثيرين في كثيرين، و إلّا فأين الشيعي من المعتزلي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3251113_2314609296"/>
      <w:bookmarkStart w:id="24" w:name="_Toc9"/>
      <w:bookmarkEnd w:id="23"/>
      <w:r>
        <w:rPr>
          <w:rtl w:val="true"/>
        </w:rPr>
        <w:t>(</w:t>
      </w:r>
      <w:r>
        <w:rPr/>
        <w:t>2</w:t>
      </w:r>
      <w:r>
        <w:rPr>
          <w:rtl w:val="true"/>
        </w:rPr>
        <w:t xml:space="preserve">) </w:t>
      </w:r>
      <w:r>
        <w:rPr>
          <w:rtl w:val="true"/>
        </w:rPr>
        <w:t>موطنه</w:t>
      </w:r>
      <w:r>
        <w:rPr>
          <w:rtl w:val="true"/>
        </w:rPr>
        <w:t>:</w:t>
      </w:r>
      <w:bookmarkEnd w:id="24"/>
    </w:p>
    <w:p>
      <w:pPr>
        <w:pStyle w:val="BookText"/>
        <w:rPr/>
      </w:pPr>
      <w:r>
        <w:rPr>
          <w:rFonts w:ascii="Amiri" w:hAnsi="Amiri" w:eastAsia="Amiri" w:cs="Amiri"/>
          <w:color w:val="111111"/>
          <w:sz w:val="28"/>
          <w:sz w:val="28"/>
          <w:szCs w:val="28"/>
          <w:rtl w:val="true"/>
          <w:lang w:bidi="ar-SA"/>
        </w:rPr>
        <w:t xml:space="preserve">ينتمي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الحلّة السيفيّة، و التي فيها مولده و مسكنه، و هي حلّة بني مزيد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ياقوت الحموي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بين الكوفة و بغداد كانت تسمّى الجامعين، طولها سبع و ستّون درجة و سدس، و عرضها اثنان و ثلاثون درجة، تعديل نهارها خمس عشرة درجة، و أطول نهارها أربع عشرة ساعة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عمّرها و نزلها سيف الدولة صدقة بن منصور بن دبيس بن علي بن مزيد</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52"/>
      </w:r>
      <w:r>
        <w:rPr>
          <w:rFonts w:ascii="Amiri" w:hAnsi="Amiri" w:eastAsia="Amiri" w:cs="Amiri"/>
          <w:color w:val="111111"/>
          <w:sz w:val="28"/>
          <w:sz w:val="28"/>
          <w:szCs w:val="28"/>
          <w:rtl w:val="true"/>
          <w:lang w:bidi="ar-SA"/>
        </w:rPr>
        <w:t xml:space="preserve">، و كانت منازل آبائه الدور من النيل، فلما قوي أمره و اشتدّ أزره و كثرت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الجامعين موضع في غربي الفرات ليبعد عن الطالب، و ذلك في محرم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و كانت أجمة تأوي إليها السباع، فنزل بها بأهله و عساكره، و بنى بها المساكن الجليلة و الدور الفاخرة، و تأنّق أصحابه في مثل ذلك، فصارت ملجأ، و قد قصدها التجار فصارت أفخر بلاد العراق و أحسنها مدة حياة سيف الدولة، فلما قتل بقيت على عمارتها، فهي اليوم قصبة تلك الكورة، و للشعراء فيها إشعار كثيرة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رضوان اللّٰه تعالى عليه، عن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محمد بن علي الجباعي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بن مكي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جمال الدين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والدي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رقعة عليها مكتوب بخط عتيق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أخبرنا به الشيخ الأجل العالم عزّ الدين أبو المكارم حمزة بن علي بن زهرة الحسيني الحلبي إملاء من لفظه عند نزوله بالحلّة 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وردها حاجا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يلتفت يمنة و يسرة فسألته عن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لأعلم أن لمدينتكم هذه فضلا جزيلا،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جعفر بن محمد بن قولويه، عن الكليني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إبراهيم، عن أبيه، عن ابن أبي عمير، عن أبي حمزة الثمالي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مولاي أمير المؤمنين عليه السّلام عند وروده إلى صفين و قد وقف على تلّ عرير، ثم أومأ إلى أجمة ما بين بابل و التل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و أي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أراك تذكر مدينة، أ كان هاهنا مدينة و انمحت</w:t>
      </w:r>
      <w:bookmarkStart w:id="25" w:name="pg19729_212569"/>
    </w:p>
    <w:p>
      <w:pPr>
        <w:pStyle w:val="BookText"/>
        <w:rPr/>
      </w:pPr>
      <w:bookmarkEnd w:id="25"/>
      <w:r>
        <w:rPr>
          <w:rFonts w:ascii="Amiri" w:hAnsi="Amiri" w:eastAsia="Amiri" w:cs="Amiri"/>
          <w:color w:val="111111"/>
          <w:sz w:val="28"/>
          <w:sz w:val="28"/>
          <w:szCs w:val="28"/>
          <w:rtl w:val="true"/>
          <w:lang w:bidi="ar-SA"/>
        </w:rPr>
        <w:t>آثارها؟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ستكون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السيفية يمدنها رجل من بني أسد، يظهر بها أخيار لو أقسم أحدهم على اللّٰه لأبرّ قسمه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الحاج زين الدين ابن الشيخ عزّ الدين حسن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أجاز الشيخ فخر الدين ولد العلّامة له 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محمد بن جعفر بن المشهدي،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الشريف عزّ الدين أبو المكارم حمزة بن علي بن زهرة العلوي الحسيني الحلبي إملاء من لفظه عند نزوله بالحلّة 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وردها حاجا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رأيته يلتفت يمنة و يسرة فسألته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3251115_2314609296"/>
      <w:bookmarkStart w:id="27" w:name="_Toc10"/>
      <w:bookmarkEnd w:id="26"/>
      <w:r>
        <w:rPr>
          <w:rtl w:val="true"/>
        </w:rPr>
        <w:t>(</w:t>
      </w:r>
      <w:r>
        <w:rPr/>
        <w:t>3</w:t>
      </w:r>
      <w:r>
        <w:rPr>
          <w:rtl w:val="true"/>
        </w:rPr>
        <w:t xml:space="preserve">) </w:t>
      </w:r>
      <w:r>
        <w:rPr>
          <w:rtl w:val="true"/>
        </w:rPr>
        <w:t>مولده</w:t>
      </w:r>
      <w:r>
        <w:rPr>
          <w:rtl w:val="true"/>
        </w:rPr>
        <w:t>:</w:t>
      </w:r>
      <w:bookmarkEnd w:id="27"/>
    </w:p>
    <w:p>
      <w:pPr>
        <w:pStyle w:val="BookText"/>
        <w:rPr/>
      </w:pPr>
      <w:r>
        <w:rPr>
          <w:rFonts w:ascii="Amiri" w:hAnsi="Amiri" w:eastAsia="Amiri" w:cs="Amiri"/>
          <w:color w:val="111111"/>
          <w:sz w:val="28"/>
          <w:sz w:val="28"/>
          <w:szCs w:val="28"/>
          <w:rtl w:val="true"/>
          <w:lang w:bidi="ar-SA"/>
        </w:rPr>
        <w:t xml:space="preserve">ولد العلّامة الحلّي رضوان اللّٰه تعالى عليه في شهر رمضان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و هذا ما اتفقت عليه كل المصادر المتوفرة لدينا و التي أرّخت مولده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السيد محسن الأمين رحمه اللّٰه ذكر في الأعيان نقلا عن الخلاصة أن مولده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واضح، لمخالفته كافة المصادر و لجميع نسخ الخلاصة التي نقل عنها الأصحاب، فما ذكره إما سهو من قلمه الشريف، أو خطأ مطبعي، أو تصحيف في نسخة الخلاصة التي نقل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يوم مولده المبارك فقد اختلفت المصادر فيه اختلافا كبيرا، و ذلك ناشئ عن اختلاف نسخ الخلاصة التي اعتمد عليها مؤرخو مولده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نسخة الخلاصة المطبوعة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المولد تاسع عشر شهر رمضان سنة ثمان و أربعين و ستمائة، و نسأل اللّٰه تعالى خاتمة الخير بمنّه و كرمه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نسخة الخلاصة المكتوبة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المقروءة على العلّامة الموجودة في مكتبة السيد حسن الصدر رحمه اللّٰه كما نقل عنها في تأسيس الشيعة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نسخة الخلاصة التي اعتمد عليها البحراني في لؤلؤة البحرين </w:t>
      </w:r>
      <w:r>
        <w:rPr>
          <w:rStyle w:val="FootnoteAnchor"/>
          <w:rtl w:val="true"/>
        </w:rPr>
        <w:footnoteReference w:id="59"/>
      </w:r>
      <w:r>
        <w:rPr>
          <w:rFonts w:ascii="Amiri" w:hAnsi="Amiri" w:eastAsia="Amiri" w:cs="Amiri"/>
          <w:color w:val="111111"/>
          <w:sz w:val="28"/>
          <w:sz w:val="28"/>
          <w:szCs w:val="28"/>
          <w:rtl w:val="true"/>
          <w:lang w:bidi="ar-SA"/>
        </w:rPr>
        <w:t xml:space="preserve">و اختار هذا القول الطريحي في مجمع البحرين </w:t>
      </w:r>
      <w:r>
        <w:rPr>
          <w:rStyle w:val="FootnoteAnchor"/>
          <w:rtl w:val="true"/>
        </w:rPr>
        <w:footnoteReference w:id="60"/>
      </w:r>
      <w:r>
        <w:rPr>
          <w:rFonts w:ascii="Amiri" w:hAnsi="Amiri" w:eastAsia="Amiri" w:cs="Amiri"/>
          <w:color w:val="111111"/>
          <w:sz w:val="28"/>
          <w:sz w:val="28"/>
          <w:szCs w:val="28"/>
          <w:rtl w:val="true"/>
          <w:lang w:bidi="ar-SA"/>
        </w:rPr>
        <w:t xml:space="preserve">، و الميرزا محمد في منهج المقال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نسخة الخلاصة التي اعتمد عليها الحرّ العاملي </w:t>
      </w:r>
      <w:r>
        <w:rPr>
          <w:rStyle w:val="FootnoteAnchor"/>
          <w:rtl w:val="true"/>
        </w:rPr>
        <w:footnoteReference w:id="62"/>
      </w:r>
      <w:r>
        <w:rPr>
          <w:rFonts w:ascii="Amiri" w:hAnsi="Amiri" w:eastAsia="Amiri" w:cs="Amiri"/>
          <w:color w:val="111111"/>
          <w:sz w:val="28"/>
          <w:sz w:val="28"/>
          <w:szCs w:val="28"/>
          <w:rtl w:val="true"/>
          <w:lang w:bidi="ar-SA"/>
        </w:rPr>
        <w:t xml:space="preserve">، و المولى الأفندي </w:t>
      </w:r>
      <w:r>
        <w:rPr>
          <w:rStyle w:val="FootnoteAnchor"/>
          <w:rtl w:val="true"/>
        </w:rPr>
        <w:footnoteReference w:id="63"/>
      </w:r>
      <w:r>
        <w:rPr>
          <w:rFonts w:ascii="Amiri" w:hAnsi="Amiri" w:eastAsia="Amiri" w:cs="Amiri"/>
          <w:color w:val="111111"/>
          <w:sz w:val="28"/>
          <w:sz w:val="28"/>
          <w:szCs w:val="28"/>
          <w:rtl w:val="true"/>
          <w:lang w:bidi="ar-SA"/>
        </w:rPr>
        <w:t xml:space="preserve">و الخوانساري </w:t>
      </w:r>
      <w:r>
        <w:rPr>
          <w:rStyle w:val="FootnoteAnchor"/>
          <w:rtl w:val="true"/>
        </w:rPr>
        <w:footnoteReference w:id="64"/>
      </w:r>
      <w:r>
        <w:rPr>
          <w:rFonts w:ascii="Amiri" w:hAnsi="Amiri" w:eastAsia="Amiri" w:cs="Amiri"/>
          <w:color w:val="111111"/>
          <w:sz w:val="28"/>
          <w:sz w:val="28"/>
          <w:szCs w:val="28"/>
          <w:rtl w:val="true"/>
          <w:lang w:bidi="ar-SA"/>
        </w:rPr>
        <w:t xml:space="preserve">، و المامقاني </w:t>
      </w:r>
      <w:r>
        <w:rPr>
          <w:rStyle w:val="FootnoteAnchor"/>
          <w:rtl w:val="true"/>
        </w:rPr>
        <w:footnoteReference w:id="65"/>
      </w:r>
      <w:r>
        <w:rPr>
          <w:rFonts w:ascii="Amiri" w:hAnsi="Amiri" w:eastAsia="Amiri" w:cs="Amiri"/>
          <w:color w:val="111111"/>
          <w:sz w:val="28"/>
          <w:sz w:val="28"/>
          <w:szCs w:val="28"/>
          <w:rtl w:val="true"/>
          <w:lang w:bidi="ar-SA"/>
        </w:rPr>
        <w:t xml:space="preserve">، و السيد الأمين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 في اليوم التاسع و 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القرشي في نظام الأقوال </w:t>
      </w:r>
      <w:r>
        <w:rPr>
          <w:rStyle w:val="FootnoteAnchor"/>
          <w:rtl w:val="true"/>
        </w:rPr>
        <w:footnoteReference w:id="67"/>
      </w:r>
      <w:r>
        <w:rPr>
          <w:rFonts w:ascii="Amiri" w:hAnsi="Amiri" w:eastAsia="Amiri" w:cs="Amiri"/>
          <w:color w:val="111111"/>
          <w:sz w:val="28"/>
          <w:sz w:val="28"/>
          <w:szCs w:val="28"/>
          <w:rtl w:val="true"/>
          <w:lang w:bidi="ar-SA"/>
        </w:rPr>
        <w:t xml:space="preserve">، و الشيخ البهائي في توضيح المقاصد </w:t>
      </w:r>
      <w:r>
        <w:rPr>
          <w:rStyle w:val="FootnoteAnchor"/>
          <w:rtl w:val="true"/>
        </w:rPr>
        <w:footnoteReference w:id="68"/>
      </w:r>
      <w:r>
        <w:rPr>
          <w:rFonts w:ascii="Amiri" w:hAnsi="Amiri" w:eastAsia="Amiri" w:cs="Amiri"/>
          <w:color w:val="111111"/>
          <w:sz w:val="28"/>
          <w:sz w:val="28"/>
          <w:szCs w:val="28"/>
          <w:rtl w:val="true"/>
          <w:lang w:bidi="ar-SA"/>
        </w:rPr>
        <w:t xml:space="preserve">، و صاحب كتاب محبوب القلوب </w:t>
      </w:r>
      <w:r>
        <w:rPr>
          <w:rStyle w:val="FootnoteAnchor"/>
          <w:rtl w:val="true"/>
        </w:rPr>
        <w:footnoteReference w:id="69"/>
      </w:r>
      <w:r>
        <w:rPr>
          <w:rFonts w:ascii="Amiri" w:hAnsi="Amiri" w:eastAsia="Amiri" w:cs="Amiri"/>
          <w:color w:val="111111"/>
          <w:sz w:val="28"/>
          <w:sz w:val="28"/>
          <w:szCs w:val="28"/>
          <w:rtl w:val="true"/>
          <w:lang w:bidi="ar-SA"/>
        </w:rPr>
        <w:t xml:space="preserve">، و المحدّث النوري في خاتمة المستدرك </w:t>
      </w:r>
      <w:r>
        <w:rPr>
          <w:rStyle w:val="FootnoteAnchor"/>
          <w:rtl w:val="true"/>
        </w:rPr>
        <w:footnoteReference w:id="70"/>
      </w:r>
      <w:r>
        <w:rPr>
          <w:rFonts w:ascii="Amiri" w:hAnsi="Amiri" w:eastAsia="Amiri" w:cs="Amiri"/>
          <w:color w:val="111111"/>
          <w:sz w:val="28"/>
          <w:sz w:val="28"/>
          <w:szCs w:val="28"/>
          <w:rtl w:val="true"/>
          <w:lang w:bidi="ar-SA"/>
        </w:rPr>
        <w:t xml:space="preserve">، و الشيخ عباس القمي في الكنى و الألقاب </w:t>
      </w:r>
      <w:r>
        <w:rPr>
          <w:rStyle w:val="FootnoteAnchor"/>
          <w:rtl w:val="true"/>
        </w:rPr>
        <w:footnoteReference w:id="71"/>
      </w:r>
      <w:r>
        <w:rPr>
          <w:rFonts w:ascii="Amiri" w:hAnsi="Amiri" w:eastAsia="Amiri" w:cs="Amiri"/>
          <w:color w:val="111111"/>
          <w:sz w:val="28"/>
          <w:sz w:val="28"/>
          <w:szCs w:val="28"/>
          <w:rtl w:val="true"/>
          <w:lang w:bidi="ar-SA"/>
        </w:rPr>
        <w:t xml:space="preserve">، و هدية الأحباب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تردد الخوانساري في يوم ولادته بين احدى عشر ليلة خلون من شهر رمضان، أو إحدى عشر ليلة بقين منه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أجوبة المسائل المطبوعة بعد ما سأله السيد مهنّا بن سنان عن تأريخ مولده،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مولد العبد الفقير فالذي وجدته بخط والدي قدّس اللّٰه روحه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المبارك أبو منصور الحسن بن يوسف بن المطهّر ليلة الجمعة في الثلث الأخير من الليل سابع و عشرين رمضان سنة ثمان و أربعين و ستمائة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نسخة أجوبة المسائل المسائل المهنّائية التي اعتمد عليه المولى الأفندي في الرياض </w:t>
      </w:r>
      <w:r>
        <w:rPr>
          <w:rStyle w:val="FootnoteAnchor"/>
          <w:rtl w:val="true"/>
        </w:rPr>
        <w:footnoteReference w:id="75"/>
      </w:r>
      <w:r>
        <w:rPr>
          <w:rFonts w:ascii="Amiri" w:hAnsi="Amiri" w:eastAsia="Amiri" w:cs="Amiri"/>
          <w:color w:val="111111"/>
          <w:sz w:val="28"/>
          <w:sz w:val="28"/>
          <w:szCs w:val="28"/>
          <w:rtl w:val="true"/>
          <w:lang w:bidi="ar-SA"/>
        </w:rPr>
        <w:t xml:space="preserve">، و السيد الأمين في الأعيان </w:t>
      </w:r>
      <w:r>
        <w:rPr>
          <w:rStyle w:val="FootnoteAnchor"/>
          <w:rtl w:val="true"/>
        </w:rPr>
        <w:footnoteReference w:id="76"/>
      </w:r>
      <w:r>
        <w:rPr>
          <w:rFonts w:ascii="Amiri" w:hAnsi="Amiri" w:eastAsia="Amiri" w:cs="Amiri"/>
          <w:color w:val="111111"/>
          <w:sz w:val="28"/>
          <w:sz w:val="28"/>
          <w:szCs w:val="28"/>
          <w:rtl w:val="true"/>
          <w:lang w:bidi="ar-SA"/>
        </w:rPr>
        <w:t xml:space="preserve">، و الشيخ الطهراني في الذريعة </w:t>
      </w:r>
      <w:r>
        <w:rPr>
          <w:rStyle w:val="FootnoteAnchor"/>
          <w:rtl w:val="true"/>
        </w:rPr>
        <w:footnoteReference w:id="77"/>
      </w:r>
      <w:r>
        <w:rPr>
          <w:rFonts w:ascii="Amiri" w:hAnsi="Amiri" w:eastAsia="Amiri" w:cs="Amiri"/>
          <w:color w:val="111111"/>
          <w:sz w:val="28"/>
          <w:sz w:val="28"/>
          <w:szCs w:val="28"/>
          <w:rtl w:val="true"/>
          <w:lang w:bidi="ar-SA"/>
        </w:rPr>
        <w:t xml:space="preserve">و اختاره ابن كثير في البداية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المولى الأفندي عن الشهيد الثاني في بعض تعليقاته أنه وجد بخط الشهيد أنه نقل من خط العلّامة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والدي رحمه اللّٰه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البار أبو منصور الحسن بن يوسف بن المطهّر ليلة الجمعة في الثلث الأخير من الليل رابع عشري </w:t>
      </w:r>
      <w:r>
        <w:rPr>
          <w:rStyle w:val="FootnoteAnchor"/>
          <w:rtl w:val="true"/>
        </w:rPr>
        <w:footnoteReference w:id="79"/>
      </w:r>
      <w:r>
        <w:rPr>
          <w:rFonts w:ascii="Amiri" w:hAnsi="Amiri" w:eastAsia="Amiri" w:cs="Amiri"/>
          <w:color w:val="111111"/>
          <w:sz w:val="28"/>
          <w:sz w:val="28"/>
          <w:szCs w:val="28"/>
          <w:rtl w:val="true"/>
          <w:lang w:bidi="ar-SA"/>
        </w:rPr>
        <w:t xml:space="preserve">رمضان من سنة ثمان و أربعين و ستمائة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أرخ ولادته في 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اللّٰه بن يوسف الحسن سبط مطهّر فريدة الزمن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الدهر جليل قدره ولد رحمة </w:t>
      </w:r>
      <w:r>
        <w:rPr>
          <w:rStyle w:val="FootnoteAnchor"/>
          <w:rtl w:val="true"/>
        </w:rPr>
        <w:footnoteReference w:id="81"/>
      </w:r>
      <w:r>
        <w:rPr>
          <w:rFonts w:ascii="Amiri" w:hAnsi="Amiri" w:eastAsia="Amiri" w:cs="Amiri"/>
          <w:color w:val="111111"/>
          <w:sz w:val="28"/>
          <w:sz w:val="28"/>
          <w:szCs w:val="28"/>
          <w:rtl w:val="true"/>
          <w:lang w:bidi="ar-SA"/>
        </w:rPr>
        <w:t xml:space="preserve">و عزّ </w:t>
      </w:r>
      <w:r>
        <w:rPr>
          <w:rStyle w:val="FootnoteAnchor"/>
          <w:rtl w:val="true"/>
        </w:rPr>
        <w:footnoteReference w:id="82"/>
      </w:r>
      <w:r>
        <w:rPr>
          <w:rFonts w:ascii="IRNazanin" w:hAnsi="IRNazanin" w:eastAsia="IRNazanin"/>
          <w:color w:val="111111"/>
          <w:sz w:val="28"/>
          <w:sz w:val="28"/>
          <w:szCs w:val="28"/>
          <w:rtl w:val="true"/>
          <w:lang w:bidi="fa-IR"/>
        </w:rPr>
        <w:t xml:space="preserve">عمره </w:t>
      </w:r>
      <w:r>
        <w:rPr>
          <w:rStyle w:val="FootnoteAnchor"/>
          <w:rtl w:val="true"/>
        </w:rPr>
        <w:footnoteReference w:id="83"/>
      </w:r>
      <w:bookmarkStart w:id="28" w:name="pg19729_212572"/>
    </w:p>
    <w:p>
      <w:pPr>
        <w:pStyle w:val="Heading4"/>
        <w:numPr>
          <w:ilvl w:val="3"/>
          <w:numId w:val="1"/>
        </w:numPr>
        <w:rPr/>
      </w:pPr>
      <w:bookmarkStart w:id="29" w:name="__RefHeading___Toc3251117_2314609296"/>
      <w:bookmarkStart w:id="30" w:name="_Toc11"/>
      <w:bookmarkEnd w:id="28"/>
      <w:bookmarkEnd w:id="29"/>
      <w:r>
        <w:rPr>
          <w:rtl w:val="true"/>
        </w:rPr>
        <w:t>(</w:t>
      </w:r>
      <w:r>
        <w:rPr/>
        <w:t>4</w:t>
      </w:r>
      <w:r>
        <w:rPr>
          <w:rtl w:val="true"/>
        </w:rPr>
        <w:t xml:space="preserve">) </w:t>
      </w:r>
      <w:r>
        <w:rPr>
          <w:rtl w:val="true"/>
        </w:rPr>
        <w:t>أسرته</w:t>
      </w:r>
      <w:r>
        <w:rPr>
          <w:rtl w:val="true"/>
        </w:rPr>
        <w:t>:</w:t>
      </w:r>
      <w:bookmarkEnd w:id="30"/>
    </w:p>
    <w:p>
      <w:pPr>
        <w:pStyle w:val="BookText"/>
        <w:rPr/>
      </w:pPr>
      <w:r>
        <w:rPr>
          <w:rFonts w:ascii="Amiri" w:hAnsi="Amiri" w:eastAsia="Amiri" w:cs="Amiri"/>
          <w:color w:val="111111"/>
          <w:sz w:val="28"/>
          <w:sz w:val="28"/>
          <w:szCs w:val="28"/>
          <w:rtl w:val="true"/>
          <w:lang w:bidi="ar-SA"/>
        </w:rPr>
        <w:t>ينتمي العلّامة الحلّي رضوان اللّٰه تعالى عليه إلى اسرتين عريقتين عربيتين مشهورتين بالفضل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قبل أبيه ينتمي إلى آل المطهّر، و هي أسره عربية من بني أسد، أكثر القبائل العربية في الحلّة عدّة و عددا، و فيهم الامارة و لهم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نبغ من هذه القبيلة رجال لهم شأن في مجالات الحياة العلمية و العملية، و حسبك أنّ منهم الأمراء المزيديين و هم مؤسّسو الحلّة الفيحاء على انقاض بابل مهد الحضارات ذات الشأن في تأريخ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منهم الوزير مؤيد الدين محمد ابن العلقمي، الذي لمع نجمة في أوائل القرن السابع فتولّى عدة مناصب آخرها استاديّة الدار، و بعدها تولّى الوزارة في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قبل أمّه ينتمي إلى بني سعيد، و هي أسره عربية أيضا ترجع إلى هذيل في انتسابها، حازت من المفاخر أكثر مما حازته أسر اخرى علمية، لقوة نفوذها الروحي و مكانتها في عالم التأليف و التدريس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يوسف بن علي بن المطهّر الحلّي، وصفه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فقيها محقّقا مدرّسا عظيم الشأن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الشهيد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السيد الحجّة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تحفة العالم أن الشهيد وصفه أيضا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الأعظم الحجة أفضل المجتهدين السعيد الفقيه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 المحقّق الكركي في إجازته للشيخ علي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الأجل الفقيه</w:t>
      </w:r>
    </w:p>
    <w:p>
      <w:pPr>
        <w:pStyle w:val="BookText"/>
        <w:rPr/>
      </w:pPr>
      <w:r>
        <w:rPr>
          <w:rFonts w:ascii="Amiri" w:hAnsi="Amiri" w:eastAsia="Amiri" w:cs="Amiri"/>
          <w:color w:val="111111"/>
          <w:sz w:val="28"/>
          <w:sz w:val="28"/>
          <w:szCs w:val="28"/>
          <w:rtl w:val="true"/>
          <w:lang w:bidi="ar-SA"/>
        </w:rPr>
        <w:t xml:space="preserve">السعيد شيخ الإسلام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المترجم في إجازته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خواجه نصير الدين الطوسي لما جاء إلى العراق حضر الحلّة، فاجتمع عنده فقهاء الحلّة، فأشار الفقيه نجم الدين جعفر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هؤلاء الجماعة؟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علماء، إن كان واحد منهم مبرزا في فنّ كان الآخر مبرزا في فن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أعلمهم بالأصولين؟ فأشار إلى والدي سديد الدين يوسف بن المطهّر و إلى الفقيه مفيد الدين محمد بن جهيم،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أعلم الجماعة بعلم الكلام و أصول الفقه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الرجل العالم يرجع الفضل في المحافظة على مدينة الحلّة و المشهدين الشريفين من غزو التتر في قصة ظريفة مذكورة في كتب التاريخ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العالم الفقيه الشيخ أبي يحيى الحسن ابن الشيخ أبي زكريا يحيى ابن الحسن بن سعيد الهذلي الحلّي، و هي أخت الشيخ أبي القاسم جعفر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امرأة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و نشأت في وسط جوّ مملوء بالتقوى و بين علماء 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امرأة صالحة عالمة، حقيق لها أن تنجب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علي بن المطهّر الحلّي، وصفه الشهيد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كان من العلماء البارزين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بن الحسن بن سعيد الهذلي الحلّي، وصفه المحدّث البحراني بأنه من الفضلاء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الحرّ العاملي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فقيه فاضل يروي عنه ولده </w:t>
      </w:r>
      <w:r>
        <w:rPr>
          <w:rStyle w:val="FootnoteAnchor"/>
          <w:rtl w:val="true"/>
        </w:rPr>
        <w:footnoteReference w:id="92"/>
      </w:r>
      <w:r>
        <w:rPr>
          <w:rFonts w:ascii="Amiri" w:hAnsi="Amiri" w:eastAsia="Amiri" w:cs="Amiri"/>
          <w:color w:val="111111"/>
          <w:sz w:val="28"/>
          <w:sz w:val="28"/>
          <w:szCs w:val="28"/>
          <w:rtl w:val="true"/>
          <w:lang w:bidi="ar-SA"/>
        </w:rPr>
        <w:t>، و في موضع</w:t>
      </w:r>
    </w:p>
    <w:p>
      <w:pPr>
        <w:pStyle w:val="BookText"/>
        <w:rPr/>
      </w:pPr>
      <w:r>
        <w:rPr>
          <w:rFonts w:ascii="Amiri" w:hAnsi="Amiri" w:eastAsia="Amiri" w:cs="Amiri"/>
          <w:color w:val="111111"/>
          <w:sz w:val="28"/>
          <w:sz w:val="28"/>
          <w:szCs w:val="28"/>
          <w:rtl w:val="true"/>
          <w:lang w:bidi="ar-SA"/>
        </w:rPr>
        <w:t>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عظيم الشأن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بن الحسن بن يحيى بن الحسن بن سعيد الهذلي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إجازته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الشيخ كان أفضل أهل عصره في الفقه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أطراه ابن داود في رجاله </w:t>
      </w:r>
      <w:r>
        <w:rPr>
          <w:rStyle w:val="FootnoteAnchor"/>
          <w:rtl w:val="true"/>
        </w:rPr>
        <w:footnoteReference w:id="95"/>
      </w:r>
      <w:r>
        <w:rPr>
          <w:rFonts w:ascii="Amiri" w:hAnsi="Amiri" w:eastAsia="Amiri" w:cs="Amiri"/>
          <w:color w:val="111111"/>
          <w:sz w:val="28"/>
          <w:sz w:val="28"/>
          <w:szCs w:val="28"/>
          <w:rtl w:val="true"/>
          <w:lang w:bidi="ar-SA"/>
        </w:rPr>
        <w:t xml:space="preserve">، و المحدّث البحراني في اللؤلؤة </w:t>
      </w:r>
      <w:r>
        <w:rPr>
          <w:rStyle w:val="FootnoteAnchor"/>
          <w:rtl w:val="true"/>
        </w:rPr>
        <w:footnoteReference w:id="96"/>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الخوانساري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المحقق رحمه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والد رحيم و مشفق كريم، و طال اختلافه إليه في تحصيل المعارف و المعالي و تردّده لديه في تعلّم أفانين الشرع و الأدب و العوالي، و كان تتلمذه عليه في الظاهر أكثر منه على غيره من الأساتيذ الكبار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علي بن 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أخو العلّامة، يروي عنه ابن أخيه فخر الدين محمد بن الحسن بن يوسف و ابن أخته السيد عميد الدين عبد المطلب، و يروي عن أبيه و عن المحقّق نجم الدين الحلّي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المحدّث البحراني بأنه فاضل جليل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المولى الأفندي بالفاضل،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الفقيه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ولد فاضل هو قوام الدين محمد بن علي، عدّه الطهراني من مشايخ ابن معيّة </w:t>
      </w:r>
      <w:r>
        <w:rPr>
          <w:rStyle w:val="FootnoteAnchor"/>
          <w:rtl w:val="true"/>
        </w:rPr>
        <w:footnoteReference w:id="101"/>
      </w:r>
      <w:r>
        <w:rPr>
          <w:rFonts w:ascii="Amiri" w:hAnsi="Amiri" w:eastAsia="Amiri" w:cs="Amiri"/>
          <w:color w:val="111111"/>
          <w:sz w:val="28"/>
          <w:sz w:val="28"/>
          <w:szCs w:val="28"/>
          <w:rtl w:val="true"/>
          <w:lang w:bidi="ar-SA"/>
        </w:rPr>
        <w:t>، و قال الحرّ العاملي عند ذكره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عصره يروي عنه ابن معيّة محمد بن القاسم و يروي هذا أيضا عنه </w:t>
      </w:r>
      <w:r>
        <w:rPr>
          <w:rStyle w:val="FootnoteAnchor"/>
          <w:rtl w:val="true"/>
        </w:rPr>
        <w:footnoteReference w:id="102"/>
      </w:r>
      <w:r>
        <w:rPr>
          <w:rFonts w:ascii="Amiri" w:hAnsi="Amiri" w:eastAsia="Amiri" w:cs="Amiri"/>
          <w:color w:val="111111"/>
          <w:sz w:val="28"/>
          <w:sz w:val="28"/>
          <w:szCs w:val="28"/>
          <w:rtl w:val="true"/>
          <w:lang w:bidi="ar-SA"/>
        </w:rPr>
        <w:t>لكن المولى الأفندي بعد أن وصفه</w:t>
      </w:r>
      <w:bookmarkStart w:id="31" w:name="pg19729_212575"/>
    </w:p>
    <w:p>
      <w:pPr>
        <w:pStyle w:val="BookText"/>
        <w:rPr/>
      </w:pPr>
      <w:bookmarkEnd w:id="31"/>
      <w:r>
        <w:rPr>
          <w:rFonts w:ascii="Amiri" w:hAnsi="Amiri" w:eastAsia="Amiri" w:cs="Amiri"/>
          <w:color w:val="111111"/>
          <w:sz w:val="28"/>
          <w:sz w:val="28"/>
          <w:szCs w:val="28"/>
          <w:rtl w:val="true"/>
          <w:lang w:bidi="ar-SA"/>
        </w:rPr>
        <w:t xml:space="preserve">بالفاضل عدّه ابن عم العلّامة الحلّي </w:t>
      </w:r>
      <w:r>
        <w:rPr>
          <w:rStyle w:val="FootnoteAnchor"/>
          <w:rtl w:val="true"/>
        </w:rPr>
        <w:footnoteReference w:id="103"/>
      </w:r>
      <w:r>
        <w:rPr>
          <w:rFonts w:ascii="Amiri" w:hAnsi="Amiri" w:eastAsia="Amiri" w:cs="Amiri"/>
          <w:color w:val="111111"/>
          <w:sz w:val="28"/>
          <w:sz w:val="28"/>
          <w:szCs w:val="28"/>
          <w:rtl w:val="true"/>
          <w:lang w:bidi="ar-SA"/>
        </w:rPr>
        <w:t>، لا ابن أخيه، و الظاهر أنه سهو،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 بن الحسن بن يوسف 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الأبرو الشافعي 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لما حضر عند السلطان كان معه ولده فخر الدين، فكان شابا عالما كبيرا ذا استعداد قوي و أخلاق طيبة و خصال محمودة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الحرّ بأنه كان فاضلا محققا فقيها ثقة جليلا، يروي عن أبيه العلّامة و غيره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الطهراني بأنه من أجلّ تلاميذ والده المنتهية إليه سلسلة الإجازات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شرفه و عظمته أنّ جلّ مؤلفات والده كتبت بالتماسه، و أنّ والده طلب منه إكمال ما وجده ناقصا، و إصلاح ما وجده خطأ</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251119_2314609296"/>
      <w:bookmarkStart w:id="33" w:name="_Toc12"/>
      <w:bookmarkEnd w:id="32"/>
      <w:r>
        <w:rPr>
          <w:rtl w:val="true"/>
        </w:rPr>
        <w:t>(</w:t>
      </w:r>
      <w:r>
        <w:rPr/>
        <w:t>5</w:t>
      </w:r>
      <w:r>
        <w:rPr>
          <w:rtl w:val="true"/>
        </w:rPr>
        <w:t xml:space="preserve">) </w:t>
      </w:r>
      <w:r>
        <w:rPr>
          <w:rtl w:val="true"/>
        </w:rPr>
        <w:t>نشأته</w:t>
      </w:r>
      <w:r>
        <w:rPr>
          <w:rtl w:val="true"/>
        </w:rPr>
        <w:t>:</w:t>
      </w:r>
      <w:bookmarkEnd w:id="33"/>
    </w:p>
    <w:p>
      <w:pPr>
        <w:pStyle w:val="BookText"/>
        <w:rPr/>
      </w:pPr>
      <w:r>
        <w:rPr>
          <w:rFonts w:ascii="Amiri" w:hAnsi="Amiri" w:eastAsia="Amiri" w:cs="Amiri"/>
          <w:color w:val="111111"/>
          <w:sz w:val="28"/>
          <w:sz w:val="28"/>
          <w:szCs w:val="28"/>
          <w:rtl w:val="true"/>
          <w:lang w:bidi="ar-SA"/>
        </w:rPr>
        <w:t>نشأ العلّامة رضوان اللّٰه تعالى عليه بين أبوين صالحين رءوفين، فتربّى في حضن والدته بنت الحسن بن أبي زكريا يحيى بن الحسن بن سعيد الهذلي الحلّي، و تحت رعاية والده الفقيه سديد الدين يوسف بن علي بن المطهّر، و شارك في تربيته و توجيهه و تعليمه مشاركة فعالة خاله المعظّم المحقّق الحلّي، فكان له بمنزلة الأب الشفيق من كثرة رعايته له و الاهتمام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المولود المبارك في محيط علمي مملوء بالتقوى و صفاء القلب، و بين اسرتين علميتين من أبرز أسر الحلّة علما و تقوى و إيمانا، و هما أسره بني المطهّر و أسره بني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فحظي المولود الميمون برعاية خاصة من قبل الاسرتين، و قد شاهدوا استعداده الكبير لتحصيل العلم و التقى، و ذهنيته الوقّادة، لذلك احضروا له معلّما خاصا ليعلّمه القراءة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 تعلّم القراءة و الكتابة حتى شرع بدراسة العربية و الأدب و ما يحتاجه الطالب المبتدئ، ثم بدأ بدراسة الفقه و الأصول و الكلام و التفسير و العلوم العقلية و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عليه سنون قليلة حتى أصبح من التلاميذ المتفوّقين في الدرس، الذين يشار لهم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بالدرس حيث تخرج على يده عدد غفير من العلماء نذكر بعضهم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العلّامة إلى بغداد بطلب من السلطان غازان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ناظر علماء العامة بحضور السلطان و غلب عليهم، و أدى ذلك الى تشيع السلطان و عدد كبير من الأمراء و الوزراء و قادة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السلطان في تمام ممالكه بتغيير الخطبة و إسقاط أسامي الثلاثة عنها و بذكر أسامي أمير المؤمنين و سائر الأئمّة عليهم السّلام على المنابر، و بذكر حيّ على خير العمل في الأذان، و بتغيير السكة و حذف أسماء الثلاثة منها و نقش الأسامي المباركة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العلّامة ملازما لهذا السلطان المستبصر، و شرع بتشييد أساس الحق و ترويج المذهب، و كتب عدة كتب و رسائل باسم السلطان بعضها كانت بطلب من السلطان، فألّف باسمه كتاب منهاج الكرامة، و نهج الحق، و الرسالة السعدية، و رسالة في نفي الجبر،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العلّامة رحمه اللّٰه في القرب و المنزلة عند السلطان بحيث لم يرض بعد استبصاره بمفارقة العلّامة في حضر 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أمر بترتيب المدرسة السيارة له و لتلاميذه، و هذه المدرسة السيارة ذات حجرات و مدارس من الخيام الكرباسية، فكانت تحمل مع الموكب السلطاني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السلطان محمد خدابنده فرجع العلّامة الحلّي إلى مدينة</w:t>
      </w:r>
      <w:bookmarkStart w:id="34" w:name="pg19729_212577"/>
    </w:p>
    <w:p>
      <w:pPr>
        <w:pStyle w:val="BookText"/>
        <w:rPr/>
      </w:pPr>
      <w:bookmarkEnd w:id="34"/>
      <w:r>
        <w:rPr>
          <w:rFonts w:ascii="Amiri" w:hAnsi="Amiri" w:eastAsia="Amiri" w:cs="Amiri"/>
          <w:color w:val="111111"/>
          <w:sz w:val="28"/>
          <w:sz w:val="28"/>
          <w:szCs w:val="28"/>
          <w:rtl w:val="true"/>
          <w:lang w:bidi="ar-SA"/>
        </w:rPr>
        <w:t xml:space="preserve">الحلّة، و اشتغل فيها بالتدريس و التأليف و تربية العلماء و تقوية المذهب و إرشاد الناس، حتى شدّت إليه الرحال من كل جانب، و لم يخرج العلّامة من الحلّة منذ رجوعه إليها حتى وفاته إلّا إلى الحج الذي كان في أواخر عمره الشريف، و بقي على هذه الوتيرة إلى أن وافاه الأجل في المحرم الحرام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251121_2314609296"/>
      <w:bookmarkStart w:id="36" w:name="_Toc13"/>
      <w:bookmarkEnd w:id="35"/>
      <w:r>
        <w:rPr>
          <w:rtl w:val="true"/>
        </w:rPr>
        <w:t>(</w:t>
      </w:r>
      <w:r>
        <w:rPr/>
        <w:t>6</w:t>
      </w:r>
      <w:r>
        <w:rPr>
          <w:rtl w:val="true"/>
        </w:rPr>
        <w:t xml:space="preserve">) </w:t>
      </w:r>
      <w:r>
        <w:rPr>
          <w:rtl w:val="true"/>
        </w:rPr>
        <w:t>عصره و معاصروه</w:t>
      </w:r>
      <w:r>
        <w:rPr>
          <w:rtl w:val="true"/>
        </w:rPr>
        <w:t>:</w:t>
      </w:r>
      <w:bookmarkEnd w:id="36"/>
    </w:p>
    <w:p>
      <w:pPr>
        <w:pStyle w:val="BookText"/>
        <w:rPr/>
      </w:pPr>
      <w:r>
        <w:rPr>
          <w:rFonts w:ascii="Amiri" w:hAnsi="Amiri" w:eastAsia="Amiri" w:cs="Amiri"/>
          <w:color w:val="111111"/>
          <w:sz w:val="28"/>
          <w:sz w:val="28"/>
          <w:szCs w:val="28"/>
          <w:rtl w:val="true"/>
          <w:lang w:bidi="ar-SA"/>
        </w:rPr>
        <w:t xml:space="preserve">عاصر العلّامة الحلّي رضوان اللّٰه تعالى عليه منذ نشأته و حتى وفاته عام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إحداثا مرّة مرت بها الأمّة الإسلامية عموما و الطائفة الحقّة خصوصا، كان أولها غزو التتر العراق و احتلال بغداد و تدميرها و حرق مكتباتها، و القضاء على الحضارة الإسلامية التي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التتر احتلال الحلّة و الكوفة و المشهدين الشريفين، إلّا أن تدبير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الى المحافظة على هذه المدن و ما فيها، و بالتالي أدى إلى إسلام سلاطين التتر و من ثمّ تشيعهم، و يحكي لنا العلّامة معاملة والده مع التتر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وصل السلطان هولاكو إلى بغداد قبل أن يفتحها هرب أكثر أهل الحلة إلى البطائح إلّا القليل، فكان من جملة القليل والدي رحمه اللّٰه و السيد مجد الدين ابن طاوس و الفقيه ابن أبي العزّ، فأجمع رأيهم على مكاتبة السلطان بأنهم مطيعون داخلون تحت إيالته، و أنفذوا به شخصا أعجميا، فأنفذ السلطان إليهم فرمانا مع شخصين أحدهما يقال له فلكة و الآخر يقال له علاء الدين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قلوبكم كما وردت به كتبكم تحضرون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فخافوا لعدم معرفتهم بما ينتهي إليه الحال، 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فصعد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فتح بغداد و قبل قتل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أقدمتم على مكاتبتي و الحضور عندي قبل أن تعلموا بما ينتهي إليه أمري و أمر صاحبكم؟ و كيف تأمنون إن صالحني و رحلت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أقدمنا على ذلك لأنّا روينا عن أمير المؤمنين علي ابن أبي طالب عليه السّلام أنه قال في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الزوراء و ما أدراك ما الزوراء، أرض ذات أتل، يشيّد فيها البنيان، و تكثر فيها السكّان، و يكون فيها محاذم و خزان، يتخذها ولد العباس موطنا، و لزخرفهم مسكنا، تكون لهم دار لهو و لعب، يكون بها الجور الجائر و الخوف المخيف، و الأئمة الفجرة و الأمراء الفسقة و الوزراء الخونة، تخدمهم أبناء فارس و الروم، لا يأتمرون بمعروف إذا عرفوه، و لا يتناهون عن منكر إذا أنكروه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منهم بالرجال، و النساء منهم بالنساء، فعند ذلك الغم العميم، و البكاء الطويل، و الويل و العويل لأهل الزوراء من سطوات الترك، و هم قوم صغار الحدق، وجوههم كالمجانّ المطوقة، لباسهم الحديد، هرد مرد، يقدمهم ملك يأتي من حيث بدأ ملكهم، جهوري الصوت، قوي الصولة، عليّ الهمة، لا يمر بمدينة إلّا فتحها، و لا ترفع عليه رأيه إلّا نكسها، الويل الويل لمن ناواه، فلا يزال كذلك حتى يظفر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وصف لنا ذلك و وجدنا الصفات فيكم رجوناك فقصدناك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فطيّب قلوبهم، و كتب لهم فرمانا باسم والدي رحمه اللّٰه يطيّب قلوب أهل الحلّة و أعمالها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عمل هذا الشيخ الجليل مساومة للفاتح المعتدي، و لا مساعدة على تسليط الكافر على المؤمن، بل لما شاهده من الخليفة العباسي آن ذاك من انهماكه في لهوه و لعبه، و عدم تفكيره في مصير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وجود القدرة الكافية لمواجهة الغزو المغولي، و كان يعلم أن المغول التتار إذا دخلوا بلدة ما ذا يصنعون بها من الدمار و الهلاك و السبي و التعدي على الناموس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صمّم هذا الشيخ و من معه من علماء الطائفة على مواجهة الكارثة بأسلوب عقلائي و تدبير محكم، فراسلوا هولاكو أولا، و حافظوا بذلك على مدنهم</w:t>
      </w:r>
    </w:p>
    <w:p>
      <w:pPr>
        <w:pStyle w:val="BookText"/>
        <w:rPr/>
      </w:pPr>
      <w:r>
        <w:rPr>
          <w:rFonts w:ascii="Amiri" w:hAnsi="Amiri" w:eastAsia="Amiri" w:cs="Amiri"/>
          <w:color w:val="111111"/>
          <w:sz w:val="28"/>
          <w:sz w:val="28"/>
          <w:szCs w:val="28"/>
          <w:rtl w:val="true"/>
          <w:lang w:bidi="ar-SA"/>
        </w:rPr>
        <w:t>و ما فيها من العلماء و المكتبات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ألّف السيد مجد الدين محمد بن طاوس كتاب البشارة و أهداه إلى هولاكو، فأنتجت هذه الخطوة أن ردّ هولاكو شئون النقابة في البلاد الفراتية إلى السيّد ابن طاوس و أمر بسلامة المشهدين الشريفين و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مرحلة إصلاح المعتدي و ردعه عن ارتكاب الجرائم و هدايته هو و من معه الى الصراط المستقيم، من باب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النصير الطوسي باقناع هولاكو باعتناق الدين الإسلامي، و فعلا قد نجح في ذلك و أسلم هولاكو و من معه من المغول، و استطاع النصير الطوسي رحمه اللّٰه من المحافظة على ما تبقّى من التراث بعد هلاك جلّه، و صار الطوسي وزيرا لهذا السلطان، و قام بمهام كبيرة في خدمة العلم و العلماء و الحفاظ على النفوس و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كله جاء دور علّامتنا الحلّي رضوان اللّٰه تعالى عليه ليؤدّي واجبه المقدّس، حيث يحدّثنا التاريخ عن كيفية استبصار السلطان محمد خدابنده و أكثر قادته و أمرائه، و ذلك عند ما طلّق السلطان زوجته ثلاثا، و أجمع علماء المذاهب على وجوب المحلل، ثم مجي‌ء العلّامة الحلّي رضوان اللّٰه تعالى عليه و مباحثته مع علماء العامة و إقامة الأدلة الدامغة عليهم، حيث أسفرت تلك المباحثة عن تشيع السلطان و أكثر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هذه الحادثة مفصّلة العلّامة المجلسي في روضة المتقين </w:t>
      </w:r>
      <w:r>
        <w:rPr>
          <w:rStyle w:val="FootnoteAnchor"/>
          <w:rtl w:val="true"/>
        </w:rPr>
        <w:footnoteReference w:id="108"/>
      </w:r>
      <w:r>
        <w:rPr>
          <w:rFonts w:ascii="Amiri" w:hAnsi="Amiri" w:eastAsia="Amiri" w:cs="Amiri"/>
          <w:color w:val="111111"/>
          <w:sz w:val="28"/>
          <w:sz w:val="28"/>
          <w:szCs w:val="28"/>
          <w:rtl w:val="true"/>
          <w:lang w:bidi="ar-SA"/>
        </w:rPr>
        <w:t xml:space="preserve">، و ذكرها الحافظ الأبرو الشافعي بوجه آخر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العلّامة ملازما للسلطان محمد خدابنده في حلّه وتر حاله، يعمل على نشر المذهب الحق و تركيز دعائمه، إلى أن توفي السلطان 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فرجع العلّامة إلى الحلّة و اشتغل بالدرس و التأليف و تربية العلماء و تقوية المذهب</w:t>
      </w:r>
      <w:r>
        <w:rPr>
          <w:rFonts w:eastAsia="Amiri" w:cs="Amiri" w:ascii="Amiri" w:hAnsi="Amiri"/>
          <w:color w:val="111111"/>
          <w:sz w:val="28"/>
          <w:szCs w:val="28"/>
          <w:rtl w:val="true"/>
          <w:lang w:bidi="ar-SA"/>
        </w:rPr>
        <w:t>.</w:t>
      </w:r>
      <w:bookmarkStart w:id="37" w:name="pg19729_212580"/>
    </w:p>
    <w:p>
      <w:pPr>
        <w:pStyle w:val="Heading4"/>
        <w:numPr>
          <w:ilvl w:val="3"/>
          <w:numId w:val="1"/>
        </w:numPr>
        <w:rPr/>
      </w:pPr>
      <w:bookmarkStart w:id="38" w:name="__RefHeading___Toc3251123_2314609296"/>
      <w:bookmarkStart w:id="39" w:name="_Toc14"/>
      <w:bookmarkEnd w:id="37"/>
      <w:bookmarkEnd w:id="38"/>
      <w:r>
        <w:rPr>
          <w:rtl w:val="true"/>
        </w:rPr>
        <w:t>(</w:t>
      </w:r>
      <w:r>
        <w:rPr/>
        <w:t>7</w:t>
      </w:r>
      <w:r>
        <w:rPr>
          <w:rtl w:val="true"/>
        </w:rPr>
        <w:t xml:space="preserve">) </w:t>
      </w:r>
      <w:r>
        <w:rPr>
          <w:rtl w:val="true"/>
        </w:rPr>
        <w:t>مشايخه في القراءة و الإجازة</w:t>
      </w:r>
      <w:r>
        <w:rPr>
          <w:rtl w:val="true"/>
        </w:rPr>
        <w:t>:</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سديد الدين يوسف بن علي بن المطهّر الحلّي، أول من قرأ عليه، فأخذ منه الفقه و الأصول و العربية و سائر العلوم، و روى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الشيخ نجم الدين جعفر بن الحسن بن سعيد المحقّق الحلّي، أخذ منه الكلام و الفقه و الأصول و سائر العلوم، و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نصير الدين محمد بن الحسن الطوسي، أخذ منه التعليقات و الرياضيات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والدته الشيخ نجيب الدين يحيى بن سعيد الحلّي، صاحب الجامع للشرائع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كما الدين ميثم بن علي البحراني، صاحب الشروح الثلاثة على نهج البلاغة، قرأ عليه التعليقات، و روى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أحمد بن موسى بن طاوس الحسيني، صاحب كتاب البشرى، أخذ عنه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علي بن موسى بن طاوس الحسيني، صاحب كتاب الإقبال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غياث الدين عبد الكريم بن طاوس، صاحب فرحة الغري، أخذ و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سليمان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مفيد الدين محمد بن جهيم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علي بن عيسى الإربلي، صاحب كتاب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محمد بن نما الحلّي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يوسف العريضي</w:t>
      </w:r>
      <w:r>
        <w:rPr>
          <w:rFonts w:eastAsia="Amiri" w:cs="Amiri" w:ascii="Amiri" w:hAnsi="Amiri"/>
          <w:color w:val="111111"/>
          <w:sz w:val="28"/>
          <w:szCs w:val="28"/>
          <w:rtl w:val="true"/>
          <w:lang w:bidi="ar-SA"/>
        </w:rPr>
        <w:t>.</w:t>
      </w:r>
      <w:bookmarkStart w:id="40" w:name="pg19729_212581"/>
    </w:p>
    <w:p>
      <w:pPr>
        <w:pStyle w:val="BookText"/>
        <w:rPr/>
      </w:pPr>
      <w:bookmarkEnd w:id="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علي بن عمر الكاتب القزويني الشافعي، و يعرف بدبيران، صاحب كتاب الشمسية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محمد بن أحمد الكيشي، ابن أخت قطب الدين العلّامة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حسين بن أياز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محمد بن الخطيب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أفضل الدين الخولخي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الفاروقي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برهان الدين النسفي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أثير الدين الفضل بن عمر الأبهري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سديد الدين سالم بن محفوظ السوداوي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محمد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محمد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عبد اللّٰه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عبد اللّٰه بن جعفر بن علي الصباغ الحنفي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251125_2314609296"/>
      <w:bookmarkStart w:id="42" w:name="_Toc15"/>
      <w:bookmarkEnd w:id="41"/>
      <w:r>
        <w:rPr>
          <w:rtl w:val="true"/>
        </w:rPr>
        <w:t>(</w:t>
      </w:r>
      <w:r>
        <w:rPr/>
        <w:t>8</w:t>
      </w:r>
      <w:r>
        <w:rPr>
          <w:rtl w:val="true"/>
        </w:rPr>
        <w:t xml:space="preserve">) </w:t>
      </w:r>
      <w:r>
        <w:rPr>
          <w:rtl w:val="true"/>
        </w:rPr>
        <w:t>تلامذته و الراوون عنه</w:t>
      </w:r>
      <w:r>
        <w:rPr>
          <w:rtl w:val="true"/>
        </w:rPr>
        <w:t>:</w:t>
      </w:r>
      <w:bookmarkEnd w:id="42"/>
    </w:p>
    <w:p>
      <w:pPr>
        <w:pStyle w:val="BookText"/>
        <w:rPr/>
      </w:pPr>
      <w:r>
        <w:rPr>
          <w:rFonts w:ascii="Amiri" w:hAnsi="Amiri" w:eastAsia="Amiri" w:cs="Amiri"/>
          <w:color w:val="111111"/>
          <w:sz w:val="28"/>
          <w:sz w:val="28"/>
          <w:szCs w:val="28"/>
          <w:rtl w:val="true"/>
          <w:lang w:bidi="ar-SA"/>
        </w:rPr>
        <w:t>قرأ عليه و روى عنه جمع كثير من العلماء، حتى أن السيد 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من عالي مجلس درسه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w:t>
      </w:r>
      <w:r>
        <w:rPr>
          <w:rStyle w:val="FootnoteAnchor"/>
          <w:rtl w:val="true"/>
        </w:rPr>
        <w:footnoteReference w:id="110"/>
      </w:r>
      <w:r>
        <w:rPr>
          <w:rFonts w:ascii="Amiri" w:hAnsi="Amiri" w:eastAsia="Amiri" w:cs="Amiri"/>
          <w:color w:val="111111"/>
          <w:sz w:val="28"/>
          <w:sz w:val="28"/>
          <w:szCs w:val="28"/>
          <w:rtl w:val="true"/>
          <w:lang w:bidi="ar-SA"/>
        </w:rPr>
        <w:t>و قال الطهراني في 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الراهنة في المائة الثامنة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تلاميذه فكثير ممن ترجمته في هذه المائة كان من تلاميذه و المجازين منه أو المعاصرين المستفدين من علومه، فليرجع الى تلك التراجم حتى يحصل الجزم</w:t>
      </w:r>
    </w:p>
    <w:p>
      <w:pPr>
        <w:pStyle w:val="BookText"/>
        <w:rPr/>
      </w:pPr>
      <w:r>
        <w:rPr>
          <w:rFonts w:ascii="Amiri" w:hAnsi="Amiri" w:eastAsia="Amiri" w:cs="Amiri"/>
          <w:color w:val="111111"/>
          <w:sz w:val="28"/>
          <w:sz w:val="28"/>
          <w:szCs w:val="28"/>
          <w:rtl w:val="true"/>
          <w:lang w:bidi="ar-SA"/>
        </w:rPr>
        <w:t xml:space="preserve">بصدق ما قيل من انه كان في عصره في الحلّة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هنا نذكر ما تيسّر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فخر الدين محمد، قرأ على والده في جلّ العلوم، و روى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أخته السيد عميد الدين عبد المطلب الحسيني الأعرجي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أخته السيد ضياء الدين عبد اللّٰه الحسيني الأعرجي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النسّابة تاج الدين محمد بن القاسم بن معية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أبو الحسن علي بن أحمد المرندي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أبو الحسن علي بن أحمد بن طراد المطارآبادي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سراج الدين حسن بن محمد بن أبي المجد السرابشنوي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تاج الدين حسن بن الحسين بن الحسن السرابشنوي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أبو الحسن علي 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علاء الدين شرف الدين أبو عبد اللّٰه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علاء الدين بدر الدين أبو عبد اللّٰه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بدر الدين أمين الدين أبو طالب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بدر الدين عز الدين أبو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لهؤلاء الخمسة إجازة مبسوطة من العلّامة، ذكر فيها جلّ طرقه و الذين يروي عنهم سنة و شيعة، و هي المعروفة بإجازة العلّامة لبني زهرة تاريخها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نجم الدين النسابة مهنّا بن سنان المدني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قطب الدين محمد بن محمد الرازي البويهي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تاج الدين محمود بن المولى زين الدين محمد بن القاضي</w:t>
      </w:r>
      <w:bookmarkStart w:id="43" w:name="pg19729_212583"/>
    </w:p>
    <w:p>
      <w:pPr>
        <w:pStyle w:val="BookText"/>
        <w:rPr/>
      </w:pPr>
      <w:bookmarkEnd w:id="43"/>
      <w:r>
        <w:rPr>
          <w:rFonts w:ascii="Amiri" w:hAnsi="Amiri" w:eastAsia="Amiri" w:cs="Amiri"/>
          <w:color w:val="111111"/>
          <w:sz w:val="28"/>
          <w:sz w:val="28"/>
          <w:szCs w:val="28"/>
          <w:rtl w:val="true"/>
          <w:lang w:bidi="ar-SA"/>
        </w:rPr>
        <w:t>عبد الواحد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إبراهيم بن الحسين بن علي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زين الدين علي السروري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الحسيني المرعشي الطبرسي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الحسين بن إبراهيم بن يحيى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محمد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زين الدين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محمد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الفتوح أحمد ابن الشيخ أبي عبد اللّٰه بن أبي طالب ابن علي الآودي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رشيد الدين علي بن محمد الرشيد الآوي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إسماعيل بن الحسين بن الحسن بن علي الهرقلي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بن محمد بن 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ضياء الدين أبو محمد هارون بن نجم الدين الحسن ابن الأمير شمس الدين علي بن الحسن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إسماعيل بن إبراهيم بن فتوح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حسين بن محمد بن علي العلوي الحسيني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الشيعي السبزواري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251127_2314609296"/>
      <w:bookmarkStart w:id="45" w:name="_Toc16"/>
      <w:bookmarkEnd w:id="44"/>
      <w:r>
        <w:rPr>
          <w:rtl w:val="true"/>
        </w:rPr>
        <w:t>(</w:t>
      </w:r>
      <w:r>
        <w:rPr/>
        <w:t>9</w:t>
      </w:r>
      <w:r>
        <w:rPr>
          <w:rtl w:val="true"/>
        </w:rPr>
        <w:t xml:space="preserve">) </w:t>
      </w:r>
      <w:r>
        <w:rPr>
          <w:rtl w:val="true"/>
        </w:rPr>
        <w:t>إطراء العلماء له</w:t>
      </w:r>
      <w:r>
        <w:rPr>
          <w:rtl w:val="true"/>
        </w:rPr>
        <w:t>:</w:t>
      </w:r>
      <w:bookmarkEnd w:id="45"/>
    </w:p>
    <w:p>
      <w:pPr>
        <w:pStyle w:val="BookText"/>
        <w:rPr/>
      </w:pPr>
      <w:r>
        <w:rPr>
          <w:rFonts w:ascii="Amiri" w:hAnsi="Amiri" w:eastAsia="Amiri" w:cs="Amiri"/>
          <w:color w:val="111111"/>
          <w:sz w:val="28"/>
          <w:sz w:val="28"/>
          <w:szCs w:val="28"/>
          <w:rtl w:val="true"/>
          <w:lang w:bidi="ar-SA"/>
        </w:rPr>
        <w:t>أطراه و مدحه و اثنى عليه كل من عاصره من أساتذته و تلامذته، و ذكره بالإجلال و التبجيل كل من تأخر عنه إلى يومنا هذا، و نحن نذكر بعضهم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نصير الدين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إذا جاهد فاق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معاصره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علّامة وقته و صاحب التحقيق و التدقيق، كثير التصانيف، انتهت رئاسة الإمامية إليه في المعقول و المنقول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معاصره الصفدي،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ذو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الشيعة و فقيههم، صاحب التصانيف التي اشتهرت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يصنّف و هو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المطهّر ريّض الأخلاق، مشتهر الذكر، تخرّج به أقوام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إماما في الكلام و المعقولات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معاصره الحافظ الأبرو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متبحرا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مشهورا في العلوم النقلية و العقلية، و كان الأوحد في العالم، و له تصانيف كثيرة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محمد بن علي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المعظم و إمامنا الأعظم سيّد فضلاء العصر و رئيس علماء الدهر، المبرز في فني المعقول و المنقول، المطرّز للواء علمي الفروع و الأصول، جمال الملّة و الدين سديد الإسلام و المسلمين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الأعلم حجة اللّٰه على الخلق جمال الدين </w:t>
      </w:r>
      <w:r>
        <w:rPr>
          <w:rStyle w:val="FootnoteAnchor"/>
          <w:rtl w:val="true"/>
        </w:rPr>
        <w:footnoteReference w:id="117"/>
      </w:r>
      <w:r>
        <w:rPr>
          <w:rFonts w:ascii="Amiri" w:hAnsi="Amiri" w:eastAsia="Amiri" w:cs="Amiri"/>
          <w:color w:val="111111"/>
          <w:sz w:val="28"/>
          <w:sz w:val="28"/>
          <w:szCs w:val="28"/>
          <w:rtl w:val="true"/>
          <w:lang w:bidi="ar-SA"/>
        </w:rPr>
        <w:t>، و قال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الأعظم الحجة أفضل المجتهدين جمال الدين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 بردي،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بالمعقولات، و كان رضي الخلق حليما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الشيعة و امامهم و مصنفهم، و كان آية في الذكاء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حيث قال في إجازته للسيد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w:t>
      </w:r>
    </w:p>
    <w:p>
      <w:pPr>
        <w:pStyle w:val="BookText"/>
        <w:rPr/>
      </w:pPr>
      <w:r>
        <w:rPr>
          <w:rFonts w:ascii="Amiri" w:hAnsi="Amiri" w:eastAsia="Amiri" w:cs="Amiri"/>
          <w:color w:val="111111"/>
          <w:sz w:val="28"/>
          <w:sz w:val="28"/>
          <w:szCs w:val="28"/>
          <w:rtl w:val="true"/>
          <w:lang w:bidi="ar-SA"/>
        </w:rPr>
        <w:t xml:space="preserve">و مفتي فرق الأنام، الفارق بالحق للحق، جمال الإسلام و المسلمين، و لسان الحكماء و الفقهاء و المتكلمين جمال الدين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حيث قال في إجازته لعلي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الشيخ الإمام شيخ الإسلام مفتي الفرق، بحر العلوم، أوحد الدهر شيخ الشيعة بلا مدافع جمال الملّة و الحقّ و الدين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إجازته للمولى حسين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السعيد، أستاذ الكل في الكل، شيخ العلماء الراسخين، سلطان الفضلاء المحققين جمال الملّة و الحق و الدين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إجازته للشيخ حسين بن شمس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و البحر القمقام، أستاذ الخلائق، و مستخرج الدقائق جمال الملّة و الحقّ و الدين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اللطيف العاملي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الفاضل العلّامة الحلّي مولدا و مسكنا، محامده أكثر من أن تحصى، و مناقبه أشهر من أن تخفى، عاش حميدا و مات سعيدا، و كتبه اشتهرت في الآفاق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الاشكوري،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آية اللّٰه في العالمين، ناشر ناموس الهداية، و كاسر ناقوس الغواية، و متمّم القوانين العقلية، و حاوي الفنون النقلية، مجدد مآثر الشريعة المصطفوية، محدد جهات الطريقة المرتضوية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السماهيجي في إجازته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رحمه اللّٰه بلغ في الاشتهار بين الطائفة بل العامة شهرة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فقيها متكلما حكيما منطقيا هندسيا رياضيا، جامعا لجميع الفنون، متبحرا في كلّ العلوم من المعقول و المنقول، ثقة إماما في الفقه و الأصول، و قد ملأ الآفاق بتصنيفه، و عطر الأكوان بتأليفه و مصنفاته، و كان أصوليا بحتا مجتهدا صرفا حتى قال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سلك طريقة الاجتهاد من أصحابنا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أبي جمهور الأحسائي، قال في إجازته للشيخ محمد صالح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إمامنا رئيس جميع علمائنا، العلّامة الفهّامة، شيخ مشايخ الإسلام، و الفارق بفتاويه الحلال و الحرام، المسلّم له الرئاسة من جميع فرق الإسلام، جمال المحققين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هلال الجزائري، قال في إجازته لعلي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المولى الإمام الأعظم الأفضل الأكمل الأعلم، الشيخ جمال الملّة و الحق و الدنيا و الدين، الشيخ الإمام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شرف الدين الشولستاني، قال في إجازته للمولى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الأكمل العلّامة، آية اللّٰه في العالمين، جمال الملّة و الحقّ و الدين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محامده أكثر من أن تحصى، و أشهر من أن تخفى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في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الميرزا في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اللائق بالميرزا رحمه اللّٰه أن يذكر في مثل هذا الكتاب البسيط و الجامع المحيط أكثر من هذا المدح و الوصف لهذا البحر القمقام و الحبر العلّام، بل الأسد الضرغام، إلّا أنّ اللسان في تعداد مدائحه كالّ، و كل اطناب في ذكر فضائله حقير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الشهيد التستري، قال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فيض ذي الجلال، مظهر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 انعكاس صور الجمال، محلّ آمال و أماني انظار العالم، مصوّر الحقائق الربانية، حامي بيضة الدين، ما حي آثار المفسدين، ناشر ناموس الهداية، كاسر ناقوس الغواية، متمّم القوانين العقلية، حاوي الأساليب و الفنون النقلية، محيط دائرة الدرس و الفتوى، مركز دائرة الشرع و التقوى، مجدّد مآثر الشريعة المصطفوية، محدّد جهات الطريقة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قطرة من بحار فضله، و ذرّة من أضواء شمسه، و الذي قلناه لا يساوي أقل القليل من حقيقته، و لم يستطع البنان رفع النقاب و كشف الخفاء عن صفاته الجميلة و سماته الجليلة، و إذا أرادت القوة الخيالية أن تذكر شيئا من محامده، و البنان أن يدبّج سطرا من مدائحه، فذلك لكي لا يخلو كتابنا من ذكر أصحاب الكمال و أرباب الفضل من أهل الحلّة، و إلّا فهو في غنى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البازغة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الأقلام أن تسطّر منزلته العالية السامية، لأنّ الضياء الساطع لا يحتاج إلى نور القمر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إحقاق الحق أيضا بكلام يقرب مما في المجالس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التفريشي،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يخطر ببالي أن لا أصفه، إذ لا يسع كتابي هذا ذكر علومه و تصانيفه و فضائله و محامده، و أنّ كلّ ما يوصف به الناس من جميل و فضل فهو فوقه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نظام الدين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صاحب</w:t>
      </w:r>
      <w:bookmarkStart w:id="46" w:name="pg19729_212588"/>
    </w:p>
    <w:p>
      <w:pPr>
        <w:pStyle w:val="BookText"/>
        <w:rPr/>
      </w:pPr>
      <w:bookmarkEnd w:id="46"/>
      <w:r>
        <w:rPr>
          <w:rFonts w:ascii="Amiri" w:hAnsi="Amiri" w:eastAsia="Amiri" w:cs="Amiri"/>
          <w:color w:val="111111"/>
          <w:sz w:val="28"/>
          <w:sz w:val="28"/>
          <w:szCs w:val="28"/>
          <w:rtl w:val="true"/>
          <w:lang w:bidi="ar-SA"/>
        </w:rPr>
        <w:t xml:space="preserve">التحقيق و التدقيق، و كلّ من تأخّر عنه استفاد منه، و فضله أشهر من أن يوصف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و أطراه الميرزا عبد اللّٰه الأفندي الأصفهاني في الرياض </w:t>
      </w:r>
      <w:r>
        <w:rPr>
          <w:rStyle w:val="FootnoteAnchor"/>
          <w:rtl w:val="true"/>
        </w:rPr>
        <w:footnoteReference w:id="137"/>
      </w:r>
      <w:r>
        <w:rPr>
          <w:rFonts w:ascii="Amiri" w:hAnsi="Amiri" w:eastAsia="Amiri" w:cs="Amiri"/>
          <w:color w:val="111111"/>
          <w:sz w:val="28"/>
          <w:sz w:val="28"/>
          <w:szCs w:val="28"/>
          <w:rtl w:val="true"/>
          <w:lang w:bidi="ar-SA"/>
        </w:rPr>
        <w:t xml:space="preserve">، و المحدّث البحراني في اللؤلؤة </w:t>
      </w:r>
      <w:r>
        <w:rPr>
          <w:rStyle w:val="FootnoteAnchor"/>
          <w:rtl w:val="true"/>
        </w:rPr>
        <w:footnoteReference w:id="138"/>
      </w:r>
      <w:r>
        <w:rPr>
          <w:rFonts w:ascii="Amiri" w:hAnsi="Amiri" w:eastAsia="Amiri" w:cs="Amiri"/>
          <w:color w:val="111111"/>
          <w:sz w:val="28"/>
          <w:sz w:val="28"/>
          <w:szCs w:val="28"/>
          <w:rtl w:val="true"/>
          <w:lang w:bidi="ar-SA"/>
        </w:rPr>
        <w:t xml:space="preserve">، و الميرزا محمد باقر الخوانساري في الروضات </w:t>
      </w:r>
      <w:r>
        <w:rPr>
          <w:rStyle w:val="FootnoteAnchor"/>
          <w:rtl w:val="true"/>
        </w:rPr>
        <w:footnoteReference w:id="139"/>
      </w:r>
      <w:r>
        <w:rPr>
          <w:rFonts w:ascii="Amiri" w:hAnsi="Amiri" w:eastAsia="Amiri" w:cs="Amiri"/>
          <w:color w:val="111111"/>
          <w:sz w:val="28"/>
          <w:sz w:val="28"/>
          <w:szCs w:val="28"/>
          <w:rtl w:val="true"/>
          <w:lang w:bidi="ar-SA"/>
        </w:rPr>
        <w:t xml:space="preserve">، و الحرّ العاملي في أمل الآمل </w:t>
      </w:r>
      <w:r>
        <w:rPr>
          <w:rStyle w:val="FootnoteAnchor"/>
          <w:rtl w:val="true"/>
        </w:rPr>
        <w:footnoteReference w:id="140"/>
      </w:r>
      <w:r>
        <w:rPr>
          <w:rFonts w:ascii="Amiri" w:hAnsi="Amiri" w:eastAsia="Amiri" w:cs="Amiri"/>
          <w:color w:val="111111"/>
          <w:sz w:val="28"/>
          <w:sz w:val="28"/>
          <w:szCs w:val="28"/>
          <w:rtl w:val="true"/>
          <w:lang w:bidi="ar-SA"/>
        </w:rPr>
        <w:t xml:space="preserve">، و السيد بحر العلوم في فوائده الرجالية </w:t>
      </w:r>
      <w:r>
        <w:rPr>
          <w:rStyle w:val="FootnoteAnchor"/>
          <w:rtl w:val="true"/>
        </w:rPr>
        <w:footnoteReference w:id="141"/>
      </w:r>
      <w:r>
        <w:rPr>
          <w:rFonts w:ascii="Amiri" w:hAnsi="Amiri" w:eastAsia="Amiri" w:cs="Amiri"/>
          <w:color w:val="111111"/>
          <w:sz w:val="28"/>
          <w:sz w:val="28"/>
          <w:szCs w:val="28"/>
          <w:rtl w:val="true"/>
          <w:lang w:bidi="ar-SA"/>
        </w:rPr>
        <w:t xml:space="preserve">، و الشيخ أسد اللّٰه الدزفولي في المقابس </w:t>
      </w:r>
      <w:r>
        <w:rPr>
          <w:rStyle w:val="FootnoteAnchor"/>
          <w:rtl w:val="true"/>
        </w:rPr>
        <w:footnoteReference w:id="142"/>
      </w:r>
      <w:r>
        <w:rPr>
          <w:rFonts w:ascii="Amiri" w:hAnsi="Amiri" w:eastAsia="Amiri" w:cs="Amiri"/>
          <w:color w:val="111111"/>
          <w:sz w:val="28"/>
          <w:sz w:val="28"/>
          <w:szCs w:val="28"/>
          <w:rtl w:val="true"/>
          <w:lang w:bidi="ar-SA"/>
        </w:rPr>
        <w:t xml:space="preserve">، و الشيخ المامقاني في التنقيح </w:t>
      </w:r>
      <w:r>
        <w:rPr>
          <w:rStyle w:val="FootnoteAnchor"/>
          <w:rtl w:val="true"/>
        </w:rPr>
        <w:footnoteReference w:id="143"/>
      </w:r>
      <w:r>
        <w:rPr>
          <w:rFonts w:ascii="Amiri" w:hAnsi="Amiri" w:eastAsia="Amiri" w:cs="Amiri"/>
          <w:color w:val="111111"/>
          <w:sz w:val="28"/>
          <w:sz w:val="28"/>
          <w:szCs w:val="28"/>
          <w:rtl w:val="true"/>
          <w:lang w:bidi="ar-SA"/>
        </w:rPr>
        <w:t xml:space="preserve">، و السيد الأمين في الأعيان </w:t>
      </w:r>
      <w:r>
        <w:rPr>
          <w:rStyle w:val="FootnoteAnchor"/>
          <w:rtl w:val="true"/>
        </w:rPr>
        <w:footnoteReference w:id="144"/>
      </w:r>
      <w:r>
        <w:rPr>
          <w:rFonts w:ascii="Amiri" w:hAnsi="Amiri" w:eastAsia="Amiri" w:cs="Amiri"/>
          <w:color w:val="111111"/>
          <w:sz w:val="28"/>
          <w:sz w:val="28"/>
          <w:szCs w:val="28"/>
          <w:rtl w:val="true"/>
          <w:lang w:bidi="ar-SA"/>
        </w:rPr>
        <w:t xml:space="preserve">، و المحدّث النوري في خاتمة المستدرك </w:t>
      </w:r>
      <w:r>
        <w:rPr>
          <w:rStyle w:val="FootnoteAnchor"/>
          <w:rtl w:val="true"/>
        </w:rPr>
        <w:footnoteReference w:id="145"/>
      </w:r>
      <w:r>
        <w:rPr>
          <w:rFonts w:ascii="Amiri" w:hAnsi="Amiri" w:eastAsia="Amiri" w:cs="Amiri"/>
          <w:color w:val="111111"/>
          <w:sz w:val="28"/>
          <w:sz w:val="28"/>
          <w:szCs w:val="28"/>
          <w:rtl w:val="true"/>
          <w:lang w:bidi="ar-SA"/>
        </w:rPr>
        <w:t xml:space="preserve">، و الشيخ عباس القمي في الفوائد الرضوية </w:t>
      </w:r>
      <w:r>
        <w:rPr>
          <w:rStyle w:val="FootnoteAnchor"/>
          <w:rtl w:val="true"/>
        </w:rPr>
        <w:footnoteReference w:id="146"/>
      </w:r>
      <w:r>
        <w:rPr>
          <w:rFonts w:ascii="Amiri" w:hAnsi="Amiri" w:eastAsia="Amiri" w:cs="Amiri"/>
          <w:color w:val="111111"/>
          <w:sz w:val="28"/>
          <w:sz w:val="28"/>
          <w:szCs w:val="28"/>
          <w:rtl w:val="true"/>
          <w:lang w:bidi="ar-SA"/>
        </w:rPr>
        <w:t xml:space="preserve">، و الكنى و الألقاب </w:t>
      </w:r>
      <w:r>
        <w:rPr>
          <w:rStyle w:val="FootnoteAnchor"/>
          <w:rtl w:val="true"/>
        </w:rPr>
        <w:footnoteReference w:id="147"/>
      </w:r>
      <w:r>
        <w:rPr>
          <w:rFonts w:ascii="Amiri" w:hAnsi="Amiri" w:eastAsia="Amiri" w:cs="Amiri"/>
          <w:color w:val="111111"/>
          <w:sz w:val="28"/>
          <w:sz w:val="28"/>
          <w:szCs w:val="28"/>
          <w:rtl w:val="true"/>
          <w:lang w:bidi="ar-SA"/>
        </w:rPr>
        <w:t xml:space="preserve">، و هدية الأحباب </w:t>
      </w:r>
      <w:r>
        <w:rPr>
          <w:rStyle w:val="FootnoteAnchor"/>
          <w:rtl w:val="true"/>
        </w:rPr>
        <w:footnoteReference w:id="148"/>
      </w:r>
      <w:r>
        <w:rPr>
          <w:rFonts w:ascii="Amiri" w:hAnsi="Amiri" w:eastAsia="Amiri" w:cs="Amiri"/>
          <w:color w:val="111111"/>
          <w:sz w:val="28"/>
          <w:sz w:val="28"/>
          <w:szCs w:val="28"/>
          <w:rtl w:val="true"/>
          <w:lang w:bidi="ar-SA"/>
        </w:rPr>
        <w:t xml:space="preserve">، و الحاج المولى علي التبريزي في بهجة الآمال </w:t>
      </w:r>
      <w:r>
        <w:rPr>
          <w:rStyle w:val="FootnoteAnchor"/>
          <w:rtl w:val="true"/>
        </w:rPr>
        <w:footnoteReference w:id="149"/>
      </w:r>
      <w:r>
        <w:rPr>
          <w:rFonts w:ascii="Amiri" w:hAnsi="Amiri" w:eastAsia="Amiri" w:cs="Amiri"/>
          <w:color w:val="111111"/>
          <w:sz w:val="28"/>
          <w:sz w:val="28"/>
          <w:szCs w:val="28"/>
          <w:rtl w:val="true"/>
          <w:lang w:bidi="ar-SA"/>
        </w:rPr>
        <w:t xml:space="preserve">، و الميرزا محمد علي المدرس في ريحانة الأدب </w:t>
      </w:r>
      <w:r>
        <w:rPr>
          <w:rStyle w:val="FootnoteAnchor"/>
          <w:rtl w:val="true"/>
        </w:rPr>
        <w:footnoteReference w:id="150"/>
      </w:r>
      <w:r>
        <w:rPr>
          <w:rFonts w:ascii="Amiri" w:hAnsi="Amiri" w:eastAsia="Amiri" w:cs="Amiri"/>
          <w:color w:val="111111"/>
          <w:sz w:val="28"/>
          <w:sz w:val="28"/>
          <w:szCs w:val="28"/>
          <w:rtl w:val="true"/>
          <w:lang w:bidi="ar-SA"/>
        </w:rPr>
        <w:t xml:space="preserve">، و السيد الصدر في تأسيس الشيعة </w:t>
      </w:r>
      <w:r>
        <w:rPr>
          <w:rStyle w:val="FootnoteAnchor"/>
          <w:rtl w:val="true"/>
        </w:rPr>
        <w:footnoteReference w:id="151"/>
      </w:r>
      <w:r>
        <w:rPr>
          <w:rFonts w:ascii="Amiri" w:hAnsi="Amiri" w:eastAsia="Amiri" w:cs="Amiri"/>
          <w:color w:val="111111"/>
          <w:sz w:val="28"/>
          <w:sz w:val="28"/>
          <w:szCs w:val="28"/>
          <w:rtl w:val="true"/>
          <w:lang w:bidi="ar-SA"/>
        </w:rPr>
        <w:t xml:space="preserve">، و عمر رضا كحاله في معجم المؤلفين </w:t>
      </w:r>
      <w:r>
        <w:rPr>
          <w:rStyle w:val="FootnoteAnchor"/>
          <w:rtl w:val="true"/>
        </w:rPr>
        <w:footnoteReference w:id="152"/>
      </w:r>
      <w:r>
        <w:rPr>
          <w:rFonts w:ascii="Amiri" w:hAnsi="Amiri" w:eastAsia="Amiri" w:cs="Amiri"/>
          <w:color w:val="111111"/>
          <w:sz w:val="28"/>
          <w:sz w:val="28"/>
          <w:szCs w:val="28"/>
          <w:rtl w:val="true"/>
          <w:lang w:bidi="ar-SA"/>
        </w:rPr>
        <w:t xml:space="preserve">، و الزركلي في الأعلام </w:t>
      </w:r>
      <w:r>
        <w:rPr>
          <w:rStyle w:val="FootnoteAnchor"/>
          <w:rtl w:val="true"/>
        </w:rPr>
        <w:footnoteReference w:id="153"/>
      </w:r>
      <w:r>
        <w:rPr>
          <w:rFonts w:ascii="Amiri" w:hAnsi="Amiri" w:eastAsia="Amiri" w:cs="Amiri"/>
          <w:color w:val="111111"/>
          <w:sz w:val="28"/>
          <w:sz w:val="28"/>
          <w:szCs w:val="28"/>
          <w:rtl w:val="true"/>
          <w:lang w:bidi="ar-SA"/>
        </w:rPr>
        <w:t>، و غيرهم من أصحاب كتب السير و التراجم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51129_2314609296"/>
      <w:bookmarkStart w:id="48" w:name="_Toc17"/>
      <w:bookmarkEnd w:id="47"/>
      <w:r>
        <w:rPr>
          <w:rtl w:val="true"/>
        </w:rPr>
        <w:t>(</w:t>
      </w:r>
      <w:r>
        <w:rPr/>
        <w:t>10</w:t>
      </w:r>
      <w:r>
        <w:rPr>
          <w:rtl w:val="true"/>
        </w:rPr>
        <w:t xml:space="preserve">) </w:t>
      </w:r>
      <w:r>
        <w:rPr>
          <w:rtl w:val="true"/>
        </w:rPr>
        <w:t>مؤلّفاته</w:t>
      </w:r>
      <w:r>
        <w:rPr>
          <w:rtl w:val="true"/>
        </w:rPr>
        <w:t>:</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الحلّي رضوان اللّٰه تعالى عليه مؤلّفات كثيرة في شتى صنوف العلوم،</w:t>
      </w:r>
    </w:p>
    <w:p>
      <w:pPr>
        <w:pStyle w:val="BookText"/>
        <w:rPr/>
      </w:pPr>
      <w:r>
        <w:rPr>
          <w:rFonts w:ascii="Amiri" w:hAnsi="Amiri" w:eastAsia="Amiri" w:cs="Amiri"/>
          <w:color w:val="111111"/>
          <w:sz w:val="28"/>
          <w:sz w:val="28"/>
          <w:szCs w:val="28"/>
          <w:rtl w:val="true"/>
          <w:lang w:bidi="ar-SA"/>
        </w:rPr>
        <w:t>حتى نستطيع أن نقول بأنه لم يدع علما إلّا و ألّف فيه، و لا تكاد تخلو مكتبة من كتبه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تعرّفنا عليه هو واحد و مائة كتاب له بلا شك، و هناك ثلاثة و عشرون كتابا يشك في نسبتها إليه، و عشرة كتب ليست له و إنما نسبت إليه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الأبحاث المفيدة في تحصيل العقيدة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بني زهرة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المهنائية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الفاخرة المنقولة عن الأئمّة الطاهرة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أصول الدين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في تحرير معاني الأخبار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النظر في القضاء و القدر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الخفيّة في العلوم العقلية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إلى معاني الإشارات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الألفين الفارق بين الصدق و المين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الملكوت في شرح الياقوت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 في أسماء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التلبيس في كلام الرئيس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مخالفة السنّة لنص الكتاب و السنّة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المعضلات في شرح الإشارات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المقاصد من حكمة عين القواعد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الإشارات إلى معاني الإشارات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الكافية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في أحكام الدين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تحرى الأبحاث في معرفة العلوم الثلاثة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الملخّص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تسبيل الأذهان إلى أحكام الإيمان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تسليك الأفهام في معرفة الأحكام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تسليك النفس إلى حظيرة القدس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التام في الحكمة و الكلام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في معرفة الأحكام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التناسب بين الأشعرية و فرق السوفسطائية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الأبحاث في العوم الثلاث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قواعد الدين المأخوذ في آل يس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في معرفة المذاهب الخمس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الوصول إلى علم الأصول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السؤال عن حكمة النسخ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النضيد في شرح كتاب التجريد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المشكلات من كتاب التلويحات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في أصول الدين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أحوال الرجال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الأعمال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المكنون في شرح علم القانون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و المرجان في الأحاديث الصحاح و الحسان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البرهانية في تصحيح الحضرة الغروية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الوجيز في تفسير الكتاب العزيز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غاية الوصول إلى علم الأصول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الكلمات الخمس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الأحكام في تصحيح تلخيص المرام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الوصول و إيضاح السبل في شرح مختصر منتهى السؤول و الأمل في علمي الأصول و الجدل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مسائل الحلال و الحرام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الجلية في شرح الشمسية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المقاصد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الأستار في شرح كشف الأسرار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من كتاب الشفاء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الفوائد في شرح قواعد العقائد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المقال في معرفة الرجال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المكنون من كتاب القانون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الحكمة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المباحثات السنيّة و المعاوضات النصيريّة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الوصول إلى علم الأصول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المحاكمات بين شرّاح الإشارات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شرح نهج البلاغة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التدقيق و مقاصد التحقيق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السيد ابن زهرة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العلية في علم العربية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الفهم في شرح النظم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في الفقه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الوافية بفوائد القانون و الكافية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المقاومات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الواصلين في أصول الدين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الوصول إلى علمي الكلام و الأصول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مناسك الحاج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الصلاح في اختصار المصباح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في الإمامة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الهداية و معراج الدراية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اليقين في أصول الدين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البراهين في أصول الدين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البديعة في تحرير الذريعة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المشرق في علم المنطق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المرام في علم الكلام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الوصول إلى علم الأصول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في تفسير القرآن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 كشف الصدق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العرفان في علم الميزان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المسترشدين في أصول الدين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الوصول إلى علم الأصول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الوضّاح في الأحاديث الصحاح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الحج و أركانه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الوضوء و الصلاة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الاعتقاد على جميع العباد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عدد من المؤلفات المشكوكة نسبتها إلى العلّامة رحمه اللّٰه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خزانة كتب مدرسة فاضل خان بالمشهد الرضوي كما ذكر في فهرسها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ينسب إلى العلّامة أيضا رسالة مختصرة في تحقيق معنى الايمان و نقل الأقوال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الروضات أنّ من مؤلّفات العلّامة التي لم يذكرها في الخلاصة مختصرة في تحقيق معنى الايمان، ثم ذكر أن فيه نظرا واضحا كنسبة كتاب</w:t>
      </w:r>
    </w:p>
    <w:p>
      <w:pPr>
        <w:pStyle w:val="BookText"/>
        <w:rPr/>
      </w:pPr>
      <w:r>
        <w:rPr>
          <w:rFonts w:ascii="Amiri" w:hAnsi="Amiri" w:eastAsia="Amiri" w:cs="Amiri"/>
          <w:color w:val="111111"/>
          <w:sz w:val="28"/>
          <w:sz w:val="28"/>
          <w:szCs w:val="28"/>
          <w:rtl w:val="true"/>
          <w:lang w:bidi="ar-SA"/>
        </w:rPr>
        <w:t xml:space="preserve">الكشكول إلى العلّامة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المطلعين رآه عند بعض علماء العامّة ببغداد، ثم استظهر أنه غير ما مرّ من أسماء تفاسير العلّامة كالسر الوجيز و نهج الايمان، ثم احتمل كونه أحدهما، و استظهر في الأعيان أنه السّر الوجير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كلام النبي و الوصي و الجمع بين آيتين من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الطباطبائي في مكتبة العلّامة الحلّي، و ذكر أن له نسخة في المكتبة الناصرية في لكهنو، و عنها مصورة في جامعة طهران ذكرت في فهرس مصوراتها، و نسخة في مكتبة الإلهيات في مشهد، و نسخة في جامعة طهران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معاصره أو تلميذه، و ليس هو ابن حمزة المشهور المتقدم على العلّامة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الرياض بأنه قد استكثر من النقل عن هذه الجوابات في هامش رسالة الطهارة التي عندنا منها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ذكرها لسيد الطباطبائي في مكتبة العلّامة الحلّي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الأعيان، و ذكر أن السائل عنهما الخواجة رشيد الدين فضل اللّٰه الطبيب الهمداني وزير غازان خان، ثم ذكر أنه رأى هذه الرسالة في طهران في مكتبة الشيخ علي المدرس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في الأعيان و الذريعة، و 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الشيخ إبراهيم ابن أبي جمهور في كتابه عوالي اللئالي الذي ألّفه في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حسن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جواز الطهارة بالماء المضاف و عدمه من فروع كتاب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نقل في بعض كتبه موافقة المفيد للسيد المرتضى في القول بالجواز ثم كتب في الهامش أنه ذكره في حاشيته على التلخيص، ثم ذكر في الرياض أن مراده بحاشية التلخيص ما قيّده به العلّامة نفسه في هوامش كتاب تلخيصه المذكور، و احتمل في الأعيان كون حاشية التلخيص هي نفسها غاية الأحكام في تصحيح تلخيص المرام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القواعد المكتوبة في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الشيخ مشكور في النجف و عليها بعض الحواشي بعنوان منه و بعضها من المصنف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معتقدات الأشاعرة و بعض قبائحها، ذكره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عبد الرحمن بن محمد العتائقي الحلّي في بعض تصانيفه كما رأيته بخطه في الخزانة الغروية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في تأسيس الشيعة نقلا عن الشهيد في حاشيته على الخلاصة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السيد الطباطبائي في مكتبة العلّامة</w:t>
      </w:r>
    </w:p>
    <w:p>
      <w:pPr>
        <w:pStyle w:val="BookText"/>
        <w:rPr/>
      </w:pPr>
      <w:r>
        <w:rPr>
          <w:rFonts w:ascii="Amiri" w:hAnsi="Amiri" w:eastAsia="Amiri" w:cs="Amiri"/>
          <w:color w:val="111111"/>
          <w:sz w:val="28"/>
          <w:sz w:val="28"/>
          <w:szCs w:val="28"/>
          <w:rtl w:val="true"/>
          <w:lang w:bidi="ar-SA"/>
        </w:rPr>
        <w:t>الحلّي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منسوبا إلى العلّامة في مجموعة كلمات المحققين </w:t>
      </w:r>
      <w:r>
        <w:rPr>
          <w:rStyle w:val="FootnoteAnchor"/>
          <w:rtl w:val="true"/>
        </w:rPr>
        <w:footnoteReference w:id="26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مع مسار الشيعة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الأعيان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في الذريعة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الفهارس المخطوطة و لم يذكر مآخذه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السيد الطباطبائي في مكتبة العلّامة الحلّي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 في مكتبة الإمام الرضا عليه السلام ضمن المجموعة رقم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مكتبة السماوي، و احتمل في موضع آخر من الذريعة أن يكون المباحث هذا هو نفسه المباحثات السنية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مختصر إرشاد المفيد، ذكره في الذريعة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النجف عند السيد محمد سبط أخي الحاج سيد حسين الكوه‌كمري، ثم ذكر أن اسم الكاتب غير موجود في الكتاب، لكن كتب على ظهر النسخة أنه تصنيف آية اللّٰه العلّامة الحلّي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الدين و مناهج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توجد منه نسخة في المكتبة الرضوية كتبت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و ذكر أن هذا الكتاب عدّ في فهرسها من كتب أصول الفقه، و أنه للعلّامة، و أنه المعروف بمنهاج اليقين في أصول الدين، ثم ذكر أن المنهاج في أصول الدين غير هذا، و كتاب المعارج لم يذكر في تصانيف العلّامة مع أن الظاهر أنه في الفقه لا أصول الفقه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الطباطبائي في مكتبة العلّامة الحلّي، و ذكر أن له نسخة في مكتبة المسجد الأعظم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كتاب ذكر في الإجازة المطبوعة و ذكر أنه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كتابا إذ لم يذكر في نسخة الإجازة التي اعتمد عليها في البحار و الرياض، و لم يذكر في الذريعة و لا في الأعيان و لا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الاشتباه نشأ من الناسخ إذ العلّامة ذكر في الإجازة كتبه موزعة على العلوم، فيكتب كتب أصول الفقه، و يذكر بعده الكتب المرتبطة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النحو، و ذكر بعده الكتب المرتبطة به كما في نسخة الإجازة التي اعتمد عليها في البحار و الرياض، فاشتبه الناسخ و جعله</w:t>
      </w:r>
    </w:p>
    <w:p>
      <w:pPr>
        <w:pStyle w:val="BookText"/>
        <w:rPr/>
      </w:pPr>
      <w:r>
        <w:rPr>
          <w:rFonts w:ascii="Amiri" w:hAnsi="Amiri" w:eastAsia="Amiri" w:cs="Amiri"/>
          <w:color w:val="111111"/>
          <w:sz w:val="28"/>
          <w:sz w:val="28"/>
          <w:szCs w:val="28"/>
          <w:rtl w:val="true"/>
          <w:lang w:bidi="ar-SA"/>
        </w:rPr>
        <w:t xml:space="preserve">كتاب النحو، و ذكر أنه مجلّد، إذ لم يرد في نسخة الإجازة المطبوعة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بدله كتاب النحو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الرياض أن بعض تلاميذ المحقق الكركي نسب كتاب الهادي إلى العلّامة،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من جملة مؤلّفاته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مجموعة من الكتب نسبت إلى العلّامة الحلّي و هي ليست له قطعا،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كتاب الابتهاج للعلّامة، و هو ليس له قطعا، بل هو للشيخ المتكلّم أبي إسحاق إبراهيم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الاشتباه في هذه النسبة هو أن العلّامة في كتابه أنوار الملكوت في شرح الياقوت يذكر أولا نصّ كلام الياقوت للنوبختي ثم يشرع في الشرح، فذكر في مسألة أنه تعالى مبتهج بذاته نصّ كلام الياقوت، و في آخر كلام الياقوت 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سطّرنا فيها كتابا مفردا سمّيناه بكتاب الابتهاج، فاشتبه الأمر و ظن أن هذا الكلام للعلّامة، فنسب كتاب الابتهاج إليه، و يدل على أن كتاب الابتهاج ليس للعلّامة، ما ذكره العلّامة في آخر شرح عبارة الياقوت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صنف كتابا في هذه المسألة لم يصل إلينا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الإسرار في إمامة الأئمّة الأطهار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ينسب إلى العلّامة كتاب الإسرار في إمامة الأئمّة الأطهار كما رأيته بخط بعض الأفاضل، و هو سهو واضح، بل هو من مؤلّفات الحسن الطبرسي أو غيره من العلماء الطبرسيين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نسبة كتاب</w:t>
      </w:r>
    </w:p>
    <w:p>
      <w:pPr>
        <w:pStyle w:val="BookText"/>
        <w:rPr/>
      </w:pPr>
      <w:r>
        <w:rPr>
          <w:rFonts w:ascii="Amiri" w:hAnsi="Amiri" w:eastAsia="Amiri" w:cs="Amiri"/>
          <w:color w:val="111111"/>
          <w:sz w:val="28"/>
          <w:sz w:val="28"/>
          <w:szCs w:val="28"/>
          <w:rtl w:val="true"/>
          <w:lang w:bidi="ar-SA"/>
        </w:rPr>
        <w:t xml:space="preserve">الإسرار في الإمامة إلى العلّامة نظرا واضحا كنسبة كتاب الكشكول إليه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هذا الكتاب إلى العلّامة، و ذلك لما ذكره العلّامة في الإجازة، و هو ليس كتابا قطعا، بل هو عنوان لكتب أصول الدين، كما مرّ في كتاب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السداد في شرح واجب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إلى العلّامة في الأعيان، و هو ليس للعلّامة، لتفرد السيد الأمين في نسبته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اشتباه نسبة هذا الكتاب إلى العلّامة عند ملاحظة مقدمته التي نقلها في الذريعة،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الخاصية أن جميع ما فيه عدا التسليم من المسائل الفقهية مجمع عليه بين فقهاء الإمامية و لم يتعدّ فيه من الواجبات إلى ذكر شي‌ء من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الذريعة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يذكر فيه اسم الشارح لكن يظهر من بعض القرائن أنه تأليف الشيخ ظهير الدين أبي إسحاق إبراهيم ابن الشيخ نور الدين علي بن عبد العالي الميسي، ألّفه لولده الشيخ عبد الكريم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إلى العلّامة السيد الأمين في الأعيان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الكتب و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ليس له قطعا لتفرد السيد الأمين بهذه النسبة و لأن تلخيص الفهرست للمحقق الحلّي لا للعلّامة، فإن المحقق لخّص الفهرست للشيخ بتجريده عن ذكر الكتب و الأسانيد و الاقتصار على ذكر نفس المصنفين و سائر خصوصياتهم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فيما جرى على آل الرسول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نسبه إلى العلّامة السيد هاشم البحراني في تفسير البرهان حيث أورد رواية عن الكشكول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الكشكول فيما جرى على آل الرسول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ليس للعلّامة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مؤلفه قال في مقدمته 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الكتاب في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توفي 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التأمل في سياق عبارات الكتاب و أسلوب كلامه ظاهر في أنه ليس على طريق مشرب العلّامة و نظم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تأليف السيد حيدر بن علي الآملي الحسيني، أو معاصره و سميّه السيد حيدر بن علي العبيدي أو العبدلي الحسيني الآملي المعروف بالصوفي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للعلّامة الزركلي في الأعلام، و هو ليس له قطعا، بل لأبي عبد اللّٰه مقداد بن عبد اللّٰه السيوري الحلّي تلميذ الشهيد الأول و شارح الباب الحادي عشر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نسبه للعلّامة في كشف الظنون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في الأدعية و الأوراد و عمل اليوم و الليلة و المواسم و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اختصره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ليس للعلّامة قطعا بل الشيخ الطوسي اختصره العلّامة بكتاب سمّاه منهج الصلاح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السلامة إلى معراج الكرامة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نسبه للعلّامة السيد الأمين في الأعيان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نفسه منهاج الكرامة الذي مرّ سابقا و إنما الاختلاف في الاسم، فاشتبه الأمر على صاحب الأعيان حيث عدّه كتابين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49" w:name="pg19729_212606"/>
    </w:p>
    <w:p>
      <w:pPr>
        <w:pStyle w:val="BookText"/>
        <w:rPr/>
      </w:pPr>
      <w:bookmarkEnd w:id="49"/>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نسبه للعلّامة في الأعيان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تلاميذ الشيخ علي الكركي، و يمكن أن يكون هو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البحار في مقدماته سمّاه نهج الحق و كشف الصدق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251131_2314609296"/>
      <w:bookmarkStart w:id="51" w:name="_Toc18"/>
      <w:bookmarkEnd w:id="50"/>
      <w:r>
        <w:rPr>
          <w:rtl w:val="true"/>
        </w:rPr>
        <w:t>(</w:t>
      </w:r>
      <w:r>
        <w:rPr/>
        <w:t>11</w:t>
      </w:r>
      <w:r>
        <w:rPr>
          <w:rtl w:val="true"/>
        </w:rPr>
        <w:t xml:space="preserve">) </w:t>
      </w:r>
      <w:r>
        <w:rPr>
          <w:rtl w:val="true"/>
        </w:rPr>
        <w:t>العلّامة و السلطان أولجايتو</w:t>
      </w:r>
      <w:r>
        <w:rPr>
          <w:rtl w:val="true"/>
        </w:rPr>
        <w:t>:</w:t>
      </w:r>
      <w:bookmarkEnd w:id="51"/>
    </w:p>
    <w:p>
      <w:pPr>
        <w:pStyle w:val="BookText"/>
        <w:rPr/>
      </w:pPr>
      <w:r>
        <w:rPr>
          <w:rFonts w:ascii="Amiri" w:hAnsi="Amiri" w:eastAsia="Amiri" w:cs="Amiri"/>
          <w:color w:val="111111"/>
          <w:sz w:val="28"/>
          <w:sz w:val="28"/>
          <w:szCs w:val="28"/>
          <w:rtl w:val="true"/>
          <w:lang w:bidi="ar-SA"/>
        </w:rPr>
        <w:t xml:space="preserve">أسلم السلطان غازان خان بن أرغون خان بن اباقا خان بن هولاكو خان بن تولى خان بن جنكيز خان في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بمحمود، و استبصر في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في الحادي عشر من شوال عام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أخوه محمّد أولجايتو خان من خراسان في الثاني من ذي الحجة، و في اليوم السادس عشر منه جلس على كرسيّ السلطنة، و كان أكثر تأييده لمذهب الحنفية و لعلمائه، لأنّه كان قاطنا في خراسان في زمن أخيه محمود، و كان تواجد علماء الحنفية فيها، ثم انتقل إلى مذهب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أقلّ شناعة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مناظرات جرت بين المذهبين يأتي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لقّب هذا السلطان باولجايتو لأنه في أوّل سلطنته صالح طوائف أروق جنكيز خان بعد ما استحكمت المنازعة بينهم خمسين سنة، فأطاعوا السلطان محمّد و أرسلوا إليه الرسل و ارتفع النزاع عن العالم، و لذلك اعتقد الناس أنّ سلطنته مباركة ميمونة، فعرضوا عليه أن يلقب باولجايتو، لأنه في لغة الأتراك بمعنى السلطان الكبير المبارك، فاستقرّ لقبه على هذا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اختار هذا السلطان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مناظرات عديدة جرت بين العلّامة و سائر علماء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نفسه بخدابنده، بمعنى عبد اللّٰه، لكن المتعصبين من العامّة غيّروا هذا اللقب الشريف إلى خربنده بمعنى غلام الحمار، حتى اشتهر هذا اللقب عليه كما اعترف به ابن بطوطة </w:t>
      </w:r>
      <w:r>
        <w:rPr>
          <w:rStyle w:val="FootnoteAnchor"/>
          <w:rtl w:val="true"/>
        </w:rPr>
        <w:footnoteReference w:id="286"/>
      </w:r>
      <w:r>
        <w:rPr>
          <w:rFonts w:ascii="Amiri" w:hAnsi="Amiri" w:eastAsia="Amiri" w:cs="Amiri"/>
          <w:color w:val="111111"/>
          <w:sz w:val="28"/>
          <w:sz w:val="28"/>
          <w:szCs w:val="28"/>
          <w:rtl w:val="true"/>
          <w:lang w:bidi="ar-SA"/>
        </w:rPr>
        <w:t>، و لم يكتفوا بهذا، بل</w:t>
      </w:r>
    </w:p>
    <w:p>
      <w:pPr>
        <w:pStyle w:val="BookText"/>
        <w:rPr/>
      </w:pPr>
      <w:r>
        <w:rPr>
          <w:rFonts w:ascii="Amiri" w:hAnsi="Amiri" w:eastAsia="Amiri" w:cs="Amiri"/>
          <w:color w:val="111111"/>
          <w:sz w:val="28"/>
          <w:sz w:val="28"/>
          <w:szCs w:val="28"/>
          <w:rtl w:val="true"/>
          <w:lang w:bidi="ar-SA"/>
        </w:rPr>
        <w:t>ذكروا لسبب هذه التسمية قصة ابتدعوها،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التتر يسمّون المولود باسم أول داخل على البيت عند ولادته، فلمّا ولد هذا السلطان كان أوّل داخل الزمال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بطلان هذه القصة انّ لغة التتر هي التركية، و لفظ خربنده 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المتعصبين من العامة كابن حجر العسقلاني و غيره غيّروا ذاك اللقب الشريف إلى خربنده، و ذلك لحميّتهم الجاهلية الباردة، و من الواضح لدى العقلاء إنّ صيانة قلم المؤرخ و طهارة لسانه و عفّة بيانه من البذاءة و الفحش من الشرائط المهمّة في قبول نقله و الاعتماد عليه و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 بعض المتأخرين من الخاصة تبع تعبير القوم عن هذا الملك الجليل و لم يتأمّل أنّه لقب تنابزوا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إلّا لبغض آل الرسول الداء الدفين في قلوبهم و تلك الأحقاد البدرية و الحنينية، و إلّا فما ذنب هذا الملك بعد اعترافهم بجلالته و عدالته و شهامته و رقّة قلبه و حسن سياسته و تدبيره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اختيار هذا الملك مذهب التشيّع لم يكن عن ميل النفس و الهوى، أو احتياج لبقاء سلطنته، و إنّما كان بعد مناظرات علّامتنا أبي منصور مع علماء الفرق كافّة فأوقعهم في مضيق الإلزام و الافحام، و أثبت عليهم حقّية مذهب أهل البيت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الخواجة نظام الدين عبد الملك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أفضل علماء الشافعية، بل أفضل و أكمل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سمع أدلة العلّامة على حقيّة مذهب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حضرة هذا الشيخ في غاية الظهور، إلّا أنّ السلف منّا سلكوا طريقا، و الخلف لإلجام العوام و دفع شقّ عصا أهل الإسلام سكتوا عن زلل أقدامهم، فبالحريّ أن لا تهتك أسرارهم و لا يتظاهر في اللعن عليهم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السلطان كما قال الحافظ الأبرو الشافعي 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ذوق</w:t>
      </w:r>
    </w:p>
    <w:p>
      <w:pPr>
        <w:pStyle w:val="BookText"/>
        <w:rPr/>
      </w:pPr>
      <w:r>
        <w:rPr>
          <w:rFonts w:ascii="Amiri" w:hAnsi="Amiri" w:eastAsia="Amiri" w:cs="Amiri"/>
          <w:color w:val="111111"/>
          <w:sz w:val="28"/>
          <w:sz w:val="28"/>
          <w:szCs w:val="28"/>
          <w:rtl w:val="true"/>
          <w:lang w:bidi="ar-SA"/>
        </w:rPr>
        <w:t xml:space="preserve">سليم يحبّ العلم و العلماء بالأخص السادات، و ذكر بعد هذا أنّ ممالك إيران عمرت في زمانه، و اتفقت القبائل فيما بينها و أطاعت له الأمراء، حتى أجمعت العرب و العجم على إطاعته، و أسّس هذا السلطان في جميع البلاد المدارس و المساجد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المترجم في حقّه في ديباجة كتابه استقصاء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منحه اللّٰه بالقوة القدسية، و خصّه بالكمالات النفسية و القريحة الوقّادة، و الفكرة الصحيحة النقّادة، وفاق في ذلك على جميع الأمم، و زاد علما و فضلا على فضلا من تأخّر و تقدّم، و ألهمه اللّٰه العدل في رعيته و الإحسان إلى العلماء من أهل مملكته، و إفاضة الخير و الانعام على جميع الأنام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النطنزي في 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محمّد خدابنده اولجايتو كان ذا صفات جليلة و خصال حميدة، لم يقترف طيلة عمره فجورا و فسقا، و كانت أكثر معاشرته و مؤانسته مع الفقهاء و الزهّاد و السادة و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لتأسيس صدقات جارية، منها أنّه بنى ألف دار من بقاع الخير و المستشفيات و دور الحديث و دور الضيافة و دور السيادة و المدارس و المساجد و الخانقاهات، بحيث أراح الحاضر و المسافر، و كان زمانه من خير الأزمنة لأهل الفضل و التقى، ملك الممالك و حكم عليها ستة عشر سنة، و كان من بلاد العجم إلى إسكندرية مصر و إلى ما وراء النهر تحت سلطته، توفّي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و دفن بمقبرته التي أعدّها قبل موته في بلدة سلطانية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الخوانساري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يعتني بالعلماء و الصلحاء كثيرا و يحبّهم حبّا شديدا، و أنّه قد حصل للعلم و الفضل في زمن دولته العالية رونق تامّ و رواج كثير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حبّه الشديد للعلم و العلماء لم يرض بمفارقة العلّامة و بقيّة العلماء عنه، لذا أسّس المدرسة السيارة في معسكره لتجوب البلاد الإسلامية لنشر العلم، و كانت تستقي هذه المدرسة من الحلّة التي أرجعت مكانتها العلمية القديمة، و تخرّج من هذه المدرسة رجال أفذاذ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تشيّع هذا السلطان و كيفيته، فالتاريخ ينقل لنا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المولى محمّد تقي المجلسي في روضته،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على امرأته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ثم ندم و جمع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في كلّ مسألة أقاويل مختلفة، أ فليس لكم هنا اختلاف؟</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أحد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بالحلّة و هو يقول ببطلان هذا الطلاق، فبعث كتابه إلى العلّامة و 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بعث إليه قال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مذهبا باطلا و لا عقل للروافض، و لا يليق بالملك أن يبعث إلى طلب رجل خفيف العقل،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العلّامة بعث الملك إلى جميع علماء المذاهب الأربعة و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العلّامة أخذ نعليه بيده و دخل المجلس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جلس عند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لك إنّهم ضعفاء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منه في كل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للملك و تركت الآداب؟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ملكا و كان يسلّم عليه،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 لا خلاف بيننا و بينكم أنه لا يجوز السجود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جلست عند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يقوله العلّامة بالعربي كان يترجم المترجم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أخذت نعلك معك، و هذا ممّا لا يليق بعاقل بل إنسان؟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يسرقه الحنفية كما سرق أبو حنيفة نعل رسول اللّٰه صلّى اللّٰه عليه و آله، فصاحت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 متى كان أبو حنيفة في زمن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تولّده بعد المائة من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لعله كان السارق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الشافعية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تولّد الشافعي في يوم وفاة أبي حنيفة، و كان أربع سنين في بطن امّه و لا يخرج رعاية لحرمة أبي حنيفة، فلمّا مات خرج و كان نشوؤه في المائتين من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المالكية بمثل ما قالته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بمثل ما قالته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العلّامة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علمت أنّ رؤساء المذاهب الأربعة لم يكن أحدهم في زمن رسول اللّٰه صلّى اللّٰه عليه و آله و سلم، و لا في زمن الصحابة، فهذه أحد بدعهم أنّهم اختار و أمن مجتهديهم هذه الأربعة، و لو كان منهم من كان أفضل منهم بمراتب لا يجوّزون أن يجتهد بخلاف ما أفتاه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واحد منهم في زمن رسول اللّٰه صلّى اللّٰه عليه و آله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الشيعة تابعون لأمير المؤمنين عليه السّلام نفس رسول اللّٰه صلّى اللّٰه عليه و آله و أخيه و ابن عمّه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فالطلاق الذي أوقعه الملك باطل، لأنه لم تتحقق شروطه، و منها العدلان، فهل قال الملك بمحضرهما؟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في البحث مع علماء العامة حتى ألزمهم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فتشيّع الملك و بعث إلى البلاد و الأقاليم حتّى يخطبوا للأئمة الاثني عشر في الخطبة، و يكتبوا أساميهم عليهم السّلام في المساجد و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في أصبهان موجود الآن في الجامع القديم الذي كتب في زمانه في ثلاث مواضع، و على منارة دار السيادة التي تمّمها سلطان محمّد بعد ما أحدثها أخوه غازان أيضا موجود، و في محاسن أصفهان موجود أنّ ابتداء الخطبة كان بسعي بعض السادات اسمه ميرزا قلندر، و من المعابد التي رأيت معبد بيربركان الذي في لنجان و بني في زمانه الأسامي الموجودة الآن، و كذا في معبد قطب العارفين نور الدين عبد الصمد النطنزي الذي له نسبة إليه من جانب الام موجود الآن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الحافظ الأبرو الشافعي المعاصر للعلّامة و جمع من المؤرخين،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غازان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فاتفق أن سيدا علويا صلّى الجمعة في يوم الجمعة في الجامع ببغداد مع أهل السنّة، ثم قام و صلّ الظهر منفردا، فتفطّنوا منه ذلك فقتلوه، فشكا ذووه إلى السلطان، فتكدّر خاطره و مسّت عواطفه و أظهر الملالة من أنه لمجرد إعادة الصلاة يقتل رجل من أولاد الرسول صلّى اللّٰه عليه و آله و لم يكن له علم بالمذاهب الإسلامية، فقام يتفحّص عنها، و كان في أمرائه جماعة متشيّعون، منهم الأمير طرمطار بن مانجو بخشي، و كان في خدمة السلطان من صغره و له وجه عنده، و كانت نشأته في الري بلدة الشيعة، و كان يستنصر مذهب التشيّع، لمّا رآه مغضبا على أهل السّنة انتهز الفرصة و رغّبه إلى مذهب التشيّع فمال إليه، و لمّا سيطر الأمير غازان على الوضع و هدأت الضوضاء التي كانت في زمانه كان تأثير كلام الأمير طرمطار أكثر عند السلطان غازان، فقام في</w:t>
      </w:r>
    </w:p>
    <w:p>
      <w:pPr>
        <w:pStyle w:val="BookText"/>
        <w:rPr/>
      </w:pPr>
      <w:r>
        <w:rPr>
          <w:rFonts w:ascii="Amiri" w:hAnsi="Amiri" w:eastAsia="Amiri" w:cs="Amiri"/>
          <w:color w:val="111111"/>
          <w:sz w:val="28"/>
          <w:sz w:val="28"/>
          <w:szCs w:val="28"/>
          <w:rtl w:val="true"/>
          <w:lang w:bidi="ar-SA"/>
        </w:rPr>
        <w:t>تربية السادة و عمارة مشاهد الأئمة عليهم السّلام، فأسّس دار السيادة في أصفهان و كاشان و سيواس روم و أوقف عليها أملاكا كثيرة، و كذا في مشهد أمير المؤمنين عليه السّلام كما بقيت بعض الآثار لحدّ الآن، و كان ميله إلى مذهب الإمامية يزداد يوما فيوما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توفي السلطان غازان و قام بالسلطنة من بعده وليّ عهده أخوه محمّد، و صار يميل إلى الحنفية بترغيب جمع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مسكنه في زمن أخيه غازان كان في خراسان، و تواجد علماء الحنفية آن ذاك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يكرمهم و يوقّرهم، كما أنهم انتهزوا الفرصة في التعصّب لمذهبهم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وزير السلطان محمد خواجه رشيد الدين الشافعي ملولا من ذلك، و لكن لم يكن قادرا على التكلّم بشي‌ء إلى أن جاء قاضي القضاة نظام الدين عبد الملك من مراغة إلى خدمة السلطان، و كان الأوحد في علوم المعقول و المنقول، و صاحب المباحثات و المناظرات المتينة، و كان شافعيّ المذهب، فقدّمه الوزير خواجه رشيد الدين إلى السلطان، فصار ملازما له و فوّض إليه قضاء ممالك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انتهز مولانا نظام الدين الفرصة و شرع في المباحثات مع علماء الحنفية في حضور السلطان في مجالس عديدة، حتى زيّف جميع أدلتهم، فمال السلطان إلى مذهب الشافعيّة، حتى سأل العلّامة قطب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الحنفي أن يصير شافعيا فما له أن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ابن صدر جهان الحنفي من بخارا إلى خدمة السلطان، فشكا إليه الحنفية من القاضي نظام الدين، و أن أذلّنا عند السلطان و أمرائه، فألطف بهم و وعدهم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جاء اليوم المشهود يوم الجمعة، حيث كان علماء الحنفية و الشافعية عند السلطان محمد، فسئل القاضي عن جواز نكاح البنت المخلوقة من ماء الزنا على مذهب الشافعي، فقرّره القاضي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معارض بمسألة نكاح الأخت و الام في مذهب الحنفية، فطال بحثهما و آل إلى الافتضاح، و أنكر ابن صدر الحنفي ذلك، فقرأ القاضي من منظومة أبي حنيفة</w:t>
      </w:r>
    </w:p>
    <w:p>
      <w:pPr>
        <w:pStyle w:val="BookText"/>
        <w:rPr/>
      </w:pPr>
      <w:r>
        <w:rPr>
          <w:rFonts w:ascii="Amiri" w:hAnsi="Amiri" w:eastAsia="Amiri" w:cs="Amiri"/>
          <w:color w:val="111111"/>
          <w:sz w:val="28"/>
          <w:sz w:val="28"/>
          <w:szCs w:val="28"/>
          <w:rtl w:val="true"/>
          <w:lang w:bidi="ar-SA"/>
        </w:rPr>
        <w:t>و ليس في لواطة من حدّ و لا بوطء الأخت بعد عقد</w:t>
      </w:r>
    </w:p>
    <w:p>
      <w:pPr>
        <w:pStyle w:val="BookText"/>
        <w:rPr/>
      </w:pPr>
      <w:r>
        <w:rPr>
          <w:rFonts w:ascii="Amiri" w:hAnsi="Amiri" w:eastAsia="Amiri" w:cs="Amiri"/>
          <w:color w:val="111111"/>
          <w:sz w:val="28"/>
          <w:sz w:val="28"/>
          <w:szCs w:val="28"/>
          <w:rtl w:val="true"/>
          <w:lang w:bidi="ar-SA"/>
        </w:rPr>
        <w:t>فملّ السلطان و امراؤه حتى قام السلطان من مجلسه مغضبا، و ندم الأمراء على أخذهم مذهب الإسلام، و كان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 بأنفسنا تركنا مذهب آبائنا و أخذنا دين العرب المنشعب إلى مذاهب عديدة، و فيها نكاح الامّ و الأخت و البنت، فكان لنا أن نرجع إلى دين أسلافنا، و انتشر الخبر في ممالك السلطان، و كانوا إذا رأوا عالما أو مشتغلا يسخرون منه و يستهزءون به و يسألونه عن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 وصل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كلستان، و كان فيها قصر بناه أخوه السلطان غازان خان، فنزل السلطان مع خاصّته فيه، فلمّا كان الليل أخذهم رعد و برق و مطر عظيم في غير وقته بغتة، و هلك جماعة من مقرّبي السلطان بالصاعقة، ففزع السلطان و امراؤه و خافوا فرحلوا منه على سرعة، فقال له بعض أمرائه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قاعدة المغول لا بدّ أن يمرّ السلطان على النار، فأمر بإحضار أسانيد هذا الفن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الواقعة من شؤم الإسلام، فلو تركه السلطان تصلح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السلطان و امراؤه متذبذبين في مدة ثلاثة أشهر في تركهم دين الإسلام، و كان السلطان متحيّرا متفكّرا،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نشأت مدة في دين الإسلام و تكلّفت في الطاعات و العبادات، فكيف أترك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الأمير طرمطار تحيّره في أمره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غازان خان كان أعقل الناس و أكملهم، و لمّا وقف على قبائح أهل السنّة مال إلى مذهب التشيّع و لا بدّ أن يختاره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مذهب الشيعة؟ قال الأمير طرمطار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المشهور بالرفض، فصاح عليه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تريد أن تجعلني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الأمير يزيّن مذهب الشيعة و يذكر محاسنه له، فمال السلطان الى التشيّع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الأيام ورد على السلطان السيد تاج الدين الآوي الإمامي مع جماعة من الشيعة، فشرعوا في المناظرات مع القاضي نظام الدين في محضر السلطان في مجالس كثيرة، و كانت مناظرتهم بمثابة المقدمة للمناظرة الكبيرة التي وقعت بعد هذا</w:t>
      </w:r>
    </w:p>
    <w:p>
      <w:pPr>
        <w:pStyle w:val="BookText"/>
        <w:rPr/>
      </w:pPr>
      <w:r>
        <w:rPr>
          <w:rFonts w:ascii="Amiri" w:hAnsi="Amiri" w:eastAsia="Amiri" w:cs="Amiri"/>
          <w:color w:val="111111"/>
          <w:sz w:val="28"/>
          <w:sz w:val="28"/>
          <w:szCs w:val="28"/>
          <w:rtl w:val="true"/>
          <w:lang w:bidi="ar-SA"/>
        </w:rPr>
        <w:t>بين علماء السنّة و العلّامة الحلّي بمحضر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مناظرة السيد الآوي عز السلطان السفر إلى بغداد ثم الذهاب إلى زيارة قبر أمير المؤمنين عليه السّلام، و عند القبر رأس مناما يدلّ على حقيّة مذهب الإمامية، فعرض السلطان ما رآه في المنام على الأمراء، فحرّضه من كان منهم في مذهب الشيعة على اعتناق هذا المذهب الحق، فصدر الأمر بإحضار أئمّة الشيعة فطلبوا جمال الدين العلّامة و ولده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السلطان قاضي القضاة نظام الدين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يناظر آية اللّٰه العلّامة، و هيّأ مجلسا عظيما مشحونا بالعلماء و الفضلاء من العامة، منهم المولى قطب الدين الشيرازي و عمر الكاتبي القزويني و أحمد بن محمّد الكيشي و المتسيد ركن الدين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فناظرهم العلّامة و أثبت عليهم بالبراهين العقلية و الحجج النقلية بطلان مذاهبهم العامية و حقيقة مذهب الإمامية، على وجه تمنّوا أن يكونوا جمادا أو شجرا و بهتوا كأنهم التقموا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قال المولى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أدلّة حضرة هذا الشيخ في غاية الظهور، إلّا أن السلف منّا سلكوا طريقا، 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لجام العوام و دفع شقّ عصا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عن زلل أقدامهم، فبالحري أن لا تهتك أسرارهم و لا يتظاهر باللعن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السلطان و الأمراء و العساكر و جمّ غفير من العلماء و الأكابر عن مذهب بقية الطوائف و اعتنقوا 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أحكامه عن الأئمة عليهم السّلام عن عليّ عليه السّلام عن رسول اللّٰه صلّى الهّٰ عليه و آله عن جبرئيل عن اللّٰه عزّ و جل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السلطان في تمام ممالكه بتغيير الخطبة و إسقاط أسامي الثلاثة عنها و بذكر أسامي أمير المؤمنين و سائر الأئمّة عليهم السّلام على المنابر، و بذكر حيّ على خير العمل في الأذان، و بتغيير السكّة و حذف أسماء الثلاثة منها و نقش الأسامي</w:t>
      </w:r>
    </w:p>
    <w:p>
      <w:pPr>
        <w:pStyle w:val="BookText"/>
        <w:rPr/>
      </w:pPr>
      <w:r>
        <w:rPr>
          <w:rFonts w:ascii="Amiri" w:hAnsi="Amiri" w:eastAsia="Amiri" w:cs="Amiri"/>
          <w:color w:val="111111"/>
          <w:sz w:val="28"/>
          <w:sz w:val="28"/>
          <w:szCs w:val="28"/>
          <w:rtl w:val="true"/>
          <w:lang w:bidi="ar-SA"/>
        </w:rPr>
        <w:t xml:space="preserve">المباركة عليها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ما كان فتشيّع هذا السلطان و من معه على يد العلّامة أمر مقطوع به مهما كان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تغيير السكّة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فحذف أسماء الثلاثة منها، فكانت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مدورة مخمّسة الأضلاع، في وسطها ثلاثة سطور متوازية الأبعاض متكافئة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الأسامي المباركة للأئمة عليهم السّلام على الترتيب على 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انقضت المناظرة جعل السلطان السيد تاج الدين محمّد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الممالك، و شرع العلّامة بعد ذلك بمعونة هذا السلطان المستبصر في تشييد أساس الحق و ترويج المذهب، و كتب باسم السلطان عدّة كتب و رسائل بعضها كانت بطلب من السلطان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العلامة رحمه اللّٰه في القرب و المنزلة عند السلطان بحيث لم يرض بعد استبصاره بمفارقة العلّامة في حضر أو سفر، لذا أمر بترتيب المدرسة السيارة له و لتلاميذه، و هذه المدرسة السيارة ذات حجرات و مدارس من الخيام الكرباسية، فكانت تحمل مع الموكب السلطاني، و كانت هذه المدرسة المباركة تستقي من الحلّة، و تخرّج من هذه المدرسة كثير من العلماء الصلحاء، و نقل أنّه وجد في أواخر مؤلّفات العلّامة وقوع الفراغ منه في المدرسة السيارة السلطانية في كرمانشاه، و في جملة من أواخر أجزاء التذكرة أنه وقع الفراغ منه في السلطانية، و يؤيده ما ذكره الصفدي من أنّ</w:t>
      </w:r>
    </w:p>
    <w:p>
      <w:pPr>
        <w:pStyle w:val="BookText"/>
        <w:rPr/>
      </w:pPr>
      <w:r>
        <w:rPr>
          <w:rFonts w:ascii="Amiri" w:hAnsi="Amiri" w:eastAsia="Amiri" w:cs="Amiri"/>
          <w:color w:val="111111"/>
          <w:sz w:val="28"/>
          <w:sz w:val="28"/>
          <w:szCs w:val="28"/>
          <w:rtl w:val="true"/>
          <w:lang w:bidi="ar-SA"/>
        </w:rPr>
        <w:t xml:space="preserve">العلّامة كان يصنّف و هو راكب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السلطان أيضا كبار علماء العامة بالحضور في هذه المدرسة، تنمية للحركة العلمية و استمرارا للمباحثات الحرة السليمة بين المذاهب، و ممّن كان في هذه المدرسة المولى بدر الدين التستري و المولى نظام الدين عبد الملك المراغي و المولى برهان الدين و الخواجة رشيد الدين و السيد ركن الدين الموصلي و الكاتبي القزويني و الكيشي و قطب الدين الفارسي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لهذا الفصل نذكر ظريفتين جميلتين حدثتا بعد انتهاء المناظرة و استبصار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بعد ما فرغ من هذه المناظرة في مجلس السلطان محمّد خدابنده خطب خطبة بليغة بمثابة الشكر، فحمد اللّٰه و أثنى عليه و صلّى على النبي و الأئمة من بعده عليهم السّلام، و كان في المجلس رجل من أهل الموصل يدّعي أنه سيد اسمه ركن الدين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أسكته العلّامة في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العلّامة في هذه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جواز الصلاة على غير الأنبياء؟ فقرأ العلّامة في جوابه بلا انقطاع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هذا اللاسيد من باب العناد و عقوق الآباء و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مصيبة أصابت عليا و أولاده ليستوجبوا بها الصلاة؟</w:t>
      </w:r>
    </w:p>
    <w:p>
      <w:pPr>
        <w:pStyle w:val="BookText"/>
        <w:rPr/>
      </w:pPr>
      <w:r>
        <w:rPr>
          <w:rFonts w:ascii="Amiri" w:hAnsi="Amiri" w:eastAsia="Amiri" w:cs="Amiri"/>
          <w:color w:val="111111"/>
          <w:sz w:val="28"/>
          <w:sz w:val="28"/>
          <w:szCs w:val="28"/>
          <w:rtl w:val="true"/>
          <w:lang w:bidi="ar-SA"/>
        </w:rPr>
        <w:t>فذكر له العلّامة مصائبهم المشهورة،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مصيبة أعظم عليهم و أشنع أن حصل من ذراريهم مثلك الذي يرجّح المنافقين الجهال المستوجبين اللعنة و النكال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الحاضرون من قوّة جواب العلّامة، و ضحكوا على هذا الموصلي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بعض الحضّار الشعراء في ذلك المجلس هذين البيتين في شأن هذا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العلويّ تابع ناصبيا لمذهبه فما هو من أبيه</w:t>
      </w:r>
    </w:p>
    <w:p>
      <w:pPr>
        <w:pStyle w:val="BookText"/>
        <w:rPr/>
      </w:pPr>
      <w:r>
        <w:rPr>
          <w:rFonts w:ascii="Amiri" w:hAnsi="Amiri" w:eastAsia="Amiri" w:cs="Amiri"/>
          <w:color w:val="111111"/>
          <w:sz w:val="28"/>
          <w:sz w:val="28"/>
          <w:szCs w:val="28"/>
          <w:rtl w:val="true"/>
          <w:lang w:bidi="ar-SA"/>
        </w:rPr>
        <w:t xml:space="preserve">و كان الكلب خيرا منه حقا لأنّ الكلب طبع أبيه فيه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 حسن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رجل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مصاحبا للعلّامة حين حضوره عند السلطان و جريان المباحثة عنده، فلمّا تشيّع السلطان و تمّ الأمر توجّه الملّا حسن إلى السلطان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أصلّي ركعتين على مذهب الفقهاء الأربعة و ركعتين على المذهب الجعفري، و أجعل السلطان حاكما بصحّة أيّ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مع أحد الفقهاء الأربعة يجوّز الوضوء بالنبيذ، و كذا يذهب إلى أنّ الجلد بالدباغة يطهر، و كذا يجوّز بدل قراءة الحمد و سورة قراءة آية واحدة حتى إذا كانت بالترجمة، و يجوّز السجود على نجاسة الكلب، و يجوّز بدل السلام بعد التشهد إخراج ضرطة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فتوضّأ الملّا حسن بالنبيذ، و لبس جلد الكلب، و وضع خرء الكلب موضع سجوده و كبّر، و بدل قراءة الحمد و 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سبز،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ثم ركع، ثم سجد على خرء الكلب، و أدّى الركعة الثانية مثل الاولى، ثم تشهد، و بدل السلام أخرج من دبره ضرطة،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صلاة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مع كمال الخضوع و الخشوع صلّى تمام الركعتين على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الاولى ليست صلاة، بل الصلاة الموافقة للعقل هي الثانية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حدثت مثل هذه الواقعة قبلها أمام السلطان محمود بن سبكتكين، نقل القاضي ابن خلكان عن عبد الملك الجويني إمام الشافعية 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سماه مغيث الحق في اختيار الأحق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السلطان محمود كان على مذهب أبي حنيفة، و كان مولعا بعلم الحديث، و كانوا يسمعون الحديث من الشيوخ بين يديه و هو يسمع، و كان يستفسر الأحاديث، فوجد أكثرها موافقا لمذهب الشافعي،فوقع في جلده حكة، فجمع الفقهاء من الفريقين من مرو، و التمس منهم الكلام في ترجيح أحد المذهبين على الآخر، فوقع الاتفاق على أن يصلّوا بين يديه ركعتين على مذهب الامام الشافعي و على مذهب أبي حنيفة، لينظر السلطان و يتفكّر و يختار ما هو أحسنهما، فصلّى القفال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مسبغة و شرائط معتبرة من الطهارة و الستر و استقبال القبلة، و أتى بالأركان و الهيئات و السنن و الآداب و الفرائض على وجه الكمال و التمام،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لا يجوّز الإمام الشافعي دونها، ثم صلّى ركعتين على ما يجوّز أبو حنيفة، فلبس جلد الكلب مدبوغا، و لطخ ربعه بالنجاسة و توضأ بنبيذ التمر، و كان في صميم الصيف في المفازة، فاجتمع عليه الذباب و البعوض، و كان وضوؤه منكسا منعكسا، ثم استقبل القبلة و أحرم بالصلاة من غير نية في الوضوء، و كبر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آية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برك 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ورقتان خضراوتان، و هو معنى قوله تعالى في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نقر نقرتين كنقرات الديك من غير فصل و من غير ركوع، و تشهد، و ضرط في آخره من غير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السلطان هذه صلاة أبي حنيفة،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هذه الصلاة صلاة أبي حنيفة لقتلتك، لأن مثل هذه الصلاة لا يجوّزها ذو دين، و أنكر الحنفية أن تكون هذه صلاة أبي حنيفة، فأمر القفال بإحضار كتب أبي حنيفة، و أمر السلطان نصرانيا كاتبا يقرأ المذهبين جميعا، فوجدت الصلاة على مذهب أبي حنيفة على ما حكاه القفال، فأعرض السلطان عن مذهب أبي حنيفة و تمسّك بمذهب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الخرافات القبيحة الموجودة في مذهب الشافعي و مذهب أخويه لا تقلّ عن مذهب أبي حنيفة، و لو أردنا ذكر بعضها لخرجنا عن صلب البحث، فنرجئها إلى موضع 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 بعد هذه المناظرة العظيمة و ببركة هذا العلّامة استبصر السلطان و عدد كبير من الأمراء و علماء العامة، فعمّت البركة في جميع الممالك و هدأت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لا ننسى فضل هذا العلّامة، فله حقّ كبير علينا لا نستطيع أن نؤدي قسما يسيرا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قاله المحدّث البحراني بعد ذكر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له قدّس سرّه إلّا هذه المنقبة لفاق بها على جميع العلماء فخرا و علا بها ذكرا، فكيف و مناقبه لا تعدّ و لا تحصى، و مآثره لا يدخلها الحصر و الاستقصاء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الخوانساري معقبا لكلام 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اليد العظمى و المنّة</w:t>
      </w:r>
      <w:bookmarkStart w:id="52" w:name="pg19729_212619"/>
    </w:p>
    <w:p>
      <w:pPr>
        <w:pStyle w:val="BookText"/>
        <w:rPr/>
      </w:pPr>
      <w:bookmarkEnd w:id="52"/>
      <w:r>
        <w:rPr>
          <w:rFonts w:ascii="Amiri" w:hAnsi="Amiri" w:eastAsia="Amiri" w:cs="Amiri"/>
          <w:color w:val="111111"/>
          <w:sz w:val="28"/>
          <w:sz w:val="28"/>
          <w:szCs w:val="28"/>
          <w:rtl w:val="true"/>
          <w:lang w:bidi="ar-SA"/>
        </w:rPr>
        <w:t>الكبرى التي له على أهل الحق ممّا لم ينكره أحد من المخالفين و الموافقين، حتى أنّ في بعض تواريخ العامّة رأيت التعبير عن هذه الحكاية بمثل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سوانح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خدابنده شعار التشيّع بإضلال ابن المطهّر، و أنت خبير بأنّ مثل هذا الكلام المنطوق صدر من أيّ قلب محروق، و الحمد للّٰه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سبحانه أن يعجّل في ظهور إمامنا و ملاذنا لنكحل أعيننا برؤيته و رؤية الحق منتشرا في المعمورة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251133_2314609296"/>
      <w:bookmarkStart w:id="54" w:name="_Toc19"/>
      <w:bookmarkEnd w:id="53"/>
      <w:r>
        <w:rPr>
          <w:rtl w:val="true"/>
        </w:rPr>
        <w:t>(</w:t>
      </w:r>
      <w:r>
        <w:rPr/>
        <w:t>12</w:t>
      </w:r>
      <w:r>
        <w:rPr>
          <w:rtl w:val="true"/>
        </w:rPr>
        <w:t xml:space="preserve">) </w:t>
      </w:r>
      <w:r>
        <w:rPr>
          <w:rtl w:val="true"/>
        </w:rPr>
        <w:t>العلّامة و الشعر</w:t>
      </w:r>
      <w:r>
        <w:rPr>
          <w:rtl w:val="true"/>
        </w:rPr>
        <w:t>:</w:t>
      </w:r>
      <w:bookmarkEnd w:id="54"/>
    </w:p>
    <w:p>
      <w:pPr>
        <w:pStyle w:val="BookText"/>
        <w:rPr/>
      </w:pPr>
      <w:r>
        <w:rPr>
          <w:rFonts w:ascii="Amiri" w:hAnsi="Amiri" w:eastAsia="Amiri" w:cs="Amiri"/>
          <w:color w:val="111111"/>
          <w:sz w:val="28"/>
          <w:sz w:val="28"/>
          <w:szCs w:val="28"/>
          <w:rtl w:val="true"/>
          <w:lang w:bidi="ar-SA"/>
        </w:rPr>
        <w:t xml:space="preserve">وصف المولى الأفندي علّامتنا الحلّي بأنه كان أديبا شاعرا ماهرا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لم يكن مكثارا من الشعر، شأنه شأن الشعراء الماهرين المقلّين من الشعر، فالموجود من شعره بين أيدينا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مخاطبا ابن تيمية، و ذلك لما وصل بيده كتاب منهاج السنّة الذي هو ردّ على كتاب منهاج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كلّ ما علم الورى طرا لصرت صديق كل العالم</w:t>
      </w:r>
    </w:p>
    <w:p>
      <w:pPr>
        <w:pStyle w:val="BookText"/>
        <w:rPr/>
      </w:pPr>
      <w:r>
        <w:rPr>
          <w:rFonts w:ascii="Amiri" w:hAnsi="Amiri" w:eastAsia="Amiri" w:cs="Amiri"/>
          <w:color w:val="111111"/>
          <w:sz w:val="28"/>
          <w:sz w:val="28"/>
          <w:szCs w:val="28"/>
          <w:rtl w:val="true"/>
          <w:lang w:bidi="ar-SA"/>
        </w:rPr>
        <w:t>لكن جهلت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من يهوى خلاف هواك ليس بعالم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لي العثور في هذه الأواخر على مجموعة من ذخائر أهل الاعتبار و لطائف آثار فضلاء الأدوار فيها نسبة هذه الأشعار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كلّ ساعة أنا محتاج و لا أنت قادر أن تنيلا</w:t>
      </w:r>
    </w:p>
    <w:p>
      <w:pPr>
        <w:pStyle w:val="BookText"/>
        <w:rPr/>
      </w:pPr>
      <w:r>
        <w:rPr>
          <w:rFonts w:ascii="Amiri" w:hAnsi="Amiri" w:eastAsia="Amiri" w:cs="Amiri"/>
          <w:color w:val="111111"/>
          <w:sz w:val="28"/>
          <w:sz w:val="28"/>
          <w:szCs w:val="28"/>
          <w:rtl w:val="true"/>
          <w:lang w:bidi="ar-SA"/>
        </w:rPr>
        <w:t>فاغتنم حاجتي و يسرك فأحرز فرصة تسترق فيها الخليلا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رحمه اللّٰه أيضا كتبه إلى العلّامة الطوسي رحمه اللّٰه في صدر كتابته و أرسله إلى عسكر السلطان خدابنده مسترخصا للسفر إلى العراق من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محبتي تقتضي مقامي و حالتي تقتضي الرحيلا</w:t>
      </w:r>
    </w:p>
    <w:p>
      <w:pPr>
        <w:pStyle w:val="BookText"/>
        <w:rPr/>
      </w:pPr>
      <w:r>
        <w:rPr>
          <w:rFonts w:ascii="Amiri" w:hAnsi="Amiri" w:eastAsia="Amiri" w:cs="Amiri"/>
          <w:color w:val="111111"/>
          <w:sz w:val="28"/>
          <w:sz w:val="28"/>
          <w:szCs w:val="28"/>
          <w:rtl w:val="true"/>
          <w:lang w:bidi="ar-SA"/>
        </w:rPr>
        <w:t>هذان خصمان لست أقضي بينهما خوف أن أميلا</w:t>
      </w:r>
    </w:p>
    <w:p>
      <w:pPr>
        <w:pStyle w:val="BookText"/>
        <w:rPr/>
      </w:pPr>
      <w:r>
        <w:rPr>
          <w:rFonts w:ascii="Amiri" w:hAnsi="Amiri" w:eastAsia="Amiri" w:cs="Amiri"/>
          <w:color w:val="111111"/>
          <w:sz w:val="28"/>
          <w:sz w:val="28"/>
          <w:szCs w:val="28"/>
          <w:rtl w:val="true"/>
          <w:lang w:bidi="ar-SA"/>
        </w:rPr>
        <w:t xml:space="preserve">و لا يزالون في اختصام حتى نرى رأيك الجميلا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قال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السيد نعمة اللّٰه الجزائري هذه الرباعية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في محبته شهود أربعة و شهود كلّ قضية اثنان</w:t>
      </w:r>
    </w:p>
    <w:p>
      <w:pPr>
        <w:pStyle w:val="BookText"/>
        <w:rPr/>
      </w:pPr>
      <w:r>
        <w:rPr>
          <w:rFonts w:ascii="Amiri" w:hAnsi="Amiri" w:eastAsia="Amiri" w:cs="Amiri"/>
          <w:color w:val="111111"/>
          <w:sz w:val="28"/>
          <w:sz w:val="28"/>
          <w:szCs w:val="28"/>
          <w:rtl w:val="true"/>
          <w:lang w:bidi="ar-SA"/>
        </w:rPr>
        <w:t xml:space="preserve">خفقان قلبي و اضطراب مفاصلي و شحوب لوني و اعتقال لساني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في مجموعة مخطوطة في المكتبة الرضوية تحت رقم </w:t>
      </w: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نظم قصيدة يؤكد فيها على العلم و أثره النافع في الدنيا و الآخرة، و يحث ولده على بذل الوسع في طلبه و تعليمه لمستحقّيه،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ولدي دعوتك لو أجبتا إلى ما فيه نفعك لو عقلتا</w:t>
      </w:r>
    </w:p>
    <w:p>
      <w:pPr>
        <w:pStyle w:val="BookText"/>
        <w:rPr/>
      </w:pPr>
      <w:r>
        <w:rPr>
          <w:rFonts w:ascii="Amiri" w:hAnsi="Amiri" w:eastAsia="Amiri" w:cs="Amiri"/>
          <w:color w:val="111111"/>
          <w:sz w:val="28"/>
          <w:sz w:val="28"/>
          <w:szCs w:val="28"/>
          <w:rtl w:val="true"/>
          <w:lang w:bidi="ar-SA"/>
        </w:rPr>
        <w:t>إلى علم تكون به إماما مطاعا إن نهيت و إن أمرتا</w:t>
      </w:r>
    </w:p>
    <w:p>
      <w:pPr>
        <w:pStyle w:val="BookText"/>
        <w:rPr/>
      </w:pPr>
      <w:r>
        <w:rPr>
          <w:rFonts w:ascii="Amiri" w:hAnsi="Amiri" w:eastAsia="Amiri" w:cs="Amiri"/>
          <w:color w:val="111111"/>
          <w:sz w:val="28"/>
          <w:sz w:val="28"/>
          <w:szCs w:val="28"/>
          <w:rtl w:val="true"/>
          <w:lang w:bidi="ar-SA"/>
        </w:rPr>
        <w:t>و يجلو ماء عينك من غشاها و يهديك السبيل إذا ضللتا</w:t>
      </w:r>
    </w:p>
    <w:p>
      <w:pPr>
        <w:pStyle w:val="BookText"/>
        <w:rPr/>
      </w:pPr>
      <w:r>
        <w:rPr>
          <w:rFonts w:ascii="Amiri" w:hAnsi="Amiri" w:eastAsia="Amiri" w:cs="Amiri"/>
          <w:color w:val="111111"/>
          <w:sz w:val="28"/>
          <w:sz w:val="28"/>
          <w:szCs w:val="28"/>
          <w:rtl w:val="true"/>
          <w:lang w:bidi="ar-SA"/>
        </w:rPr>
        <w:t>و تحمل منه في ناديك تاجا و يكسوك الجمال إذا اغتربتا</w:t>
      </w:r>
    </w:p>
    <w:p>
      <w:pPr>
        <w:pStyle w:val="BookText"/>
        <w:rPr/>
      </w:pPr>
      <w:r>
        <w:rPr>
          <w:rFonts w:ascii="Amiri" w:hAnsi="Amiri" w:eastAsia="Amiri" w:cs="Amiri"/>
          <w:color w:val="111111"/>
          <w:sz w:val="28"/>
          <w:sz w:val="28"/>
          <w:szCs w:val="28"/>
          <w:rtl w:val="true"/>
          <w:lang w:bidi="ar-SA"/>
        </w:rPr>
        <w:t>ينالك نفعه ما دمت حيّا و يبقى نفعه لك إن ذهبتا</w:t>
      </w:r>
    </w:p>
    <w:p>
      <w:pPr>
        <w:pStyle w:val="BookText"/>
        <w:rPr/>
      </w:pPr>
      <w:r>
        <w:rPr>
          <w:rFonts w:ascii="Amiri" w:hAnsi="Amiri" w:eastAsia="Amiri" w:cs="Amiri"/>
          <w:color w:val="111111"/>
          <w:sz w:val="28"/>
          <w:sz w:val="28"/>
          <w:szCs w:val="28"/>
          <w:rtl w:val="true"/>
          <w:lang w:bidi="ar-SA"/>
        </w:rPr>
        <w:t>هو العضب المهنّد ليس يهفو تصيب به مقاتل من ضربتا</w:t>
      </w:r>
    </w:p>
    <w:p>
      <w:pPr>
        <w:pStyle w:val="BookText"/>
        <w:rPr/>
      </w:pPr>
      <w:r>
        <w:rPr>
          <w:rFonts w:ascii="Amiri" w:hAnsi="Amiri" w:eastAsia="Amiri" w:cs="Amiri"/>
          <w:color w:val="111111"/>
          <w:sz w:val="28"/>
          <w:sz w:val="28"/>
          <w:szCs w:val="28"/>
          <w:rtl w:val="true"/>
          <w:lang w:bidi="ar-SA"/>
        </w:rPr>
        <w:t>و كنزا لا تخاف عليه لصا خفيف الحمل يوجد حيث كنتا</w:t>
      </w:r>
    </w:p>
    <w:p>
      <w:pPr>
        <w:pStyle w:val="BookText"/>
        <w:rPr/>
      </w:pPr>
      <w:r>
        <w:rPr>
          <w:rFonts w:ascii="Amiri" w:hAnsi="Amiri" w:eastAsia="Amiri" w:cs="Amiri"/>
          <w:color w:val="111111"/>
          <w:sz w:val="28"/>
          <w:sz w:val="28"/>
          <w:szCs w:val="28"/>
          <w:rtl w:val="true"/>
          <w:lang w:bidi="ar-SA"/>
        </w:rPr>
        <w:t>يزيد بكثرة الإنفاق منه و ينقص إن به كفّا شددتا</w:t>
      </w:r>
    </w:p>
    <w:p>
      <w:pPr>
        <w:pStyle w:val="BookText"/>
        <w:rPr/>
      </w:pPr>
      <w:r>
        <w:rPr>
          <w:rFonts w:ascii="IRNazanin" w:hAnsi="IRNazanin" w:eastAsia="IRNazanin"/>
          <w:color w:val="111111"/>
          <w:sz w:val="28"/>
          <w:sz w:val="28"/>
          <w:szCs w:val="28"/>
          <w:rtl w:val="true"/>
          <w:lang w:bidi="fa-IR"/>
        </w:rPr>
        <w:t>فلو أن ذقت من حلواه طعما لآثرت التعلم و اجتهدتا</w:t>
      </w:r>
    </w:p>
    <w:p>
      <w:pPr>
        <w:pStyle w:val="BookText"/>
        <w:rPr/>
      </w:pPr>
      <w:r>
        <w:rPr>
          <w:rFonts w:ascii="Amiri" w:hAnsi="Amiri" w:eastAsia="Amiri" w:cs="Amiri"/>
          <w:color w:val="111111"/>
          <w:sz w:val="28"/>
          <w:sz w:val="28"/>
          <w:szCs w:val="28"/>
          <w:rtl w:val="true"/>
          <w:lang w:bidi="ar-SA"/>
        </w:rPr>
        <w:t>و لم يشغلك عن هذا متاع و لا دنيا بزخرفها فتنتا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أنهاك عنه أنيق روض و لا عدر حرسه كلصتا </w:t>
      </w:r>
      <w:r>
        <w:rPr>
          <w:rStyle w:val="FootnoteAnchor"/>
          <w:rtl w:val="true"/>
        </w:rPr>
        <w:footnoteReference w:id="306"/>
      </w:r>
      <w:bookmarkStart w:id="55" w:name="pg19729_212621"/>
    </w:p>
    <w:p>
      <w:pPr>
        <w:pStyle w:val="BookText"/>
        <w:rPr/>
      </w:pPr>
      <w:bookmarkEnd w:id="55"/>
      <w:r>
        <w:rPr>
          <w:rFonts w:ascii="Amiri" w:hAnsi="Amiri" w:eastAsia="Amiri" w:cs="Amiri"/>
          <w:color w:val="111111"/>
          <w:sz w:val="28"/>
          <w:sz w:val="28"/>
          <w:szCs w:val="28"/>
          <w:rtl w:val="true"/>
          <w:lang w:bidi="ar-SA"/>
        </w:rPr>
        <w:t>جعلت المال فوق العلم جهلا لعمرك في القضية ما عدلتا</w:t>
      </w:r>
    </w:p>
    <w:p>
      <w:pPr>
        <w:pStyle w:val="BookText"/>
        <w:rPr/>
      </w:pPr>
      <w:r>
        <w:rPr>
          <w:rFonts w:ascii="Amiri" w:hAnsi="Amiri" w:eastAsia="Amiri" w:cs="Amiri"/>
          <w:color w:val="111111"/>
          <w:sz w:val="28"/>
          <w:sz w:val="28"/>
          <w:szCs w:val="28"/>
          <w:rtl w:val="true"/>
          <w:lang w:bidi="ar-SA"/>
        </w:rPr>
        <w:t>و بينهما بنصّ الوحي بين ستعلمه إذا طه قرأتا</w:t>
      </w:r>
    </w:p>
    <w:p>
      <w:pPr>
        <w:pStyle w:val="BookText"/>
        <w:rPr/>
      </w:pPr>
      <w:r>
        <w:rPr>
          <w:rFonts w:ascii="Amiri" w:hAnsi="Amiri" w:eastAsia="Amiri" w:cs="Amiri"/>
          <w:color w:val="111111"/>
          <w:sz w:val="28"/>
          <w:sz w:val="28"/>
          <w:szCs w:val="28"/>
          <w:rtl w:val="true"/>
          <w:lang w:bidi="ar-SA"/>
        </w:rPr>
        <w:t>فإن رفع الغنيّ لواء مال فأنت لواء علمك قد رفعتا</w:t>
      </w:r>
    </w:p>
    <w:p>
      <w:pPr>
        <w:pStyle w:val="BookText"/>
        <w:rPr/>
      </w:pPr>
      <w:r>
        <w:rPr>
          <w:rFonts w:ascii="Amiri" w:hAnsi="Amiri" w:eastAsia="Amiri" w:cs="Amiri"/>
          <w:color w:val="111111"/>
          <w:sz w:val="28"/>
          <w:sz w:val="28"/>
          <w:szCs w:val="28"/>
          <w:rtl w:val="true"/>
          <w:lang w:bidi="ar-SA"/>
        </w:rPr>
        <w:t>و مهما افتض أبكار الغواني فكم بكر من الحكم افتضضتا</w:t>
      </w:r>
    </w:p>
    <w:p>
      <w:pPr>
        <w:pStyle w:val="BookText"/>
        <w:rPr/>
      </w:pPr>
      <w:r>
        <w:rPr>
          <w:rFonts w:ascii="Amiri" w:hAnsi="Amiri" w:eastAsia="Amiri" w:cs="Amiri"/>
          <w:color w:val="111111"/>
          <w:sz w:val="28"/>
          <w:sz w:val="28"/>
          <w:szCs w:val="28"/>
          <w:rtl w:val="true"/>
          <w:lang w:bidi="ar-SA"/>
        </w:rPr>
        <w:t>و إن جلس الغني على الحشايا فأنت على الكواكب قد جلستا</w:t>
      </w:r>
    </w:p>
    <w:p>
      <w:pPr>
        <w:pStyle w:val="BookText"/>
        <w:rPr/>
      </w:pPr>
      <w:r>
        <w:rPr>
          <w:rFonts w:ascii="Amiri" w:hAnsi="Amiri" w:eastAsia="Amiri" w:cs="Amiri"/>
          <w:color w:val="111111"/>
          <w:sz w:val="28"/>
          <w:sz w:val="28"/>
          <w:szCs w:val="28"/>
          <w:rtl w:val="true"/>
          <w:lang w:bidi="ar-SA"/>
        </w:rPr>
        <w:t>و لو ركب الجياد مسوّمات فأنت مناهج التقوى ركبتا</w:t>
      </w:r>
    </w:p>
    <w:p>
      <w:pPr>
        <w:pStyle w:val="BookText"/>
        <w:rPr/>
      </w:pPr>
      <w:r>
        <w:rPr>
          <w:rFonts w:ascii="Amiri" w:hAnsi="Amiri" w:eastAsia="Amiri" w:cs="Amiri"/>
          <w:color w:val="111111"/>
          <w:sz w:val="28"/>
          <w:sz w:val="28"/>
          <w:szCs w:val="28"/>
          <w:rtl w:val="true"/>
          <w:lang w:bidi="ar-SA"/>
        </w:rPr>
        <w:t>و ليس يضرك الإقتار شيئا إذا ما كنت ربّك قد عرفتا</w:t>
      </w:r>
    </w:p>
    <w:p>
      <w:pPr>
        <w:pStyle w:val="BookText"/>
        <w:rPr/>
      </w:pPr>
      <w:r>
        <w:rPr>
          <w:rFonts w:ascii="Amiri" w:hAnsi="Amiri" w:eastAsia="Amiri" w:cs="Amiri"/>
          <w:color w:val="111111"/>
          <w:sz w:val="28"/>
          <w:sz w:val="28"/>
          <w:szCs w:val="28"/>
          <w:rtl w:val="true"/>
          <w:lang w:bidi="ar-SA"/>
        </w:rPr>
        <w:t xml:space="preserve">فيا </w:t>
      </w:r>
      <w:r>
        <w:rPr>
          <w:rStyle w:val="FootnoteAnchor"/>
          <w:rtl w:val="true"/>
        </w:rPr>
        <w:footnoteReference w:id="307"/>
      </w:r>
      <w:r>
        <w:rPr>
          <w:rFonts w:ascii="Amiri" w:hAnsi="Amiri" w:eastAsia="Amiri" w:cs="Amiri"/>
          <w:color w:val="111111"/>
          <w:sz w:val="28"/>
          <w:sz w:val="28"/>
          <w:szCs w:val="28"/>
          <w:rtl w:val="true"/>
          <w:lang w:bidi="ar-SA"/>
        </w:rPr>
        <w:t>من عنده لك من جميل إذا بفناء ساحته أنختا</w:t>
      </w:r>
    </w:p>
    <w:p>
      <w:pPr>
        <w:pStyle w:val="BookText"/>
        <w:rPr/>
      </w:pPr>
      <w:r>
        <w:rPr>
          <w:rFonts w:ascii="Amiri" w:hAnsi="Amiri" w:eastAsia="Amiri" w:cs="Amiri"/>
          <w:color w:val="111111"/>
          <w:sz w:val="28"/>
          <w:sz w:val="28"/>
          <w:szCs w:val="28"/>
          <w:rtl w:val="true"/>
          <w:lang w:bidi="ar-SA"/>
        </w:rPr>
        <w:t>فقابل بالصحيح قبول قولي و إن أعرضت عنه فقد خسرتا</w:t>
      </w:r>
    </w:p>
    <w:p>
      <w:pPr>
        <w:pStyle w:val="BookText"/>
        <w:rPr/>
      </w:pPr>
      <w:r>
        <w:rPr>
          <w:rFonts w:ascii="IRNazanin" w:hAnsi="IRNazanin" w:eastAsia="IRNazanin"/>
          <w:color w:val="111111"/>
          <w:sz w:val="28"/>
          <w:sz w:val="28"/>
          <w:szCs w:val="28"/>
          <w:rtl w:val="true"/>
          <w:lang w:bidi="fa-IR"/>
        </w:rPr>
        <w:t xml:space="preserve">و إن رابحته قولا و فعلا و تاجرت الإله فقد ربحتا </w:t>
      </w:r>
      <w:r>
        <w:rPr>
          <w:rStyle w:val="FootnoteAnchor"/>
          <w:rtl w:val="true"/>
        </w:rPr>
        <w:footnoteReference w:id="308"/>
      </w:r>
    </w:p>
    <w:p>
      <w:pPr>
        <w:pStyle w:val="Heading4"/>
        <w:numPr>
          <w:ilvl w:val="3"/>
          <w:numId w:val="1"/>
        </w:numPr>
        <w:rPr/>
      </w:pPr>
      <w:bookmarkStart w:id="56" w:name="__RefHeading___Toc3251135_2314609296"/>
      <w:bookmarkStart w:id="57" w:name="_Toc20"/>
      <w:bookmarkEnd w:id="56"/>
      <w:r>
        <w:rPr>
          <w:rtl w:val="true"/>
        </w:rPr>
        <w:t>(</w:t>
      </w:r>
      <w:r>
        <w:rPr/>
        <w:t>13</w:t>
      </w:r>
      <w:r>
        <w:rPr>
          <w:rtl w:val="true"/>
        </w:rPr>
        <w:t xml:space="preserve">) </w:t>
      </w:r>
      <w:r>
        <w:rPr>
          <w:rtl w:val="true"/>
        </w:rPr>
        <w:t>وفاته و مدفنه</w:t>
      </w:r>
      <w:r>
        <w:rPr>
          <w:rtl w:val="true"/>
        </w:rPr>
        <w:t>:</w:t>
      </w:r>
      <w:bookmarkEnd w:id="57"/>
    </w:p>
    <w:p>
      <w:pPr>
        <w:pStyle w:val="BookText"/>
        <w:rPr/>
      </w:pPr>
      <w:r>
        <w:rPr>
          <w:rFonts w:ascii="Amiri" w:hAnsi="Amiri" w:eastAsia="Amiri" w:cs="Amiri"/>
          <w:color w:val="111111"/>
          <w:sz w:val="28"/>
          <w:sz w:val="28"/>
          <w:szCs w:val="28"/>
          <w:rtl w:val="true"/>
          <w:lang w:bidi="ar-SA"/>
        </w:rPr>
        <w:t xml:space="preserve">اتفقت المصادر على أن وفاة العلّامة الحلّي رضوان اللّٰه تعالى عليه كانت في ليلة السبت أو يومه من شهر محرم الحرام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خمس و عشرين و قيل سنة ست و عشرين و سبعمائة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العسقلاني وفاته في شهر 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في أواخر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الأقوال غير معتدّ بها، لشذوذها و مخالفتها للمؤرخين كافة، مع أن</w:t>
      </w:r>
    </w:p>
    <w:p>
      <w:pPr>
        <w:pStyle w:val="BookText"/>
        <w:rPr/>
      </w:pPr>
      <w:r>
        <w:rPr>
          <w:rFonts w:ascii="Amiri" w:hAnsi="Amiri" w:eastAsia="Amiri" w:cs="Amiri"/>
          <w:color w:val="111111"/>
          <w:sz w:val="28"/>
          <w:sz w:val="28"/>
          <w:szCs w:val="28"/>
          <w:rtl w:val="true"/>
          <w:lang w:bidi="ar-SA"/>
        </w:rPr>
        <w:t xml:space="preserve">الصفدي و العسقلاني لم يجزما بأن وفاته عام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بل ترددا بينه و بين المتفق عليه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بسنة و شهر وفاته، أما اليوم الذي توفي فيه ففيه عدّة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في الحادي عشر من المحرم، ذهب إليه التفرشي في نقده </w:t>
      </w:r>
      <w:r>
        <w:rPr>
          <w:rStyle w:val="FootnoteAnchor"/>
          <w:rtl w:val="true"/>
        </w:rPr>
        <w:footnoteReference w:id="312"/>
      </w:r>
      <w:r>
        <w:rPr>
          <w:rFonts w:ascii="Amiri" w:hAnsi="Amiri" w:eastAsia="Amiri" w:cs="Amiri"/>
          <w:color w:val="111111"/>
          <w:sz w:val="28"/>
          <w:sz w:val="28"/>
          <w:szCs w:val="28"/>
          <w:rtl w:val="true"/>
          <w:lang w:bidi="ar-SA"/>
        </w:rPr>
        <w:t xml:space="preserve">، و القرشي في نظامه </w:t>
      </w:r>
      <w:r>
        <w:rPr>
          <w:rStyle w:val="FootnoteAnchor"/>
          <w:rtl w:val="true"/>
        </w:rPr>
        <w:footnoteReference w:id="313"/>
      </w:r>
      <w:r>
        <w:rPr>
          <w:rFonts w:ascii="Amiri" w:hAnsi="Amiri" w:eastAsia="Amiri" w:cs="Amiri"/>
          <w:color w:val="111111"/>
          <w:sz w:val="28"/>
          <w:sz w:val="28"/>
          <w:szCs w:val="28"/>
          <w:rtl w:val="true"/>
          <w:lang w:bidi="ar-SA"/>
        </w:rPr>
        <w:t xml:space="preserve">، و المامقاني في تنقيحه </w:t>
      </w:r>
      <w:r>
        <w:rPr>
          <w:rStyle w:val="FootnoteAnchor"/>
          <w:rtl w:val="true"/>
        </w:rPr>
        <w:footnoteReference w:id="314"/>
      </w:r>
      <w:r>
        <w:rPr>
          <w:rFonts w:ascii="Amiri" w:hAnsi="Amiri" w:eastAsia="Amiri" w:cs="Amiri"/>
          <w:color w:val="111111"/>
          <w:sz w:val="28"/>
          <w:sz w:val="28"/>
          <w:szCs w:val="28"/>
          <w:rtl w:val="true"/>
          <w:lang w:bidi="ar-SA"/>
        </w:rPr>
        <w:t xml:space="preserve">، و الميرزا في منهجه </w:t>
      </w:r>
      <w:r>
        <w:rPr>
          <w:rStyle w:val="FootnoteAnchor"/>
          <w:rtl w:val="true"/>
        </w:rPr>
        <w:footnoteReference w:id="315"/>
      </w:r>
      <w:r>
        <w:rPr>
          <w:rFonts w:ascii="Amiri" w:hAnsi="Amiri" w:eastAsia="Amiri" w:cs="Amiri"/>
          <w:color w:val="111111"/>
          <w:sz w:val="28"/>
          <w:sz w:val="28"/>
          <w:szCs w:val="28"/>
          <w:rtl w:val="true"/>
          <w:lang w:bidi="ar-SA"/>
        </w:rPr>
        <w:t xml:space="preserve">، و السيد الصدر في تأسيس الشيعة </w:t>
      </w:r>
      <w:r>
        <w:rPr>
          <w:rStyle w:val="FootnoteAnchor"/>
          <w:rtl w:val="true"/>
        </w:rPr>
        <w:footnoteReference w:id="316"/>
      </w:r>
      <w:r>
        <w:rPr>
          <w:rFonts w:ascii="Amiri" w:hAnsi="Amiri" w:eastAsia="Amiri" w:cs="Amiri"/>
          <w:color w:val="111111"/>
          <w:sz w:val="28"/>
          <w:sz w:val="28"/>
          <w:szCs w:val="28"/>
          <w:rtl w:val="true"/>
          <w:lang w:bidi="ar-SA"/>
        </w:rPr>
        <w:t xml:space="preserve">، و فخر المحققين كما نقل عنه </w:t>
      </w:r>
      <w:r>
        <w:rPr>
          <w:rStyle w:val="FootnoteAnchor"/>
          <w:rtl w:val="true"/>
        </w:rPr>
        <w:footnoteReference w:id="317"/>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في الحادي و العشرين من المحرم، ذهب إليه الشهيد كما نقل عنه </w:t>
      </w:r>
      <w:r>
        <w:rPr>
          <w:rStyle w:val="FootnoteAnchor"/>
          <w:rtl w:val="true"/>
        </w:rPr>
        <w:footnoteReference w:id="318"/>
      </w:r>
      <w:r>
        <w:rPr>
          <w:rFonts w:ascii="Amiri" w:hAnsi="Amiri" w:eastAsia="Amiri" w:cs="Amiri"/>
          <w:color w:val="111111"/>
          <w:sz w:val="28"/>
          <w:sz w:val="28"/>
          <w:szCs w:val="28"/>
          <w:rtl w:val="true"/>
          <w:lang w:bidi="ar-SA"/>
        </w:rPr>
        <w:t xml:space="preserve">، و الشيخ البهائي في توضيحه </w:t>
      </w:r>
      <w:r>
        <w:rPr>
          <w:rStyle w:val="FootnoteAnchor"/>
          <w:rtl w:val="true"/>
        </w:rPr>
        <w:footnoteReference w:id="319"/>
      </w:r>
      <w:r>
        <w:rPr>
          <w:rFonts w:ascii="Amiri" w:hAnsi="Amiri" w:eastAsia="Amiri" w:cs="Amiri"/>
          <w:color w:val="111111"/>
          <w:sz w:val="28"/>
          <w:sz w:val="28"/>
          <w:szCs w:val="28"/>
          <w:rtl w:val="true"/>
          <w:lang w:bidi="ar-SA"/>
        </w:rPr>
        <w:t xml:space="preserve">، و الاشكوري في محبوبه </w:t>
      </w:r>
      <w:r>
        <w:rPr>
          <w:rStyle w:val="FootnoteAnchor"/>
          <w:rtl w:val="true"/>
        </w:rPr>
        <w:footnoteReference w:id="320"/>
      </w:r>
      <w:r>
        <w:rPr>
          <w:rFonts w:ascii="Amiri" w:hAnsi="Amiri" w:eastAsia="Amiri" w:cs="Amiri"/>
          <w:color w:val="111111"/>
          <w:sz w:val="28"/>
          <w:sz w:val="28"/>
          <w:szCs w:val="28"/>
          <w:rtl w:val="true"/>
          <w:lang w:bidi="ar-SA"/>
        </w:rPr>
        <w:t xml:space="preserve">، و الخوانساري في روضاته </w:t>
      </w:r>
      <w:r>
        <w:rPr>
          <w:rStyle w:val="FootnoteAnchor"/>
          <w:rtl w:val="true"/>
        </w:rPr>
        <w:footnoteReference w:id="321"/>
      </w:r>
      <w:r>
        <w:rPr>
          <w:rFonts w:ascii="Amiri" w:hAnsi="Amiri" w:eastAsia="Amiri" w:cs="Amiri"/>
          <w:color w:val="111111"/>
          <w:sz w:val="28"/>
          <w:sz w:val="28"/>
          <w:szCs w:val="28"/>
          <w:rtl w:val="true"/>
          <w:lang w:bidi="ar-SA"/>
        </w:rPr>
        <w:t xml:space="preserve">، و المحدّث النوري في خاتمته </w:t>
      </w:r>
      <w:r>
        <w:rPr>
          <w:rStyle w:val="FootnoteAnchor"/>
          <w:rtl w:val="true"/>
        </w:rPr>
        <w:footnoteReference w:id="322"/>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 في العشرين من محرم، ذهب إليه الشهيد الثاني كما نقل عنه </w:t>
      </w:r>
      <w:r>
        <w:rPr>
          <w:rStyle w:val="FootnoteAnchor"/>
          <w:rtl w:val="true"/>
        </w:rPr>
        <w:footnoteReference w:id="323"/>
      </w:r>
      <w:r>
        <w:rPr>
          <w:rFonts w:ascii="Amiri" w:hAnsi="Amiri" w:eastAsia="Amiri" w:cs="Amiri"/>
          <w:color w:val="111111"/>
          <w:sz w:val="28"/>
          <w:sz w:val="28"/>
          <w:szCs w:val="28"/>
          <w:rtl w:val="true"/>
          <w:lang w:bidi="ar-SA"/>
        </w:rPr>
        <w:t xml:space="preserve">، و ابن كثير في بدايته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توفي العلّامة الحلّي رضوان اللّٰه تعالى عليه في مدينة الحلّة السيفية حمل نعشه الشريف إلى مدينة النجف النجف الأشرف و دفن في جوار أمير المؤمنين عليه السلام في حجرة إيوان الذهب الواقعة على يمين الداخل إلى الحضرة الشريفة العلوية من جهة الشمال بجنب المنارة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تعمير الروضة العلوية فتح باب ثان من الايوان الذهبي يفضي الباب إلى الرواق العلوي، فصار قبر العلّامة في حجرة صغيرة مختصة به على يمين الداخل ممرا للزائرين يقصدونها حتى اليوم، و لها شباك فولاذي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يقابلها حجرة صغيرة أخرى هي قبر المحقق الأردبيلي مختصة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المرعشي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بهما من بوّابين لتلك القبة السامية، و جدير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علي المرتضى، اجتبى حبرين من نوابه، ليكونا بعد من بوابه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58" w:name="pg19729_212624"/>
    </w:p>
    <w:p>
      <w:pPr>
        <w:pStyle w:val="Heading3"/>
        <w:numPr>
          <w:ilvl w:val="2"/>
          <w:numId w:val="1"/>
        </w:numPr>
        <w:rPr/>
      </w:pPr>
      <w:bookmarkStart w:id="59" w:name="__RefHeading___Toc3251137_2314609296"/>
      <w:bookmarkStart w:id="60" w:name="_Toc21"/>
      <w:bookmarkEnd w:id="58"/>
      <w:bookmarkEnd w:id="59"/>
      <w:r>
        <w:rPr>
          <w:rtl w:val="true"/>
        </w:rPr>
        <w:t>شرح التبصرة</w:t>
      </w:r>
      <w:r>
        <w:rPr>
          <w:rtl w:val="true"/>
        </w:rPr>
        <w:t>:</w:t>
      </w:r>
      <w:bookmarkEnd w:id="60"/>
    </w:p>
    <w:p>
      <w:pPr>
        <w:pStyle w:val="Heading4"/>
        <w:numPr>
          <w:ilvl w:val="3"/>
          <w:numId w:val="1"/>
        </w:numPr>
        <w:rPr/>
      </w:pPr>
      <w:bookmarkStart w:id="61" w:name="__RefHeading___Toc3251139_2314609296"/>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يعتبر شرح تبصرة المتعلمين للشيخ ضياء الدين العراقي من الموسوعات الفقهية الضخمة، بل هو ثالث الموسوعات المتأخرة بعد الرياض و الجواهر، و ذلك لما امتاز به هذا الكتاب من الشمولية في موضوعاته، و الوضوح و السلاسة في عباراته، مع الاحتفاظ بالعمق العلمي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أعطى أهميّة أكبر للكتاب هو الأسلوب الرقيق لمؤلّفه، الذي يعد بحق أستاذ الفقهاء المتأخرين، حيث تخرّج من عالي درسه المبارك عدد كبير من فقهاء العصر و مراجع التقليد، و مراجعة سريعة لأسماء تلامذته يتضح لنا ذلك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ماله من أهمية كبرى، و شأنه شأن الكثير من تراثنا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مطمورا في زوايا إحدى المكتبات لسنوات عديدة، إلى أن عثر على نسخته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هي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حجة الإسلام و المسلمين المجاهد الشيخ محمّد مهدي الآصفي حفظه اللّٰه و رعاه، و حينها عرضه على بعض الفضلاء لتحقيقه و إخراجه إلى النور، فقام بهذا العب‌ء الكبير سماحة حجة الإسلام الشيخ محمّد هادي معرفة، حيث حقّق سبعة أجزاء منها، طبعت في أربع مجلّدات و في أوقات مختلفة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تحمّل سماحة آية اللّٰه العظمى زعيم الطائفة السيّد أبو القاسم</w:t>
      </w:r>
    </w:p>
    <w:p>
      <w:pPr>
        <w:pStyle w:val="BookText"/>
        <w:rPr/>
      </w:pPr>
      <w:r>
        <w:rPr>
          <w:rFonts w:ascii="Amiri" w:hAnsi="Amiri" w:eastAsia="Amiri" w:cs="Amiri"/>
          <w:color w:val="111111"/>
          <w:sz w:val="28"/>
          <w:sz w:val="28"/>
          <w:szCs w:val="28"/>
          <w:rtl w:val="true"/>
          <w:lang w:bidi="ar-SA"/>
        </w:rPr>
        <w:t>الخوئي تغمّده اللّٰه برحمته الواسعة الجزء الأكبر من نفقة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توقف سماحة الشيخ محمد هادي معرفة عن تحقيق هذا الكتاب، مكتفيا بالأجزاء الأربع التي تمثّل كتاب الطهارة إلى آخر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ارتأت مؤسسة النشر التابعة لجماعة المدرسين في قم المقدسة تتميم تحقيق هذا الكتاب، و قد عهدت إلينا بهذا العمل، فقمنا بحمد اللّٰه و توفيقه بتحقيق ما لم يحقق، و هو ابتداء من كتاب المتاجر إلى آخر كتاب الإجارة، و الذي يمثّل الجزء الخامس من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رأت مؤسسة النشر أن تقوم بتحقيق الأجزاء الأولى التي عمل بها سماحة الشيخ محمد هادي معرفة، لكي تخرج دورة فقهية كاملة و على نسق واحد، فاستجبنا لطلبهم متوكلين على اللّٰه العلي القدير، و سائلين منه العون في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فحيّا اللّٰه سماحة الشيخ الآصفي على هذه الروح العلمية، التي إن دلّت على شي‌ء إنما تدل على الغيرة العالية على تراثنا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 اللّٰه سماحة الشيخ محمّد هادي معرفة، الذي بذل جهودا مشكورة في إحياء الكتاب بطبعته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اللّٰه المرجع الكبير زعيم الطائفة آية اللّٰه العظمى السيّد أبو القاسم الخوئي، على ما بذله من أجل الطبعة السابقة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جزى اللّٰه الاخوة المشرفين على مؤسسة النشر الإسلامي التابعة لجماعة المدرسين في قم، أحسن الجزاء، حيث قاموا بطباعة هذه الموسوعة طباعة أنيقة لائقة بمؤلّفها أستاذ الفقهاء المتأخرين الشيخ ضياء الدين العراقي</w:t>
      </w:r>
      <w:r>
        <w:rPr>
          <w:rFonts w:eastAsia="Amiri" w:cs="Amiri" w:ascii="Amiri" w:hAnsi="Amiri"/>
          <w:color w:val="111111"/>
          <w:sz w:val="28"/>
          <w:szCs w:val="28"/>
          <w:rtl w:val="true"/>
          <w:lang w:bidi="ar-SA"/>
        </w:rPr>
        <w:t>.</w:t>
      </w:r>
      <w:bookmarkStart w:id="63" w:name="pg19729_212626"/>
    </w:p>
    <w:p>
      <w:pPr>
        <w:pStyle w:val="Heading4"/>
        <w:numPr>
          <w:ilvl w:val="3"/>
          <w:numId w:val="1"/>
        </w:numPr>
        <w:rPr/>
      </w:pPr>
      <w:bookmarkStart w:id="64" w:name="__RefHeading___Toc3251141_2314609296"/>
      <w:bookmarkStart w:id="65" w:name="_Toc23"/>
      <w:bookmarkEnd w:id="63"/>
      <w:bookmarkEnd w:id="64"/>
      <w:r>
        <w:rPr>
          <w:rtl w:val="true"/>
        </w:rPr>
        <w:t>الشيخ ضياء الدين العراقي</w:t>
      </w:r>
      <w:r>
        <w:rPr>
          <w:rtl w:val="true"/>
        </w:rPr>
        <w:t>:</w:t>
      </w:r>
      <w:bookmarkEnd w:id="65"/>
    </w:p>
    <w:p>
      <w:pPr>
        <w:pStyle w:val="Heading5"/>
        <w:numPr>
          <w:ilvl w:val="4"/>
          <w:numId w:val="1"/>
        </w:numPr>
        <w:rPr/>
      </w:pPr>
      <w:bookmarkStart w:id="66" w:name="__RefHeading___Toc3251143_2314609296"/>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لست بصدد ترجمة حياة هذا العالم الجليل، فإنّ هذه الوريقات القليلة لا يمكنها أن تستوعب كل جوانب حياة شخصية فذة، ذاع صيتها في الآفاق، و اعترف بفصلها كل العلماء الأفذاذ، حتى أصبح استاذا لعدد كبير من الفقهاء العظام، بل انّ ما نذكره هنا لا يتعدّى عن كونه قبسات من حياته المباركة، استطعت الوقوف عليها أثناء مطالعاتي القاصرة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251145_2314609296"/>
      <w:bookmarkStart w:id="69" w:name="_Toc25"/>
      <w:bookmarkEnd w:id="68"/>
      <w:r>
        <w:rPr>
          <w:rtl w:val="true"/>
        </w:rPr>
        <w:t>اسمه و نسبه و نشأته</w:t>
      </w:r>
      <w:r>
        <w:rPr>
          <w:rtl w:val="true"/>
        </w:rPr>
        <w:t>:</w:t>
      </w:r>
      <w:bookmarkEnd w:id="69"/>
    </w:p>
    <w:p>
      <w:pPr>
        <w:pStyle w:val="BookText"/>
        <w:rPr/>
      </w:pPr>
      <w:r>
        <w:rPr>
          <w:rFonts w:ascii="Amiri" w:hAnsi="Amiri" w:eastAsia="Amiri" w:cs="Amiri"/>
          <w:color w:val="111111"/>
          <w:sz w:val="28"/>
          <w:sz w:val="28"/>
          <w:szCs w:val="28"/>
          <w:rtl w:val="true"/>
          <w:lang w:bidi="ar-SA"/>
        </w:rPr>
        <w:t>هو الشيخ ضياء الدين ابن المولى محمد العراقي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من الفقهاء الأجلاء المجازين من السيد شفيع الجابلاقي،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الإجازة الشفيعية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اقتدى به ولده و نسج على منواله، و شاء اللّٰه أن يتفوّق على والده في الشهرة و الفضل، و أن يكون أحد رجال الرأي المعدودين الذي يرجع إليهم و يستشهد بآرائهم و أقوالهم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المترجم له في سلطان‌آباد العراق في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في ظل أبيه محاطا برعايته، فتعلّم الأوليات، و قرأ مقدمات العلوم على لفيف من فضلاء وقته هناك و في بعض مدن إيران العلمية، و استفاد من والده كثيرا و 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هاجر إلى النجف الأشرف فأدرك بحث السيد محمد الفشاركي و غيره، فاستفاد من أبحاثهم، ثم حضر درس الميرزا شيخ الشريعة الأصفهاني في الفقه و الأصول و الحديث و الرجال و الحكمة و الكلام و غيرها من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منذ أوائل أمره بالذكاء المفرط و النبوغ المبكر و العبقرية العلمية و سعة المعرفة و الاطلاع، فقد حظي باحترام أساتذته و تقديرهم، و نظر إليه النابغون من أهل العلم بعين الإكبار و هو بعد في دور التلمذ حيث كان من أجلّاء تلامذة الآخوند الخراساني و كبارهم، و من مدرّسي السطوح المعروفين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بالتدريس فالتف حوله كثير من طلاب العلم، ينهلون من معينه العذب، و قد أقبل عليه الطلاب إقبالا واضحا لما امتاز به من حسن الإلقاء و عذوبة المنطق، فقد كان موهوبا في ذلك، و ممتازا بين كثير من المدرسين، هذا بالإضافة إلى سعة الاطلاع و خصوبة ذهنه و براعته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استقل بالتدريس بعد وفاة الآخوند الخراساني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ذاع اسمه في الأوساط العلمية العالية، و قرن بكبار المدرسين و أجلاء العلماء، و عرف بالتحقيق و التدقيق و أصالة الرأي و كبر العقلية و غزارة المادة و الإحاطة بآراء السلف، و كان مجلس درسه مفضّلا على غيره من نواحي عديدة و لا سيما في علم الأصول الذي اشتهر و تفوّق به، و قد اعترف له بالعظمة العلمية و الموهبة العقلية و الملكة النادرة فحول العلماء من معاصريه و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رقى منبر الدرس في النجف الأشرف أكثر من ثلاثين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w:t>
      </w:r>
      <w:r>
        <w:rPr>
          <w:rStyle w:val="FootnoteAnchor"/>
          <w:rtl w:val="true"/>
        </w:rPr>
        <w:footnoteReference w:id="326"/>
      </w:r>
      <w:r>
        <w:rPr>
          <w:rFonts w:ascii="Amiri" w:hAnsi="Amiri" w:eastAsia="Amiri" w:cs="Amiri"/>
          <w:color w:val="111111"/>
          <w:sz w:val="28"/>
          <w:sz w:val="28"/>
          <w:szCs w:val="28"/>
          <w:rtl w:val="true"/>
          <w:lang w:bidi="ar-SA"/>
        </w:rPr>
        <w:t>، و لم ينقطع عن التدريس إلى أواخر أيامه، فكان يركب للوصول إلى مدرسة في مسجد الطوسي، لضعف مزاجه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تخرج عليه عدد كبير يعد بالمئات من المجتهدين الأفاضل و العلماء الأكابر و أصحاب الرأي و الفتوى، كل ذلك بفضل عبقريته و نبوغه و نظرياته العلمية</w:t>
      </w:r>
    </w:p>
    <w:p>
      <w:pPr>
        <w:pStyle w:val="BookText"/>
        <w:rPr/>
      </w:pPr>
      <w:r>
        <w:rPr>
          <w:rFonts w:ascii="Amiri" w:hAnsi="Amiri" w:eastAsia="Amiri" w:cs="Amiri"/>
          <w:color w:val="111111"/>
          <w:sz w:val="28"/>
          <w:sz w:val="28"/>
          <w:szCs w:val="28"/>
          <w:rtl w:val="true"/>
          <w:lang w:bidi="ar-SA"/>
        </w:rPr>
        <w:t>و آرائه السديدة التي أخذت محلها اللائق و انطبعت أفكاره عند أكثر المعاصرين بطابعها، فقد كان رأيه عند تلامذته و المتأثرين به حجة في المشاكل العلمية، و قوله الفصل عند أهل العقد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رجع إليه الناس في التقليد لا سيما في العراق و بلاد إيران، و علّق على رسالة الشيخ عبد اللّٰه المازندراني العملية لعمل مقلديه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تقدّم يتضح أنّ المترجم له رحمه اللّٰه اتصف بصفتين ميّزته عن غيره،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بحق المعلّم الأوّل للعلوم الدينية لا سيما الأصول منها، و يعتبره البعض من المجددين في علم الأصول، بل انّ بعض معاصريه يذهب إلى تفضيل درسه الأصولي على الفقهي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نطالع أسماء تلامذته نلاحظ أنّ الكثير من مراجع التقليد في هذا العصر هم من تلامذته، كالسيد عبد الهادي الشيرازي، و السيد محسن الحكيم، و السيد أبو القاسم الخوئي، و السيد محمد هادي الميلاني، و السيد شهاب الدين المرعشي النجفي رحمهم اللّٰه تعالى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الفكرية التي كان يتصف بها درسه، و قد أطبق العلماء كافة و كل من ترجم له على ذكر هذه الميزة في درسه، بل لا يكاد يذكره أحد من المعاصرين إلّا و قد ذكر هذه الصفة فيه حتى أصبحت ملازمة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معاصره الشيخ 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في مجلس درسه ميزة خاصة بين معاصريه، فقد كان يمثّل الحرية الفكرية بأجلى مظاهرها، فقد كان الوحيد الذي يقبل كل مناقشة من تلامذته مهما كانت بسيطة أو متطرفة حتى ضرب به</w:t>
      </w:r>
      <w:bookmarkStart w:id="70" w:name="pg19729_212629"/>
    </w:p>
    <w:p>
      <w:pPr>
        <w:pStyle w:val="BookText"/>
        <w:rPr/>
      </w:pPr>
      <w:bookmarkEnd w:id="70"/>
      <w:r>
        <w:rPr>
          <w:rFonts w:ascii="Amiri" w:hAnsi="Amiri" w:eastAsia="Amiri" w:cs="Amiri"/>
          <w:color w:val="111111"/>
          <w:sz w:val="28"/>
          <w:sz w:val="28"/>
          <w:szCs w:val="28"/>
          <w:rtl w:val="true"/>
          <w:lang w:bidi="ar-SA"/>
        </w:rPr>
        <w:t xml:space="preserve">المثل في سعة الصدر و كان بذلك مثالا لأساطين العلم من السلف و هو في الحقيقة بقية السلف في مواهبه العظيمة و مكنته النادرة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معاصره الآخر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 بحثه يعد بحق صورة صادقة للحرية الفكرية، فهو مجلس الدرس الذي يقبل كل مناقشة و إن تكن غاية في التطرّف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3251147_2314609296"/>
      <w:bookmarkStart w:id="72" w:name="_Toc26"/>
      <w:bookmarkEnd w:id="71"/>
      <w:r>
        <w:rPr>
          <w:rtl w:val="true"/>
        </w:rPr>
        <w:t>إطراء العلماء له</w:t>
      </w:r>
      <w:r>
        <w:rPr>
          <w:rtl w:val="true"/>
        </w:rPr>
        <w:t>:</w:t>
      </w:r>
      <w:bookmarkEnd w:id="72"/>
    </w:p>
    <w:p>
      <w:pPr>
        <w:pStyle w:val="BookText"/>
        <w:rPr/>
      </w:pPr>
      <w:r>
        <w:rPr>
          <w:rFonts w:ascii="IRNazanin" w:hAnsi="IRNazanin" w:eastAsia="IRNazanin"/>
          <w:color w:val="111111"/>
          <w:sz w:val="28"/>
          <w:sz w:val="28"/>
          <w:szCs w:val="28"/>
          <w:rtl w:val="true"/>
          <w:lang w:bidi="fa-IR"/>
        </w:rPr>
        <w:t>قال عنه البحاثة الكبير الشيخ 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محقق، من أكابر علماء عصره، ذاع اسمه في الأوساط العلمية العالية، و قرن بكبار المدرسين و أجلاء العلماء، و عرف بالتحقيق و التدقيق و أصالة الرأي و كبر العقلية، و غزارة المادة و الإحاطة بآراء السلف، و قد اعترف له بالعظمة العلمية و الموهبة العقلية و الملكة النادرة فحول العلماء من معاصريه و المتأخرين عنه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الرجالي الكبير الشيخ محمد حرز الدين في 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متكلما أصوليا، و قد برع في علم الأصول حتى تخصّص به و أبدع، و أصبح المدرس الوحيد بالنجف في علم الأصول فحسب، تحضر بحثه الأفاضل و الطلبة المحصلون، و كان حرا بطبعه و آرائه و مجالسه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عنه سيد الأعيان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بقية علماء السلف المعروفين بغزارة العلم و سعة العقلية، كما يعتبر المعلّم الأوّل بحق للعلوم الدينية و لا سيما الأصول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73" w:name="pg19729_212630"/>
    </w:p>
    <w:p>
      <w:pPr>
        <w:pStyle w:val="Heading5"/>
        <w:numPr>
          <w:ilvl w:val="4"/>
          <w:numId w:val="1"/>
        </w:numPr>
        <w:rPr/>
      </w:pPr>
      <w:bookmarkStart w:id="74" w:name="__RefHeading___Toc3251149_2314609296"/>
      <w:bookmarkStart w:id="75" w:name="_Toc27"/>
      <w:bookmarkEnd w:id="73"/>
      <w:bookmarkEnd w:id="74"/>
      <w:r>
        <w:rPr>
          <w:rtl w:val="true"/>
        </w:rPr>
        <w:t>أساتذته</w:t>
      </w:r>
      <w:r>
        <w:rPr>
          <w:rtl w:val="true"/>
        </w:rPr>
        <w:t>:</w:t>
      </w:r>
      <w:bookmarkEnd w:id="75"/>
    </w:p>
    <w:p>
      <w:pPr>
        <w:pStyle w:val="BookText"/>
        <w:rPr/>
      </w:pPr>
      <w:r>
        <w:rPr>
          <w:rStyle w:val="FootnoteAnchor"/>
          <w:rtl w:val="true"/>
        </w:rPr>
        <w:footnoteReference w:id="334"/>
      </w:r>
      <w:r>
        <w:rPr>
          <w:rFonts w:ascii="Amiri" w:hAnsi="Amiri" w:eastAsia="Amiri" w:cs="Amiri"/>
          <w:color w:val="111111"/>
          <w:sz w:val="28"/>
          <w:sz w:val="28"/>
          <w:szCs w:val="28"/>
          <w:rtl w:val="true"/>
          <w:lang w:bidi="ar-SA"/>
        </w:rPr>
        <w:t>والده المولى محمّد العراقي</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شيخ الشريعة الأصفهاني</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251151_2314609296"/>
      <w:bookmarkStart w:id="77" w:name="_Toc28"/>
      <w:bookmarkEnd w:id="76"/>
      <w:r>
        <w:rPr>
          <w:rtl w:val="true"/>
        </w:rPr>
        <w:t>تلامذته</w:t>
      </w:r>
      <w:r>
        <w:rPr>
          <w:rtl w:val="true"/>
        </w:rPr>
        <w:t>:</w:t>
      </w:r>
      <w:bookmarkEnd w:id="77"/>
    </w:p>
    <w:p>
      <w:pPr>
        <w:pStyle w:val="BookText"/>
        <w:rPr/>
      </w:pPr>
      <w:r>
        <w:rPr>
          <w:rFonts w:ascii="Amiri" w:hAnsi="Amiri" w:eastAsia="Amiri" w:cs="Amiri"/>
          <w:color w:val="111111"/>
          <w:sz w:val="28"/>
          <w:sz w:val="28"/>
          <w:szCs w:val="28"/>
          <w:rtl w:val="true"/>
          <w:lang w:bidi="ar-SA"/>
        </w:rPr>
        <w:t>تخرّج من عالي درسه عدد كبير يعد بالمئات من العلماء و الفضلاء و المجتهدين و أصحاب الرأي و الفتوى، و الذي تعرّفنا عليه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البجنوردي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حسن اليزدي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مشكور الحولاوي النجفي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ابن السيد إسماعيل الصدر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الصاحب آل الجواهر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ابن الشيخ راضي النجفي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العراقي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الهادي الشيرازي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الكاشاني اليثربي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البروجردي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الكاشاني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مدد الموسوي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محمود سماكة الحلّي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الأحسائي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الخوانساري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الدزفولي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78" w:name="pg19729_212632"/>
    </w:p>
    <w:p>
      <w:pPr>
        <w:pStyle w:val="BookText"/>
        <w:rPr/>
      </w:pPr>
      <w:bookmarkEnd w:id="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هادي الميلاني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هاشم الآملي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يحيى اليزدي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3251153_2314609296"/>
      <w:bookmarkStart w:id="80" w:name="_Toc29"/>
      <w:bookmarkEnd w:id="79"/>
      <w:r>
        <w:rPr>
          <w:rtl w:val="true"/>
        </w:rPr>
        <w:t>مؤلّفاته</w:t>
      </w:r>
      <w:r>
        <w:rPr>
          <w:rtl w:val="true"/>
        </w:rPr>
        <w:t>:</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المكاسب، و هي على كتاب البيع فقط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العروة الوثقى، طبع في النجف الأشرف، ثم في إيران مع العروة الوثقى المطبوعة مع تعليقات السيد أبو الحسن الأصفهاني و السيد حسين القمي و السيد حسين البروجردي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تعاقب الأيدي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تبصرة المتعلمين، و هو هذا الكتاب الذي بين يديك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العلم الإجمالي، طبع في مدينة النجف الأشرف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وصل فيه إلى بحث تعاقب الأيدي، و كتب في آخره انه فرغ من تأليفه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في النجف الأشرف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81" w:name="pg19729_212633"/>
    </w:p>
    <w:p>
      <w:pPr>
        <w:pStyle w:val="Heading5"/>
        <w:numPr>
          <w:ilvl w:val="4"/>
          <w:numId w:val="1"/>
        </w:numPr>
        <w:rPr/>
      </w:pPr>
      <w:bookmarkStart w:id="82" w:name="__RefHeading___Toc3251155_2314609296"/>
      <w:bookmarkStart w:id="83" w:name="_Toc30"/>
      <w:bookmarkEnd w:id="81"/>
      <w:bookmarkEnd w:id="82"/>
      <w:r>
        <w:rPr>
          <w:rtl w:val="true"/>
        </w:rPr>
        <w:t>وفاته و مدفنه</w:t>
      </w:r>
      <w:r>
        <w:rPr>
          <w:rtl w:val="true"/>
        </w:rPr>
        <w:t>:</w:t>
      </w:r>
      <w:bookmarkEnd w:id="83"/>
    </w:p>
    <w:p>
      <w:pPr>
        <w:pStyle w:val="BookText"/>
        <w:rPr/>
      </w:pPr>
      <w:r>
        <w:rPr>
          <w:rFonts w:ascii="Amiri" w:hAnsi="Amiri" w:eastAsia="Amiri" w:cs="Amiri"/>
          <w:color w:val="111111"/>
          <w:sz w:val="28"/>
          <w:sz w:val="28"/>
          <w:szCs w:val="28"/>
          <w:rtl w:val="true"/>
          <w:lang w:bidi="ar-SA"/>
        </w:rPr>
        <w:t>قال الشيخ الطهراني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الساعة الاولى من ليلة الاثنين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الحجرة الثانية على يسار الداخل الى الصحن الشريف من باب المغرب المعروف بالباب السلطاني، و هي الحجرة المجاورة للساباط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فجع الإسلام، و خسر به العلماء و الطلاب أحد الأساطين و الدعائم، و أقيمت له الفواتح في مختلف البلدان الإسلامية، و دام عزاؤه في النجف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 الشعراء و أبّنه الكتّاب، و أرّخ وفاته الخطيب الشيخ جواد قسّام النجفي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مات من آثاره بعده بين الورى باقية الاسم</w:t>
      </w:r>
    </w:p>
    <w:p>
      <w:pPr>
        <w:pStyle w:val="BookText"/>
        <w:rPr/>
      </w:pPr>
      <w:r>
        <w:rPr>
          <w:rFonts w:ascii="Amiri" w:hAnsi="Amiri" w:eastAsia="Amiri" w:cs="Amiri"/>
          <w:color w:val="111111"/>
          <w:sz w:val="28"/>
          <w:sz w:val="28"/>
          <w:szCs w:val="28"/>
          <w:rtl w:val="true"/>
          <w:lang w:bidi="ar-SA"/>
        </w:rPr>
        <w:t>لما سروا بنعشه و الهدى ظلت أسى عيونه تدمى</w:t>
      </w:r>
    </w:p>
    <w:p>
      <w:pPr>
        <w:pStyle w:val="BookText"/>
        <w:rPr/>
      </w:pPr>
      <w:r>
        <w:rPr>
          <w:rFonts w:ascii="Amiri" w:hAnsi="Amiri" w:eastAsia="Amiri" w:cs="Amiri"/>
          <w:color w:val="111111"/>
          <w:sz w:val="28"/>
          <w:sz w:val="28"/>
          <w:szCs w:val="28"/>
          <w:rtl w:val="true"/>
          <w:lang w:bidi="ar-SA"/>
        </w:rPr>
        <w:t>بلوعة أرّخته قد دجا بعد ضياء أفق العلم</w:t>
      </w:r>
    </w:p>
    <w:p>
      <w:pPr>
        <w:pStyle w:val="BookText"/>
        <w:rPr/>
      </w:pPr>
      <w:r>
        <w:rPr>
          <w:rFonts w:ascii="Amiri" w:hAnsi="Amiri" w:eastAsia="Amiri" w:cs="Amiri"/>
          <w:color w:val="111111"/>
          <w:sz w:val="28"/>
          <w:sz w:val="28"/>
          <w:szCs w:val="28"/>
          <w:rtl w:val="true"/>
          <w:lang w:bidi="ar-SA"/>
        </w:rPr>
        <w:t xml:space="preserve">و هو ينقص تسعة، و الظاهر أنّ الناظم كتب دجا بالألف المقصورة و اعتبرها ياء، فعدّها عشرة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في يوم الاثنين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251157_2314609296"/>
      <w:bookmarkStart w:id="85" w:name="_Toc31"/>
      <w:bookmarkEnd w:id="84"/>
      <w:r>
        <w:rPr>
          <w:rtl w:val="true"/>
        </w:rPr>
        <w:t>النسخ الخطية المعتمدة في التحقيق</w:t>
      </w:r>
      <w:r>
        <w:rPr>
          <w:rtl w:val="true"/>
        </w:rPr>
        <w:t>:</w:t>
      </w:r>
      <w:bookmarkEnd w:id="85"/>
    </w:p>
    <w:p>
      <w:pPr>
        <w:pStyle w:val="BookText"/>
        <w:rPr/>
      </w:pPr>
      <w:r>
        <w:rPr>
          <w:rFonts w:ascii="Amiri" w:hAnsi="Amiri" w:eastAsia="Amiri" w:cs="Amiri"/>
          <w:color w:val="111111"/>
          <w:sz w:val="28"/>
          <w:sz w:val="28"/>
          <w:szCs w:val="28"/>
          <w:rtl w:val="true"/>
          <w:lang w:bidi="ar-SA"/>
        </w:rPr>
        <w:t>اعتمدت في تحقيق هذا الكتاب على نسختين خطيتين فريدتين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الأصل، و التي هي بخط المصنّف رحمه اللّٰه، و تتّصف برداءة الخط، حتى انّ بعض الكلمات كتبت بدون تنقيط، بل و دمجت فيها عدة كلمات و أصبحت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هذه النسخة في عدة مجلدات حيث تحتوي</w:t>
      </w:r>
      <w:bookmarkStart w:id="86" w:name="pg19729_212634"/>
    </w:p>
    <w:p>
      <w:pPr>
        <w:pStyle w:val="BookText"/>
        <w:rPr/>
      </w:pPr>
      <w:bookmarkEnd w:id="86"/>
      <w:r>
        <w:rPr>
          <w:rFonts w:ascii="Amiri" w:hAnsi="Amiri" w:eastAsia="Amiri" w:cs="Amiri"/>
          <w:color w:val="111111"/>
          <w:sz w:val="28"/>
          <w:sz w:val="28"/>
          <w:szCs w:val="28"/>
          <w:rtl w:val="true"/>
          <w:lang w:bidi="ar-SA"/>
        </w:rPr>
        <w:t>كل ما كتبه المصنّف رحمه اللّٰه من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ذات خط جيد كتبها أحد تلامذة المصنّف، و عليها تصحيحات من المصنّف بخطه، و قد استفدنا كثيرا من هذه النسخة في قراءة الكلمات غير المقروءة من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تفضّل علينا مشكورا سماحة حجة الإسلام المحقق الشيخ محمّد هادي معرفة بهاتين النسختين، حيث وضعهما تحت تصرفنا طيلة مدة تحقيق الكتاب</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251159_2314609296"/>
      <w:bookmarkStart w:id="88" w:name="_Toc32"/>
      <w:bookmarkEnd w:id="87"/>
      <w:r>
        <w:rPr>
          <w:rtl w:val="true"/>
        </w:rPr>
        <w:t>منهجية التحقيق</w:t>
      </w:r>
      <w:r>
        <w:rPr>
          <w:rtl w:val="true"/>
        </w:rPr>
        <w:t>:</w:t>
      </w:r>
      <w:bookmarkEnd w:id="88"/>
    </w:p>
    <w:p>
      <w:pPr>
        <w:pStyle w:val="BookText"/>
        <w:rPr/>
      </w:pPr>
      <w:r>
        <w:rPr>
          <w:rFonts w:ascii="Amiri" w:hAnsi="Amiri" w:eastAsia="Amiri" w:cs="Amiri"/>
          <w:color w:val="111111"/>
          <w:sz w:val="28"/>
          <w:sz w:val="28"/>
          <w:szCs w:val="28"/>
          <w:rtl w:val="true"/>
          <w:lang w:bidi="ar-SA"/>
        </w:rPr>
        <w:t>اعتمدت في تحقيقي لهذا الكتاب على نسخة الأصل التي هي بخط المصنّف، و استعنت بالنسخة الثانية في قراءة بعض العبارات غير المقروءة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ما احتاج إلى تخريج من آيات قرآنية كريمة، و أحاديث شريفة، و أقوال العلماء التي ذكرها المصنف في أثناء أبحاثه، إلّا تلك التي لم تتوفر مصادرها لدينا كنجاة العباد لصاحب الجواهر، و حاشيتها للشيخ الأنصاري، و تكملة التبصرة للآخوند الخراساني، و شرحها لأحد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أوضحت معاني الكلمات اللغوية التي تحتاج إلى توضيح، و عملت فهرسا للموضوعات في نهاية كل مجلّد، و إن شاء اللّٰه أوفق لعمل فهارس فنية كاملة عند انتهاء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فإني أحمد اللّٰه تعالى على توفيقه إياي لتحقيق هذا الكتاب الجليل و إخراجه بهذه الحلّة الأنيقة، و أسأله سبحانه و تعالى الصحة و العافية و العون من أجل إحياء المزيد من التراث الإسلامي، و آخر دعائي أن الحمد للّٰه ربّ العالمين و صلّى اللّٰه على رسوله، و آله الطيبين الطاهرين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الحسّون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9" w:name="pg19729_212643"/>
    </w:p>
    <w:p>
      <w:pPr>
        <w:pStyle w:val="BookText"/>
        <w:rPr/>
      </w:pPr>
      <w:bookmarkEnd w:id="8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0" w:name="__RefHeading___Toc3251161_2314609296"/>
      <w:bookmarkStart w:id="91" w:name="_Toc33"/>
      <w:bookmarkEnd w:id="90"/>
      <w:r>
        <w:rPr>
          <w:rtl w:val="true"/>
        </w:rPr>
        <w:t>كتاب الطهارة</w:t>
      </w:r>
      <w:bookmarkEnd w:id="91"/>
    </w:p>
    <w:p>
      <w:pPr>
        <w:pStyle w:val="Heading3"/>
        <w:numPr>
          <w:ilvl w:val="2"/>
          <w:numId w:val="1"/>
        </w:numPr>
        <w:rPr/>
      </w:pPr>
      <w:bookmarkStart w:id="92" w:name="__RefHeading___Toc3251163_2314609296"/>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 هي من الطهر بمعنى النظافة الحاصلة من الأمور المخصوصة، و إطلاقها على أسبابها بنحو من العناية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الحدثية وصلت إلى حد الحقيقة، و 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النقل تقتضي البقاء على حقيقتها العرفية، كما هو الشأن في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الطهور على الوضوء و أخويه كإطلاقه على الماء إطلاق على ما يحصل به، و إطلاق اسم المبدأ على ما ثبت له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الوضوء طهارة بل هو سبب لها، و أن طهوريته من هذه الجهة، كما هو الشأن في طهورية الماء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يظهر من هذا الإطلاق انّ ما هو شرط في الصلاة و أمثالها هي الذات المتلبسة بالطهورية، لا نفس الطهارة التي هي مبدأ الاشتقاق، خلافا لشيخنا العلّامة </w:t>
      </w:r>
      <w:r>
        <w:rPr>
          <w:rStyle w:val="FootnoteAnchor"/>
          <w:rtl w:val="true"/>
        </w:rPr>
        <w:footnoteReference w:id="370"/>
      </w:r>
      <w:r>
        <w:rPr>
          <w:rFonts w:ascii="Amiri" w:hAnsi="Amiri" w:eastAsia="Amiri" w:cs="Amiri"/>
          <w:color w:val="111111"/>
          <w:sz w:val="28"/>
          <w:sz w:val="28"/>
          <w:szCs w:val="28"/>
          <w:rtl w:val="true"/>
          <w:lang w:bidi="ar-SA"/>
        </w:rPr>
        <w:t xml:space="preserve">حيث جعل الشرط في الأمور المخصوصة نفس الطهارة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يترتّب على هذه الجهة الثمرة المعروفة من البراءة و الاشتغال في صورة الشك في شرطية شي‌ء أو جزئيته في الفعل الموجب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مثل هذه الثمرة إنما تتم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شرطا في العمل مرآة إلى الأفعال المخصوصة، كي يكون الشرط هي الأفعال الموجبة للطهارة بما لها من العناوين الأولية، و إلّا فلو جعلناه عنوان للشرط، و جعلنا الشرط هي الأفعال المخصوصة بما هي طهور، فلا جرم يصير لتأثيرها في الطهارة دخل في الشرطية، و بعد ذلك لا مجال لجريان البراءة عند الشك في حصول الشرط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يصلح ما ذكروه أن تكون ثمرة عملية في المقام، فالأولى جعل الثمرة في إجراء قاعدة التجاوز عند الشك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الصلاة، فإنه على شرطية نفس الطهارة لم يتجاوز المحل، فلا تجري القاعدة، و أما على شرطية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الوضوء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تجاوز عن محله فتجري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يكون أثر عملي في جعل الطهارة عبارة عن السبب بنحو الحقيقة المتشرعية أو المجاز، بعد الجزم بعدم وضع شرعي له، و عدم أخذ مثل هذا العنوان موضوعا في القضية الشرطية في الطهارة الحدثية، و إنما غايته كون الشرط هو الطهور، و هو غير الطهارة جزما، و اللّٰه العالم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 في كتاب الطهارة أبواب</w:t>
      </w:r>
      <w:bookmarkStart w:id="94" w:name="pg19729_212645"/>
    </w:p>
    <w:p>
      <w:pPr>
        <w:pStyle w:val="Heading3"/>
        <w:numPr>
          <w:ilvl w:val="2"/>
          <w:numId w:val="1"/>
        </w:numPr>
        <w:rPr/>
      </w:pPr>
      <w:bookmarkStart w:id="95" w:name="__RefHeading___Toc3251165_2314609296"/>
      <w:bookmarkStart w:id="96" w:name="_Toc35"/>
      <w:bookmarkEnd w:id="94"/>
      <w:bookmarkEnd w:id="95"/>
      <w:r>
        <w:rPr>
          <w:rtl w:val="true"/>
        </w:rPr>
        <w:t>[</w:t>
      </w:r>
      <w:r>
        <w:rPr>
          <w:rtl w:val="true"/>
        </w:rPr>
        <w:t>أبواب</w:t>
      </w:r>
      <w:r>
        <w:rPr>
          <w:rtl w:val="true"/>
        </w:rPr>
        <w:t>]</w:t>
      </w:r>
      <w:bookmarkEnd w:id="96"/>
    </w:p>
    <w:p>
      <w:pPr>
        <w:pStyle w:val="Heading4"/>
        <w:numPr>
          <w:ilvl w:val="3"/>
          <w:numId w:val="1"/>
        </w:numPr>
        <w:rPr/>
      </w:pPr>
      <w:bookmarkStart w:id="97" w:name="__RefHeading___Toc3251167_2314609296"/>
      <w:bookmarkStart w:id="98" w:name="_Toc36"/>
      <w:bookmarkEnd w:id="97"/>
      <w:r>
        <w:rPr>
          <w:rtl w:val="true"/>
        </w:rPr>
        <w:t>الباب الأول</w:t>
      </w:r>
      <w:r>
        <w:rPr>
          <w:rtl w:val="true"/>
        </w:rPr>
        <w:t xml:space="preserve">: </w:t>
      </w:r>
      <w:r>
        <w:rPr>
          <w:rtl w:val="true"/>
        </w:rPr>
        <w:t>في المياه</w:t>
      </w:r>
      <w:bookmarkEnd w:id="98"/>
    </w:p>
    <w:p>
      <w:pPr>
        <w:pStyle w:val="Heading5"/>
        <w:numPr>
          <w:ilvl w:val="4"/>
          <w:numId w:val="1"/>
        </w:numPr>
        <w:rPr/>
      </w:pPr>
      <w:bookmarkStart w:id="99" w:name="__RefHeading___Toc3251169_2314609296"/>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الماء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مضاف</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251171_2314609296"/>
      <w:bookmarkStart w:id="102" w:name="_Toc38"/>
      <w:bookmarkEnd w:id="101"/>
      <w:r>
        <w:rPr>
          <w:rtl w:val="true"/>
        </w:rPr>
        <w:t>[</w:t>
      </w:r>
      <w:r>
        <w:rPr>
          <w:rtl w:val="true"/>
        </w:rPr>
        <w:t>الماء المطلق</w:t>
      </w:r>
      <w:r>
        <w:rPr>
          <w:rtl w:val="true"/>
        </w:rPr>
        <w:t>]</w:t>
      </w:r>
      <w:bookmarkEnd w:id="102"/>
    </w:p>
    <w:p>
      <w:pPr>
        <w:pStyle w:val="Heading6"/>
        <w:numPr>
          <w:ilvl w:val="5"/>
          <w:numId w:val="1"/>
        </w:numPr>
        <w:rPr/>
      </w:pPr>
      <w:bookmarkStart w:id="103" w:name="__RefHeading___Toc3251173_2314609296"/>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فالمطلق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إطلاق اسم الماء عليه بلا إضافته إلى شي‌ء، و لا يمكن سلبه عنه بإطلاقه، و لا تضر إضافته إلى شي‌ء أحيانا، كماء البئر و الحوض و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المضاف بخلافه كماء الورد و البطيخ،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لتوهم وحدة المعنى في لفظ الماء في المقامين، إذ معناه في أحد المقامين يغاير معناه في المقام الآخر، و ليس أحدهما من سنخ الآخر، بل هما مختلفان حقيقة، فلا محيص عن وضعه مضافا لمعنى، و مطلقا لمعنى آخر، و لا مجال لتوهم عموم الاشتراك، و لا ضير فيه بعد اختلاف اللفظ بحسب الخصوصية الطارية عليه من الإطلاق 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إنّما وضع لحقيقة واحدة، و انّ الإطلاق و الإضافة حاكيان عن خصوصية خلوصه في المائية و شوبه بغيره، إنما يتم في بعض الصور، كماء اللبن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ماء الرمان و البطيخ فلا يكون عند الدقة و العرف من سنخ الماء المطلق، بل هما حقيقتان مختلفتان على وجه لا يرى من الماء المطلق شي‌ء في المضاف المزبور جزما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عن جعله من متكثر المعنى، حسب اختلاف الخصوصية</w:t>
      </w:r>
      <w:bookmarkStart w:id="105" w:name="pg19729_212646"/>
    </w:p>
    <w:p>
      <w:pPr>
        <w:pStyle w:val="BookText"/>
        <w:rPr/>
      </w:pPr>
      <w:bookmarkEnd w:id="105"/>
      <w:r>
        <w:rPr>
          <w:rFonts w:ascii="Amiri" w:hAnsi="Amiri" w:eastAsia="Amiri" w:cs="Amiri"/>
          <w:color w:val="111111"/>
          <w:sz w:val="28"/>
          <w:sz w:val="28"/>
          <w:szCs w:val="28"/>
          <w:rtl w:val="true"/>
          <w:lang w:bidi="ar-SA"/>
        </w:rPr>
        <w:t>الطارئة على لفظه،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 طاهر و مطهّر، و باعتبار وقوع النجاسة أو المتنجس فيه ينقسم أقساما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251175_2314609296"/>
      <w:bookmarkStart w:id="107" w:name="_Toc40"/>
      <w:bookmarkEnd w:id="106"/>
      <w:r>
        <w:rPr>
          <w:rtl w:val="true"/>
        </w:rPr>
        <w:t>الأول</w:t>
      </w:r>
      <w:r>
        <w:rPr>
          <w:rtl w:val="true"/>
        </w:rPr>
        <w:t xml:space="preserve">: </w:t>
      </w:r>
      <w:r>
        <w:rPr>
          <w:rtl w:val="true"/>
        </w:rPr>
        <w:t>الماء الجاري</w:t>
      </w:r>
      <w:bookmarkEnd w:id="107"/>
    </w:p>
    <w:p>
      <w:pPr>
        <w:pStyle w:val="BookText"/>
        <w:rPr/>
      </w:pPr>
      <w:r>
        <w:rPr>
          <w:rFonts w:ascii="Amiri" w:hAnsi="Amiri" w:eastAsia="Amiri" w:cs="Amiri"/>
          <w:color w:val="111111"/>
          <w:sz w:val="28"/>
          <w:sz w:val="28"/>
          <w:szCs w:val="28"/>
          <w:rtl w:val="true"/>
          <w:lang w:bidi="ar-SA"/>
        </w:rPr>
        <w:t xml:space="preserve">و هو السائل عن مادة أرضية كمياه الأنهار، و لا ينجس بما يقع فيه من النجاسة بلا اشكال مع كريته، و بدونها ففيه الخلاف المعروف بين المشهور و العلّامة، حيث ذهب إلى انفعال قليله </w:t>
      </w:r>
      <w:r>
        <w:rPr>
          <w:rStyle w:val="FootnoteAnchor"/>
          <w:rtl w:val="true"/>
        </w:rPr>
        <w:footnoteReference w:id="372"/>
      </w:r>
      <w:r>
        <w:rPr>
          <w:rFonts w:ascii="Amiri" w:hAnsi="Amiri" w:eastAsia="Amiri" w:cs="Amiri"/>
          <w:color w:val="111111"/>
          <w:sz w:val="28"/>
          <w:sz w:val="28"/>
          <w:szCs w:val="28"/>
          <w:rtl w:val="true"/>
          <w:lang w:bidi="ar-SA"/>
        </w:rPr>
        <w:t xml:space="preserve">، تحكيما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مطلقات الجاري، بل و على أصل عموم العلّة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الجاري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الانصاف عكسه، خصوصا لو اقتضى عموم الانفعال إلغاء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الدخل في الحكم، للجزم بأنّ تمام المناط حينئذ هو الكرية في أي مورد كان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ليس المقام من موارد الإطلاق و التقييد، كي يقيّد المطلق بالمقيّد، بل من قبيل دوران الأمر في ظهور العنوان المأخوذ في موضوع الحكم في الدخل في موضوعه، أو عدمه بأن يكون الدخيل فيه عنوانا آخر، و أنّ هذا العنوان مأخوذ من باب الكناية، باعتبار أنه ملزومه الغالبي لموضوعه، و من المعلوم أنّ مثل هذه الجهة خصوصية زائدة عن حيثية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الأمر حينئذ في مثل المقام إلى الدوران بين رفع اليد عن إطلاق أحد الطرفين في دخل عنوانه، أو رفع اليد عن ظهور العنوان في أصل الدخل، و لو في الجملة، و في مثله ربما يكون ظهور العنوان في أصل الدخل أقوى من إطلاق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أيضا يقدّم إطلاق عاصمية المطر على عمومات الانفعال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المقام من قوة ظهور العلّة على ظهور الإطلاق في ناحية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نلتزم بخروج مطلق المياه التي لها مادة عن عموم انفعال الماء القليل، جاريا كان أو عينا أو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تحقق المادة الأرضية، أو اعتبار قيد الأرضية، من باب الشبهة الحكمية في الثاني، و الموضوعية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أصالة عدم الاتصاف بالمادة الأرضية محكّمة، فيجري حكم انفعال 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الثاني يرجع إلى الشبهة المفهومية المخصصة لعموم الانفعال، لو كان الشك ناشئا من توهّم انصراف اللفظ إليها، أو توهّم دخل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المادة، أو توهّم ورود كثرة التخصيص على مثل هذا التعليل على وجه صار بحكم المجمل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لفظ المادة معنى عاما، يشك في تقييده عرفا بأمر زائد عن معناه، من كونه تحت أرض، أو دوام جريان و لو من قبل ذو بان الثلج مثلا، أو غيرهما، فالمرجع عند الشك في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المادة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تحقيق المقام خلافه، بل الشك ناشئ عن احتمال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المادة و إن لم يكن فيه دوام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فالمرجع</w:t>
      </w:r>
    </w:p>
    <w:p>
      <w:pPr>
        <w:pStyle w:val="BookText"/>
        <w:rPr/>
      </w:pPr>
      <w:r>
        <w:rPr>
          <w:rFonts w:ascii="Amiri" w:hAnsi="Amiri" w:eastAsia="Amiri" w:cs="Amiri"/>
          <w:color w:val="111111"/>
          <w:sz w:val="28"/>
          <w:sz w:val="28"/>
          <w:szCs w:val="28"/>
          <w:rtl w:val="true"/>
          <w:lang w:bidi="ar-SA"/>
        </w:rPr>
        <w:t>في الشبهة المفهومية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الانفعال،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العصمة ثابتة للجاري ما لم يتغيّر لونه أو طعمه أو رائحته للنبوي المعروف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هذا المضمون ورد في ماء البئر </w:t>
      </w:r>
      <w:r>
        <w:rPr>
          <w:rStyle w:val="FootnoteAnchor"/>
          <w:rtl w:val="true"/>
        </w:rPr>
        <w:footnoteReference w:id="375"/>
      </w:r>
      <w:r>
        <w:rPr>
          <w:rFonts w:ascii="Amiri" w:hAnsi="Amiri" w:eastAsia="Amiri" w:cs="Amiri"/>
          <w:color w:val="111111"/>
          <w:sz w:val="28"/>
          <w:sz w:val="28"/>
          <w:szCs w:val="28"/>
          <w:rtl w:val="true"/>
          <w:lang w:bidi="ar-SA"/>
        </w:rPr>
        <w:t xml:space="preserve">، و خلوّه عن اللون غير ضائر بعد تقييده بالأخرى </w:t>
      </w:r>
      <w:r>
        <w:rPr>
          <w:rStyle w:val="FootnoteAnchor"/>
          <w:rtl w:val="true"/>
        </w:rPr>
        <w:footnoteReference w:id="376"/>
      </w:r>
      <w:r>
        <w:rPr>
          <w:rFonts w:ascii="Amiri" w:hAnsi="Amiri" w:eastAsia="Amiri" w:cs="Amiri"/>
          <w:color w:val="111111"/>
          <w:sz w:val="28"/>
          <w:sz w:val="28"/>
          <w:szCs w:val="28"/>
          <w:rtl w:val="true"/>
          <w:lang w:bidi="ar-SA"/>
        </w:rPr>
        <w:t>المشتملة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أيضا ثبت في باب الكر بنحو الإجمال </w:t>
      </w:r>
      <w:r>
        <w:rPr>
          <w:rStyle w:val="FootnoteAnchor"/>
          <w:rtl w:val="true"/>
        </w:rPr>
        <w:footnoteReference w:id="377"/>
      </w:r>
      <w:r>
        <w:rPr>
          <w:rFonts w:ascii="Amiri" w:hAnsi="Amiri" w:eastAsia="Amiri" w:cs="Amiri"/>
          <w:color w:val="111111"/>
          <w:sz w:val="28"/>
          <w:sz w:val="28"/>
          <w:szCs w:val="28"/>
          <w:rtl w:val="true"/>
          <w:lang w:bidi="ar-SA"/>
        </w:rPr>
        <w:t xml:space="preserve">، و عليه أيضا يحمل التعليل بأكثرية ماء الاستنجاء عن القذر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فالتغيير موجب للانفعال حتى في الكثير، جاريا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تحكيم إطلاق الجاري على مثل هذا الاستثناء واضح الفساد، إذ مثل هذا القيد بعد كونه مخصصا للمادة المعلّل بها عصمة ماء البئر، فتخصيصه لبقية المطلقات بالفحوى، خصوصا مع كون العمدة في وجه عدم انفعال الجاري مثل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يتعدّى من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المطر، فيحكم بأنّ التغيّر المزبور موجب للانفعال في جميع الموارد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يعتبر فيه حصوله بها أي بملاقاة عين النجاسة،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اعتبار التغيّر بأوصاف النجس وجه،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يطيب طعمه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الطعم الحاصل من ملاقاة عين النجاسة مستقذر و لو كان طعم غيرها، فلا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تحديد النص التغيير بالصفرة الناشئة من الجيفة </w:t>
      </w:r>
      <w:r>
        <w:rPr>
          <w:rStyle w:val="FootnoteAnchor"/>
          <w:rtl w:val="true"/>
        </w:rPr>
        <w:footnoteReference w:id="380"/>
      </w:r>
      <w:r>
        <w:rPr>
          <w:rFonts w:ascii="Amiri" w:hAnsi="Amiri" w:eastAsia="Amiri" w:cs="Amiri"/>
          <w:color w:val="111111"/>
          <w:sz w:val="28"/>
          <w:sz w:val="28"/>
          <w:szCs w:val="28"/>
          <w:rtl w:val="true"/>
          <w:lang w:bidi="ar-SA"/>
        </w:rPr>
        <w:t>شاهد مدعانا، فالإطلاق حينئذ محكم في منجسية التغيير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اعتبار بحصول التغيير بالمجاورة أو بملاقاة المتنجس و إن كان بصفة النجاسة، للشك في اندراجه تحت الدليل، فعموم الطهارة محكم، كما أنه في الشبهة الموضعية يكون مرجعنا هي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المدار في التغيّر المزبور على الحسي منه دون التقديري، و لا الحقيقي المستور عن الحس، كما هو متصوّر في فرض الاكتساب بالمجاورة </w:t>
      </w:r>
      <w:r>
        <w:rPr>
          <w:rStyle w:val="FootnoteAnchor"/>
          <w:rtl w:val="true"/>
        </w:rPr>
        <w:footnoteReference w:id="381"/>
      </w:r>
      <w:r>
        <w:rPr>
          <w:rFonts w:ascii="Amiri" w:hAnsi="Amiri" w:eastAsia="Amiri" w:cs="Amiri"/>
          <w:color w:val="111111"/>
          <w:sz w:val="28"/>
          <w:sz w:val="28"/>
          <w:szCs w:val="28"/>
          <w:rtl w:val="true"/>
          <w:lang w:bidi="ar-SA"/>
        </w:rPr>
        <w:t>بمقدار لا يدركه حس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استشكله شيخنا العلّامة في طهارته </w:t>
      </w:r>
      <w:r>
        <w:rPr>
          <w:rStyle w:val="FootnoteAnchor"/>
          <w:rtl w:val="true"/>
        </w:rPr>
        <w:footnoteReference w:id="382"/>
      </w:r>
      <w:r>
        <w:rPr>
          <w:rFonts w:ascii="Amiri" w:hAnsi="Amiri" w:eastAsia="Amiri" w:cs="Amiri"/>
          <w:color w:val="111111"/>
          <w:sz w:val="28"/>
          <w:sz w:val="28"/>
          <w:szCs w:val="28"/>
          <w:rtl w:val="true"/>
          <w:lang w:bidi="ar-SA"/>
        </w:rPr>
        <w:t>إنما يتم في فرض التغيّر بانتشار الأجزاء، و إلّا ففي فرض الاكتساب فلا مجال لإشكاله، فراجع و 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الإطلاقات على ما يرونه 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 مجال إشكال، بأنّ بناء الأصحاب في المقام على التغير الحسي لا الدقي الواقعي، بخلافهم في باب الكر، حيث إنّ بناءهم على حفظ الكم المزبور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لسؤال الفرق بين الكم و الكيف من تلك الجهة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يخلو الأمر، في فرض التغيّر الحقيقي المستور عن الحس عن الاشكال، جريا في مرحلة التطبيق على الدقة العقلية، بلا اعتناء إلى خطئهم في التطبيق، كما هو الشأن في باب الكر،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تغيّر الماء و لو كان ذا مادة فضلا عن غيره نجس المتغيّر خاصة إن لم يقطع التغيير اتصال الباقي عن المادة، و إلّا نجس ما بعده المنقطع إذا كان قليلا أيضا، دون ما قبله المتصل بالمادة، و إطلاق الماتن في نفي تنجس ما بعده منظور فيه، للشك في شمول الإطلاق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أشرنا في حاشيتنا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 الكر لا بدّ أن يكون غير المتغيّر بنفسه عاصما أيضا، و إلّا فينجس جميعه، لعمومات انفعال القليل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ماء الغيث حال نزوله حكم الجاري في عصمته مطلقا، قليلا كان أم كثيرا، بلا اشكال فتوى و نصا، ما عدا ما عن العلّامة من مصيره إلى انفعال قليله </w:t>
      </w:r>
      <w:r>
        <w:rPr>
          <w:rStyle w:val="FootnoteAnchor"/>
          <w:rtl w:val="true"/>
        </w:rPr>
        <w:footnoteReference w:id="383"/>
      </w:r>
      <w:r>
        <w:rPr>
          <w:rFonts w:ascii="Amiri" w:hAnsi="Amiri" w:eastAsia="Amiri" w:cs="Amiri"/>
          <w:color w:val="111111"/>
          <w:sz w:val="28"/>
          <w:sz w:val="28"/>
          <w:szCs w:val="28"/>
          <w:rtl w:val="true"/>
          <w:lang w:bidi="ar-SA"/>
        </w:rPr>
        <w:t>، و تقدّم وجه الاشكال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اعتبار بلوغ المطر حدا يكون فيه مقتضى الجريان، وجه، تحكيما لما اشتمل على القيد المزبور </w:t>
      </w:r>
      <w:r>
        <w:rPr>
          <w:rStyle w:val="FootnoteAnchor"/>
          <w:rtl w:val="true"/>
        </w:rPr>
        <w:footnoteReference w:id="384"/>
      </w:r>
      <w:r>
        <w:rPr>
          <w:rFonts w:ascii="IRNazanin" w:hAnsi="IRNazanin" w:eastAsia="IRNazanin"/>
          <w:color w:val="111111"/>
          <w:sz w:val="28"/>
          <w:sz w:val="28"/>
          <w:szCs w:val="28"/>
          <w:rtl w:val="true"/>
          <w:lang w:bidi="fa-IR"/>
        </w:rPr>
        <w:t xml:space="preserve">على مطلقاته </w:t>
      </w:r>
      <w:r>
        <w:rPr>
          <w:rStyle w:val="FootnoteAnchor"/>
          <w:rtl w:val="true"/>
        </w:rPr>
        <w:footnoteReference w:id="385"/>
      </w:r>
      <w:r>
        <w:rPr>
          <w:rFonts w:ascii="Amiri" w:hAnsi="Amiri" w:eastAsia="Amiri" w:cs="Amiri"/>
          <w:color w:val="111111"/>
          <w:sz w:val="28"/>
          <w:sz w:val="28"/>
          <w:szCs w:val="28"/>
          <w:rtl w:val="true"/>
          <w:lang w:bidi="ar-SA"/>
        </w:rPr>
        <w:t>، و تنزيل التقييد مورد</w:t>
      </w:r>
      <w:bookmarkStart w:id="108" w:name="pg19729_212651"/>
    </w:p>
    <w:p>
      <w:pPr>
        <w:pStyle w:val="BookText"/>
        <w:rPr/>
      </w:pPr>
      <w:bookmarkEnd w:id="108"/>
      <w:r>
        <w:rPr>
          <w:rFonts w:ascii="Amiri" w:hAnsi="Amiri" w:eastAsia="Amiri" w:cs="Amiri"/>
          <w:color w:val="111111"/>
          <w:sz w:val="28"/>
          <w:sz w:val="28"/>
          <w:szCs w:val="28"/>
          <w:rtl w:val="true"/>
          <w:lang w:bidi="ar-SA"/>
        </w:rPr>
        <w:t>الغالب منظور فيه، مع أنه يوجب تنزيل الإطلاق عليه أيضا، فالمرجع حينئذ عموم انفعال المياه القليلة، و قد أشرنا في الحاشية إلى القيد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ماء الحمام أيضا إذا كانت له مادة حكمه، أي حكم الجاري من غير أن ينفعل قليله أيضا، لعموم المنزلة المنصوص عليها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يشعر بعدم اعتبار بلوغ مجموع ما في الحياض الصغار و ما في المنبع كرا، و لكن يشكل بأنّ طرف التنزيل هو خصوص ما في الحوض الصغير، إذا هو المصطلح في ماء الحمام، و لا يقتضي التنزيل المزبور إلّا اتصاله بالمادة العاصمة، و إحراز عصمتها لا بدّ أن يكون من الخارج، من دون نظر في هذا الإطلاق إلى إثبات عصمة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قلنا بتقوّي العالي بالسافل، فيكفي في عصمته بلوغ مجموعهما كرا، و إلّا فلا بدّ من اعتبار العصمة ببلوغ الكر في خصوص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منشأ اختلاف كلماتهم في المقام، و إلى المختار أشرنا في الحاشية أيضا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251177_2314609296"/>
      <w:bookmarkStart w:id="110" w:name="_Toc41"/>
      <w:bookmarkEnd w:id="109"/>
      <w:r>
        <w:rPr>
          <w:rtl w:val="true"/>
        </w:rPr>
        <w:t>الثاني</w:t>
      </w:r>
      <w:r>
        <w:rPr>
          <w:rtl w:val="true"/>
        </w:rPr>
        <w:t xml:space="preserve">: </w:t>
      </w:r>
      <w:r>
        <w:rPr>
          <w:rtl w:val="true"/>
        </w:rPr>
        <w:t>الماء الراكد</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من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الواقف غير المتصل بمادة أرضية كمياه الحياض و الأواني، و هذا القسم أيضا عاصم إن كان مقداره كرا، بلا اشكال فيه نصا </w:t>
      </w:r>
      <w:r>
        <w:rPr>
          <w:rStyle w:val="FootnoteAnchor"/>
          <w:rtl w:val="true"/>
        </w:rPr>
        <w:footnoteReference w:id="387"/>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الكلام في حدّ الكر مساحة، و أما وزنا فالظاهر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مائتا رطل بالعراقي، جمعا بين النصوص المختلفة المشتملة بعضها على ألف و مائتي رطل </w:t>
      </w:r>
      <w:r>
        <w:rPr>
          <w:rStyle w:val="FootnoteAnchor"/>
          <w:rtl w:val="true"/>
        </w:rPr>
        <w:footnoteReference w:id="388"/>
      </w:r>
      <w:r>
        <w:rPr>
          <w:rFonts w:ascii="Amiri" w:hAnsi="Amiri" w:eastAsia="Amiri" w:cs="Amiri"/>
          <w:color w:val="111111"/>
          <w:sz w:val="28"/>
          <w:sz w:val="28"/>
          <w:szCs w:val="28"/>
          <w:rtl w:val="true"/>
          <w:lang w:bidi="ar-SA"/>
        </w:rPr>
        <w:t xml:space="preserve">، و بعضها على ستمائة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حملوا الأول على العراقي، و الأخير على المكّي، و ربما استشهد بكون الراوي في الأول هو ابن أبي عمير و هو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بعض أصحابه، و هو غير معلوم كونه عراقيا، و كون ابن أبي عمير عراقيا لا يصلح قرينة لحمل الرطل في كلام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الاستشهاد بكون العراقي نصف المكي، و به يخرج الكلام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إنما يصلح للجمع بين كلامين متعارضين، إذا كانا في خطاب واحد مع راو واحد، لا في كلامين و خطابين، فإنه حينئذ يكون من الجمع التبرعي، لا العرفي الذي يكون مبتنيا على الظهور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الواقعي، معلقا على موضوع خارجي محدود بحد معيّن واقعا، يجب أن يحمل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المقامات المختلفة و الخطابات المتعددة على معنى لا يقع التعارض و التنافي بينها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فبعد التوجه إلى هذه النكتة يصير الكلام بنفسه ظاهرا في هذا المعنى، من غير أن يكون تحميل من خارج، و هذا معنى ما يقال من الأخذ بنص كل و طرح ظهوره 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الوزن، أما المساحة ففيها أقوال متشتتة، و المشهور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المتن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كل واحد من طوله و عرضه و عمقه ثلاثة أشبار و نصفا، لرواية الإستبصار في نسخة </w:t>
      </w:r>
      <w:r>
        <w:rPr>
          <w:rStyle w:val="FootnoteAnchor"/>
          <w:rtl w:val="true"/>
        </w:rPr>
        <w:footnoteReference w:id="390"/>
      </w:r>
      <w:r>
        <w:rPr>
          <w:rFonts w:ascii="Amiri" w:hAnsi="Amiri" w:eastAsia="Amiri" w:cs="Amiri"/>
          <w:color w:val="111111"/>
          <w:sz w:val="28"/>
          <w:sz w:val="28"/>
          <w:szCs w:val="28"/>
          <w:rtl w:val="true"/>
          <w:lang w:bidi="ar-SA"/>
        </w:rPr>
        <w:t xml:space="preserve">، و لكن في الكافي بدون ذكر الطول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فيحتمل حمل العرض على مطلق السعة كعرض السماء، و ربما ينطبق على شكل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السؤال في الخبر عن الركي، و بعد ابتلائهم بهذا الشكل المربع </w:t>
      </w:r>
      <w:r>
        <w:rPr>
          <w:rStyle w:val="FootnoteAnchor"/>
          <w:rtl w:val="true"/>
        </w:rPr>
        <w:footnoteReference w:id="392"/>
      </w:r>
      <w:r>
        <w:rPr>
          <w:rFonts w:ascii="Amiri" w:hAnsi="Amiri" w:eastAsia="Amiri" w:cs="Amiri"/>
          <w:color w:val="111111"/>
          <w:sz w:val="28"/>
          <w:sz w:val="28"/>
          <w:szCs w:val="28"/>
          <w:rtl w:val="true"/>
          <w:lang w:bidi="ar-SA"/>
        </w:rPr>
        <w:t>، فيصير التحديد أقل من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 في مثله ثلاثة أشبار و نصف في عمقه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إذ بعد ظهور ذيله في كونه شرحا لمثله، لا يكون مشتملا لبعده الطولي، فيحمل ذلك أيضا على تحديد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حيث عبّر بالسعة بدل العرض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يزيد عمقه عن الثلاثة و نصف بشي‌ء، كما أنه ينقص سعته عن هذا المقدار أيضا، و بعد الكسر يزيد عن المضمون السابق بيسير، كما أنّ مضامين هذه الروايات يزيد بيسير عما أفاده القميّون من التحديد بالثلاثة في الأبعاد الثلاثة، كبعض النصوص </w:t>
      </w:r>
      <w:r>
        <w:rPr>
          <w:rStyle w:val="FootnoteAnchor"/>
          <w:rtl w:val="true"/>
        </w:rPr>
        <w:footnoteReference w:id="395"/>
      </w:r>
      <w:r>
        <w:rPr>
          <w:rFonts w:ascii="Amiri" w:hAnsi="Amiri" w:eastAsia="Amiri" w:cs="Amiri"/>
          <w:color w:val="111111"/>
          <w:sz w:val="28"/>
          <w:sz w:val="28"/>
          <w:szCs w:val="28"/>
          <w:rtl w:val="true"/>
          <w:lang w:bidi="ar-SA"/>
        </w:rPr>
        <w:t>على احتمال الدائرة في السابقة، بخلاف المربع فإنّ الاختلاف كثير جدا، بل و لا يلائم التحديد الوزني</w:t>
      </w:r>
    </w:p>
    <w:p>
      <w:pPr>
        <w:pStyle w:val="BookText"/>
        <w:rPr/>
      </w:pPr>
      <w:r>
        <w:rPr>
          <w:rFonts w:ascii="Amiri" w:hAnsi="Amiri" w:eastAsia="Amiri" w:cs="Amiri"/>
          <w:color w:val="111111"/>
          <w:sz w:val="28"/>
          <w:sz w:val="28"/>
          <w:szCs w:val="28"/>
          <w:rtl w:val="true"/>
          <w:lang w:bidi="ar-SA"/>
        </w:rPr>
        <w:t>غالبا فالأنسب له رواية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نظر المشهور مبني على أنّ النصف قد سقط من هذه الرواية، مؤيدا برواية الإستبصار </w:t>
      </w:r>
      <w:r>
        <w:rPr>
          <w:rStyle w:val="FootnoteAnchor"/>
          <w:rtl w:val="true"/>
        </w:rPr>
        <w:footnoteReference w:id="396"/>
      </w:r>
      <w:r>
        <w:rPr>
          <w:rFonts w:ascii="Amiri" w:hAnsi="Amiri" w:eastAsia="Amiri" w:cs="Amiri"/>
          <w:color w:val="111111"/>
          <w:sz w:val="28"/>
          <w:sz w:val="28"/>
          <w:szCs w:val="28"/>
          <w:rtl w:val="true"/>
          <w:lang w:bidi="ar-SA"/>
        </w:rPr>
        <w:t xml:space="preserve">أو تقييدهم إطلاق كل طائفة بالتقييد في الأخرى، فإطلاق الثلاثة في هذه قيّدت بالنصف في رواية الكافي </w:t>
      </w:r>
      <w:r>
        <w:rPr>
          <w:rStyle w:val="FootnoteAnchor"/>
          <w:rtl w:val="true"/>
        </w:rPr>
        <w:footnoteReference w:id="397"/>
      </w:r>
      <w:r>
        <w:rPr>
          <w:rFonts w:ascii="Amiri" w:hAnsi="Amiri" w:eastAsia="Amiri" w:cs="Amiri"/>
          <w:color w:val="111111"/>
          <w:sz w:val="28"/>
          <w:sz w:val="28"/>
          <w:szCs w:val="28"/>
          <w:rtl w:val="true"/>
          <w:lang w:bidi="ar-SA"/>
        </w:rPr>
        <w:t xml:space="preserve">، و إطلاقها من جهة الطول قيد بهذه، أو طرحهم رواية القميين </w:t>
      </w:r>
      <w:r>
        <w:rPr>
          <w:rStyle w:val="FootnoteAnchor"/>
          <w:rtl w:val="true"/>
        </w:rPr>
        <w:footnoteReference w:id="398"/>
      </w:r>
      <w:r>
        <w:rPr>
          <w:rFonts w:ascii="IRNazanin" w:hAnsi="IRNazanin" w:eastAsia="IRNazanin"/>
          <w:color w:val="111111"/>
          <w:sz w:val="28"/>
          <w:sz w:val="28"/>
          <w:szCs w:val="28"/>
          <w:rtl w:val="true"/>
          <w:lang w:bidi="fa-IR"/>
        </w:rPr>
        <w:t>، لعدم مناسبتها مع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ما في الأولين من التعبّد و عدم شاهد من العرف، و لو لا ملاحظة المناسبة مع الوزن كان الأولى الجمع بينها بالحمل على مراتب العصمة من مراتب القذارة، و لكن ملاحظة الوزن ربّما توهن مذهب القميين فيطرح نصّهم به، مضافا إلى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الأخذ برواية الكافي أو الذراعين، فلا يبعد الجمع بينهما بالحمل على مراتب العصمة، أو الحمل على كون ذلك بملاحظة وزن المياه خفة و ثقلا، أو الحمل على أمارية المساحة على الوزن، و أنّ الاختلاف اليسير بينهما غير مضرّ بالامارية، خصوصا مع اختلاف المياه في الثقل و الخفة، على وجه يناسب مع أحدهما تارة، و مع الآخر اخرى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فمع احتمال انطباقهما على شكل الدائرة، لا ينتهي الأمر في مكسره إلى ما أفاده المصنف رحمه اللّٰه، و إلى ذلك أشرنا من الإشكال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عصمة الكر بصدق الوحدة عليه، من دون فرق بين اختلاف سطوحه و تساويها، فالعالي منه يتقوّى بالسافل،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إطلاقات مياه الحمام، و حكم العرف بالوحدة، خصوصا لو فرض إناء بهذا الشكل، كما هو ظاهر، و مع الشك في صدق الوحدة أو مصداقها، فالمرجع في الأول عموم عاصمية الماء،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أنّ ظاهره الحكم بطهوريته حين خلقته، و هو منزّل غالبا على المياه التي لها مادة، أو ما بحكمها من المطر، و لا يشمل الكر المنفصل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ما أفيد إنما يتم بالنسبة إلى حيثية الطهورية، و أما بالنسبة إلى الفقرة الأخرى فظهور استقباليته بلحاظ زمان خلقته موجب لدعوى دلالة إطلاقه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الثاني لا يكون العموم المزبور مرجعا، بل المرجع أصالة عدم اتصافه بالكرية، فيشمله عموم المفهوم بأنّ ما لا يكون كرا ينفعل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في أمثال المقام بأنّ المسألة من صغريات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الملاقاة مقتضية للانفعال، و الكرية مانعة، و مع الشك فيه يحكم على وفق المقتضي في كل شبهة، صدقيا </w:t>
      </w:r>
      <w:r>
        <w:rPr>
          <w:rStyle w:val="FootnoteAnchor"/>
          <w:rtl w:val="true"/>
        </w:rPr>
        <w:footnoteReference w:id="400"/>
      </w:r>
      <w:r>
        <w:rPr>
          <w:rFonts w:ascii="Amiri" w:hAnsi="Amiri" w:eastAsia="Amiri" w:cs="Amiri"/>
          <w:color w:val="111111"/>
          <w:sz w:val="28"/>
          <w:sz w:val="28"/>
          <w:szCs w:val="28"/>
          <w:rtl w:val="true"/>
          <w:lang w:bidi="ar-SA"/>
        </w:rPr>
        <w:t>كان أم مصداقيا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عمومات الكر في مانعية الكرية، بل من الممكن كون الكرية من شرائط بقاء العصمة و الطهارة، و على فرضه فنمنع تمامية القاعدة المزبورة، فليس المرجع عند الشك إلّا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التحديد بالأشبار لا بدّ أن يكون بشبر مستوي الخلقة بالإضافة إلى نوع أفراد الإنسان، لا بالإضافة إلى أجزاء نفسه، كما هو الشأن في الإصبعين في باب الوضوء، المعلوم كون استواء خلقته بالقياس إلى وجهه، لا بالقياس إلى أفراد الإنسان، و لو من جهة اختلاف انصراف الإطلاق بحسب المناسبات الارتكازية في كل باب 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عصمة الكر أنه لا ينجس بوقوع النجاسة فيه و لا بملاقاته لها ما لم يتغيّر أحد أوصافه الثلاثة المتقدّمة على تفصيل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تغيّر بملاقاته عين النجاسة نجس المتغير خاصة إن كان الباقي كرا، و إلّا فينجس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يطهر بإلقاء كر دفعة عليه على وجه لا يتغير جزء منه بملاقاته و حتى يزول التغير و إلّا فيحتاج إلى تطهيره بعاصم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على امتزاجه مع العاصم الباقي عصمته إلى حين الامتزاج، و كان بنحو يزول به تغيّر الماء، من دون خصوصية للإلقاء و لا الدفعة، إلّا بملاحظة ملازمتهما لبقاء العصمة حين الامتزاج غالبا، إذ لو لاقاه و امتزج به تدريجا ربما يتغيّر جزء منه قبل الامتزاج، فلا يبقى الماء على عصمته إلى حين امتزاجه، نعم لا يكفي مجرد اتصاله بالعاصم،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وجه التطهير قيام الإجماع على عدم تبعض ماء واحد في الطهارة و النجاسة، بضميمة إطلاق دليل العاصم، لبقاء عصمته حتى في حال امتزاجه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فبمدلوله الالتزامي يدل على رفع خبثه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منع هذا الإطلاق في دليل العصمة يكفي أصالة الطهارة</w:t>
      </w:r>
    </w:p>
    <w:p>
      <w:pPr>
        <w:pStyle w:val="BookText"/>
        <w:rPr/>
      </w:pPr>
      <w:r>
        <w:rPr>
          <w:rFonts w:ascii="Amiri" w:hAnsi="Amiri" w:eastAsia="Amiri" w:cs="Amiri"/>
          <w:color w:val="111111"/>
          <w:sz w:val="28"/>
          <w:sz w:val="28"/>
          <w:szCs w:val="28"/>
          <w:rtl w:val="true"/>
          <w:lang w:bidi="ar-SA"/>
        </w:rPr>
        <w:t>بعد تعارض الاستصحاب في الطرفين، و ذلك أيضا بعد قيام الإجماع المزبور على عدم التبعيض، و إلّا فلا مانع من جريان الأصلين، لعدم مخالفة عملية في البين،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الماء أقل من كر، تنجّس بوقوع النجاسة فيه و إن لم يتغيّر أحد أوصافه على المشهور بين الأصحاب، خلافا للعماني </w:t>
      </w:r>
      <w:r>
        <w:rPr>
          <w:rStyle w:val="FootnoteAnchor"/>
          <w:rtl w:val="true"/>
        </w:rPr>
        <w:footnoteReference w:id="401"/>
      </w:r>
      <w:r>
        <w:rPr>
          <w:rFonts w:ascii="Amiri" w:hAnsi="Amiri" w:eastAsia="Amiri" w:cs="Amiri"/>
          <w:color w:val="111111"/>
          <w:sz w:val="28"/>
          <w:sz w:val="28"/>
          <w:szCs w:val="28"/>
          <w:rtl w:val="true"/>
          <w:lang w:bidi="ar-SA"/>
        </w:rPr>
        <w:t xml:space="preserve">و جمع من المتأخرين، من عدم انفعاله مطلقا، و خلافا للسيد المفصّل بين الورودين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المفهوم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 في رواية السؤال عن الماء الذي لا ينجسه شي‌ء </w:t>
      </w:r>
      <w:r>
        <w:rPr>
          <w:rStyle w:val="FootnoteAnchor"/>
          <w:rtl w:val="true"/>
        </w:rPr>
        <w:footnoteReference w:id="404"/>
      </w:r>
      <w:r>
        <w:rPr>
          <w:rFonts w:ascii="Amiri" w:hAnsi="Amiri" w:eastAsia="Amiri" w:cs="Amiri"/>
          <w:color w:val="111111"/>
          <w:sz w:val="28"/>
          <w:sz w:val="28"/>
          <w:szCs w:val="28"/>
          <w:rtl w:val="true"/>
          <w:lang w:bidi="ar-SA"/>
        </w:rPr>
        <w:t>، و ظاهره أنه في مقام تحديد العاصم، و مثله كالصريح في المفهوم، و كون المفهوم إيجابا جزئيا غير ضائر، بعد عدم الفصل بين أفراد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الأخبار الخاصة الواردة في نجاسة الماء القليل بالملاقاة </w:t>
      </w:r>
      <w:r>
        <w:rPr>
          <w:rStyle w:val="FootnoteAnchor"/>
          <w:rtl w:val="true"/>
        </w:rPr>
        <w:footnoteReference w:id="405"/>
      </w:r>
      <w:r>
        <w:rPr>
          <w:rFonts w:ascii="Amiri" w:hAnsi="Amiri" w:eastAsia="Amiri" w:cs="Amiri"/>
          <w:color w:val="111111"/>
          <w:sz w:val="28"/>
          <w:sz w:val="28"/>
          <w:szCs w:val="28"/>
          <w:rtl w:val="true"/>
          <w:lang w:bidi="ar-SA"/>
        </w:rPr>
        <w:t>في الموارد المتعددة بالغة حد التواتر، و كانت على وجه قابل لإلقاء الخصوصيات من نوع الجنس و كيفية الملاقاة، فيستفاد منها التعميم بالنسبة إلى أنحائها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حالتي الورود و عدمه، و عدمه، فالروايات غير متكفّلة لحيث الملاقاة بل هو موكول إلى نظر العرف بكون التنجّس بتوسط الملاقاة، من</w:t>
      </w:r>
    </w:p>
    <w:p>
      <w:pPr>
        <w:pStyle w:val="BookText"/>
        <w:rPr/>
      </w:pPr>
      <w:r>
        <w:rPr>
          <w:rFonts w:ascii="Amiri" w:hAnsi="Amiri" w:eastAsia="Amiri" w:cs="Amiri"/>
          <w:color w:val="111111"/>
          <w:sz w:val="28"/>
          <w:sz w:val="28"/>
          <w:szCs w:val="28"/>
          <w:rtl w:val="true"/>
          <w:lang w:bidi="ar-SA"/>
        </w:rPr>
        <w:t>غير فرق بين نحوي الملاقاة، بارتكاز أذهانهم، فلا يبقى مجال تشكيك في الفرق بين الورودين، و بهذا البيان ظهر وجه التفصيل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ترجيح أحد القولين الأولين، إذ في قبال العمومات المزبورة أخبار ظاهرة في عدم انفعال القليل، و لكن الناظر فيها يرى قابلية غالبيتها للتخصيص بأخبار الكر، كماء الغدران </w:t>
      </w:r>
      <w:r>
        <w:rPr>
          <w:rStyle w:val="FootnoteAnchor"/>
          <w:rtl w:val="true"/>
        </w:rPr>
        <w:footnoteReference w:id="406"/>
      </w:r>
      <w:r>
        <w:rPr>
          <w:rFonts w:ascii="Amiri" w:hAnsi="Amiri" w:eastAsia="Amiri" w:cs="Amiri"/>
          <w:color w:val="111111"/>
          <w:sz w:val="28"/>
          <w:sz w:val="28"/>
          <w:szCs w:val="28"/>
          <w:rtl w:val="true"/>
          <w:lang w:bidi="ar-SA"/>
        </w:rPr>
        <w:t xml:space="preserve">، و الحياض </w:t>
      </w:r>
      <w:r>
        <w:rPr>
          <w:rStyle w:val="FootnoteAnchor"/>
          <w:rtl w:val="true"/>
        </w:rPr>
        <w:footnoteReference w:id="407"/>
      </w:r>
      <w:r>
        <w:rPr>
          <w:rFonts w:ascii="Amiri" w:hAnsi="Amiri" w:eastAsia="Amiri" w:cs="Amiri"/>
          <w:color w:val="111111"/>
          <w:sz w:val="28"/>
          <w:sz w:val="28"/>
          <w:szCs w:val="28"/>
          <w:rtl w:val="true"/>
          <w:lang w:bidi="ar-SA"/>
        </w:rPr>
        <w:t xml:space="preserve">، و القليل في الطريق </w:t>
      </w:r>
      <w:r>
        <w:rPr>
          <w:rStyle w:val="FootnoteAnchor"/>
          <w:rtl w:val="true"/>
        </w:rPr>
        <w:footnoteReference w:id="408"/>
      </w:r>
      <w:r>
        <w:rPr>
          <w:rFonts w:ascii="Amiri" w:hAnsi="Amiri" w:eastAsia="Amiri" w:cs="Amiri"/>
          <w:color w:val="111111"/>
          <w:sz w:val="28"/>
          <w:sz w:val="28"/>
          <w:szCs w:val="28"/>
          <w:rtl w:val="true"/>
          <w:lang w:bidi="ar-SA"/>
        </w:rPr>
        <w:t>، و بعض منها قابلة للحمل على وجه آخر لا ينافي نجاسة الماء القليل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كانت الرواية الصريحة في عدم تنجّس القليل بالملاقاة، منحصرة في رواية واحدة </w:t>
      </w:r>
      <w:r>
        <w:rPr>
          <w:rStyle w:val="FootnoteAnchor"/>
          <w:rtl w:val="true"/>
        </w:rPr>
        <w:footnoteReference w:id="409"/>
      </w:r>
      <w:r>
        <w:rPr>
          <w:rFonts w:ascii="Amiri" w:hAnsi="Amiri" w:eastAsia="Amiri" w:cs="Amiri"/>
          <w:color w:val="111111"/>
          <w:sz w:val="28"/>
          <w:sz w:val="28"/>
          <w:szCs w:val="28"/>
          <w:rtl w:val="true"/>
          <w:lang w:bidi="ar-SA"/>
        </w:rPr>
        <w:t>، لكنها مطعونة بذهاب المشهور إلى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الإغماض عما ذكرنا في وجه الجمع، كان مقتضى الجمع بين هذه الأخبار و بين ما دل على النجاسة، هو حمل أخبار النجاسة على مراتب التنزّه و العاصمية، لاختلاف مراتب القذارة، كما عرفت نظيره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يسهّل الأمر، هو إمكان دعوى و هن هذه الأخبار </w:t>
      </w:r>
      <w:r>
        <w:rPr>
          <w:rStyle w:val="FootnoteAnchor"/>
          <w:rtl w:val="true"/>
        </w:rPr>
        <w:footnoteReference w:id="410"/>
      </w:r>
      <w:r>
        <w:rPr>
          <w:rFonts w:ascii="Amiri" w:hAnsi="Amiri" w:eastAsia="Amiri" w:cs="Amiri"/>
          <w:color w:val="111111"/>
          <w:sz w:val="28"/>
          <w:sz w:val="28"/>
          <w:szCs w:val="28"/>
          <w:rtl w:val="true"/>
          <w:lang w:bidi="ar-SA"/>
        </w:rPr>
        <w:t>من جهة الصدور لو لا عدم قابلية طرح السند فيها، و لو من جهة توهّم كونها متواترة معنى أو إجمالا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هو السر في حمل المشهور لها على التقية، من دون مخالفة</w:t>
      </w:r>
    </w:p>
    <w:p>
      <w:pPr>
        <w:pStyle w:val="BookText"/>
        <w:rPr/>
      </w:pPr>
      <w:r>
        <w:rPr>
          <w:rFonts w:ascii="Amiri" w:hAnsi="Amiri" w:eastAsia="Amiri" w:cs="Amiri"/>
          <w:color w:val="111111"/>
          <w:sz w:val="28"/>
          <w:sz w:val="28"/>
          <w:szCs w:val="28"/>
          <w:rtl w:val="true"/>
          <w:lang w:bidi="ar-SA"/>
        </w:rPr>
        <w:t>في ذلك لما هو ديدنهم من تقديم الجمع الدلالي على التصرّف في الجهة، و لو لاستلزام العمل على وفق سندهما في الجملة، بخلاف الآخر، لأنّه مستتبع لطرح السند و الجهة بالمرة، فأصالة السند مهما أمكن يقتضي ترجيح الجمع على الحمل على التقية، إذ ذاك إنما يتم في فرض مزاحمة الجهة مع الدلالة، بحيث لا يكون أصلها موهونا من غير جهة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مثل ما نحن فيه، القاصر فيه جريان الأصل المزبور ذاتا، بملاحظة إعراض المشهور و مصيرهم إلى خلافه، فلا مجرى لمثل هذا الأصل، كي يزاحم الدلالة أو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النكتة أيضا يحمل أخبار طهارة الذمي و حل ذبائحهم على التقية، لا من جهة عدم الجمع دلالة، كيف و أخبار الطهارة و الحليّة نص بالإضافة إلى ما دل على النجاسة و الحرمة،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عن شيخنا العلّامة من إتعاب نفسه في ترجيح أخبار النجاسة دلالة، أو للالتزام بمعارضتها بأخبار الطهارة و ترجيح روايات النجاسة، بعموم السنة الحاكمة بانفعال القليل </w:t>
      </w:r>
      <w:r>
        <w:rPr>
          <w:rStyle w:val="FootnoteAnchor"/>
          <w:rtl w:val="true"/>
        </w:rPr>
        <w:footnoteReference w:id="411"/>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يطهر القليل المتنجّس بإلقاء كر دفعة عليه لدى المصنف، و إلّا فلا يحتاج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القيدين، بل يكفي مجرّد الامتزاج بالمياه العاصمة بنحو يصدق عليه الماء الواحد، على نحو لا يبقى مجال ميز بينهما بالإشارة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 بعدم كفاية مجرد الاتصال بالعاصم، للشك في اندراج هذا النحو من الوحدة في معقد الإجماع أو المرتكزات العرفية، فالاستصحاب حينئذ محكم</w:t>
      </w:r>
      <w:r>
        <w:rPr>
          <w:rFonts w:eastAsia="Amiri" w:cs="Amiri" w:ascii="Amiri" w:hAnsi="Amiri"/>
          <w:color w:val="111111"/>
          <w:sz w:val="28"/>
          <w:szCs w:val="28"/>
          <w:rtl w:val="true"/>
          <w:lang w:bidi="ar-SA"/>
        </w:rPr>
        <w:t>.</w:t>
      </w:r>
      <w:bookmarkStart w:id="111" w:name="pg19729_212660"/>
    </w:p>
    <w:p>
      <w:pPr>
        <w:pStyle w:val="Heading6"/>
        <w:numPr>
          <w:ilvl w:val="5"/>
          <w:numId w:val="1"/>
        </w:numPr>
        <w:rPr/>
      </w:pPr>
      <w:bookmarkStart w:id="112" w:name="__RefHeading___Toc3251179_2314609296"/>
      <w:bookmarkStart w:id="113" w:name="_Toc42"/>
      <w:bookmarkEnd w:id="111"/>
      <w:bookmarkEnd w:id="112"/>
      <w:r>
        <w:rPr>
          <w:rtl w:val="true"/>
        </w:rPr>
        <w:t>الثالث</w:t>
      </w:r>
      <w:r>
        <w:rPr>
          <w:rtl w:val="true"/>
        </w:rPr>
        <w:t xml:space="preserve">: </w:t>
      </w:r>
      <w:r>
        <w:rPr>
          <w:rtl w:val="true"/>
        </w:rPr>
        <w:t>ماء البئر</w:t>
      </w:r>
      <w:bookmarkEnd w:id="113"/>
    </w:p>
    <w:p>
      <w:pPr>
        <w:pStyle w:val="BookText"/>
        <w:rPr/>
      </w:pPr>
      <w:r>
        <w:rPr>
          <w:rFonts w:ascii="Amiri" w:hAnsi="Amiri" w:eastAsia="Amiri" w:cs="Amiri"/>
          <w:color w:val="111111"/>
          <w:sz w:val="28"/>
          <w:sz w:val="28"/>
          <w:szCs w:val="28"/>
          <w:rtl w:val="true"/>
          <w:lang w:bidi="ar-SA"/>
        </w:rPr>
        <w:t>و هو النابع المخصوص المعيّن مفهومه عرفا، و إن انتهى أمر صدقه إلى الشك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إن تغيّر أحد أوصافه الثلاثة بوقوع النجاسة فيه، نجس المتغير بلا إشكال، لرواية ابن بزيع </w:t>
      </w:r>
      <w:r>
        <w:rPr>
          <w:rStyle w:val="FootnoteAnchor"/>
          <w:rtl w:val="true"/>
        </w:rPr>
        <w:footnoteReference w:id="412"/>
      </w:r>
      <w:r>
        <w:rPr>
          <w:rFonts w:ascii="Amiri" w:hAnsi="Amiri" w:eastAsia="Amiri" w:cs="Amiri"/>
          <w:color w:val="111111"/>
          <w:sz w:val="28"/>
          <w:sz w:val="28"/>
          <w:szCs w:val="28"/>
          <w:rtl w:val="true"/>
          <w:lang w:bidi="ar-SA"/>
        </w:rPr>
        <w:t>المشتملة على استثناء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سابقا بأنّ عدم اشتمالها على التغيّر اللوني غير ضائر، بعد ورود مثله في جملة أخرى، خصوصا في الرواية المشتملة على تحديد التغيّر بالصفرة الناشئة عن الجيفة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يطهر بزوال التغيّر بالنزح الموجب عادة لخروج المياه العاصمة عن مادته شيئا فشيئا حتى يزول التغيّر، كما يدل عليه رواية ابن بزيع </w:t>
      </w:r>
      <w:r>
        <w:rPr>
          <w:rStyle w:val="FootnoteAnchor"/>
          <w:rtl w:val="true"/>
        </w:rPr>
        <w:footnoteReference w:id="41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فينزح حتى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للنزح موضوعية في التطهّر المزبور على وجه لا يكفي فيه الامتزاج بالعاصم بلا نزح، لا أظن التزامه من أحد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البئر يطهر بالنزح حتى يزول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مفتاح الكرامة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ثمانية أقوال، ثم ذكر عن صاحب المدارك انّ الأقوى تفريعا على القول بعدم الانفعال الاكتفاء بزوال التغيير، و على القول بالنجاسة يحتمل ذلك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 شيخه تعليقا على هذا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القائلين بالتنجيس يتحاشون عن هذا القول،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أمكن دعوى لزوم النزح حتى في غير صورة خروج الماء من المادة بنزحه، و الاكتفاء بنزح المقدار المتغيّر عند من التزم بأنّ الاتصال بالمادة كما يكفي في دفع النجاسة، يكفي في دفعها، إذ حينئذ كان للنزح نحو من الموضوعية في تطهير بقية المياه غير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بالفرق بين الدفع و الرفع، و أنّ الأول أهون، و لو للأصل، لا يبقى مجال لمطهريّة النزح أصلا، بل النزح حينئذ مقدمة لخروج المياه العاصمة من المادة، بحيث لو لا خروجها بالنزح لما كان جدوى في النزح أصلا، بل يحتاج إلى إلقاء عاصم خارجي عليه، بمقدار يزول تغيّره بامتزاجه معه، و إلّا فيبقى الباقي على نجاسته إن لم يكن بمقدار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لم يتغيّر ماؤه بملاقاة النجاسة فهو باق على أصل الطهارة، كما هو المشهور لدى المتأخرين، و في المتن نسبة النجاسة إلى جماعة من أصحابنا و أنهم حكموا بنجاستها بوقوع النجاسة فيها و إن لم يتغيّر ماؤها، و عن جماعة التفصيل بين أن تكون كرا و عدمه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طهارتها مطلقا، لرواية ابن بزيع </w:t>
      </w:r>
      <w:r>
        <w:rPr>
          <w:rStyle w:val="FootnoteAnchor"/>
          <w:rtl w:val="true"/>
        </w:rPr>
        <w:footnoteReference w:id="416"/>
      </w:r>
      <w:r>
        <w:rPr>
          <w:rFonts w:ascii="Amiri" w:hAnsi="Amiri" w:eastAsia="Amiri" w:cs="Amiri"/>
          <w:color w:val="111111"/>
          <w:sz w:val="28"/>
          <w:sz w:val="28"/>
          <w:szCs w:val="28"/>
          <w:rtl w:val="true"/>
          <w:lang w:bidi="ar-SA"/>
        </w:rPr>
        <w:t>المشتملة على التعليل بأنّ له مادة، مضافا إلى جملة من الصحاح المشتملة على نفي البأس عن</w:t>
      </w:r>
    </w:p>
    <w:p>
      <w:pPr>
        <w:pStyle w:val="BookText"/>
        <w:rPr/>
      </w:pPr>
      <w:r>
        <w:rPr>
          <w:rFonts w:ascii="Amiri" w:hAnsi="Amiri" w:eastAsia="Amiri" w:cs="Amiri"/>
          <w:color w:val="111111"/>
          <w:sz w:val="28"/>
          <w:sz w:val="28"/>
          <w:szCs w:val="28"/>
          <w:rtl w:val="true"/>
          <w:lang w:bidi="ar-SA"/>
        </w:rPr>
        <w:t xml:space="preserve">الوضوء بماء بئر وقع فيه فأرة </w:t>
      </w:r>
      <w:r>
        <w:rPr>
          <w:rStyle w:val="FootnoteAnchor"/>
          <w:rtl w:val="true"/>
        </w:rPr>
        <w:footnoteReference w:id="417"/>
      </w:r>
      <w:r>
        <w:rPr>
          <w:rFonts w:ascii="Amiri" w:hAnsi="Amiri" w:eastAsia="Amiri" w:cs="Amiri"/>
          <w:color w:val="111111"/>
          <w:sz w:val="28"/>
          <w:sz w:val="28"/>
          <w:szCs w:val="28"/>
          <w:rtl w:val="true"/>
          <w:lang w:bidi="ar-SA"/>
        </w:rPr>
        <w:t xml:space="preserve">، و أمثالها، مثل صحيحة ابن مسلم </w:t>
      </w:r>
      <w:r>
        <w:rPr>
          <w:rStyle w:val="FootnoteAnchor"/>
          <w:rtl w:val="true"/>
        </w:rPr>
        <w:footnoteReference w:id="418"/>
      </w:r>
      <w:r>
        <w:rPr>
          <w:rFonts w:ascii="Amiri" w:hAnsi="Amiri" w:eastAsia="Amiri" w:cs="Amiri"/>
          <w:color w:val="111111"/>
          <w:sz w:val="28"/>
          <w:sz w:val="28"/>
          <w:szCs w:val="28"/>
          <w:rtl w:val="true"/>
          <w:lang w:bidi="ar-SA"/>
        </w:rPr>
        <w:t xml:space="preserve">، و موثقة أبي بصير </w:t>
      </w:r>
      <w:r>
        <w:rPr>
          <w:rStyle w:val="FootnoteAnchor"/>
          <w:rtl w:val="true"/>
        </w:rPr>
        <w:footnoteReference w:id="419"/>
      </w:r>
      <w:r>
        <w:rPr>
          <w:rFonts w:ascii="Amiri" w:hAnsi="Amiri" w:eastAsia="Amiri" w:cs="Amiri"/>
          <w:color w:val="111111"/>
          <w:sz w:val="28"/>
          <w:sz w:val="28"/>
          <w:szCs w:val="28"/>
          <w:rtl w:val="true"/>
          <w:lang w:bidi="ar-SA"/>
        </w:rPr>
        <w:t>، إذ 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بترك الاستفصال بين موت الفأرة و حياتها، أو ترك الاستفصال بين علمه بالنجاسة السابقة على الوضوء أو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العصمة، من دون فرق بين الكر منه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تنزيل الإطلاقات على الغالب من الكرية، منظور فيه، كتوهم تقديم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الإطلاقات، إذ قد عرفت فساد التوهم المزبور في الجاري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تمسك به للنجاسة مطلقا، من أخبار النزح، خصوصا المشتملة على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يطهّرها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تارة، و على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تنزح منها دلاء فإن ذلك يطهرها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اخرى، و ثالثة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 يوما إلى الليل فقد طهرت</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المشتملة على أمر الجنب بالتيمم، مع عدم وجدان دلو أو غيره، و نهيه عن الوقوع في البئر و إفساد ماء القوم </w:t>
      </w:r>
      <w:r>
        <w:rPr>
          <w:rStyle w:val="FootnoteAnchor"/>
          <w:rtl w:val="true"/>
        </w:rPr>
        <w:footnoteReference w:id="423"/>
      </w:r>
      <w:r>
        <w:rPr>
          <w:rFonts w:ascii="Amiri" w:hAnsi="Amiri" w:eastAsia="Amiri" w:cs="Amiri"/>
          <w:color w:val="111111"/>
          <w:sz w:val="28"/>
          <w:sz w:val="28"/>
          <w:szCs w:val="28"/>
          <w:rtl w:val="true"/>
          <w:lang w:bidi="ar-SA"/>
        </w:rPr>
        <w:t xml:space="preserve">، مضافا إلى ما دلّ على نجاسة البئر لمحض المجاورة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منع دلالتها على المدّعى، إذ في جملة أخبار النزح النزح للعقرب </w:t>
      </w:r>
      <w:r>
        <w:rPr>
          <w:rStyle w:val="FootnoteAnchor"/>
          <w:rtl w:val="true"/>
        </w:rPr>
        <w:footnoteReference w:id="425"/>
      </w:r>
      <w:r>
        <w:rPr>
          <w:rFonts w:ascii="Amiri" w:hAnsi="Amiri" w:eastAsia="Amiri" w:cs="Amiri"/>
          <w:color w:val="111111"/>
          <w:sz w:val="28"/>
          <w:sz w:val="28"/>
          <w:szCs w:val="28"/>
          <w:rtl w:val="true"/>
          <w:lang w:bidi="ar-SA"/>
        </w:rPr>
        <w:t xml:space="preserve">، مضافا إلى اشتمالها على التخيير بين الأقل و الأكثر </w:t>
      </w:r>
      <w:r>
        <w:rPr>
          <w:rStyle w:val="FootnoteAnchor"/>
          <w:rtl w:val="true"/>
        </w:rPr>
        <w:footnoteReference w:id="426"/>
      </w:r>
      <w:r>
        <w:rPr>
          <w:rFonts w:ascii="Amiri" w:hAnsi="Amiri" w:eastAsia="Amiri" w:cs="Amiri"/>
          <w:color w:val="111111"/>
          <w:sz w:val="28"/>
          <w:sz w:val="28"/>
          <w:szCs w:val="28"/>
          <w:rtl w:val="true"/>
          <w:lang w:bidi="ar-SA"/>
        </w:rPr>
        <w:t>، الذي لا يناسب باب النجاسة و التطهير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التعبير بنزح دلاء </w:t>
      </w:r>
      <w:r>
        <w:rPr>
          <w:rStyle w:val="FootnoteAnchor"/>
          <w:rtl w:val="true"/>
        </w:rPr>
        <w:footnoteReference w:id="427"/>
      </w:r>
      <w:r>
        <w:rPr>
          <w:rFonts w:ascii="Amiri" w:hAnsi="Amiri" w:eastAsia="Amiri" w:cs="Amiri"/>
          <w:color w:val="111111"/>
          <w:sz w:val="28"/>
          <w:sz w:val="28"/>
          <w:szCs w:val="28"/>
          <w:rtl w:val="true"/>
          <w:lang w:bidi="ar-SA"/>
        </w:rPr>
        <w:t xml:space="preserve">، المشعر بالاستحباب المبتني على المسامحة، بل و اشتمال بعضها على البعرة </w:t>
      </w:r>
      <w:r>
        <w:rPr>
          <w:rStyle w:val="FootnoteAnchor"/>
          <w:rtl w:val="true"/>
        </w:rPr>
        <w:footnoteReference w:id="428"/>
      </w:r>
      <w:r>
        <w:rPr>
          <w:rFonts w:ascii="Amiri" w:hAnsi="Amiri" w:eastAsia="Amiri" w:cs="Amiri"/>
          <w:color w:val="111111"/>
          <w:sz w:val="28"/>
          <w:sz w:val="28"/>
          <w:szCs w:val="28"/>
          <w:rtl w:val="true"/>
          <w:lang w:bidi="ar-SA"/>
        </w:rPr>
        <w:t xml:space="preserve">، و بعضها على الهرة و الفأرة </w:t>
      </w:r>
      <w:r>
        <w:rPr>
          <w:rStyle w:val="FootnoteAnchor"/>
          <w:rtl w:val="true"/>
        </w:rPr>
        <w:footnoteReference w:id="429"/>
      </w:r>
      <w:r>
        <w:rPr>
          <w:rFonts w:ascii="Amiri" w:hAnsi="Amiri" w:eastAsia="Amiri" w:cs="Amiri"/>
          <w:color w:val="111111"/>
          <w:sz w:val="28"/>
          <w:sz w:val="28"/>
          <w:szCs w:val="28"/>
          <w:rtl w:val="true"/>
          <w:lang w:bidi="ar-SA"/>
        </w:rPr>
        <w:t>الشاملين لحال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ما في صحيحة علي بن جعفر </w:t>
      </w:r>
      <w:r>
        <w:rPr>
          <w:rStyle w:val="FootnoteAnchor"/>
          <w:rtl w:val="true"/>
        </w:rPr>
        <w:footnoteReference w:id="430"/>
      </w:r>
      <w:r>
        <w:rPr>
          <w:rFonts w:ascii="Amiri" w:hAnsi="Amiri" w:eastAsia="Amiri" w:cs="Amiri"/>
          <w:color w:val="111111"/>
          <w:sz w:val="28"/>
          <w:sz w:val="28"/>
          <w:szCs w:val="28"/>
          <w:rtl w:val="true"/>
          <w:lang w:bidi="ar-SA"/>
        </w:rPr>
        <w:t xml:space="preserve">من التصريح بنفي البأس، مضافا الى كثرة اختلاف المقدرات بنحو يناسب الاستحباب و مراتب الفضيلة لا الوجوب، مؤيدا بالتعليل في رواية ابن بزيع </w:t>
      </w:r>
      <w:r>
        <w:rPr>
          <w:rStyle w:val="FootnoteAnchor"/>
          <w:rtl w:val="true"/>
        </w:rPr>
        <w:footnoteReference w:id="431"/>
      </w:r>
      <w:r>
        <w:rPr>
          <w:rFonts w:ascii="Amiri" w:hAnsi="Amiri" w:eastAsia="Amiri" w:cs="Amiri"/>
          <w:color w:val="111111"/>
          <w:sz w:val="28"/>
          <w:sz w:val="28"/>
          <w:szCs w:val="28"/>
          <w:rtl w:val="true"/>
          <w:lang w:bidi="ar-SA"/>
        </w:rPr>
        <w:t xml:space="preserve">و المطلقات السابقة </w:t>
      </w:r>
      <w:r>
        <w:rPr>
          <w:rStyle w:val="FootnoteAnchor"/>
          <w:rtl w:val="true"/>
        </w:rPr>
        <w:footnoteReference w:id="432"/>
      </w:r>
      <w:r>
        <w:rPr>
          <w:rFonts w:ascii="Amiri" w:hAnsi="Amiri" w:eastAsia="Amiri" w:cs="Amiri"/>
          <w:color w:val="111111"/>
          <w:sz w:val="28"/>
          <w:sz w:val="28"/>
          <w:szCs w:val="28"/>
          <w:rtl w:val="true"/>
          <w:lang w:bidi="ar-SA"/>
        </w:rPr>
        <w:t>، مما لا يكاد يشك معها في حمل التطهير في الروايات المزبورة على نفي الاستقذار الطبيعي الحاصل من وقوع الأمور المزبورة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التيمم </w:t>
      </w:r>
      <w:r>
        <w:rPr>
          <w:rStyle w:val="FootnoteAnchor"/>
          <w:rtl w:val="true"/>
        </w:rPr>
        <w:footnoteReference w:id="433"/>
      </w:r>
      <w:r>
        <w:rPr>
          <w:rFonts w:ascii="Amiri" w:hAnsi="Amiri" w:eastAsia="Amiri" w:cs="Amiri"/>
          <w:color w:val="111111"/>
          <w:sz w:val="28"/>
          <w:sz w:val="28"/>
          <w:szCs w:val="28"/>
          <w:rtl w:val="true"/>
          <w:lang w:bidi="ar-SA"/>
        </w:rPr>
        <w:t>، فيمكن أن يكون النهي من الوقوع في البئر، من جهة إضرار القوم بجعل الماء مورد استقذارهم، و هو المراد من إفساد مائهم، خصوصا مع إمكان طهارة بدنه، و عدم ملازمة جنابته لنجاسة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فإطلاقه</w:t>
      </w:r>
    </w:p>
    <w:p>
      <w:pPr>
        <w:pStyle w:val="BookText"/>
        <w:rPr/>
      </w:pPr>
      <w:r>
        <w:rPr>
          <w:rFonts w:ascii="Amiri" w:hAnsi="Amiri" w:eastAsia="Amiri" w:cs="Amiri"/>
          <w:color w:val="111111"/>
          <w:sz w:val="28"/>
          <w:sz w:val="28"/>
          <w:szCs w:val="28"/>
          <w:rtl w:val="true"/>
          <w:lang w:bidi="ar-SA"/>
        </w:rPr>
        <w:t>من هذه الجهة يوهن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ظهورها في كثرة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رواية علي بن جعفر </w:t>
      </w:r>
      <w:r>
        <w:rPr>
          <w:rStyle w:val="FootnoteAnchor"/>
          <w:rtl w:val="true"/>
        </w:rPr>
        <w:footnoteReference w:id="434"/>
      </w:r>
      <w:r>
        <w:rPr>
          <w:rFonts w:ascii="Amiri" w:hAnsi="Amiri" w:eastAsia="Amiri" w:cs="Amiri"/>
          <w:color w:val="111111"/>
          <w:sz w:val="28"/>
          <w:sz w:val="28"/>
          <w:szCs w:val="28"/>
          <w:rtl w:val="true"/>
          <w:lang w:bidi="ar-SA"/>
        </w:rPr>
        <w:t xml:space="preserve">الصريحة في نفي البأس، فمع التنافي يرجع إلى عموم السنة الناطقة بطهارة الماء و عصمته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محيص عن حمل المقدّرات الواردة في الموارد الخاصة على الاستحباب، مقدمة لرفع القذارة التي لا تبلغ مرتبة النجاسة، لا على محض التعبد، لبعده جدا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عندنا، خلافا للقدماء حيث أوجبوا نزح الجميع بوقوع المسكر، و الفقاع، و المني، و دم الحيض أو الاستحاضة أو النفاس فيها، أو موت بعير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الوجه في الأولين و الأخير ما ورد في رواية الحلبي المشتملة على نزح الجميع في الخمر و موت البعير </w:t>
      </w:r>
      <w:r>
        <w:rPr>
          <w:rStyle w:val="FootnoteAnchor"/>
          <w:rtl w:val="true"/>
        </w:rPr>
        <w:footnoteReference w:id="436"/>
      </w:r>
      <w:r>
        <w:rPr>
          <w:rFonts w:ascii="Amiri" w:hAnsi="Amiri" w:eastAsia="Amiri" w:cs="Amiri"/>
          <w:color w:val="111111"/>
          <w:sz w:val="28"/>
          <w:sz w:val="28"/>
          <w:szCs w:val="28"/>
          <w:rtl w:val="true"/>
          <w:lang w:bidi="ar-SA"/>
        </w:rPr>
        <w:t xml:space="preserve">، بانضمام ما دل على أنّ ما كان عاقبته عاقبة الخمر فهو خمر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المقام تحديدات اخرى </w:t>
      </w:r>
      <w:r>
        <w:rPr>
          <w:rStyle w:val="FootnoteAnchor"/>
          <w:rtl w:val="true"/>
        </w:rPr>
        <w:footnoteReference w:id="438"/>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مراتب الفضيلة، و لكن على القول الآخر تطرح أو يحكم بالإجمال و قاعدة الاشتغال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بقية المذكورات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ما ادعي فيه الإجماع، و بين كونه مما لا نص فيه، المقتضي للأخذ بالمحتمل الأكثر في باب التطهيرات</w:t>
      </w:r>
    </w:p>
    <w:p>
      <w:pPr>
        <w:pStyle w:val="BookText"/>
        <w:rPr/>
      </w:pPr>
      <w:r>
        <w:rPr>
          <w:rFonts w:ascii="Amiri" w:hAnsi="Amiri" w:eastAsia="Amiri" w:cs="Amiri"/>
          <w:color w:val="111111"/>
          <w:sz w:val="28"/>
          <w:sz w:val="28"/>
          <w:szCs w:val="28"/>
          <w:rtl w:val="true"/>
          <w:lang w:bidi="ar-SA"/>
        </w:rPr>
        <w:t>و رفع القذارات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يفترق عن الحمل على التعبّد المقتضي للأخذ بالأقل، بعد كونه شكا في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ينبغي للمصنف رحمه اللّٰه إلحاق الثور بالمذكورات، للنص المشتمل على نزح الجميع له أيضا </w:t>
      </w:r>
      <w:r>
        <w:rPr>
          <w:rStyle w:val="FootnoteAnchor"/>
          <w:rtl w:val="true"/>
        </w:rPr>
        <w:footnoteReference w:id="440"/>
      </w:r>
      <w:r>
        <w:rPr>
          <w:rFonts w:ascii="Amiri" w:hAnsi="Amiri" w:eastAsia="Amiri" w:cs="Amiri"/>
          <w:color w:val="111111"/>
          <w:sz w:val="28"/>
          <w:sz w:val="28"/>
          <w:szCs w:val="28"/>
          <w:rtl w:val="true"/>
          <w:lang w:bidi="ar-SA"/>
        </w:rPr>
        <w:t xml:space="preserve">، و في اللمعة التصريح بذلك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تعذّر عرفا نزح الجميع، يتراوح أربعة رجال عليها مثنى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ما ورد في المرسل المنجبر ضعفه بالعمل، المشتمل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كثيرا أو صعب نزحه، فالواجب عليه أن يكري أربعة رجال يستقون منها على التراوح من الغدوة إلى الليل</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غلب الماء ينزف يوما إلى الليل</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بدلية التراوح المزبور عن كل ما قدر فيه بنزح الجميع بخصوصه، و لكن في شموله موارد عدم النص إشكال، إلّا على نفي احتمال الأقل من التراوح المزبور في فرض التعبد به، و إلّا فيقتصر حينئذ على الأقل، كما لا يكتفي به، بناء على وجوب التطهير به، فلا بدّ حينئذ من نزح ما احتمل زيادته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بعدم مقدر أزيد من التراوح، من نزح الجميع، فلازمه جواز الاقتصار على التراوح و عدم جواز الاقتصار بأقل منه، بناء على التطهير،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مدار الانتقال إليه صدق الصعوبة عرفا، و لو من جهة اقتضائه طول المدة، للتصريح به في النص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 كيفيته بين اشتغال اثنين إلى نصف اليوم، و اشتغال اثنين آخرين إلى تمامه، أو التراوح بينهم في كل ساعة و ساعة، إلّا مع فرض اختلاف إحدى الطريقتين في الاستقاء، فيحتمل اختيار الأكثر استقاء، و يحتمل اختيار الأقل حتى على القول بالتطهير، نظرا إلى إطلاق النص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ظاهر النص لزوم صدق بقاء الاشتغال في تمام اليوم، و لا يجدي اشتغال الأربعة جميعا بالاستقاء ساعة، ثم تركهم الاشتغال ساعة للاستراحة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ظاهره كونهم أربعة رجال </w:t>
      </w:r>
      <w:r>
        <w:rPr>
          <w:rStyle w:val="FootnoteAnchor"/>
          <w:rtl w:val="true"/>
        </w:rPr>
        <w:footnoteReference w:id="446"/>
      </w:r>
      <w:r>
        <w:rPr>
          <w:rFonts w:ascii="Amiri" w:hAnsi="Amiri" w:eastAsia="Amiri" w:cs="Amiri"/>
          <w:color w:val="111111"/>
          <w:sz w:val="28"/>
          <w:sz w:val="28"/>
          <w:szCs w:val="28"/>
          <w:rtl w:val="true"/>
          <w:lang w:bidi="ar-SA"/>
        </w:rPr>
        <w:t xml:space="preserve">، بل 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 يوما إلى الليل ثم يقام قوم يتراوحون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 ظاهره أيضا الاختصاص بالرجال، و لا يبعد انصرافه عن الصبيان أو المرضى، الموجب لقلّة الاستقاء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النساء و الصبيان الوافون بمقدار الرجال، فلا قصور في شمول مناطه كما عن المحقق أيضا </w:t>
      </w:r>
      <w:r>
        <w:rPr>
          <w:rStyle w:val="FootnoteAnchor"/>
          <w:rtl w:val="true"/>
        </w:rPr>
        <w:footnoteReference w:id="448"/>
      </w:r>
      <w:r>
        <w:rPr>
          <w:rFonts w:ascii="Amiri" w:hAnsi="Amiri" w:eastAsia="Amiri" w:cs="Amiri"/>
          <w:color w:val="111111"/>
          <w:sz w:val="28"/>
          <w:sz w:val="28"/>
          <w:szCs w:val="28"/>
          <w:rtl w:val="true"/>
          <w:lang w:bidi="ar-SA"/>
        </w:rPr>
        <w:t>، خصوصا بناء على المقدمية لرفع القذارة بأنّ المرتكز في الذهن كونه مقدمة لنزح مقدار من الماء، المنطبق على التراوح المزبور، بلا خصوصية للرجولية في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إلى الليل</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استيعاب تمام اليوم، و في</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جماعة لا جميعا بدونها </w:t>
      </w:r>
      <w:r>
        <w:rPr>
          <w:rStyle w:val="FootnoteAnchor"/>
          <w:rtl w:val="true"/>
        </w:rPr>
        <w:footnoteReference w:id="450"/>
      </w:r>
      <w:r>
        <w:rPr>
          <w:rFonts w:ascii="Amiri" w:hAnsi="Amiri" w:eastAsia="Amiri" w:cs="Amiri"/>
          <w:color w:val="111111"/>
          <w:sz w:val="28"/>
          <w:sz w:val="28"/>
          <w:szCs w:val="28"/>
          <w:rtl w:val="true"/>
          <w:lang w:bidi="ar-SA"/>
        </w:rPr>
        <w:t>، و ظاهر لزوم الاستيعاب يمنعه أيضا، إذ لا مجال لإطلاق فضيلة الجماعة لمثل هذه الصورة، على وجه يرفع شرطية الاستيعاب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 بدء شروعه أول الفجر لا طلوع الشمس، كما هو الشأن في يوم الصوم، و مناسبته ليوم الاستئجار المنصرف إلى الابتداء من طلوع الشمس تقتضي التحديد من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عنوان اليوم، الظاهر بدؤه من طلوع الفجر، فيحتاج إلى قرينة معدومة في المقام، و لا أقل من الشك،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ظاهر الروضة تسليم كون بدية الفجر،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إدخال جزء من الليل مقدّمة </w:t>
      </w:r>
      <w:r>
        <w:rPr>
          <w:rStyle w:val="FootnoteAnchor"/>
          <w:rtl w:val="true"/>
        </w:rPr>
        <w:footnoteReference w:id="451"/>
      </w:r>
      <w:r>
        <w:rPr>
          <w:rFonts w:ascii="Amiri" w:hAnsi="Amiri" w:eastAsia="Amiri" w:cs="Amiri"/>
          <w:color w:val="111111"/>
          <w:sz w:val="28"/>
          <w:sz w:val="28"/>
          <w:szCs w:val="28"/>
          <w:rtl w:val="true"/>
          <w:lang w:bidi="ar-SA"/>
        </w:rPr>
        <w:t>، و في كفاية التلفيق مع التساوي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التعبّد لا يبقى مجال التعدّي عن القيود المنصوص عليها، نعم مقتضى الإطلاق عدم الفرق بين اليوم الطويل و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الاكتفاء بالتراوح إنما هو في صورة كون نزح الجميع مقدّرا لها، لا أنه مقدّمة لفرع تغيّر الماء، و إلّا فلا بدّ من النزح حتى يزول التغيّر، كما هو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أيضا نزح كر لموت الحمار و البغال على ما رواه في التهذيب </w:t>
      </w:r>
      <w:r>
        <w:rPr>
          <w:rStyle w:val="FootnoteAnchor"/>
          <w:rtl w:val="true"/>
        </w:rPr>
        <w:footnoteReference w:id="452"/>
      </w:r>
      <w:r>
        <w:rPr>
          <w:rFonts w:ascii="Amiri" w:hAnsi="Amiri" w:eastAsia="Amiri" w:cs="Amiri"/>
          <w:color w:val="111111"/>
          <w:sz w:val="28"/>
          <w:sz w:val="28"/>
          <w:szCs w:val="28"/>
          <w:rtl w:val="true"/>
          <w:lang w:bidi="ar-SA"/>
        </w:rPr>
        <w:t>، 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منجبر بالعمل </w:t>
      </w:r>
      <w:r>
        <w:rPr>
          <w:rStyle w:val="FootnoteAnchor"/>
          <w:rtl w:val="true"/>
        </w:rPr>
        <w:footnoteReference w:id="453"/>
      </w:r>
      <w:r>
        <w:rPr>
          <w:rFonts w:ascii="Amiri" w:hAnsi="Amiri" w:eastAsia="Amiri" w:cs="Amiri"/>
          <w:color w:val="111111"/>
          <w:sz w:val="28"/>
          <w:sz w:val="28"/>
          <w:szCs w:val="28"/>
          <w:rtl w:val="true"/>
          <w:lang w:bidi="ar-SA"/>
        </w:rPr>
        <w:t>، 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الجمل على الحمير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الخيل عليه </w:t>
      </w:r>
      <w:r>
        <w:rPr>
          <w:rStyle w:val="FootnoteAnchor"/>
          <w:rtl w:val="true"/>
        </w:rPr>
        <w:footnoteReference w:id="455"/>
      </w:r>
      <w:r>
        <w:rPr>
          <w:rFonts w:ascii="Amiri" w:hAnsi="Amiri" w:eastAsia="Amiri" w:cs="Amiri"/>
          <w:color w:val="111111"/>
          <w:sz w:val="28"/>
          <w:sz w:val="28"/>
          <w:szCs w:val="28"/>
          <w:rtl w:val="true"/>
          <w:lang w:bidi="ar-SA"/>
        </w:rPr>
        <w:t>، و في طهارة</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الحمار فيما ذكر من النص،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المعتبر زيادة البغل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أظن انّ ذلك كلّه من الاختلال في المتن، و القدر المتيقن وجود الحمار في النص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سوق العبارة يقتضي إلحاق ما يشبهه في الجثة به، و هو أيضا مدرك الأصحاب في إلحاق مطلق الدابة و البقرة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يعارضه نص الثور و مثله الشامل للبقر و الفرس و البغال أيضا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المختار، و بناء على التسامح في أدلة السنن، لا بأس بالإلحاق، و إلّا فغير الحمار يلحق بما لا نص فيه، وفاقا للروضة في الفرس و البقر </w:t>
      </w:r>
      <w:r>
        <w:rPr>
          <w:rStyle w:val="FootnoteAnchor"/>
          <w:rtl w:val="true"/>
        </w:rPr>
        <w:footnoteReference w:id="459"/>
      </w:r>
      <w:r>
        <w:rPr>
          <w:rFonts w:ascii="Amiri" w:hAnsi="Amiri" w:eastAsia="Amiri" w:cs="Amiri"/>
          <w:color w:val="111111"/>
          <w:sz w:val="28"/>
          <w:sz w:val="28"/>
          <w:szCs w:val="28"/>
          <w:rtl w:val="true"/>
          <w:lang w:bidi="ar-SA"/>
        </w:rPr>
        <w:t>، فليته ألحق البغال بهما أيضا، لعدم ثبوت رواية التهذيب، مع خلو غيره عنه، بعد كون المقام من باب الاختلال في المتن،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المتن من إلحاق البقرة و شبههما به محل إشكال، و قد أشرنا الى ذلك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نزح سبعين لموت الإنسان مطلقا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رواية عمّار عن رجل ذبح طيرا فوقع بدمه في البئر،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هذا إذا كان ذكيا فهو هكذا، و ما سوى ذلك مما يقع في البئر فيموت فأكبره الإنسان، ينزح منها سبعون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مقابلة الموت بالذكي كون الحكم دائرا مدار وقوع الميت فيها، بلا خصوصية لحصول الموت فيها، و هو ظاهر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بنزح خمسين للعذرة الذائبة رطبة كانت أو يابسة،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أو خمسون</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ظاهره التخيير لا الترديد، كي يؤخذ بالاستصحاب ليتعين الخمسون، و لقد أشرنا في حاشية الكتاب إلى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الدم الكثير غير الدماء الثلاثة أيضا بمثلها على المشهور، و إجماع الغنية </w:t>
      </w:r>
      <w:r>
        <w:rPr>
          <w:rStyle w:val="FootnoteAnchor"/>
          <w:rtl w:val="true"/>
        </w:rPr>
        <w:footnoteReference w:id="462"/>
      </w:r>
      <w:r>
        <w:rPr>
          <w:rFonts w:ascii="Amiri" w:hAnsi="Amiri" w:eastAsia="Amiri" w:cs="Amiri"/>
          <w:color w:val="111111"/>
          <w:sz w:val="28"/>
          <w:sz w:val="28"/>
          <w:szCs w:val="28"/>
          <w:rtl w:val="true"/>
          <w:lang w:bidi="ar-SA"/>
        </w:rPr>
        <w:t xml:space="preserve">، و في الجواهر نسب ذلك إلى روايات أصحابنا </w:t>
      </w:r>
      <w:r>
        <w:rPr>
          <w:rStyle w:val="FootnoteAnchor"/>
          <w:rtl w:val="true"/>
        </w:rPr>
        <w:footnoteReference w:id="463"/>
      </w:r>
      <w:r>
        <w:rPr>
          <w:rFonts w:ascii="Amiri" w:hAnsi="Amiri" w:eastAsia="Amiri" w:cs="Amiri"/>
          <w:color w:val="111111"/>
          <w:sz w:val="28"/>
          <w:sz w:val="28"/>
          <w:szCs w:val="28"/>
          <w:rtl w:val="true"/>
          <w:lang w:bidi="ar-SA"/>
        </w:rPr>
        <w:t>، و لم نظفر بها، بل في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ثلاثين إلى أربعين في دم شاة </w:t>
      </w:r>
      <w:r>
        <w:rPr>
          <w:rStyle w:val="FootnoteAnchor"/>
          <w:rtl w:val="true"/>
        </w:rPr>
        <w:footnoteReference w:id="464"/>
      </w:r>
      <w:r>
        <w:rPr>
          <w:rFonts w:ascii="Amiri" w:hAnsi="Amiri" w:eastAsia="Amiri" w:cs="Amiri"/>
          <w:color w:val="111111"/>
          <w:sz w:val="28"/>
          <w:sz w:val="28"/>
          <w:szCs w:val="28"/>
          <w:rtl w:val="true"/>
          <w:lang w:bidi="ar-SA"/>
        </w:rPr>
        <w:t>، و لا يتم ما أفيد، إلّا على التسامح في أدلة السنن، و إلّا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نزح أربعين لموت الكلب للإجماع المحكي عن ابن زهرة </w:t>
      </w:r>
      <w:r>
        <w:rPr>
          <w:rStyle w:val="FootnoteAnchor"/>
          <w:rtl w:val="true"/>
        </w:rPr>
        <w:footnoteReference w:id="465"/>
      </w:r>
      <w:r>
        <w:rPr>
          <w:rFonts w:ascii="Amiri" w:hAnsi="Amiri" w:eastAsia="Amiri" w:cs="Amiri"/>
          <w:color w:val="111111"/>
          <w:sz w:val="28"/>
          <w:sz w:val="28"/>
          <w:szCs w:val="28"/>
          <w:rtl w:val="true"/>
          <w:lang w:bidi="ar-SA"/>
        </w:rPr>
        <w:t>، و الأصل فيه ما عن المعتبر، رواه عن كتاب 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السنور؟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 دلوا و للكلب و شبهه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ثلاثون أو أربعون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خمسة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البئر</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الظاهر في الجميع، لو لا دعوى كونه من جهة التحديد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مقتضى الجمع هو الحمل على مراتب الفضيلة، و هو المناسب لمختارنا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النجاسة يجب طرح البقية، لإعراض المشهور عنها، أو إلقاء المعارضة بينها فيؤخذ بالأكثر، لو لا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 على التخيير، فإنه يحمل الأربعون على الفضيلة و الثلاثون على الإجزاء، و مع طرحها يتعيّن الأخذ بالأربعين، و لو من جهة الإجمال و قاعدة الاشتغال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رواية الأربعين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للكلب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المشابهة في النجاسة فيختص بالخنزير، و يحتمل المشابهة في الجثة فيشمل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لا إشكال في إلحاق السنور به، للنص السابق و كذلك الخنزير، لدخوله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الثعلب و الأرنب ففيه اشكال، و إلى ذلك أشرنا أيضا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بول الرجل أيضا رواية مشتملة على أربعين، و هي رواية أبي حمزة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ثلاثين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دلاء</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بينها على المختار واضح، و هو الحمل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بالنجاسة فلا بدّ من الطرح، لإعراض المشهور عن غير أربعين، أو التعارض و الحكم بالإجمال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نزح عشرة للعذرة اليابسة على المشهور، للرواية السابقة الواردة في الذائبة، إذ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العشرة للعذرة</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 ظاهره عدم الفرق بين الرطبة و اليابسة، بل الفارق الذوبان و غيره، فلا وجه للتخصيص باليابسة، و إلى ذلك أشرنا في حاشية الكتاب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الذائبة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 الدم القليل أيضا، لما في النص من نزح دلاء </w:t>
      </w:r>
      <w:r>
        <w:rPr>
          <w:rStyle w:val="FootnoteAnchor"/>
          <w:rtl w:val="true"/>
        </w:rPr>
        <w:footnoteReference w:id="474"/>
      </w:r>
      <w:r>
        <w:rPr>
          <w:rFonts w:ascii="Amiri" w:hAnsi="Amiri" w:eastAsia="Amiri" w:cs="Amiri"/>
          <w:color w:val="111111"/>
          <w:sz w:val="28"/>
          <w:sz w:val="28"/>
          <w:szCs w:val="28"/>
          <w:rtl w:val="true"/>
          <w:lang w:bidi="ar-SA"/>
        </w:rPr>
        <w:t>، المحمول على العشرة، بملاحظة كونه أكثر جموع القلة، أو أقل جموع الكثرة، و من المحتمل أقل جمع القلّة و هي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فعلى القول بلزوم التطهير يؤخذ بالأكثر، لقاعدة الاشتغال، و على التعبّد يؤخذ بالأقل للبراءة،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الدم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دم الدجاجة و أمثالها، في مقابل الكثير المشابه لدم الشاة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الوسط بأي من الطرفين اشكال، و مع الجزم بعدم خروج حكمه عنهما لا بد أن يلحق بالأكثر على الاشتغال و بالأقل على البراءة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حصل من ورد الدماء القليلة تدريجا عنوان الدم الكثير، ففي</w:t>
      </w:r>
    </w:p>
    <w:p>
      <w:pPr>
        <w:pStyle w:val="BookText"/>
        <w:rPr/>
      </w:pPr>
      <w:r>
        <w:rPr>
          <w:rFonts w:ascii="Amiri" w:hAnsi="Amiri" w:eastAsia="Amiri" w:cs="Amiri"/>
          <w:color w:val="111111"/>
          <w:sz w:val="28"/>
          <w:sz w:val="28"/>
          <w:szCs w:val="28"/>
          <w:rtl w:val="true"/>
          <w:lang w:bidi="ar-SA"/>
        </w:rPr>
        <w:t>اقتضائه مقدّر الكثير أيضا، أو خصوصه بلا ترتب مقدّر القليل، أو أزيد المقدّرين، وجوه، يوهم مقتضى التعبّد اجراء أثر العنوانين، لقاعدة عدم التداخل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كون المقام من صغريات تداخل المسببات، فيترتب أكثر المقدّرين، كما أنه بناء على المطهّرية لا بدّ من المصير إلى اقتضاء ورود النجاسة على المتنجّس الاشتداد بمقدار اقتضاء النجس في التأثير، إذ لو قلنا بعدم التأثير و لو من جهة احتمال عدم قابلية المحل له، فلا تجدي النجاسة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لازمة عدم ترتّب نزح على النجاسة المتأخرة، و لو كان أكثر مقدرا، كوقوع كلب بعد وقوع الدم، و لا أظن التزامه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إطلاقات كلماتهم في مثله عدم التداخل، و ليس ذلك إلّا ملازما لقابلية المحل للاشتداد في النجاسة، و لازمة حينئذ في المقام ترتب كل واحد من المقدرين، لو لا دعوى أنّ عنوان الكثرة و القلة في الدم ليس من العناوين المتباينة بتمام الذات، كي يؤثّر كل ذات مرتبة من النجاسة غير التي اقتضتها الأخرى، بل هما متباينتان حدا، و أنّ القليل من كمه محفوظ في ضمن الكثير، فلا يجدي مثل هذين العنوانين إلّا اشتداد النجاسة بمقدار يقتضيه الأكثر، كما و لازمة الالتزام بأكثر المقدّرين، لا بالجمع بينهما، كما لا يخفى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سبع لموت الطير، لرواية يعقوب بن عثمان المشتملة على سبع دلاء </w:t>
      </w:r>
      <w:r>
        <w:rPr>
          <w:rStyle w:val="FootnoteAnchor"/>
          <w:rtl w:val="true"/>
        </w:rPr>
        <w:footnoteReference w:id="475"/>
      </w:r>
      <w:r>
        <w:rPr>
          <w:rFonts w:ascii="Amiri" w:hAnsi="Amiri" w:eastAsia="Amiri" w:cs="Amiri"/>
          <w:color w:val="111111"/>
          <w:sz w:val="28"/>
          <w:sz w:val="28"/>
          <w:szCs w:val="28"/>
          <w:rtl w:val="true"/>
          <w:lang w:bidi="ar-SA"/>
        </w:rPr>
        <w:t>، و إطلاقها يشمل صورتي تفسّخه و عدمه، أو تغيير طعم الماء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دلوين أو ثلاثة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مع عدم التفسّخ، و العشرين معه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المختار يحمل على مراتب الفضيلة، و على المطهّرية تقع المعارضة، فلا بدّ إما من طرح البقية، أو الأخذ بالأكثر و هو السبعة، بناء على عدم حجية الرضوي، و إلّا ففي صورة التفسخ يؤخذ بالعشرين، إما لتقييد المطلقات به، أو من جهة الإجمال و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التعبّد يؤخذ بالأقل، بناء على عدم التقييد، و إلّا فيؤخذ بالعشرين في فرض التفسخ،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سبع في الفأرة إذا تفسّخت عند جماعة، لرواية أبي سعيد المكاري </w:t>
      </w:r>
      <w:r>
        <w:rPr>
          <w:rStyle w:val="FootnoteAnchor"/>
          <w:rtl w:val="true"/>
        </w:rPr>
        <w:footnoteReference w:id="478"/>
      </w:r>
      <w:r>
        <w:rPr>
          <w:rFonts w:ascii="Amiri" w:hAnsi="Amiri" w:eastAsia="Amiri" w:cs="Amiri"/>
          <w:color w:val="111111"/>
          <w:sz w:val="28"/>
          <w:sz w:val="28"/>
          <w:szCs w:val="28"/>
          <w:rtl w:val="true"/>
          <w:lang w:bidi="ar-SA"/>
        </w:rPr>
        <w:t xml:space="preserve">، و رواية أبي عيينة </w:t>
      </w:r>
      <w:r>
        <w:rPr>
          <w:rStyle w:val="FootnoteAnchor"/>
          <w:rtl w:val="true"/>
        </w:rPr>
        <w:footnoteReference w:id="479"/>
      </w:r>
      <w:r>
        <w:rPr>
          <w:rFonts w:ascii="Amiri" w:hAnsi="Amiri" w:eastAsia="Amiri" w:cs="Amiri"/>
          <w:color w:val="111111"/>
          <w:sz w:val="28"/>
          <w:sz w:val="28"/>
          <w:szCs w:val="28"/>
          <w:rtl w:val="true"/>
          <w:lang w:bidi="ar-SA"/>
        </w:rPr>
        <w:t xml:space="preserve">، و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تسلّخت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تفسّخت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مطلقا، 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يجي‌ء الكلام على المختار و غيره في المقام، لو لا قوة التقييد على المطلقات، و لكن هي على كثرتها قابلة للمقاومة في قبال المقيّد بالحمل على مراتب الفضيلة، كما لا يخفى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بول الصبي أيضا سبع دلاء، لرواية منصور بن حازم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الأخبار مشتمل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 واحد في الفطيم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الجميع</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غير معمول به، و الثاني محمول على الرضيع، و يؤخذ بإطلاق الأول، لمطلق غير البالغ، تغذى أم لم يتغذّ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التسامح في السنن فالمختار فيه انه لا بأس بأخذ الجميع أيضا، حملا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اغتسال الجنب، لرواية أبي بصير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الجنب فيغتسل فسبع</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و في جملة أخرى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الجنب</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 و كلها متطابقة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دخل الاغتسال، خصوصا الصحيح منه، بناء على المطهّرية، نوع غموض، بل تمام المدار على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بدخله في الاستقذار الطبعي، إذ في الاغتسال نحو تحريك في الماء المقتضي للاستقذار ليس في غيره، كما أنه بناء على التعبّد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تنزّل إطلاقات البقية على كونها واردة مورد الغالب، بلا احتياج إلى التصرّف فيها بتقييدها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دخل صحة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يشمل الكافر مثلا فيما ذكر أيضا إشكال، لكنه على التعبّد لا بأس به، كما لا يخفى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خروج الكلب منه حيا أيضا سبع دلاء لدى الأكثر،</w:t>
      </w:r>
    </w:p>
    <w:p>
      <w:pPr>
        <w:pStyle w:val="BookText"/>
        <w:rPr/>
      </w:pPr>
      <w:r>
        <w:rPr>
          <w:rFonts w:ascii="Amiri" w:hAnsi="Amiri" w:eastAsia="Amiri" w:cs="Amiri"/>
          <w:color w:val="111111"/>
          <w:sz w:val="28"/>
          <w:sz w:val="28"/>
          <w:szCs w:val="28"/>
          <w:rtl w:val="true"/>
          <w:lang w:bidi="ar-SA"/>
        </w:rPr>
        <w:t xml:space="preserve">لرواية أبي مريم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للسنور و الكلب</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الشامل لحال حياته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فالحمل على مراتب الفضيلة هو المختار، و الطرح أو الحكم بالإجمال و قاعدة الاشتغال على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 دلاء لذرق الدجاج، كما عن الشيخ </w:t>
      </w:r>
      <w:r>
        <w:rPr>
          <w:rStyle w:val="FootnoteAnchor"/>
          <w:rtl w:val="true"/>
        </w:rPr>
        <w:footnoteReference w:id="491"/>
      </w:r>
      <w:r>
        <w:rPr>
          <w:rFonts w:ascii="Amiri" w:hAnsi="Amiri" w:eastAsia="Amiri" w:cs="Amiri"/>
          <w:color w:val="111111"/>
          <w:sz w:val="28"/>
          <w:sz w:val="28"/>
          <w:szCs w:val="28"/>
          <w:rtl w:val="true"/>
          <w:lang w:bidi="ar-SA"/>
        </w:rPr>
        <w:t>، و لم أر مستندا له عدا حكاية شيخنا العلّامة الإجماع على عدم وجوب الأزيد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بإطلاقه لا يناسب القول بالنجاسة، حمله بعضهم على كونه جلالا، و فيه نظر، بل الأولى حمل ما ورد فيه بنزح دلاء مطلقا على ما اخترناه، أو على محض التعبد، و إلّا فالتقييد المزبور متعيّن،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ثلاث للفأرة قبل تفسخه، جمعا بين المطلقات الدالة على الثلاث </w:t>
      </w:r>
      <w:r>
        <w:rPr>
          <w:rStyle w:val="FootnoteAnchor"/>
          <w:rtl w:val="true"/>
        </w:rPr>
        <w:footnoteReference w:id="492"/>
      </w:r>
      <w:r>
        <w:rPr>
          <w:rFonts w:ascii="Amiri" w:hAnsi="Amiri" w:eastAsia="Amiri" w:cs="Amiri"/>
          <w:color w:val="111111"/>
          <w:sz w:val="28"/>
          <w:sz w:val="28"/>
          <w:szCs w:val="28"/>
          <w:rtl w:val="true"/>
          <w:lang w:bidi="ar-SA"/>
        </w:rPr>
        <w:t xml:space="preserve">، و المقيّد بالتفسخ الدال على السبع </w:t>
      </w:r>
      <w:r>
        <w:rPr>
          <w:rStyle w:val="FootnoteAnchor"/>
          <w:rtl w:val="true"/>
        </w:rPr>
        <w:footnoteReference w:id="493"/>
      </w:r>
      <w:r>
        <w:rPr>
          <w:rFonts w:ascii="IRNazanin" w:hAnsi="IRNazanin" w:eastAsia="IRNazanin"/>
          <w:color w:val="111111"/>
          <w:sz w:val="28"/>
          <w:sz w:val="28"/>
          <w:szCs w:val="28"/>
          <w:rtl w:val="true"/>
          <w:lang w:bidi="fa-IR"/>
        </w:rPr>
        <w:t>، بحمل الاولى على عدمه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لمشابهته العصفور جثة،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فحاوي النصوص </w:t>
      </w:r>
      <w:r>
        <w:rPr>
          <w:rStyle w:val="FootnoteAnchor"/>
          <w:rtl w:val="true"/>
        </w:rPr>
        <w:footnoteReference w:id="494"/>
      </w:r>
      <w:r>
        <w:rPr>
          <w:rFonts w:ascii="Amiri" w:hAnsi="Amiri" w:eastAsia="Amiri" w:cs="Amiri"/>
          <w:color w:val="111111"/>
          <w:sz w:val="28"/>
          <w:sz w:val="28"/>
          <w:szCs w:val="28"/>
          <w:rtl w:val="true"/>
          <w:lang w:bidi="ar-SA"/>
        </w:rPr>
        <w:t>، على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الجمع على المختار</w:t>
      </w:r>
    </w:p>
    <w:p>
      <w:pPr>
        <w:pStyle w:val="BookText"/>
        <w:rPr/>
      </w:pPr>
      <w:r>
        <w:rPr>
          <w:rFonts w:ascii="Amiri" w:hAnsi="Amiri" w:eastAsia="Amiri" w:cs="Amiri"/>
          <w:color w:val="111111"/>
          <w:sz w:val="28"/>
          <w:sz w:val="28"/>
          <w:szCs w:val="28"/>
          <w:rtl w:val="true"/>
          <w:lang w:bidi="ar-SA"/>
        </w:rPr>
        <w:t>بالمراتب، و على المطهّرية بالتقييد،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الثلاث في الحية، و لم أر مستندا له عدا ما روي بأنّ في الدابة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يحمل الأمر فيه على مراتب الفضيلة، بل لا يناسب القول بالنجاسة على فرض شمولها لما نحن فيه، إذ يجب تخصيص الروايتين بما كانت ميتته نجسة، فلا يكون في مثله مقدّر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يجري في مثله حكم ما لا نص فيه من نزح الجميع، إذ ذاك إنّما يتم فيما شرع فيه أصل النزح و كان الشك في مقداره، لا فيما شك في أصل ثبوت النزح فيه كسائر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ينزح دلو للعصفور على المشهور، كما في رواية عمار </w:t>
      </w:r>
      <w:r>
        <w:rPr>
          <w:rStyle w:val="FootnoteAnchor"/>
          <w:rtl w:val="true"/>
        </w:rPr>
        <w:footnoteReference w:id="497"/>
      </w:r>
      <w:r>
        <w:rPr>
          <w:rFonts w:ascii="Amiri" w:hAnsi="Amiri" w:eastAsia="Amiri" w:cs="Amiri"/>
          <w:color w:val="111111"/>
          <w:sz w:val="28"/>
          <w:sz w:val="28"/>
          <w:szCs w:val="28"/>
          <w:rtl w:val="true"/>
          <w:lang w:bidi="ar-SA"/>
        </w:rPr>
        <w:t>، و النص غير مشتمل على شبهه، و إنما استفيد من فحاوي مجموع أخبار الباب، و قد أشرنا إلى التأمل فيه، خصوصا مع ما عرفت في الفأرة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بول الرضيع أيضا مثله، لما روي من الدلو الواحد للصبي الفطيم </w:t>
      </w:r>
      <w:r>
        <w:rPr>
          <w:rStyle w:val="FootnoteAnchor"/>
          <w:rtl w:val="true"/>
        </w:rPr>
        <w:footnoteReference w:id="498"/>
      </w:r>
      <w:r>
        <w:rPr>
          <w:rFonts w:ascii="IRNazanin" w:hAnsi="IRNazanin" w:eastAsia="IRNazanin"/>
          <w:color w:val="111111"/>
          <w:sz w:val="28"/>
          <w:sz w:val="28"/>
          <w:szCs w:val="28"/>
          <w:rtl w:val="true"/>
          <w:lang w:bidi="fa-IR"/>
        </w:rPr>
        <w:t xml:space="preserve">، بعد جمعه مع المشتمل على السبع </w:t>
      </w:r>
      <w:r>
        <w:rPr>
          <w:rStyle w:val="FootnoteAnchor"/>
          <w:rtl w:val="true"/>
        </w:rPr>
        <w:footnoteReference w:id="499"/>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رواية 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فيه البول و العذرة و أبوال الدواب و أوراثها و خرء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ثلاثون دلوا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به يرفع اليد عن</w:t>
      </w:r>
    </w:p>
    <w:p>
      <w:pPr>
        <w:pStyle w:val="BookText"/>
        <w:rPr/>
      </w:pPr>
      <w:r>
        <w:rPr>
          <w:rFonts w:ascii="Amiri" w:hAnsi="Amiri" w:eastAsia="Amiri" w:cs="Amiri"/>
          <w:color w:val="111111"/>
          <w:sz w:val="28"/>
          <w:sz w:val="28"/>
          <w:szCs w:val="28"/>
          <w:rtl w:val="true"/>
          <w:lang w:bidi="ar-SA"/>
        </w:rPr>
        <w:t xml:space="preserve">مقتضى القاعدة من اقتضاء كل عنوان مقدّرا مستقلا، و هو المعبّر عنه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وقع في البئر جزء حيوان، فمع صدق نفس عنوانه فلا إشكال في تكرر حكمه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إليها، و إن لم يصدق عليه اسمه فالظاهر اقتضاء فحوى النص عدم ازدياد حكمه عن حكم كله، نعم يحتمل نقص حكمه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الجزم بكونه مما له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كونه من جملة النجاسات المعلومة بالفحوى من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مما يقتضي النزح، غاية الأمر لم يعلم مقدّرة، ففي وجوب الأخذ بأكثر المحتملات أو أقلها وجهان مبنيان على المطهّرية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الجزم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عدم إحراز كونه من جملة أجزائه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تشريع وجوب النزح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تكرر مثل هذا الجزء المقتضي لمقدّر عنوانه، ففي اقتضائه تكرر حكمه إشكال، لإمكان دعوى عدم اقتضائه أزيد من حكم مجموعه الواقع فيه دفعة، بل و بناء على المطهّرية فالأمر فيه أظهر، لأن أجزاء حيوان واحد لا تقتضي اشتدادا في النجاسة الحاصلة من مجموع العنوان، فلا موجب للازدياد في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فرض اقتضاء كل جزء نجاسة أضعف من نجاسة المجموع، ففي كل جزء قابلية الاشتداد إلى أن يبلغ حد الجميع، و بعد بلوغه لا يتجاوز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الجزءان من حيوانين لا بأس بازدياد مقدّرهما عن مقدّر كل واحد من العنوانين إلى أن يبلغ مقدّر مجموعهما، فلا يزيد عنهما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كونهما من أجزاء حيوان واحد أو حيوانين، فبالنسبة إلى</w:t>
      </w:r>
      <w:bookmarkStart w:id="114" w:name="pg19729_212678"/>
    </w:p>
    <w:p>
      <w:pPr>
        <w:pStyle w:val="BookText"/>
        <w:rPr/>
      </w:pPr>
      <w:bookmarkEnd w:id="114"/>
      <w:r>
        <w:rPr>
          <w:rFonts w:ascii="Amiri" w:hAnsi="Amiri" w:eastAsia="Amiri" w:cs="Amiri"/>
          <w:color w:val="111111"/>
          <w:sz w:val="28"/>
          <w:sz w:val="28"/>
          <w:szCs w:val="28"/>
          <w:rtl w:val="true"/>
          <w:lang w:bidi="ar-SA"/>
        </w:rPr>
        <w:t>المقدار الزائد عن مقدر واحد منهما، إلى أن يبلغ مقدّر مجموعهما، فربما يتوهم أنه تبتنى المسألة على مرحلة البراءة و الاشتغال، و هو مبني على التعبّدية، و رافعيّة القذارة المعبّر عنها بالمطهّرية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المقام مسبب عن حدوث سبب آخر فالأصل عدمه، فكان الشك فيما نحن فيه من قبيل الشك في أن الصادر من المحدث بالأصغر بول أم مني، و بناء الأصحاب فيه على استصحاب عدم سبب جديد، و هو حاكم على استصحاب الكلي، و 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أنّ الدلاء المذكورة في المقام ما هو المتعارف في الاستقاء باليد، لا بالحيوان، كما يومئ إليه أخبار التراوح، و التوصيف باليسيرة في الأخبار، إذ هي بالنسبة إلى ما يستقى بها بالحيوان يسيرة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إشكال في عدم ازدياد حكم المتنجس بنجس عن حكم نفس النجس، و في احتمال أقليته وجه، بناء على المشهور من عدم الفرق في المتنجس بين ملاقاة النجس و المتنجس، و حينئذ ففي مراعاة احتمال الأقل و الأكثر، يراعى قاعدة الاشتغال و البراءة، كل على مذهبه،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الذي يسهّل الخطب في أمثال المقام عندي أنّ ذلك كلّه مستحب، بملاحظة رافعية النزح المزبور للاستقذار الطبعي الراجح لحاظها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251181_2314609296"/>
      <w:bookmarkStart w:id="116" w:name="_Toc43"/>
      <w:bookmarkEnd w:id="115"/>
      <w:r>
        <w:rPr>
          <w:rtl w:val="true"/>
        </w:rPr>
        <w:t>الرابع</w:t>
      </w:r>
      <w:r>
        <w:rPr>
          <w:rtl w:val="true"/>
        </w:rPr>
        <w:t xml:space="preserve">: </w:t>
      </w:r>
      <w:r>
        <w:rPr>
          <w:rtl w:val="true"/>
        </w:rPr>
        <w:t>الأسئار</w:t>
      </w:r>
      <w:bookmarkEnd w:id="1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أقسام المياه أسآر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كلّها طاهرة إلّا سؤر الكلب و الخنزير و الكافر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رواية أبي العباس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فلا تتوضأ بفضله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بصدرها بضميمة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ترى في منقاره دما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تدل على الكلية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بالتعليل بأنّ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التوضي بفضله، تستفاد الكلية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لا يختص ذلك بفضلها، فكل ملاق لأي جزء منها متنجّس، نظرا إلى القاعدة الكلية الارتكازية بأنّ ملاقي النجس 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ذلك أيضا من بعض أخبار ماء البئر، فيما دل على التنزّه عما يلاقي بمائه المنفصل و لو لتغيّره، و ذلك مثل ما في موثّقة عمار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 لا تعاد الصلاة مما وقع في البئر إلّا أن ينتن، فإن أنتن غسل الثوب و أعاد الصلاة و نزحت البئر</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المراجعة في أسئلة الرواة في باب البئر أيضا يستفاد ارتكازية مثل هذا المعنى في أذهانهم، حيث سألوا عن نجاسة و طهارة ماء البئر بلوازمهما من غسل الثياب و عدمه، و بعد الجزم بإلقاء العرف الخصوصية في الأجسام</w:t>
      </w:r>
    </w:p>
    <w:p>
      <w:pPr>
        <w:pStyle w:val="BookText"/>
        <w:rPr/>
      </w:pPr>
      <w:r>
        <w:rPr>
          <w:rFonts w:ascii="Amiri" w:hAnsi="Amiri" w:eastAsia="Amiri" w:cs="Amiri"/>
          <w:color w:val="111111"/>
          <w:sz w:val="28"/>
          <w:sz w:val="28"/>
          <w:szCs w:val="28"/>
          <w:rtl w:val="true"/>
          <w:lang w:bidi="ar-SA"/>
        </w:rPr>
        <w:t>و المتنجسات، ربما يستفاد الكلية المعروفة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لاقى نجسا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الفرق بين الماء و غيره في ذلك في غاية الضعف، إذ المعنى إذا صار ارتكازيا في الأجسام القابلة للانفعال لا ينظر إلى خصوص جسم دون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إلى ما ذكرنا بناؤهم على نجاسة المتمم كرا، لو لا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 كنا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بالتقريب المتقدّم، إذ تسلّمهم على ذلك شاهد على عدم الفرق في قابلية الانفعال بين الماء و غيره من الأجسام، كما هو 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اختصاص في الأقسام الأخيرة الثلاثة بين سؤرها و سائر ملاقياتها،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رواية الطير </w:t>
      </w:r>
      <w:r>
        <w:rPr>
          <w:rStyle w:val="FootnoteAnchor"/>
          <w:rtl w:val="true"/>
        </w:rPr>
        <w:footnoteReference w:id="506"/>
      </w:r>
      <w:r>
        <w:rPr>
          <w:rFonts w:ascii="Amiri" w:hAnsi="Amiri" w:eastAsia="Amiri" w:cs="Amiri"/>
          <w:color w:val="111111"/>
          <w:sz w:val="28"/>
          <w:sz w:val="28"/>
          <w:szCs w:val="28"/>
          <w:rtl w:val="true"/>
          <w:lang w:bidi="ar-SA"/>
        </w:rPr>
        <w:t>اعتبار عدم وجود عين النجاسة في موضع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منها أيضا كفاية زواله في التطهير بالنسبة إلى الحيوانات، كما عليه السيرة أيضا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شك في زوال الدم إلى حين الملاقاة كان لاستصحابه مجال، لو لا احتمال عدم تنجس بدن الحيوان من الأول، لا مطهريّة زواله عنه، إذ حينئذ لا يثمر الاستصحاب المزبور في تنجس ملاقيه</w:t>
      </w:r>
      <w:r>
        <w:rPr>
          <w:rFonts w:eastAsia="Amiri" w:cs="Amiri" w:ascii="Amiri" w:hAnsi="Amiri"/>
          <w:color w:val="111111"/>
          <w:sz w:val="28"/>
          <w:szCs w:val="28"/>
          <w:rtl w:val="true"/>
          <w:lang w:bidi="ar-SA"/>
        </w:rPr>
        <w:t>.</w:t>
      </w:r>
      <w:bookmarkStart w:id="117" w:name="pg19729_212681"/>
    </w:p>
    <w:p>
      <w:pPr>
        <w:pStyle w:val="BookText"/>
        <w:rPr/>
      </w:pPr>
      <w:bookmarkEnd w:id="117"/>
      <w:r>
        <w:rPr>
          <w:rFonts w:ascii="Amiri" w:hAnsi="Amiri" w:eastAsia="Amiri" w:cs="Amiri"/>
          <w:color w:val="111111"/>
          <w:sz w:val="28"/>
          <w:sz w:val="28"/>
          <w:szCs w:val="28"/>
          <w:rtl w:val="true"/>
          <w:lang w:bidi="ar-SA"/>
        </w:rPr>
        <w:t>و توهم منافاة هذا الاحتمال مع القاعدة الارتكازية السابقة من تنجس الملاقي، مدفوع بأنّ الحكم بالتطهير بالزوال أيضا مناف لارتكاز الذهن بأن منشأ التنجس نفس حدوث الملاقاة، لا بقاؤها، فلا جرم كانت السيرة المزبورة موجبة لرفع اليد عن أحد الارتكازين، و مع الدوران يشك في نجاسة البدن من الأول، و هو كاف في نفي الاستصحاب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لا الإجماع على تنجّس بدن الحيوانات، خصوصا بعد ملاحظة الكلية المعروفة، كان للتشكيك في الاستصحاب المزبور مجال</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3251183_2314609296"/>
      <w:bookmarkStart w:id="119" w:name="_Toc44"/>
      <w:bookmarkEnd w:id="118"/>
      <w:r>
        <w:rPr>
          <w:rtl w:val="true"/>
        </w:rPr>
        <w:t>تتميم الماء النجس كرا</w:t>
      </w:r>
      <w:bookmarkEnd w:id="119"/>
    </w:p>
    <w:p>
      <w:pPr>
        <w:pStyle w:val="BookText"/>
        <w:rPr/>
      </w:pPr>
      <w:r>
        <w:rPr>
          <w:rFonts w:ascii="Amiri" w:hAnsi="Amiri" w:eastAsia="Amiri" w:cs="Amiri"/>
          <w:color w:val="111111"/>
          <w:sz w:val="28"/>
          <w:sz w:val="28"/>
          <w:szCs w:val="28"/>
          <w:rtl w:val="true"/>
          <w:lang w:bidi="ar-SA"/>
        </w:rPr>
        <w:t>ثم انّ من فروع القاعدة الكلية السابقة، تنجّس الماء القليل بملاقاته لماء آخر منفعل بالملاقاة، و إن بلغ الماء ان كرا بعد تلاقيهما، لظهور النصوص في كون القلّة إذا كانت في رتبة سابقة على الملاقاة فهي تنفعل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شرطية الكرية للعصمة تقتضي تقدّم الكرية عليها رتبة، و لازمة حفظ الكرية سابقا على الملاقاة، و مقتضاه الانفعال، و لو بالملاقاة الحاصلة في رتبة الكرية، فضلا عن أن تكون 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أظن استفادة أحد لكفاية التتميم من هذه العمومات، بل عمدة نظرهم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عدم الحمل المترتب على الكرية غير ملازم لترتب الملاقاة عليها، بل إطلاقه يشمل حتى صورة حصول الملاقاة سابقة على الكرية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يستفاد منه صحّة التتميم و لو كان المراد من الحمل تجدده، نظرا إلى أنّ الغرض من التجدد المستفاد من هيئة المضارع معنى يجامع مع تدريجية وجوده، بخلع حد و لبس آخر، على وجه لا ينافي بقاءه و استمراره،</w:t>
      </w:r>
    </w:p>
    <w:p>
      <w:pPr>
        <w:pStyle w:val="BookText"/>
        <w:rPr/>
      </w:pPr>
      <w:r>
        <w:rPr>
          <w:rFonts w:ascii="Amiri" w:hAnsi="Amiri" w:eastAsia="Amiri" w:cs="Amiri"/>
          <w:color w:val="111111"/>
          <w:sz w:val="28"/>
          <w:sz w:val="28"/>
          <w:szCs w:val="28"/>
          <w:rtl w:val="true"/>
          <w:lang w:bidi="ar-SA"/>
        </w:rPr>
        <w:t>و لا يكون التجدّد المزبور مستلزما لحدوثه، و عليه فلا قصور في شمول الخبر المزبور لمورد التتميم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لو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البالغ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النجس، فنفي حمله يناسب نفي بقائه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طبّق على الماء الطاهر الملاقي، فلا شبهة انه بمقتضى مفهوم الخبر المزبور انه يحمل بملاقاته للنجس خبثا، لعدم سبق كرية، ثم بمقتضى المنطوق عند بلوغ الكرية لا ترتفع هذه النجاسة، إذ النجاسة المزبورة حاصلة في رتبة الكرية، و ما هو منفي هو عدم حمل النجاسة في رتبة لا حقة عن الكرية، و من البديهي انها نجاسة أخرى لاختلاف رتبتهما، و مع هذا الاختلاف يستحيل أن تكون إحداهما برتبة بقاء الأخرى السابقة عليها كي ترتفع بالكرية، كيف و بقاء الشي‌ء عين حدوثه وجودا، فكيف يتأخر عنها رتبة، فمهما اختلفت الرتبتان فلا محيص عن الالتزام بوجودين، و حينئذ فنفي الوجود اللاحق الثاني لا يقتضي نفي الوجود السابق المتقدّم رتبة، و عليه فربما لا يزاحم المنطوق بقاء النجاسة الثابتة بالمفهوم في الرتبة السابقة، و ذلك المقدار يكفي لبطلان التتميم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المغالطة في المقام حينئذ تخيّل إمكان شمول إطلاق نفي الحمل للنجاسة الحاصلة في رتبة الكرية، و أما لو قلنا باستحالة شموله لها، لأن عدم الحمل المتأخر عن الكرية عبارة عن عدم حصول نجاسة متأخرة عنها رتبة، و لا يشمل النجاسة الحاصلة في رتبة سابقة على الكرية أو مقارنة 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في أنّ بقاء الشي‌ء بعد ما كان موجودا هو عين حدوثه، فلا محيص عن أن يكونا في رتبة بلا تخلل بقاء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يستحيل أن تكون الكرية المقارنة لوجود النجاسة مانعة عنها حدوثا و بقاء، بل إنما</w:t>
      </w:r>
      <w:bookmarkStart w:id="120" w:name="pg19729_212683"/>
    </w:p>
    <w:p>
      <w:pPr>
        <w:pStyle w:val="BookText"/>
        <w:rPr/>
      </w:pPr>
      <w:bookmarkEnd w:id="120"/>
      <w:r>
        <w:rPr>
          <w:rFonts w:ascii="Amiri" w:hAnsi="Amiri" w:eastAsia="Amiri" w:cs="Amiri"/>
          <w:color w:val="111111"/>
          <w:sz w:val="28"/>
          <w:sz w:val="28"/>
          <w:szCs w:val="28"/>
          <w:rtl w:val="true"/>
          <w:lang w:bidi="ar-SA"/>
        </w:rPr>
        <w:t>يصلح للمانعية بالنسبة إلى نجاسة اعتبر وجودها في رتبة متأخرة عنها، كي يترتب عليها نقيضها المحفوظ في رتبته، فهذه الكرية حينئذ لا تكون رافعة لمثل هذه النجاسة الحاصلة من قبل الملاقاة التي هي علّة هذه الكرية، فالرافع لها لا بدّ أن يكون شي‌ء آخر في رتبة 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توهم آخر، و هو انّ العموم المزبور من حيث انطباقه على الماء الطاهر الملاقي للنجس و إن لم يثبت الطهارة لما ذكر من المحذور، إلّا أنه لا قصور في إثباته لها من حيث انطباقه على الماء النجس الملاقي للطاهر، لأن مثل هذا المحذور غير جار في هذا الطرف كما ذكرنا سابقا، فلا قصور في الرواية في إثبات المدّعى بهذا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حينئذ ينتهي إلى معارضة مفهوم الرواية مع المنطوق بعد عدم تبعّض ماء واحد في الحكم، و لازمة الرجوع إلى معارضة الاستصحابين و مرجعية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 أنّ المرجع حينئذ عمومات الانفعال المفهوم في سائر الأخبار </w:t>
      </w:r>
      <w:r>
        <w:rPr>
          <w:rStyle w:val="FootnoteAnchor"/>
          <w:rtl w:val="true"/>
        </w:rPr>
        <w:footnoteReference w:id="507"/>
      </w:r>
      <w:r>
        <w:rPr>
          <w:rFonts w:ascii="Amiri" w:hAnsi="Amiri" w:eastAsia="Amiri" w:cs="Amiri"/>
          <w:color w:val="111111"/>
          <w:sz w:val="28"/>
          <w:sz w:val="28"/>
          <w:szCs w:val="28"/>
          <w:rtl w:val="true"/>
          <w:lang w:bidi="ar-SA"/>
        </w:rPr>
        <w:t>، الظاهرة في اعتبار تأخّر الملاقاة عن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صلاحية معارضة المنطوق في هذه الرواية من الجهة المزبورة مع البقية أيضا فيتساقط الجميع، و 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المعارضة بين منطوق الرواية مع مفهوم نفسها إنما كانت بملاحظة كونهما في كلام واحد، و من ثم جعلتها مجملا، فيبقى سائر المفاهيم في غيرها من الروايات باقية بحالها،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الماء المطلق بأقسامه،</w:t>
      </w:r>
    </w:p>
    <w:p>
      <w:pPr>
        <w:pStyle w:val="Heading5"/>
        <w:numPr>
          <w:ilvl w:val="4"/>
          <w:numId w:val="1"/>
        </w:numPr>
        <w:rPr/>
      </w:pPr>
      <w:bookmarkStart w:id="121" w:name="__RefHeading___Toc3251185_2314609296"/>
      <w:bookmarkStart w:id="122" w:name="_Toc45"/>
      <w:bookmarkEnd w:id="121"/>
      <w:r>
        <w:rPr>
          <w:rtl w:val="true"/>
        </w:rPr>
        <w:t>و أما المضاف فهو المعتصر من الأجسام</w:t>
      </w:r>
      <w:bookmarkEnd w:id="12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3" w:name="__RefHeading___Toc3251187_2314609296"/>
      <w:bookmarkStart w:id="124" w:name="_Toc46"/>
      <w:bookmarkEnd w:id="123"/>
      <w:r>
        <w:rPr>
          <w:rtl w:val="true"/>
        </w:rPr>
        <w:t>اشارة</w:t>
      </w:r>
      <w:bookmarkStart w:id="125" w:name="pg19729_212684"/>
      <w:bookmarkEnd w:id="124"/>
    </w:p>
    <w:p>
      <w:pPr>
        <w:pStyle w:val="BookText"/>
        <w:rPr/>
      </w:pPr>
      <w:bookmarkEnd w:id="125"/>
      <w:r>
        <w:rPr>
          <w:rFonts w:ascii="Amiri" w:hAnsi="Amiri" w:eastAsia="Amiri" w:cs="Amiri"/>
          <w:color w:val="111111"/>
          <w:sz w:val="28"/>
          <w:sz w:val="28"/>
          <w:szCs w:val="28"/>
          <w:rtl w:val="true"/>
          <w:lang w:bidi="ar-SA"/>
        </w:rPr>
        <w:t>كالعنب و أمثاله، لا اللوز و أشباهه، أو الممتزج بها مزجا يسلبه الإطلاق كماء الورد و المرق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ينجس بكل ما يقع فيه، لعموم القاعدة السابقة، بعد اختصاص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المطلق، سواء كان الماء المزبور قليلا بلا اشكال، لنص المرق </w:t>
      </w:r>
      <w:r>
        <w:rPr>
          <w:rStyle w:val="FootnoteAnchor"/>
          <w:rtl w:val="true"/>
        </w:rPr>
        <w:footnoteReference w:id="508"/>
      </w:r>
      <w:r>
        <w:rPr>
          <w:rFonts w:ascii="Amiri" w:hAnsi="Amiri" w:eastAsia="Amiri" w:cs="Amiri"/>
          <w:color w:val="111111"/>
          <w:sz w:val="28"/>
          <w:sz w:val="28"/>
          <w:szCs w:val="28"/>
          <w:rtl w:val="true"/>
          <w:lang w:bidi="ar-SA"/>
        </w:rPr>
        <w:t>، أو كثيرا،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رفع الحدث به و لا الخبث و إن كان طاهرا، للإجماعات و الأصول بعد منع سند ما دلّ على التطهير بالبصاق </w:t>
      </w:r>
      <w:r>
        <w:rPr>
          <w:rStyle w:val="FootnoteAnchor"/>
          <w:rtl w:val="true"/>
        </w:rPr>
        <w:footnoteReference w:id="509"/>
      </w:r>
      <w:r>
        <w:rPr>
          <w:rFonts w:ascii="IRNazanin" w:hAnsi="IRNazanin" w:eastAsia="IRNazanin"/>
          <w:color w:val="111111"/>
          <w:sz w:val="28"/>
          <w:sz w:val="28"/>
          <w:szCs w:val="28"/>
          <w:rtl w:val="true"/>
          <w:lang w:bidi="fa-IR"/>
        </w:rPr>
        <w:t xml:space="preserve">، و بماء الورد </w:t>
      </w:r>
      <w:r>
        <w:rPr>
          <w:rStyle w:val="FootnoteAnchor"/>
          <w:rtl w:val="true"/>
        </w:rPr>
        <w:footnoteReference w:id="510"/>
      </w:r>
      <w:r>
        <w:rPr>
          <w:rFonts w:ascii="Amiri" w:hAnsi="Amiri" w:eastAsia="Amiri" w:cs="Amiri"/>
          <w:color w:val="111111"/>
          <w:sz w:val="28"/>
          <w:sz w:val="28"/>
          <w:szCs w:val="28"/>
          <w:rtl w:val="true"/>
          <w:lang w:bidi="ar-SA"/>
        </w:rPr>
        <w:t>، و لو لإعراض الأصحاب عنها، من دون احتياج إلى التوجيهات البعيدة كما في المطوّلات</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251189_2314609296"/>
      <w:bookmarkStart w:id="127" w:name="_Toc47"/>
      <w:bookmarkEnd w:id="126"/>
      <w:r>
        <w:rPr>
          <w:rtl w:val="true"/>
        </w:rPr>
        <w:t>مسائل</w:t>
      </w:r>
      <w:bookmarkEnd w:id="127"/>
    </w:p>
    <w:p>
      <w:pPr>
        <w:pStyle w:val="Heading6"/>
        <w:numPr>
          <w:ilvl w:val="5"/>
          <w:numId w:val="1"/>
        </w:numPr>
        <w:rPr/>
      </w:pPr>
      <w:bookmarkStart w:id="128" w:name="__RefHeading___Toc3251191_2314609296"/>
      <w:bookmarkStart w:id="129" w:name="_Toc48"/>
      <w:bookmarkEnd w:id="128"/>
      <w:r>
        <w:rPr>
          <w:rtl w:val="true"/>
        </w:rPr>
        <w:t>الأولى</w:t>
      </w:r>
      <w:r>
        <w:rPr>
          <w:rtl w:val="true"/>
        </w:rPr>
        <w:t>:</w:t>
      </w:r>
      <w:bookmarkEnd w:id="129"/>
    </w:p>
    <w:p>
      <w:pPr>
        <w:pStyle w:val="BookText"/>
        <w:rPr/>
      </w:pPr>
      <w:r>
        <w:rPr>
          <w:rFonts w:ascii="Amiri" w:hAnsi="Amiri" w:eastAsia="Amiri" w:cs="Amiri"/>
          <w:color w:val="111111"/>
          <w:sz w:val="28"/>
          <w:sz w:val="28"/>
          <w:szCs w:val="28"/>
          <w:rtl w:val="true"/>
          <w:lang w:bidi="ar-SA"/>
        </w:rPr>
        <w:t xml:space="preserve">المستعمل في رفع الحدث الأصغر طاهر و مطهّر عن الحدث، لرواية ابن سنان </w:t>
      </w:r>
      <w:r>
        <w:rPr>
          <w:rStyle w:val="FootnoteAnchor"/>
          <w:rtl w:val="true"/>
        </w:rPr>
        <w:footnoteReference w:id="511"/>
      </w:r>
      <w:r>
        <w:rPr>
          <w:rFonts w:ascii="Amiri" w:hAnsi="Amiri" w:eastAsia="Amiri" w:cs="Amiri"/>
          <w:color w:val="111111"/>
          <w:sz w:val="28"/>
          <w:sz w:val="28"/>
          <w:szCs w:val="28"/>
          <w:rtl w:val="true"/>
          <w:lang w:bidi="ar-SA"/>
        </w:rPr>
        <w:t>المشتمل ذيلها على نفي البأس عن التوضي بماء وضوء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مطهّر للخبث، للإطلاقات، مضافا إلى دعاوي الإجماعات المكررة في كلماتهم، خصوصا ممّن شأنه نقل الخلافات النادرة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المستعمل في رفع الحدث الأكبر، فإنه أيضا لا إشكال في</w:t>
      </w:r>
      <w:bookmarkStart w:id="130" w:name="pg19729_212685"/>
    </w:p>
    <w:p>
      <w:pPr>
        <w:pStyle w:val="BookText"/>
        <w:rPr/>
      </w:pPr>
      <w:bookmarkEnd w:id="130"/>
      <w:r>
        <w:rPr>
          <w:rFonts w:ascii="Amiri" w:hAnsi="Amiri" w:eastAsia="Amiri" w:cs="Amiri"/>
          <w:color w:val="111111"/>
          <w:sz w:val="28"/>
          <w:sz w:val="28"/>
          <w:szCs w:val="28"/>
          <w:rtl w:val="true"/>
          <w:lang w:bidi="ar-SA"/>
        </w:rPr>
        <w:t>طهارته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مطهّريته عن الخبث أيضا فللإطلاقات، علاوة على تسلّمهم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مطهّريته عن الحدث مطلقا، فعن جمع نفيها، لرواية ابن سنان </w:t>
      </w:r>
      <w:r>
        <w:rPr>
          <w:rStyle w:val="FootnoteAnchor"/>
          <w:rtl w:val="true"/>
        </w:rPr>
        <w:footnoteReference w:id="512"/>
      </w:r>
      <w:r>
        <w:rPr>
          <w:rFonts w:ascii="Amiri" w:hAnsi="Amiri" w:eastAsia="Amiri" w:cs="Amiri"/>
          <w:color w:val="111111"/>
          <w:sz w:val="28"/>
          <w:sz w:val="28"/>
          <w:szCs w:val="28"/>
          <w:rtl w:val="true"/>
          <w:lang w:bidi="ar-SA"/>
        </w:rPr>
        <w:t>المشتملة على نفي التوضي عما يغتسل به من الجنابة، و في قباله صحيحة علي بن جعفر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مكان واحد و هو قليل لا يكفيه لغسله فلا عليه أن يغتسل و يرجع الماء فيه فإن ذلك يجزيه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حمله على مورد الاضطرار، مدفوع بأنّ هذا المقدار من الماء مما يكفي لتمام بدنه و لو بمثل الدهن بلا إرجاع</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251193_2314609296"/>
      <w:bookmarkStart w:id="132" w:name="_Toc49"/>
      <w:bookmarkEnd w:id="131"/>
      <w:r>
        <w:rPr>
          <w:rtl w:val="true"/>
        </w:rPr>
        <w:t>المسألة الثانية</w:t>
      </w:r>
      <w:r>
        <w:rPr>
          <w:rtl w:val="true"/>
        </w:rPr>
        <w:t>:</w:t>
      </w:r>
      <w:bookmarkEnd w:id="132"/>
    </w:p>
    <w:p>
      <w:pPr>
        <w:pStyle w:val="BookText"/>
        <w:rPr/>
      </w:pPr>
      <w:r>
        <w:rPr>
          <w:rFonts w:ascii="Amiri" w:hAnsi="Amiri" w:eastAsia="Amiri" w:cs="Amiri"/>
          <w:color w:val="111111"/>
          <w:sz w:val="28"/>
          <w:sz w:val="28"/>
          <w:szCs w:val="28"/>
          <w:rtl w:val="true"/>
          <w:lang w:bidi="ar-SA"/>
        </w:rPr>
        <w:t>المستعمل في إزالة النجاسة، سواء في الغسلة المزيلة أو المطهّرة نجس، سواء تغيّر بالنجاسة بلا إشكال أو لم يتغيّر على خلاف فيه و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الغسلة المطهّرة فطاهر، و غيرها فنجس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انفعال الماء القليل، بضميمة الارتكاز في القذارات العرفية، من كون شأن الماء بوصوله إلى محل القذر جذب النجاسة و القذارة من المحل إلى نفسه على وجه تزول النجاسة بزواله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هذا البيان يرتفع توهم التهافت بين نجاسة الماء و طهارة المحل الملاقي له، إذ ذلك إنما يتم لو فرض مطهّرية الماء له بمجرد الوصول إليه و حين تلاقيه إياه قبل زواله، و أما لو كان الأمر بمثابة يحصل التطهير بزوال الماء المزبور عن المحل فلا موجب للارتكاز بخلافه، كما هو الشأن في ما قيل من مطهّرية زوال العين في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في غيرها نلتزم بمطهّرية زوال العين أو الأثر بتوسط الماء و زواله، و لا بأس ببقاء مقدار من الأجزاء الصغار، المسمّى بالرطوبة بعد ذهاب معظم أجزائه، و لو بالدلك و العصر في الأجسام المخصوصة، إذ الرطوبة بانظار العرف بمنزلة العرض، بلا اعتبارهم وجود عين من المياه القذرة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نقول بالفرق بين التطهير بالمياه القليلة أو الكثيرة العاصمة، فإنّ عصمة الماء مانعة من اكتساب النجاسة عن المحل، بل شأنها ليس إلّا جذب الوسخ عن المحل و إعدامه بلا نقله إلى نفسه، كي يحتاج في زواله عن المحل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نلتزم بأنّ مجرد ملاقاة المياه العاصمة كافية في التطهير، بلا احتياج فيها إلى الإفراغ، إلّا مع فرض اعتبار تعدد الغسل، فإنه يحتاج إلى الإخراج عن الماء، مقدّمة لتعدد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الاحتياج إلى العصر كانت المياه الخارجة عن المحل بتوسطه نجسة، و كذلك كل ما ينفصل عن المحل في الغسلة الأولى بعد انفصاله من العاصم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الغسلة المطهّرة، فإنّ المياه الباقية في المحل طاهرة حتى بعد الخروج عن المحل، و لذا لا يحتاج فيها إلى العصر أو غيره أصلا، لعدم مساعدة دليل تعبدي على دخله في حقيقة الغسل، كما أن الإفراغ، بل و الجريان على المحل أيضا غير معتبر في ماهية الغسل، و لذا قلنا بأنّ في الغسل بالمياه العاصمة لا يحتاج إلى الإفراغ، بل و في مطلق الغسل في الأحداث أيضا لا يعتبر ذلك، كيف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بلّوا الشعر و أنقوا البشرة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شاهد مدّعانا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فقد يشكل تفسير الغسل بمعنى يجمع هذه المصاديق المختلفة، بعد الجزم بعدم كونه من المشتركات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بأوضح من أن يدّعى بأن الغسل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الماء على المحل على وجه كان جاذبا للنجاسة أو الحدث عن المحل، غاية الأمر في الحدث المزبور ربما يكون لشي‌ء مدخلية فيه ليس له مثل هذا الداخل في غيره،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ذكرناه هو الوجه في إثبات المدّعى، من دون احتياج إلى التمسك برواية العيص </w:t>
      </w:r>
      <w:r>
        <w:rPr>
          <w:rStyle w:val="FootnoteAnchor"/>
          <w:rtl w:val="true"/>
        </w:rPr>
        <w:footnoteReference w:id="515"/>
      </w:r>
      <w:r>
        <w:rPr>
          <w:rFonts w:ascii="Amiri" w:hAnsi="Amiri" w:eastAsia="Amiri" w:cs="Amiri"/>
          <w:color w:val="111111"/>
          <w:sz w:val="28"/>
          <w:sz w:val="28"/>
          <w:szCs w:val="28"/>
          <w:rtl w:val="true"/>
          <w:lang w:bidi="ar-SA"/>
        </w:rPr>
        <w:t xml:space="preserve">الظاهرة في الاستنجاء، إذ حمله على الغسالة ليس بأولى من الحمل على الكراهة أو الطرح، للاعراض عنها بظاهرها بلا قرينة على بنائهم على طرح دلالتها محضا، كما أنه لا مجال للتشبث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في إثبات طهارة الغسالة، لإمكان حمله على تطهير الثوب بإفراغ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ظهور فيه في إيراد الماء على المحل النجس، بل المتعارف إيراد الثوب على مائه، و ذلك المقدار على فرض ثبوته ربما يؤيّد العرف في تطهيراتهم الأشياء عن القذارات، فإنّ في جاذبية الماء للقذارة عن المحل إلى نفسه لا فرق بين الورودين وجدانا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تمّت سيرة شرعية في المياه القليلة على اعتبار ورود الماء على المحل، فلا بدّ من 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ردع العرف في كيفية تطهيراتهم و إزالتهم الأوساخ العرفية، و إلّا فتبقى الطريقة الارتكازية</w:t>
      </w:r>
    </w:p>
    <w:p>
      <w:pPr>
        <w:pStyle w:val="BookText"/>
        <w:rPr/>
      </w:pPr>
      <w:r>
        <w:rPr>
          <w:rFonts w:ascii="Amiri" w:hAnsi="Amiri" w:eastAsia="Amiri" w:cs="Amiri"/>
          <w:color w:val="111111"/>
          <w:sz w:val="28"/>
          <w:sz w:val="28"/>
          <w:szCs w:val="28"/>
          <w:rtl w:val="true"/>
          <w:lang w:bidi="ar-SA"/>
        </w:rPr>
        <w:t>العرفية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قرب احتمال دخل ورود الماء، بل و عدم طول مكثه في المحل، على وجه لا يعد إفراغ مياهه من تبعات الغسل المزبور عرفا، و عليه فربما يكون الغسل في المركن موهونا من جهة أخرى أيضا، و لا أقل من الاحتياط في مراعاة مثل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من القاعدة الارتكازية في تطهير الأخباث جارية في كل مقام عدا ماء الاستنجاء، بلا إشكال في طهارته نصا </w:t>
      </w:r>
      <w:r>
        <w:rPr>
          <w:rStyle w:val="FootnoteAnchor"/>
          <w:rtl w:val="true"/>
        </w:rPr>
        <w:footnoteReference w:id="517"/>
      </w:r>
      <w:r>
        <w:rPr>
          <w:rFonts w:ascii="Amiri" w:hAnsi="Amiri" w:eastAsia="Amiri" w:cs="Amiri"/>
          <w:color w:val="111111"/>
          <w:sz w:val="28"/>
          <w:sz w:val="28"/>
          <w:szCs w:val="28"/>
          <w:rtl w:val="true"/>
          <w:lang w:bidi="ar-SA"/>
        </w:rPr>
        <w:t>، و عليه المشهور، خلافا لمن التزم بنجاسته و العفو عن مثله بلحاظ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منشأ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في فهم المراد من نفي البأس </w:t>
      </w:r>
      <w:r>
        <w:rPr>
          <w:rStyle w:val="FootnoteAnchor"/>
          <w:rtl w:val="true"/>
        </w:rPr>
        <w:footnoteReference w:id="518"/>
      </w:r>
      <w:r>
        <w:rPr>
          <w:rFonts w:ascii="Amiri" w:hAnsi="Amiri" w:eastAsia="Amiri" w:cs="Amiri"/>
          <w:color w:val="111111"/>
          <w:sz w:val="28"/>
          <w:sz w:val="28"/>
          <w:szCs w:val="28"/>
          <w:rtl w:val="true"/>
          <w:lang w:bidi="ar-SA"/>
        </w:rPr>
        <w:t>الوارد فيه، من أنه ناظر إلى آثاره و لو بضميمة عمومات الانفعال، أو ناظر إلى ما ارتكز في ذهن السائل من نجاسته، و الظاهر هو الثاني، مؤيدا ذلك باستفادة جل الأساطين طهارته من مثله، و عليه فيترتب جميع آثار الطهارة،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العفو و النجاسة فترتب أزيد من نجاسة ملاقية مشكل، و إن كان مقتضى إطلاق نفي البأس شموله للآثار الشائعة من شربه و بيعه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النظر في نفي البأس إلى نجاسته من جهة ملاقاته للنجاسة، فلا إطلاق فيه يشمل حال تغيّره بها، فعمومات التنجس بالتغيّر جارية في المقام أيضا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الظاهر اختصاص الحكم بالمستعمل في محل النجو بحسب</w:t>
      </w:r>
      <w:bookmarkStart w:id="133" w:name="pg19729_212689"/>
    </w:p>
    <w:p>
      <w:pPr>
        <w:pStyle w:val="BookText"/>
        <w:rPr/>
      </w:pPr>
      <w:bookmarkEnd w:id="133"/>
      <w:r>
        <w:rPr>
          <w:rFonts w:ascii="Amiri" w:hAnsi="Amiri" w:eastAsia="Amiri" w:cs="Amiri"/>
          <w:color w:val="111111"/>
          <w:sz w:val="28"/>
          <w:sz w:val="28"/>
          <w:szCs w:val="28"/>
          <w:rtl w:val="true"/>
          <w:lang w:bidi="ar-SA"/>
        </w:rPr>
        <w:t>المتعارف، فلو خرج عنه فمشكوك الاندراج تحت الإطلاق، فيرجع إلى قاعدة عموم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شمول الإطلاق للنجاسة الخارجة عن المعتاد اشكال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حكما أو صدقا مفهوميا يرجع إلى عموم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الشبهة الموضوعية يرجع إلى أصالة عدم اتصافه بماء الاستنجاء، فيترتب عليه حكم المياه التي لم يكن بماء استنجاء، التي تنفعل بالملاقاة،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نفي البأس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تنجسه كان من قبل استيلاء الماء على المحل النجس، و أما جهة ملاقاته للنجاسة بعد الانفصال عن المحل، و لو باستصحاب الماء أجزاء القذر بعد زواله فغير ناظر إليه، إلّا بدعوى شموله مقدارا كان من اللوازم العادية، فإنّ فحوى نفي البأس يقتضي العفو عن تنجّس الماء به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251195_2314609296"/>
      <w:bookmarkStart w:id="135" w:name="_Toc50"/>
      <w:bookmarkEnd w:id="134"/>
      <w:r>
        <w:rPr>
          <w:rtl w:val="true"/>
        </w:rPr>
        <w:t>المسألة الثالثة</w:t>
      </w:r>
      <w:r>
        <w:rPr>
          <w:rtl w:val="true"/>
        </w:rPr>
        <w:t>:</w:t>
      </w:r>
      <w:bookmarkEnd w:id="135"/>
    </w:p>
    <w:p>
      <w:pPr>
        <w:pStyle w:val="BookText"/>
        <w:rPr/>
      </w:pPr>
      <w:r>
        <w:rPr>
          <w:rFonts w:ascii="Amiri" w:hAnsi="Amiri" w:eastAsia="Amiri" w:cs="Amiri"/>
          <w:color w:val="111111"/>
          <w:sz w:val="28"/>
          <w:sz w:val="28"/>
          <w:szCs w:val="28"/>
          <w:rtl w:val="true"/>
          <w:lang w:bidi="ar-SA"/>
        </w:rPr>
        <w:t xml:space="preserve">غسالة الحمّام قد يتوهم كونها نجسة ما لم يعلم خلوها من النجاسة من جهة الأخبار </w:t>
      </w:r>
      <w:r>
        <w:rPr>
          <w:rStyle w:val="FootnoteAnchor"/>
          <w:rtl w:val="true"/>
        </w:rPr>
        <w:footnoteReference w:id="519"/>
      </w:r>
      <w:r>
        <w:rPr>
          <w:rFonts w:ascii="Amiri" w:hAnsi="Amiri" w:eastAsia="Amiri" w:cs="Amiri"/>
          <w:color w:val="111111"/>
          <w:sz w:val="28"/>
          <w:sz w:val="28"/>
          <w:szCs w:val="28"/>
          <w:rtl w:val="true"/>
          <w:lang w:bidi="ar-SA"/>
        </w:rPr>
        <w:t>الناهية عن الاغتسال 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التعليل بأن فيه غسالة ولد الزنا </w:t>
      </w:r>
      <w:r>
        <w:rPr>
          <w:rStyle w:val="FootnoteAnchor"/>
          <w:rtl w:val="true"/>
        </w:rPr>
        <w:footnoteReference w:id="520"/>
      </w:r>
      <w:r>
        <w:rPr>
          <w:rFonts w:ascii="Amiri" w:hAnsi="Amiri" w:eastAsia="Amiri" w:cs="Amiri"/>
          <w:color w:val="111111"/>
          <w:sz w:val="28"/>
          <w:sz w:val="28"/>
          <w:szCs w:val="28"/>
          <w:rtl w:val="true"/>
          <w:lang w:bidi="ar-SA"/>
        </w:rPr>
        <w:t xml:space="preserve">إيهاما بالكراهة لما فيه نحو استقذار موجب لتنفر الطبع عن الاغتسال فيه، بل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أصابه جذام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إذ مثل هذا شاهد على أنّ النهي عن الاغتسال فيه لحكمة خارجة عن نجاسته، مضافا إلى مرسلة الواسطي المشتملة على نفي البأس عن مجمع الماء في الحمام من غسالة</w:t>
      </w:r>
    </w:p>
    <w:p>
      <w:pPr>
        <w:pStyle w:val="BookText"/>
        <w:rPr/>
      </w:pPr>
      <w:r>
        <w:rPr>
          <w:rFonts w:ascii="IRNazanin" w:hAnsi="IRNazanin" w:eastAsia="IRNazanin"/>
          <w:color w:val="111111"/>
          <w:sz w:val="28"/>
          <w:sz w:val="28"/>
          <w:szCs w:val="28"/>
          <w:rtl w:val="true"/>
          <w:lang w:bidi="fa-IR"/>
        </w:rPr>
        <w:t xml:space="preserve">الناس </w:t>
      </w:r>
      <w:r>
        <w:rPr>
          <w:rStyle w:val="FootnoteAnchor"/>
          <w:rtl w:val="true"/>
        </w:rPr>
        <w:footnoteReference w:id="522"/>
      </w:r>
      <w:r>
        <w:rPr>
          <w:rFonts w:ascii="Amiri" w:hAnsi="Amiri" w:eastAsia="Amiri" w:cs="Amiri"/>
          <w:color w:val="111111"/>
          <w:sz w:val="28"/>
          <w:sz w:val="28"/>
          <w:szCs w:val="28"/>
          <w:rtl w:val="true"/>
          <w:lang w:bidi="ar-SA"/>
        </w:rPr>
        <w:t xml:space="preserve">، حكاها العلّامة الأستاذ </w:t>
      </w:r>
      <w:r>
        <w:rPr>
          <w:rStyle w:val="FootnoteAnchor"/>
          <w:rtl w:val="true"/>
        </w:rPr>
        <w:footnoteReference w:id="523"/>
      </w:r>
      <w:r>
        <w:rPr>
          <w:rFonts w:ascii="Amiri" w:hAnsi="Amiri" w:eastAsia="Amiri" w:cs="Amiri"/>
          <w:color w:val="111111"/>
          <w:sz w:val="28"/>
          <w:sz w:val="28"/>
          <w:szCs w:val="28"/>
          <w:rtl w:val="true"/>
          <w:lang w:bidi="ar-SA"/>
        </w:rPr>
        <w:t>في شرح تكملته، و مجرد العلم باغتسال اليهود و النصارى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كون ملاقاتهما له حال الاتصال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فالأصل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المرسلة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بطهارتها ما لم يعلم بملاقاة نجس إياها حال انقطاعه عن المادة، بلا كفاية مطلق الظن بها أيضا، لعدم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إطلاق المصنف نجاستها حتى حال اتصاله بالمادة، بل و في مفتاح الكرامة ما يظهر منه كون مورد البحث أعم من حال الاتصال بالمادة </w:t>
      </w:r>
      <w:r>
        <w:rPr>
          <w:rStyle w:val="FootnoteAnchor"/>
          <w:rtl w:val="true"/>
        </w:rPr>
        <w:footnoteReference w:id="524"/>
      </w:r>
      <w:r>
        <w:rPr>
          <w:rFonts w:ascii="Amiri" w:hAnsi="Amiri" w:eastAsia="Amiri" w:cs="Amiri"/>
          <w:color w:val="111111"/>
          <w:sz w:val="28"/>
          <w:sz w:val="28"/>
          <w:szCs w:val="28"/>
          <w:rtl w:val="true"/>
          <w:lang w:bidi="ar-SA"/>
        </w:rPr>
        <w:t xml:space="preserve">، و به صرّح الأردبيلي في شرح الإرشاد </w:t>
      </w:r>
      <w:r>
        <w:rPr>
          <w:rStyle w:val="FootnoteAnchor"/>
          <w:rtl w:val="true"/>
        </w:rPr>
        <w:footnoteReference w:id="525"/>
      </w:r>
      <w:r>
        <w:rPr>
          <w:rFonts w:ascii="Amiri" w:hAnsi="Amiri" w:eastAsia="Amiri" w:cs="Amiri"/>
          <w:color w:val="111111"/>
          <w:sz w:val="28"/>
          <w:sz w:val="28"/>
          <w:szCs w:val="28"/>
          <w:rtl w:val="true"/>
          <w:lang w:bidi="ar-SA"/>
        </w:rPr>
        <w:t>، بل هو ظاهر إطلاق النواهي أيضا، بل التعليل باغتسال ولد الزنا و غيره شاهد على حال الاتصال أيضا، لاغتسالهم به وقت استمداد ما في الحوض الصغير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فربما ينافي توهم النجاسة المزبورة عموم </w:t>
      </w:r>
      <w:r>
        <w:rPr>
          <w:rStyle w:val="FootnoteAnchor"/>
          <w:rtl w:val="true"/>
        </w:rPr>
        <w:footnoteReference w:id="526"/>
      </w:r>
      <w:r>
        <w:rPr>
          <w:rFonts w:ascii="Amiri" w:hAnsi="Amiri" w:eastAsia="Amiri" w:cs="Amiri"/>
          <w:color w:val="111111"/>
          <w:sz w:val="28"/>
          <w:sz w:val="28"/>
          <w:szCs w:val="28"/>
          <w:rtl w:val="true"/>
          <w:lang w:bidi="ar-SA"/>
        </w:rPr>
        <w:t>المنزلة تعليلا بالإتصال بالمادة، خصوصا على المختار، من بلوغ المجموع كرا، بضميمة تقوّي السافل بالعالي، إذ أدلة الكر شاملة له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عدم اقتضاء مثل هذه الأدلة طهارة ما في الحياض الصغار، حتى بلحاظ طروء عنوان الغسالة على مائه، فلا تنافي بين مثل ذلك و بين النواهي عن الاغتسال في مجمع المياه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مضافا إلى</w:t>
      </w:r>
      <w:bookmarkStart w:id="136" w:name="pg19729_212691"/>
    </w:p>
    <w:p>
      <w:pPr>
        <w:pStyle w:val="BookText"/>
        <w:rPr/>
      </w:pPr>
      <w:bookmarkEnd w:id="136"/>
      <w:r>
        <w:rPr>
          <w:rFonts w:ascii="Amiri" w:hAnsi="Amiri" w:eastAsia="Amiri" w:cs="Amiri"/>
          <w:color w:val="111111"/>
          <w:sz w:val="28"/>
          <w:sz w:val="28"/>
          <w:szCs w:val="28"/>
          <w:rtl w:val="true"/>
          <w:lang w:bidi="ar-SA"/>
        </w:rPr>
        <w:t>عموم المنزلة لهذه الصورة غير المنفكة عنه غالبا، أن ما أفيد أيضا إنما يتم على فرض عدم اشتراط الكرية في مجموعهما، و إلّا فلا قصور في شمول دليل الكرية لكل حال، كما لا يخفى هذا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251197_2314609296"/>
      <w:bookmarkStart w:id="138" w:name="_Toc51"/>
      <w:bookmarkEnd w:id="137"/>
      <w:r>
        <w:rPr>
          <w:rtl w:val="true"/>
        </w:rPr>
        <w:t>المسألة الرابعة</w:t>
      </w:r>
      <w:r>
        <w:rPr>
          <w:rtl w:val="true"/>
        </w:rPr>
        <w:t>:</w:t>
      </w:r>
      <w:bookmarkEnd w:id="138"/>
    </w:p>
    <w:p>
      <w:pPr>
        <w:pStyle w:val="BookText"/>
        <w:rPr/>
      </w:pPr>
      <w:r>
        <w:rPr>
          <w:rFonts w:ascii="Amiri" w:hAnsi="Amiri" w:eastAsia="Amiri" w:cs="Amiri"/>
          <w:color w:val="111111"/>
          <w:sz w:val="28"/>
          <w:sz w:val="28"/>
          <w:szCs w:val="28"/>
          <w:rtl w:val="true"/>
          <w:lang w:bidi="ar-SA"/>
        </w:rPr>
        <w:t>الماء النجس لا يجوز استعماله في الطهارة و لا في إزالة النجاسة، بلا إشكال في كل واحد من الحكمين فتوى، بل في الأخير يكفي مجرد عدم إحراز أنّ مثل هذا الماء جاذبا للنجاسة عن المحل، نظير الماء المضاف، الذي هو المناط التام في صدق الغسل كما عرفت، فأصالة بقاء النجاسة حينئذ محكمة، و كذلك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لو لوحظ ما ورد في أخبار البئر </w:t>
      </w:r>
      <w:r>
        <w:rPr>
          <w:rStyle w:val="FootnoteAnchor"/>
          <w:rtl w:val="true"/>
        </w:rPr>
        <w:footnoteReference w:id="527"/>
      </w:r>
      <w:r>
        <w:rPr>
          <w:rFonts w:ascii="Amiri" w:hAnsi="Amiri" w:eastAsia="Amiri" w:cs="Amiri"/>
          <w:color w:val="111111"/>
          <w:sz w:val="28"/>
          <w:sz w:val="28"/>
          <w:szCs w:val="28"/>
          <w:rtl w:val="true"/>
          <w:lang w:bidi="ar-SA"/>
        </w:rPr>
        <w:t>الدالة على أنّ عدم التوضي بالماء النجس من مرتكزات السائلين، حيث جعلوا محط سؤالهم جواز التوضي منه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 مقصودهم فهم طهارة مائه و عدمها، فضلا عن التصريح بعدم التوضي بماء وقع فيه أوقية من الدم، كما في رواية الأعرج </w:t>
      </w:r>
      <w:r>
        <w:rPr>
          <w:rStyle w:val="FootnoteAnchor"/>
          <w:rtl w:val="true"/>
        </w:rPr>
        <w:footnoteReference w:id="528"/>
      </w:r>
      <w:r>
        <w:rPr>
          <w:rFonts w:ascii="Amiri" w:hAnsi="Amiri" w:eastAsia="Amiri" w:cs="Amiri"/>
          <w:color w:val="111111"/>
          <w:sz w:val="28"/>
          <w:sz w:val="28"/>
          <w:szCs w:val="28"/>
          <w:rtl w:val="true"/>
          <w:lang w:bidi="ar-SA"/>
        </w:rPr>
        <w:t xml:space="preserve">، و خبر علي بن جعفر </w:t>
      </w:r>
      <w:r>
        <w:rPr>
          <w:rStyle w:val="FootnoteAnchor"/>
          <w:rtl w:val="true"/>
        </w:rPr>
        <w:footnoteReference w:id="529"/>
      </w:r>
      <w:r>
        <w:rPr>
          <w:rFonts w:ascii="Amiri" w:hAnsi="Amiri" w:eastAsia="Amiri" w:cs="Amiri"/>
          <w:color w:val="111111"/>
          <w:sz w:val="28"/>
          <w:sz w:val="28"/>
          <w:szCs w:val="28"/>
          <w:rtl w:val="true"/>
          <w:lang w:bidi="ar-SA"/>
        </w:rPr>
        <w:t xml:space="preserve">، بل نصل إهراقهما و التيمم في فرض اشتباه الطاهر بالنجس </w:t>
      </w:r>
      <w:r>
        <w:rPr>
          <w:rStyle w:val="FootnoteAnchor"/>
          <w:rtl w:val="true"/>
        </w:rPr>
        <w:footnoteReference w:id="530"/>
      </w:r>
      <w:r>
        <w:rPr>
          <w:rFonts w:ascii="Amiri" w:hAnsi="Amiri" w:eastAsia="Amiri" w:cs="Amiri"/>
          <w:color w:val="111111"/>
          <w:sz w:val="28"/>
          <w:sz w:val="28"/>
          <w:szCs w:val="28"/>
          <w:rtl w:val="true"/>
          <w:lang w:bidi="ar-SA"/>
        </w:rPr>
        <w:t>شاهد على النجاسة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كونه على خلاف القاعدة، من جهة إمكان تحصيل الطهارة بكلا قسميها، بالوضوء بأحدهما و غسل المحل بالآخر و الوضوء به، لأنه حينئذ يحصل الجزم برفع الحدث، و يحكم بطهارة المحل أيضا لقاعدة الطهارة، بعد فرض سقوط الاستصحاب في مثل المقام، من توارد الحالتين، إما لعدم المقتضي، أو لوجود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ذلك إنما يتم على فرض عدم الاحتياج إلى الإفراغ في الغسل بالمياه القليلة، و إلّا فحين ملاقاة الماء الثاني يعلم تفصيلا بنجاسة المحل، مع العلم بتأريخه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لو فرض عدم اعتبار الإفراغ أيضا، فلا محيص حين ملاقاة الثاني من الابتلاء بالعلم الإجمالي بنجاسته أو نجاسة موضع آخر قبل ملاقاته للثاني، و مثل هذا العلم الإجمالي منجز للتكليف بالاجتناب عن النجس، من دون صلاحية زوال هذا العلم بعد المنجزية بغسل الجميع، إذ هو من قبل ذهاب العلم بالتلف بعده،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قلنا بأنّ الحكم بالاجتناب غير مختص بصورة قلة الماءين المشتبهين، بل يشمل صور كريتهما أو كونهما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استعماله أيضا في الشرب إجماعا، بل و ربما يستفاد من فحوى ما دل على إراقة المرق الواقع فيه الفأرة </w:t>
      </w:r>
      <w:r>
        <w:rPr>
          <w:rStyle w:val="FootnoteAnchor"/>
          <w:rtl w:val="true"/>
        </w:rPr>
        <w:footnoteReference w:id="531"/>
      </w:r>
      <w:r>
        <w:rPr>
          <w:rFonts w:ascii="Amiri" w:hAnsi="Amiri" w:eastAsia="Amiri" w:cs="Amiri"/>
          <w:color w:val="111111"/>
          <w:sz w:val="28"/>
          <w:sz w:val="28"/>
          <w:szCs w:val="28"/>
          <w:rtl w:val="true"/>
          <w:lang w:bidi="ar-SA"/>
        </w:rPr>
        <w:t>، لأنه بمناط نجاسته فيتعدّى منه إلى المقام، بل في الأمر بإهراقهما في المشتبهين إيماء إلى ذلك، و لئن صدق عليه الخبث فيكفي لتحريمه نواهي الخبائث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الحرمة ثابتة إلّا مع الضرورة المبيحة للمحظور اتفاقا، خصوصا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اضطر إليه ابن آدم فقد أحله اللّٰه</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مضافا إلى عموم نفي الضرر و الحرج</w:t>
      </w:r>
      <w:r>
        <w:rPr>
          <w:rFonts w:eastAsia="Amiri" w:cs="Amiri" w:ascii="Amiri" w:hAnsi="Amiri"/>
          <w:color w:val="111111"/>
          <w:sz w:val="28"/>
          <w:szCs w:val="28"/>
          <w:rtl w:val="true"/>
          <w:lang w:bidi="ar-SA"/>
        </w:rPr>
        <w:t>.</w:t>
      </w:r>
      <w:bookmarkStart w:id="139" w:name="pg19729_212693"/>
    </w:p>
    <w:p>
      <w:pPr>
        <w:pStyle w:val="Heading4"/>
        <w:numPr>
          <w:ilvl w:val="3"/>
          <w:numId w:val="1"/>
        </w:numPr>
        <w:rPr/>
      </w:pPr>
      <w:bookmarkStart w:id="140" w:name="__RefHeading___Toc3251199_2314609296"/>
      <w:bookmarkStart w:id="141" w:name="_Toc52"/>
      <w:bookmarkEnd w:id="139"/>
      <w:bookmarkEnd w:id="140"/>
      <w:r>
        <w:rPr>
          <w:rtl w:val="true"/>
        </w:rPr>
        <w:t>الباب الثاني في الوضوء،</w:t>
      </w:r>
      <w:bookmarkEnd w:id="141"/>
    </w:p>
    <w:p>
      <w:pPr>
        <w:pStyle w:val="Heading5"/>
        <w:numPr>
          <w:ilvl w:val="4"/>
          <w:numId w:val="1"/>
        </w:numPr>
        <w:rPr/>
      </w:pPr>
      <w:bookmarkStart w:id="142" w:name="__RefHeading___Toc3251201_2314609296"/>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251203_2314609296"/>
      <w:bookmarkStart w:id="145" w:name="_Toc54"/>
      <w:bookmarkEnd w:id="144"/>
      <w:r>
        <w:rPr>
          <w:rtl w:val="true"/>
        </w:rPr>
        <w:t>الفصل الأول في موجبه و مقتضيه</w:t>
      </w:r>
      <w:r>
        <w:rPr>
          <w:rtl w:val="true"/>
        </w:rPr>
        <w:t>.</w:t>
      </w:r>
      <w:bookmarkEnd w:id="145"/>
    </w:p>
    <w:p>
      <w:pPr>
        <w:pStyle w:val="BookText"/>
        <w:rPr/>
      </w:pPr>
      <w:r>
        <w:rPr>
          <w:rFonts w:ascii="Amiri" w:hAnsi="Amiri" w:eastAsia="Amiri" w:cs="Amiri"/>
          <w:color w:val="111111"/>
          <w:sz w:val="28"/>
          <w:sz w:val="28"/>
          <w:szCs w:val="28"/>
          <w:rtl w:val="true"/>
          <w:lang w:bidi="ar-SA"/>
        </w:rPr>
        <w:t>و ربما يوهم مثل هذا الإطلاق انّ الطهارة غير واجبة التحصيل لو لا واحد منها، كما لو خلق إنسان قبل صدور هذه الأمور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لإمكان كون الموجبية، بلحاظ العادة المقتضية لصدورها منه بعد تطهره و لو قبل بلوغه، كما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نور</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كاشف عن وجودية الطهارة، المحتاج تحصيلها إلى سبب خاص، و انّ الأمور المزبورة رافعة لها، فيناسب كون الحدث عبارة عن ظلمة ترتفع بهذا النور، و الحدث بحسب الدقة عدمي لا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كونهما وجوديين أيضا ممنوعة جدا، فتدبر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يجب الوضوء و يثبت بخروج البول و الغائط و الريح من المخرج المعتاد بلا إشكال فتوى و نصا، من عموم ما دل على عدم نقض الوضوء إلّا بما خرج عن طرفيك </w:t>
      </w:r>
      <w:r>
        <w:rPr>
          <w:rStyle w:val="FootnoteAnchor"/>
          <w:rtl w:val="true"/>
        </w:rPr>
        <w:footnoteReference w:id="534"/>
      </w:r>
      <w:r>
        <w:rPr>
          <w:rFonts w:ascii="Amiri" w:hAnsi="Amiri" w:eastAsia="Amiri" w:cs="Amiri"/>
          <w:color w:val="111111"/>
          <w:sz w:val="28"/>
          <w:sz w:val="28"/>
          <w:szCs w:val="28"/>
          <w:rtl w:val="true"/>
          <w:lang w:bidi="ar-SA"/>
        </w:rPr>
        <w:t xml:space="preserve">، أو طرفيك الأسفلين </w:t>
      </w:r>
      <w:r>
        <w:rPr>
          <w:rStyle w:val="FootnoteAnchor"/>
          <w:rtl w:val="true"/>
        </w:rPr>
        <w:footnoteReference w:id="535"/>
      </w: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 xml:space="preserve">طرفيك الذين أنعم اللّٰه عليك </w:t>
      </w:r>
      <w:r>
        <w:rPr>
          <w:rStyle w:val="FootnoteAnchor"/>
          <w:rtl w:val="true"/>
        </w:rPr>
        <w:footnoteReference w:id="536"/>
      </w:r>
      <w:r>
        <w:rPr>
          <w:rFonts w:ascii="Amiri" w:hAnsi="Amiri" w:eastAsia="Amiri" w:cs="Amiri"/>
          <w:color w:val="111111"/>
          <w:sz w:val="28"/>
          <w:sz w:val="28"/>
          <w:szCs w:val="28"/>
          <w:rtl w:val="true"/>
          <w:lang w:bidi="ar-SA"/>
        </w:rPr>
        <w:t xml:space="preserve">، بل و في بعض النصوص التصريح بالبول و الغائط و الريح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اشتمال بعض الأخبار على بعضها غير ضائر، بعد كونه من قبيل الناطق و 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الاعتياد في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ربما يشمله إطلاق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الإطلاقات للخارج من غير المعتاد كلام، خصوصا في الريح الذي لا يعلم بخصوصه إلّا بخروجه عن محله المعتاد، و لذا لا يعتنى بالريح الخارج من الذكر أو السرة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في الأولين دعوى كون المناط صدق كون الخارج بولا و غائطا و لو للمناسبة، كما هو ظاهر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يجب الوضوء من جهة النوم الغالب على السمع و البصر بلا إشكال في الجملة،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قائما أو قاعدا وجب عليه الوضوء</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 في رواية زرارة تفسير النوم الناقض بنوم القلب </w:t>
      </w:r>
      <w:r>
        <w:rPr>
          <w:rStyle w:val="FootnoteAnchor"/>
          <w:rtl w:val="true"/>
        </w:rPr>
        <w:footnoteReference w:id="539"/>
      </w:r>
      <w:r>
        <w:rPr>
          <w:rFonts w:ascii="Amiri" w:hAnsi="Amiri" w:eastAsia="Amiri" w:cs="Amiri"/>
          <w:color w:val="111111"/>
          <w:sz w:val="28"/>
          <w:sz w:val="28"/>
          <w:szCs w:val="28"/>
          <w:rtl w:val="true"/>
          <w:lang w:bidi="ar-SA"/>
        </w:rPr>
        <w:t xml:space="preserve">، فالتعبير عنه في بعض الروايات بالذاهب بالعقل </w:t>
      </w:r>
      <w:r>
        <w:rPr>
          <w:rStyle w:val="FootnoteAnchor"/>
          <w:rtl w:val="true"/>
        </w:rPr>
        <w:footnoteReference w:id="540"/>
      </w:r>
      <w:r>
        <w:rPr>
          <w:rFonts w:ascii="IRNazanin" w:hAnsi="IRNazanin" w:eastAsia="IRNazanin"/>
          <w:color w:val="111111"/>
          <w:sz w:val="28"/>
          <w:sz w:val="28"/>
          <w:szCs w:val="28"/>
          <w:rtl w:val="true"/>
          <w:lang w:bidi="fa-IR"/>
        </w:rPr>
        <w:t xml:space="preserve">، أو بالاسترخاء </w:t>
      </w:r>
      <w:r>
        <w:rPr>
          <w:rStyle w:val="FootnoteAnchor"/>
          <w:rtl w:val="true"/>
        </w:rPr>
        <w:footnoteReference w:id="541"/>
      </w:r>
      <w:r>
        <w:rPr>
          <w:rFonts w:ascii="IRNazanin" w:hAnsi="IRNazanin" w:eastAsia="IRNazanin"/>
          <w:color w:val="111111"/>
          <w:sz w:val="28"/>
          <w:sz w:val="28"/>
          <w:szCs w:val="28"/>
          <w:rtl w:val="true"/>
          <w:lang w:bidi="fa-IR"/>
        </w:rPr>
        <w:t xml:space="preserve">، أو بالغالب على السمع و البصر </w:t>
      </w:r>
      <w:r>
        <w:rPr>
          <w:rStyle w:val="FootnoteAnchor"/>
          <w:rtl w:val="true"/>
        </w:rPr>
        <w:footnoteReference w:id="542"/>
      </w:r>
      <w:r>
        <w:rPr>
          <w:rFonts w:ascii="Amiri" w:hAnsi="Amiri" w:eastAsia="Amiri" w:cs="Amiri"/>
          <w:color w:val="111111"/>
          <w:sz w:val="28"/>
          <w:sz w:val="28"/>
          <w:szCs w:val="28"/>
          <w:rtl w:val="true"/>
          <w:lang w:bidi="ar-SA"/>
        </w:rPr>
        <w:t>، ليس من</w:t>
      </w:r>
      <w:bookmarkStart w:id="146" w:name="pg19729_212695"/>
    </w:p>
    <w:p>
      <w:pPr>
        <w:pStyle w:val="BookText"/>
        <w:rPr/>
      </w:pPr>
      <w:bookmarkEnd w:id="146"/>
      <w:r>
        <w:rPr>
          <w:rFonts w:ascii="Amiri" w:hAnsi="Amiri" w:eastAsia="Amiri" w:cs="Amiri"/>
          <w:color w:val="111111"/>
          <w:sz w:val="28"/>
          <w:sz w:val="28"/>
          <w:szCs w:val="28"/>
          <w:rtl w:val="true"/>
          <w:lang w:bidi="ar-SA"/>
        </w:rPr>
        <w:t>جهة اختلاف في حقيقة النوم، بل هذه طرق لإحراز نوم القلب، لأنها من لوازم المرتبة الخاصة الناقضة، أو بيان لمناط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النصوص من نفي الوضوء في النوم قائما </w:t>
      </w:r>
      <w:r>
        <w:rPr>
          <w:rStyle w:val="FootnoteAnchor"/>
          <w:rtl w:val="true"/>
        </w:rPr>
        <w:footnoteReference w:id="543"/>
      </w:r>
      <w:r>
        <w:rPr>
          <w:rFonts w:ascii="Amiri" w:hAnsi="Amiri" w:eastAsia="Amiri" w:cs="Amiri"/>
          <w:color w:val="111111"/>
          <w:sz w:val="28"/>
          <w:sz w:val="28"/>
          <w:szCs w:val="28"/>
          <w:rtl w:val="true"/>
          <w:lang w:bidi="ar-SA"/>
        </w:rPr>
        <w:t xml:space="preserve">، قبال كونه مضطجعا، محمول على الغالب من عدم وصول نوم القائم إلى حد نوم القلب، بل هو من الخفقة المصرّح بعدم اضرارها حتى مع الشك في وصوله إلى حد نوم القلب </w:t>
      </w:r>
      <w:r>
        <w:rPr>
          <w:rStyle w:val="FootnoteAnchor"/>
          <w:rtl w:val="true"/>
        </w:rPr>
        <w:footnoteReference w:id="544"/>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بالنوم في الناقضية ما في معناه من ذهاب العقل بجنون أو إغماء، أو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استفادتهم من توصيف النوم بالذاهب بالعقل </w:t>
      </w:r>
      <w:r>
        <w:rPr>
          <w:rStyle w:val="FootnoteAnchor"/>
          <w:rtl w:val="true"/>
        </w:rPr>
        <w:footnoteReference w:id="545"/>
      </w:r>
      <w:r>
        <w:rPr>
          <w:rFonts w:ascii="Amiri" w:hAnsi="Amiri" w:eastAsia="Amiri" w:cs="Amiri"/>
          <w:color w:val="111111"/>
          <w:sz w:val="28"/>
          <w:sz w:val="28"/>
          <w:szCs w:val="28"/>
          <w:rtl w:val="true"/>
          <w:lang w:bidi="ar-SA"/>
        </w:rPr>
        <w:t>، فإنّ ذلك هو المناط، فيتعدّى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أرسلوا مثل هذا الحكم إرسال المسلّمات، و اشكال صاحب الحدائق </w:t>
      </w:r>
      <w:r>
        <w:rPr>
          <w:rStyle w:val="FootnoteAnchor"/>
          <w:rtl w:val="true"/>
        </w:rPr>
        <w:footnoteReference w:id="546"/>
      </w:r>
      <w:r>
        <w:rPr>
          <w:rFonts w:ascii="Amiri" w:hAnsi="Amiri" w:eastAsia="Amiri" w:cs="Amiri"/>
          <w:color w:val="111111"/>
          <w:sz w:val="28"/>
          <w:sz w:val="28"/>
          <w:szCs w:val="28"/>
          <w:rtl w:val="true"/>
          <w:lang w:bidi="ar-SA"/>
        </w:rPr>
        <w:t xml:space="preserve">في غير محله، خصوصا مع التصريح بناقضية الإغماء في النص </w:t>
      </w:r>
      <w:r>
        <w:rPr>
          <w:rStyle w:val="FootnoteAnchor"/>
          <w:rtl w:val="true"/>
        </w:rPr>
        <w:footnoteReference w:id="547"/>
      </w:r>
      <w:r>
        <w:rPr>
          <w:rFonts w:ascii="Amiri" w:hAnsi="Amiri" w:eastAsia="Amiri" w:cs="Amiri"/>
          <w:color w:val="111111"/>
          <w:sz w:val="28"/>
          <w:sz w:val="28"/>
          <w:szCs w:val="28"/>
          <w:rtl w:val="true"/>
          <w:lang w:bidi="ar-SA"/>
        </w:rPr>
        <w:t>بضميمة عدم القول بالفصل،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النواقض أيضا الاستحاضة القليلة الدم، و سيأتي تفصيلها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الوضوء بغير ذلك، للأصل، و أطباق الكلمات</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251205_2314609296"/>
      <w:bookmarkStart w:id="148" w:name="_Toc55"/>
      <w:bookmarkEnd w:id="147"/>
      <w:r>
        <w:rPr>
          <w:rtl w:val="true"/>
        </w:rPr>
        <w:t>الفصل الثاني، في آداب الخلوة</w:t>
      </w:r>
      <w:r>
        <w:rPr>
          <w:rtl w:val="true"/>
        </w:rPr>
        <w:t>.</w:t>
      </w:r>
      <w:bookmarkEnd w:id="1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ستر العورة عن الناظر المحترم، عدا الزوج و الزوجة و من</w:t>
      </w:r>
    </w:p>
    <w:p>
      <w:pPr>
        <w:pStyle w:val="BookText"/>
        <w:rPr/>
      </w:pPr>
      <w:r>
        <w:rPr>
          <w:rFonts w:ascii="Amiri" w:hAnsi="Amiri" w:eastAsia="Amiri" w:cs="Amiri"/>
          <w:color w:val="111111"/>
          <w:sz w:val="28"/>
          <w:sz w:val="28"/>
          <w:szCs w:val="28"/>
          <w:rtl w:val="true"/>
          <w:lang w:bidi="ar-SA"/>
        </w:rPr>
        <w:t xml:space="preserve">بحكمهما من ملك اليمين أو مورد التحليل، على المتخلي و طالب الحدث بلا اشكال نصا </w:t>
      </w:r>
      <w:r>
        <w:rPr>
          <w:rStyle w:val="FootnoteAnchor"/>
          <w:rtl w:val="true"/>
        </w:rPr>
        <w:footnoteReference w:id="548"/>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يكفي له عموم الكتاب </w:t>
      </w:r>
      <w:r>
        <w:rPr>
          <w:rStyle w:val="FootnoteAnchor"/>
          <w:rtl w:val="true"/>
        </w:rPr>
        <w:footnoteReference w:id="549"/>
      </w:r>
      <w:r>
        <w:rPr>
          <w:rFonts w:ascii="Amiri" w:hAnsi="Amiri" w:eastAsia="Amiri" w:cs="Amiri"/>
          <w:color w:val="111111"/>
          <w:sz w:val="28"/>
          <w:sz w:val="28"/>
          <w:szCs w:val="28"/>
          <w:rtl w:val="true"/>
          <w:lang w:bidi="ar-SA"/>
        </w:rPr>
        <w:t xml:space="preserve">، و الأخبار الدالة على النهي عن دخول الحمام بلا مئزر </w:t>
      </w:r>
      <w:r>
        <w:rPr>
          <w:rStyle w:val="FootnoteAnchor"/>
          <w:rtl w:val="true"/>
        </w:rPr>
        <w:footnoteReference w:id="550"/>
      </w:r>
      <w:r>
        <w:rPr>
          <w:rFonts w:ascii="Amiri" w:hAnsi="Amiri" w:eastAsia="Amiri" w:cs="Amiri"/>
          <w:color w:val="111111"/>
          <w:sz w:val="28"/>
          <w:sz w:val="28"/>
          <w:szCs w:val="28"/>
          <w:rtl w:val="true"/>
          <w:lang w:bidi="ar-SA"/>
        </w:rPr>
        <w:t xml:space="preserve">، أو الأمر بالمحاذرة على عورته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يعارضها ما اشتمل على لفظ الكراهة </w:t>
      </w:r>
      <w:r>
        <w:rPr>
          <w:rStyle w:val="FootnoteAnchor"/>
          <w:rtl w:val="true"/>
        </w:rPr>
        <w:footnoteReference w:id="552"/>
      </w:r>
      <w:r>
        <w:rPr>
          <w:rFonts w:ascii="Amiri" w:hAnsi="Amiri" w:eastAsia="Amiri" w:cs="Amiri"/>
          <w:color w:val="111111"/>
          <w:sz w:val="28"/>
          <w:sz w:val="28"/>
          <w:szCs w:val="28"/>
          <w:rtl w:val="true"/>
          <w:lang w:bidi="ar-SA"/>
        </w:rPr>
        <w:t xml:space="preserve">، لمنع ظهوره في الكراهة المصطلحة حين استعماله، بل و لا يصلح للمعارضة مع ما ورد في تفسير الأمر بحفظ الفرج بأنّ المراد منه الزنا إلّا في المقام المراد منه النظر إليه </w:t>
      </w:r>
      <w:r>
        <w:rPr>
          <w:rStyle w:val="FootnoteAnchor"/>
          <w:rtl w:val="true"/>
        </w:rPr>
        <w:footnoteReference w:id="553"/>
      </w:r>
      <w:r>
        <w:rPr>
          <w:rFonts w:ascii="Amiri" w:hAnsi="Amiri" w:eastAsia="Amiri" w:cs="Amiri"/>
          <w:color w:val="111111"/>
          <w:sz w:val="28"/>
          <w:sz w:val="28"/>
          <w:szCs w:val="28"/>
          <w:rtl w:val="true"/>
          <w:lang w:bidi="ar-SA"/>
        </w:rPr>
        <w:t>، إذ هذا التفسير كالصريح في الحرمة على وجه يصلح لرفع اليد عن ظهور الكراهة في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مثل هذه العمومات مخصصة بما ورد من جواز نظر الزوجين و من بحكمهما إلى فرج غيره </w:t>
      </w:r>
      <w:r>
        <w:rPr>
          <w:rStyle w:val="FootnoteAnchor"/>
          <w:rtl w:val="true"/>
        </w:rPr>
        <w:footnoteReference w:id="554"/>
      </w:r>
      <w:r>
        <w:rPr>
          <w:rFonts w:ascii="Amiri" w:hAnsi="Amiri" w:eastAsia="Amiri" w:cs="Amiri"/>
          <w:color w:val="111111"/>
          <w:sz w:val="28"/>
          <w:sz w:val="28"/>
          <w:szCs w:val="28"/>
          <w:rtl w:val="true"/>
          <w:lang w:bidi="ar-SA"/>
        </w:rPr>
        <w:t xml:space="preserve">، بل فحوى أدلة الاستمتاع </w:t>
      </w:r>
      <w:r>
        <w:rPr>
          <w:rStyle w:val="FootnoteAnchor"/>
          <w:rtl w:val="true"/>
        </w:rPr>
        <w:footnoteReference w:id="555"/>
      </w:r>
      <w:r>
        <w:rPr>
          <w:rFonts w:ascii="Amiri" w:hAnsi="Amiri" w:eastAsia="Amiri" w:cs="Amiri"/>
          <w:color w:val="111111"/>
          <w:sz w:val="28"/>
          <w:sz w:val="28"/>
          <w:szCs w:val="28"/>
          <w:rtl w:val="true"/>
          <w:lang w:bidi="ar-SA"/>
        </w:rPr>
        <w:t>في هذه المقامات وافية لإثبات التخصيص، بل من الممكن دعوى انصراف مثل هذه الخطابات إلى غير الطوائف المزبورة، لبعد التفات الذهن من هذه الخطابات إلى من ذكر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بملاحظة ابتنائها على الاستقباحات العرفية، لا يتبادر منها عموم</w:t>
      </w:r>
    </w:p>
    <w:p>
      <w:pPr>
        <w:pStyle w:val="BookText"/>
        <w:rPr/>
      </w:pPr>
      <w:r>
        <w:rPr>
          <w:rFonts w:ascii="Amiri" w:hAnsi="Amiri" w:eastAsia="Amiri" w:cs="Amiri"/>
          <w:color w:val="111111"/>
          <w:sz w:val="28"/>
          <w:sz w:val="28"/>
          <w:szCs w:val="28"/>
          <w:rtl w:val="true"/>
          <w:lang w:bidi="ar-SA"/>
        </w:rPr>
        <w:t>المعنى بنحو يشمل الناظر غير المميز، نعم لا بأس بشمولها لهم مع تمييزهم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المسلم و الكافر في كونهم ناظرين أو منظورا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يجب على المكلف غير من ذكر حفظ فرجه، كذلك يحرم عليه النظر إلى فرج غيره، لآية غض البصر </w:t>
      </w:r>
      <w:r>
        <w:rPr>
          <w:rStyle w:val="FootnoteAnchor"/>
          <w:rtl w:val="true"/>
        </w:rPr>
        <w:footnoteReference w:id="556"/>
      </w:r>
      <w:r>
        <w:rPr>
          <w:rFonts w:ascii="Amiri" w:hAnsi="Amiri" w:eastAsia="Amiri" w:cs="Amiri"/>
          <w:color w:val="111111"/>
          <w:sz w:val="28"/>
          <w:sz w:val="28"/>
          <w:szCs w:val="28"/>
          <w:rtl w:val="true"/>
          <w:lang w:bidi="ar-SA"/>
        </w:rPr>
        <w:t xml:space="preserve">، و الرواية المشتملة على اللعن على الناظر و المنظور إليه </w:t>
      </w:r>
      <w:r>
        <w:rPr>
          <w:rStyle w:val="FootnoteAnchor"/>
          <w:rtl w:val="true"/>
        </w:rPr>
        <w:footnoteReference w:id="557"/>
      </w:r>
      <w:r>
        <w:rPr>
          <w:rFonts w:ascii="Amiri" w:hAnsi="Amiri" w:eastAsia="Amiri" w:cs="Amiri"/>
          <w:color w:val="111111"/>
          <w:sz w:val="28"/>
          <w:sz w:val="28"/>
          <w:szCs w:val="28"/>
          <w:rtl w:val="true"/>
          <w:lang w:bidi="ar-SA"/>
        </w:rPr>
        <w:t xml:space="preserve">، المحمولة على صورة اعانة المنظور إليه للناظر في نظره، بعدم حفظ فرجه عنه، مؤيدا ذلك بالنهي عن النظر إلى عورة المؤمن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يضر بذلك تفسيرها بإذاعة سرّهم </w:t>
      </w:r>
      <w:r>
        <w:rPr>
          <w:rStyle w:val="FootnoteAnchor"/>
          <w:rtl w:val="true"/>
        </w:rPr>
        <w:footnoteReference w:id="559"/>
      </w:r>
      <w:r>
        <w:rPr>
          <w:rFonts w:ascii="Amiri" w:hAnsi="Amiri" w:eastAsia="Amiri" w:cs="Amiri"/>
          <w:color w:val="111111"/>
          <w:sz w:val="28"/>
          <w:sz w:val="28"/>
          <w:szCs w:val="28"/>
          <w:rtl w:val="true"/>
          <w:lang w:bidi="ar-SA"/>
        </w:rPr>
        <w:t>، إذ الظاهر انّ إطلاق العورة على سره إنما هو بنحو من العناية و الادعاء في حتمية الستر، و نفس هذه كاشفة عن ثبوت الحكم في العورة الحقيقية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الإطلاقات هنا أيضا عدم الفرق بين كون المنظور إليه مؤمنا أم كافرا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من أنّ الكافر ممن يجوز النظر إلى فرجه، لأنه كالبهائم </w:t>
      </w:r>
      <w:r>
        <w:rPr>
          <w:rStyle w:val="FootnoteAnchor"/>
          <w:rtl w:val="true"/>
        </w:rPr>
        <w:footnoteReference w:id="560"/>
      </w:r>
      <w:r>
        <w:rPr>
          <w:rFonts w:ascii="Amiri" w:hAnsi="Amiri" w:eastAsia="Amiri" w:cs="Amiri"/>
          <w:color w:val="111111"/>
          <w:sz w:val="28"/>
          <w:sz w:val="28"/>
          <w:szCs w:val="28"/>
          <w:rtl w:val="true"/>
          <w:lang w:bidi="ar-SA"/>
        </w:rPr>
        <w:t xml:space="preserve">، منظور فيه، لإعراض المشهور عنها، فلا يوثق بسندها و إن ذهب إلى مضمونها الصدوق </w:t>
      </w:r>
      <w:r>
        <w:rPr>
          <w:rStyle w:val="FootnoteAnchor"/>
          <w:rtl w:val="true"/>
        </w:rPr>
        <w:footnoteReference w:id="561"/>
      </w:r>
      <w:r>
        <w:rPr>
          <w:rFonts w:ascii="Amiri" w:hAnsi="Amiri" w:eastAsia="Amiri" w:cs="Amiri"/>
          <w:color w:val="111111"/>
          <w:sz w:val="28"/>
          <w:sz w:val="28"/>
          <w:szCs w:val="28"/>
          <w:rtl w:val="true"/>
          <w:lang w:bidi="ar-SA"/>
        </w:rPr>
        <w:t xml:space="preserve">و المحدّث العاملي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العورة في المقام ما هو الواجب ستره في الصلاة، كما سيجي‌ء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من سترها ستر بشرتها لا حجمها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للمتخلّي ستر جميع البدن، لما ورد من مدح لقمان في ذلك </w:t>
      </w:r>
      <w:r>
        <w:rPr>
          <w:rStyle w:val="FootnoteAnchor"/>
          <w:rtl w:val="true"/>
        </w:rPr>
        <w:footnoteReference w:id="563"/>
      </w:r>
      <w:r>
        <w:rPr>
          <w:rFonts w:ascii="Amiri" w:hAnsi="Amiri" w:eastAsia="Amiri" w:cs="Amiri"/>
          <w:color w:val="111111"/>
          <w:sz w:val="28"/>
          <w:sz w:val="28"/>
          <w:szCs w:val="28"/>
          <w:rtl w:val="true"/>
          <w:lang w:bidi="ar-SA"/>
        </w:rPr>
        <w:t>، بضميمة استصحاب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عليه أي على المتخلّي أيضا استقبال القبلة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ما ورد من الأمر بالتجنب عن القبلة </w:t>
      </w:r>
      <w:r>
        <w:rPr>
          <w:rStyle w:val="FootnoteAnchor"/>
          <w:rtl w:val="true"/>
        </w:rPr>
        <w:footnoteReference w:id="564"/>
      </w:r>
      <w:r>
        <w:rPr>
          <w:rFonts w:ascii="Amiri" w:hAnsi="Amiri" w:eastAsia="Amiri" w:cs="Amiri"/>
          <w:color w:val="111111"/>
          <w:sz w:val="28"/>
          <w:sz w:val="28"/>
          <w:szCs w:val="28"/>
          <w:rtl w:val="true"/>
          <w:lang w:bidi="ar-SA"/>
        </w:rPr>
        <w:t xml:space="preserve">، أو النهي عن استقبالها ببول و غائط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عن استقبال القبلة و استدبارها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يضر بالدلالة اشتمال بعضها على استقبال الريح </w:t>
      </w:r>
      <w:r>
        <w:rPr>
          <w:rStyle w:val="FootnoteAnchor"/>
          <w:rtl w:val="true"/>
        </w:rPr>
        <w:footnoteReference w:id="567"/>
      </w:r>
      <w:r>
        <w:rPr>
          <w:rFonts w:ascii="Amiri" w:hAnsi="Amiri" w:eastAsia="Amiri" w:cs="Amiri"/>
          <w:color w:val="111111"/>
          <w:sz w:val="28"/>
          <w:sz w:val="28"/>
          <w:szCs w:val="28"/>
          <w:rtl w:val="true"/>
          <w:lang w:bidi="ar-SA"/>
        </w:rPr>
        <w:t>، المحمول على الكراهة، لأنه بدليل منفصل، و هو لا يوجب ظهورا سياقيا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بالاستقبال بالبول و الغائط </w:t>
      </w:r>
      <w:r>
        <w:rPr>
          <w:rStyle w:val="FootnoteAnchor"/>
          <w:rtl w:val="true"/>
        </w:rPr>
        <w:footnoteReference w:id="568"/>
      </w:r>
      <w:r>
        <w:rPr>
          <w:rFonts w:ascii="Amiri" w:hAnsi="Amiri" w:eastAsia="Amiri" w:cs="Amiri"/>
          <w:color w:val="111111"/>
          <w:sz w:val="28"/>
          <w:sz w:val="28"/>
          <w:szCs w:val="28"/>
          <w:rtl w:val="true"/>
          <w:lang w:bidi="ar-SA"/>
        </w:rPr>
        <w:t>لا يقتضي تخصيص النهي باستقبال بوله لا بدنه حال البول، إذ لا يتصور ذلك في الغائط، فلا بدّ أن يحمل على استقبال بدنه حاله، و لو انحرف عنه ببوله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الإطلاق عدم الفرق في الحرمة بين حالات التخلّي، من</w:t>
      </w:r>
    </w:p>
    <w:p>
      <w:pPr>
        <w:pStyle w:val="BookText"/>
        <w:rPr/>
      </w:pPr>
      <w:r>
        <w:rPr>
          <w:rFonts w:ascii="Amiri" w:hAnsi="Amiri" w:eastAsia="Amiri" w:cs="Amiri"/>
          <w:color w:val="111111"/>
          <w:sz w:val="28"/>
          <w:sz w:val="28"/>
          <w:szCs w:val="28"/>
          <w:rtl w:val="true"/>
          <w:lang w:bidi="ar-SA"/>
        </w:rPr>
        <w:t>القيام أو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اشتبهت القبلة وجب الصبر إلى وقت الاضطرار، و بعده يأخذ بالراجح، و مع عدمه فيتخيّر، بمناط حكم العقل في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يحرم استدبارها أي القبلة، للنص السابق </w:t>
      </w:r>
      <w:r>
        <w:rPr>
          <w:rStyle w:val="FootnoteAnchor"/>
          <w:rtl w:val="true"/>
        </w:rPr>
        <w:footnoteReference w:id="569"/>
      </w:r>
      <w:r>
        <w:rPr>
          <w:rFonts w:ascii="Amiri" w:hAnsi="Amiri" w:eastAsia="Amiri" w:cs="Amiri"/>
          <w:color w:val="111111"/>
          <w:sz w:val="28"/>
          <w:sz w:val="28"/>
          <w:szCs w:val="28"/>
          <w:rtl w:val="true"/>
          <w:lang w:bidi="ar-SA"/>
        </w:rPr>
        <w:t xml:space="preserve">، و الجهات السابقة جارية في المقام، و مع الدوران بينه و بين الاستقبال يقدّم ترك الأخير، لأنه أقل هتكا، كما يومئ إليه صحيحة مشتملة على جعل الحكمة تعظيم القبلة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الحكم لحال الاستنجاء اشكال، و لا بأس بجريان الاستصحاب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الحكمين بين الصحاري و البنيان،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الرواية من وضع الكنيف إلى القبلة </w:t>
      </w:r>
      <w:r>
        <w:rPr>
          <w:rStyle w:val="FootnoteAnchor"/>
          <w:rtl w:val="true"/>
        </w:rPr>
        <w:footnoteReference w:id="571"/>
      </w:r>
      <w:r>
        <w:rPr>
          <w:rFonts w:ascii="Amiri" w:hAnsi="Amiri" w:eastAsia="Amiri" w:cs="Amiri"/>
          <w:color w:val="111111"/>
          <w:sz w:val="28"/>
          <w:sz w:val="28"/>
          <w:szCs w:val="28"/>
          <w:rtl w:val="true"/>
          <w:lang w:bidi="ar-SA"/>
        </w:rPr>
        <w:t>غير معمول به، و لو لعدم إحراز إمضاء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له تقديم الرجل اليسرى عند دخول الخلاء، و اليمين عند الخروج عكس المسجد، و لعله من جهة إجماع الغنية </w:t>
      </w:r>
      <w:r>
        <w:rPr>
          <w:rStyle w:val="FootnoteAnchor"/>
          <w:rtl w:val="true"/>
        </w:rPr>
        <w:footnoteReference w:id="572"/>
      </w:r>
      <w:r>
        <w:rPr>
          <w:rFonts w:ascii="Amiri" w:hAnsi="Amiri" w:eastAsia="Amiri" w:cs="Amiri"/>
          <w:color w:val="111111"/>
          <w:sz w:val="28"/>
          <w:sz w:val="28"/>
          <w:szCs w:val="28"/>
          <w:rtl w:val="true"/>
          <w:lang w:bidi="ar-SA"/>
        </w:rPr>
        <w:t xml:space="preserve">، مع إمكان استفادة ذلك من فحوى النص الوارد بعكسه في المسجد </w:t>
      </w:r>
      <w:r>
        <w:rPr>
          <w:rStyle w:val="FootnoteAnchor"/>
          <w:rtl w:val="true"/>
        </w:rPr>
        <w:footnoteReference w:id="573"/>
      </w:r>
      <w:r>
        <w:rPr>
          <w:rFonts w:ascii="Amiri" w:hAnsi="Amiri" w:eastAsia="Amiri" w:cs="Amiri"/>
          <w:color w:val="111111"/>
          <w:sz w:val="28"/>
          <w:sz w:val="28"/>
          <w:szCs w:val="28"/>
          <w:rtl w:val="true"/>
          <w:lang w:bidi="ar-SA"/>
        </w:rPr>
        <w:t>، لمناسبة الحكم لموضوعه بنحو التقابل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جعل أمثال ذلك مدرك الحكم الشرعي اشكال، نعم</w:t>
      </w:r>
    </w:p>
    <w:p>
      <w:pPr>
        <w:pStyle w:val="BookText"/>
        <w:rPr/>
      </w:pPr>
      <w:r>
        <w:rPr>
          <w:rFonts w:ascii="IRNazanin" w:hAnsi="IRNazanin" w:eastAsia="IRNazanin"/>
          <w:color w:val="111111"/>
          <w:sz w:val="28"/>
          <w:sz w:val="28"/>
          <w:szCs w:val="28"/>
          <w:rtl w:val="true"/>
          <w:lang w:bidi="fa-IR"/>
        </w:rPr>
        <w:t>لا بأس بفعله 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يستحب أيضا تغطية الرأس كما حكي عن المفيد </w:t>
      </w:r>
      <w:r>
        <w:rPr>
          <w:rStyle w:val="FootnoteAnchor"/>
          <w:rtl w:val="true"/>
        </w:rPr>
        <w:footnoteReference w:id="574"/>
      </w:r>
      <w:r>
        <w:rPr>
          <w:rFonts w:ascii="Amiri" w:hAnsi="Amiri" w:eastAsia="Amiri" w:cs="Amiri"/>
          <w:color w:val="111111"/>
          <w:sz w:val="28"/>
          <w:sz w:val="28"/>
          <w:szCs w:val="28"/>
          <w:rtl w:val="true"/>
          <w:lang w:bidi="ar-SA"/>
        </w:rPr>
        <w:t xml:space="preserve">، و التسمية كما في المرسلة السابقة </w:t>
      </w:r>
      <w:r>
        <w:rPr>
          <w:rStyle w:val="FootnoteAnchor"/>
          <w:rtl w:val="true"/>
        </w:rPr>
        <w:footnoteReference w:id="575"/>
      </w:r>
      <w:r>
        <w:rPr>
          <w:rFonts w:ascii="Amiri" w:hAnsi="Amiri" w:eastAsia="Amiri" w:cs="Amiri"/>
          <w:color w:val="111111"/>
          <w:sz w:val="28"/>
          <w:sz w:val="28"/>
          <w:szCs w:val="28"/>
          <w:rtl w:val="true"/>
          <w:lang w:bidi="ar-SA"/>
        </w:rPr>
        <w:t>، و الاستبراء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استفادة استحبابه من أخبارها </w:t>
      </w:r>
      <w:r>
        <w:rPr>
          <w:rStyle w:val="FootnoteAnchor"/>
          <w:rtl w:val="true"/>
        </w:rPr>
        <w:footnoteReference w:id="576"/>
      </w:r>
      <w:r>
        <w:rPr>
          <w:rFonts w:ascii="Amiri" w:hAnsi="Amiri" w:eastAsia="Amiri" w:cs="Amiri"/>
          <w:color w:val="111111"/>
          <w:sz w:val="28"/>
          <w:sz w:val="28"/>
          <w:szCs w:val="28"/>
          <w:rtl w:val="true"/>
          <w:lang w:bidi="ar-SA"/>
        </w:rPr>
        <w:t>مشكلة، لظهورها في الإرشاد إلى التخلص عن تبعات 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الكلام في كيفيته، من جهة اختلاف الأخبار المشتمل بعضها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العصرات الثلاث من أصل المقعد إلى أصل القضيب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العصر من أصل المقعد إلى طرفه ثلاثا ثم نتره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تحديد النتر بالثلاثة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فالأمر يدور بين تقييد كل مطلق من جهة بالمقيد من تلك الجهة، أو الأخذ بالإطلاق، و حمل القيد على أعلى مراتب الاستظهار أو أفضليته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نظر من التزم بالمسحات التسع إلى الجمع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دعوى مناطية تحصيل الاطمئنان بخلو المجرى بأي نحو اتفق، و مقتضى الأصل هو الأقل مئونة، و إن كان الاحتياط موجبا لعكسه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جريان الاستبراء في النساء وجه، و لكن التحقيق خلافه، اقتصارا</w:t>
      </w:r>
    </w:p>
    <w:p>
      <w:pPr>
        <w:pStyle w:val="BookText"/>
        <w:rPr/>
      </w:pPr>
      <w:r>
        <w:rPr>
          <w:rFonts w:ascii="Amiri" w:hAnsi="Amiri" w:eastAsia="Amiri" w:cs="Amiri"/>
          <w:color w:val="111111"/>
          <w:sz w:val="28"/>
          <w:sz w:val="28"/>
          <w:szCs w:val="28"/>
          <w:rtl w:val="true"/>
          <w:lang w:bidi="ar-SA"/>
        </w:rPr>
        <w:t>في خلاف القاعدة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بالبلل المشتبه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Style w:val="FootnoteAnchor"/>
          <w:rtl w:val="true"/>
        </w:rPr>
        <w:footnoteReference w:id="580"/>
      </w:r>
      <w:r>
        <w:rPr>
          <w:rFonts w:ascii="Amiri" w:hAnsi="Amiri" w:eastAsia="Amiri" w:cs="Amiri"/>
          <w:color w:val="111111"/>
          <w:sz w:val="28"/>
          <w:sz w:val="28"/>
          <w:szCs w:val="28"/>
          <w:rtl w:val="true"/>
          <w:lang w:bidi="ar-SA"/>
        </w:rPr>
        <w:t xml:space="preserve">، و ما يدل على خلافه </w:t>
      </w:r>
      <w:r>
        <w:rPr>
          <w:rStyle w:val="FootnoteAnchor"/>
          <w:rtl w:val="true"/>
        </w:rPr>
        <w:footnoteReference w:id="581"/>
      </w:r>
      <w:r>
        <w:rPr>
          <w:rFonts w:ascii="IRNazanin" w:hAnsi="IRNazanin" w:eastAsia="IRNazanin"/>
          <w:color w:val="111111"/>
          <w:sz w:val="28"/>
          <w:sz w:val="28"/>
          <w:szCs w:val="28"/>
          <w:rtl w:val="true"/>
          <w:lang w:bidi="fa-IR"/>
        </w:rPr>
        <w:t>مطروح للاعراض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مفهوم بعض النصوص إثبات البولية للخارج قبله تعبّدا </w:t>
      </w:r>
      <w:r>
        <w:rPr>
          <w:rStyle w:val="FootnoteAnchor"/>
          <w:rtl w:val="true"/>
        </w:rPr>
        <w:footnoteReference w:id="582"/>
      </w:r>
      <w:r>
        <w:rPr>
          <w:rFonts w:ascii="Amiri" w:hAnsi="Amiri" w:eastAsia="Amiri" w:cs="Amiri"/>
          <w:color w:val="111111"/>
          <w:sz w:val="28"/>
          <w:sz w:val="28"/>
          <w:szCs w:val="28"/>
          <w:rtl w:val="true"/>
          <w:lang w:bidi="ar-SA"/>
        </w:rPr>
        <w:t xml:space="preserve">، و لا يخفى صحة ترتيب مطلق آثاره الشائعة، و أما ترتيب مطلق الآثار فلا يخلو من إشكال، للشك في الإطلاق </w:t>
      </w:r>
      <w:r>
        <w:rPr>
          <w:rStyle w:val="FootnoteAnchor"/>
          <w:rtl w:val="true"/>
        </w:rPr>
        <w:footnoteReference w:id="583"/>
      </w:r>
      <w:r>
        <w:rPr>
          <w:rFonts w:ascii="Amiri" w:hAnsi="Amiri" w:eastAsia="Amiri" w:cs="Amiri"/>
          <w:color w:val="111111"/>
          <w:sz w:val="28"/>
          <w:sz w:val="28"/>
          <w:szCs w:val="28"/>
          <w:rtl w:val="true"/>
          <w:lang w:bidi="ar-SA"/>
        </w:rPr>
        <w:t>المشتمل على التنزيل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الدعاء عند الدخول و الخروج، لرواية معاوية بن عمار </w:t>
      </w:r>
      <w:r>
        <w:rPr>
          <w:rStyle w:val="FootnoteAnchor"/>
          <w:rtl w:val="true"/>
        </w:rPr>
        <w:footnoteReference w:id="584"/>
      </w:r>
      <w:r>
        <w:rPr>
          <w:rFonts w:ascii="Amiri" w:hAnsi="Amiri" w:eastAsia="Amiri" w:cs="Amiri"/>
          <w:color w:val="111111"/>
          <w:sz w:val="28"/>
          <w:sz w:val="28"/>
          <w:szCs w:val="28"/>
          <w:rtl w:val="true"/>
          <w:lang w:bidi="ar-SA"/>
        </w:rPr>
        <w:t xml:space="preserve">، و كذا في حال الاستنجاء، لرواية عبد الرحمن </w:t>
      </w:r>
      <w:r>
        <w:rPr>
          <w:rStyle w:val="FootnoteAnchor"/>
          <w:rtl w:val="true"/>
        </w:rPr>
        <w:footnoteReference w:id="585"/>
      </w:r>
      <w:r>
        <w:rPr>
          <w:rFonts w:ascii="IRNazanin" w:hAnsi="IRNazanin" w:eastAsia="IRNazanin"/>
          <w:color w:val="111111"/>
          <w:sz w:val="28"/>
          <w:sz w:val="28"/>
          <w:szCs w:val="28"/>
          <w:rtl w:val="true"/>
          <w:lang w:bidi="fa-IR"/>
        </w:rPr>
        <w:t xml:space="preserve">، و الفراغ بالمأثور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بين الأحجار و الماء، للمرفوعة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الجلوس في الشوارع و المشارع </w:t>
      </w:r>
      <w:r>
        <w:rPr>
          <w:rStyle w:val="FootnoteAnchor"/>
          <w:rtl w:val="true"/>
        </w:rPr>
        <w:footnoteReference w:id="588"/>
      </w:r>
      <w:r>
        <w:rPr>
          <w:rFonts w:ascii="Amiri" w:hAnsi="Amiri" w:eastAsia="Amiri" w:cs="Amiri"/>
          <w:color w:val="111111"/>
          <w:sz w:val="28"/>
          <w:sz w:val="28"/>
          <w:szCs w:val="28"/>
          <w:rtl w:val="true"/>
          <w:lang w:bidi="ar-SA"/>
        </w:rPr>
        <w:t>، و مواضع اللعن، و تحت الأشجار المثمرة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لصحيح عبد الحميد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في‌ء النزّال </w:t>
      </w:r>
      <w:r>
        <w:rPr>
          <w:rStyle w:val="FootnoteAnchor"/>
          <w:rtl w:val="true"/>
        </w:rPr>
        <w:footnoteReference w:id="590"/>
      </w:r>
      <w:r>
        <w:rPr>
          <w:rFonts w:ascii="Amiri" w:hAnsi="Amiri" w:eastAsia="Amiri" w:cs="Amiri"/>
          <w:color w:val="111111"/>
          <w:sz w:val="28"/>
          <w:sz w:val="28"/>
          <w:szCs w:val="28"/>
          <w:rtl w:val="true"/>
          <w:lang w:bidi="ar-SA"/>
        </w:rPr>
        <w:t xml:space="preserve">، لرواية عمار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استقبال الشمس و القمر بمقاديم البدن، كما هو المنساق من نص الفقيه </w:t>
      </w:r>
      <w:r>
        <w:rPr>
          <w:rStyle w:val="FootnoteAnchor"/>
          <w:rtl w:val="true"/>
        </w:rPr>
        <w:footnoteReference w:id="592"/>
      </w:r>
      <w:r>
        <w:rPr>
          <w:rFonts w:ascii="Amiri" w:hAnsi="Amiri" w:eastAsia="Amiri" w:cs="Amiri"/>
          <w:color w:val="111111"/>
          <w:sz w:val="28"/>
          <w:sz w:val="28"/>
          <w:szCs w:val="28"/>
          <w:rtl w:val="true"/>
          <w:lang w:bidi="ar-SA"/>
        </w:rPr>
        <w:t xml:space="preserve">و الكافي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أخبار الباب </w:t>
      </w:r>
      <w:r>
        <w:rPr>
          <w:rStyle w:val="FootnoteAnchor"/>
          <w:rtl w:val="true"/>
        </w:rPr>
        <w:footnoteReference w:id="594"/>
      </w:r>
      <w:r>
        <w:rPr>
          <w:rFonts w:ascii="Amiri" w:hAnsi="Amiri" w:eastAsia="Amiri" w:cs="Amiri"/>
          <w:color w:val="111111"/>
          <w:sz w:val="28"/>
          <w:sz w:val="28"/>
          <w:szCs w:val="28"/>
          <w:rtl w:val="true"/>
          <w:lang w:bidi="ar-SA"/>
        </w:rPr>
        <w:t>مختصة بالرجال، و في التسرية إلى النساء بقاعدة الاشتراك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البول في الأرض الصلبة، و يلحق به ما يوجب الانتضاح </w:t>
      </w:r>
      <w:r>
        <w:rPr>
          <w:rStyle w:val="FootnoteAnchor"/>
          <w:rtl w:val="true"/>
        </w:rPr>
        <w:footnoteReference w:id="595"/>
      </w:r>
      <w:r>
        <w:rPr>
          <w:rFonts w:ascii="Amiri" w:hAnsi="Amiri" w:eastAsia="Amiri" w:cs="Amiri"/>
          <w:color w:val="111111"/>
          <w:sz w:val="28"/>
          <w:sz w:val="28"/>
          <w:szCs w:val="28"/>
          <w:rtl w:val="true"/>
          <w:lang w:bidi="ar-SA"/>
        </w:rPr>
        <w:t xml:space="preserve">إلى بدنه و لباسه، للتعليل في النص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مواطن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للمرسلة المجبورة </w:t>
      </w:r>
      <w:r>
        <w:rPr>
          <w:rStyle w:val="FootnoteAnchor"/>
          <w:rtl w:val="true"/>
        </w:rPr>
        <w:footnoteReference w:id="597"/>
      </w:r>
      <w:r>
        <w:rPr>
          <w:rFonts w:ascii="Amiri" w:hAnsi="Amiri" w:eastAsia="Amiri" w:cs="Amiri"/>
          <w:color w:val="111111"/>
          <w:sz w:val="28"/>
          <w:sz w:val="28"/>
          <w:szCs w:val="28"/>
          <w:rtl w:val="true"/>
          <w:lang w:bidi="ar-SA"/>
        </w:rPr>
        <w:t>، و إن كان أمر الجبر العملي في المستحبات و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التسامح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 جدا، بخلافه في الواجبات و المحرّمات كما لا يخفى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الماء جاريا أم راكدا، لورود النهي في الجاري أيضا </w:t>
      </w:r>
      <w:r>
        <w:rPr>
          <w:rStyle w:val="FootnoteAnchor"/>
          <w:rtl w:val="true"/>
        </w:rPr>
        <w:footnoteReference w:id="598"/>
      </w:r>
      <w:r>
        <w:rPr>
          <w:rFonts w:ascii="Amiri" w:hAnsi="Amiri" w:eastAsia="Amiri" w:cs="Amiri"/>
          <w:color w:val="111111"/>
          <w:sz w:val="28"/>
          <w:sz w:val="28"/>
          <w:szCs w:val="28"/>
          <w:rtl w:val="true"/>
          <w:lang w:bidi="ar-SA"/>
        </w:rPr>
        <w:t xml:space="preserve">، غاية الأمر في الراكد أشد، بقرينة نفي البأس عن البول في الجاري </w:t>
      </w:r>
      <w:r>
        <w:rPr>
          <w:rStyle w:val="FootnoteAnchor"/>
          <w:rtl w:val="true"/>
        </w:rPr>
        <w:footnoteReference w:id="599"/>
      </w:r>
      <w:r>
        <w:rPr>
          <w:rFonts w:ascii="IRNazanin" w:hAnsi="IRNazanin" w:eastAsia="IRNazanin"/>
          <w:color w:val="111111"/>
          <w:sz w:val="28"/>
          <w:sz w:val="28"/>
          <w:szCs w:val="28"/>
          <w:rtl w:val="true"/>
          <w:lang w:bidi="fa-IR"/>
        </w:rPr>
        <w:t>، لو لا احتمال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 استقبال الريح به بمقاديم البدن، كما تقدّم، للنصوص السابقة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استدباره، لاشتمالها عليه أيضا، فلا وجه لتخصيص المصنّف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الأكل و الشرب، و الذي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اللقمة المنقولة عن الباقر و الحسين عليهما السلام </w:t>
      </w:r>
      <w:r>
        <w:rPr>
          <w:rStyle w:val="FootnoteAnchor"/>
          <w:rtl w:val="true"/>
        </w:rPr>
        <w:footnoteReference w:id="601"/>
      </w:r>
      <w:r>
        <w:rPr>
          <w:rFonts w:ascii="Amiri" w:hAnsi="Amiri" w:eastAsia="Amiri" w:cs="Amiri"/>
          <w:color w:val="111111"/>
          <w:sz w:val="28"/>
          <w:sz w:val="28"/>
          <w:szCs w:val="28"/>
          <w:rtl w:val="true"/>
          <w:lang w:bidi="ar-SA"/>
        </w:rPr>
        <w:t>و منه يستفاد حكم الأكل، و في استفادة حكم الشرب منه اشكال، و إن اشتهر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السواك، لرواية ابن بابويه المختصة بحال التخلّي </w:t>
      </w:r>
      <w:r>
        <w:rPr>
          <w:rStyle w:val="FootnoteAnchor"/>
          <w:rtl w:val="true"/>
        </w:rPr>
        <w:footnoteReference w:id="602"/>
      </w:r>
      <w:r>
        <w:rPr>
          <w:rFonts w:ascii="IRNazanin" w:hAnsi="IRNazanin" w:eastAsia="IRNazanin"/>
          <w:color w:val="111111"/>
          <w:sz w:val="28"/>
          <w:sz w:val="28"/>
          <w:szCs w:val="28"/>
          <w:rtl w:val="true"/>
          <w:lang w:bidi="fa-IR"/>
        </w:rPr>
        <w:t>للانصراف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الكلام، لرواية الشيخ قدّس سرّه </w:t>
      </w:r>
      <w:r>
        <w:rPr>
          <w:rStyle w:val="FootnoteAnchor"/>
          <w:rtl w:val="true"/>
        </w:rPr>
        <w:footnoteReference w:id="603"/>
      </w:r>
      <w:r>
        <w:rPr>
          <w:rFonts w:ascii="Amiri" w:hAnsi="Amiri" w:eastAsia="Amiri" w:cs="Amiri"/>
          <w:color w:val="111111"/>
          <w:sz w:val="28"/>
          <w:sz w:val="28"/>
          <w:szCs w:val="28"/>
          <w:rtl w:val="true"/>
          <w:lang w:bidi="ar-SA"/>
        </w:rPr>
        <w:t xml:space="preserve">الشاملة لكل كلام إلّا بذكر اللّٰه تعالى، لعموم حسنه في كل حال </w:t>
      </w:r>
      <w:r>
        <w:rPr>
          <w:rStyle w:val="FootnoteAnchor"/>
          <w:rtl w:val="true"/>
        </w:rPr>
        <w:footnoteReference w:id="604"/>
      </w:r>
      <w:r>
        <w:rPr>
          <w:rFonts w:ascii="Amiri" w:hAnsi="Amiri" w:eastAsia="Amiri" w:cs="Amiri"/>
          <w:color w:val="111111"/>
          <w:sz w:val="28"/>
          <w:sz w:val="28"/>
          <w:szCs w:val="28"/>
          <w:rtl w:val="true"/>
          <w:lang w:bidi="ar-SA"/>
        </w:rPr>
        <w:t>، و للضرورة، لقاعدة الاضطرار المشار إليها سابقا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الاستنجاء باليمين، لرواية ابن بابويه </w:t>
      </w:r>
      <w:r>
        <w:rPr>
          <w:rStyle w:val="FootnoteAnchor"/>
          <w:rtl w:val="true"/>
        </w:rPr>
        <w:footnoteReference w:id="605"/>
      </w:r>
      <w:r>
        <w:rPr>
          <w:rFonts w:ascii="Amiri" w:hAnsi="Amiri" w:eastAsia="Amiri" w:cs="Amiri"/>
          <w:color w:val="111111"/>
          <w:sz w:val="28"/>
          <w:sz w:val="28"/>
          <w:szCs w:val="28"/>
          <w:rtl w:val="true"/>
          <w:lang w:bidi="ar-SA"/>
        </w:rPr>
        <w:t xml:space="preserve">، و كذلك الاستنجاء باليسار و فيها خاتم فيه اسم اللّٰه تعالى و أنبيائه عليهم السلام، و الأئمة عليهم السلام، لرواية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يستنجي و عليه خاتم فيه اسم اللّٰه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 ظهوره في الهتك اقتضى التعدّي إلى بقية المعصومين، و به اشتهرت الفتوى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الاستنجاء مقدّمة 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أخذ النجو أو أثره عن المحل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غسل مخرج البول بالماء خاصة، و لا يجزئ فيه غيره فتوى و نصا، لرواية الحصر لاستنجائه بالماء قبال الاستنجاء بالأحجار في غيره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الروايات من كفاية مسحه بالجدار، معلّلا بأنّ كل يابس ذكي </w:t>
      </w:r>
      <w:r>
        <w:rPr>
          <w:rStyle w:val="FootnoteAnchor"/>
          <w:rtl w:val="true"/>
        </w:rPr>
        <w:footnoteReference w:id="608"/>
      </w:r>
      <w:r>
        <w:rPr>
          <w:rFonts w:ascii="Amiri" w:hAnsi="Amiri" w:eastAsia="Amiri" w:cs="Amiri"/>
          <w:color w:val="111111"/>
          <w:sz w:val="28"/>
          <w:sz w:val="28"/>
          <w:szCs w:val="28"/>
          <w:rtl w:val="true"/>
          <w:lang w:bidi="ar-SA"/>
        </w:rPr>
        <w:t>، مطروح أو محمول على العلاج، لمحض عدم التعدّي إلى محل آخر إلى أن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ما دل على نفي البأس عن الخارج بعد مسح الأحجار </w:t>
      </w:r>
      <w:r>
        <w:rPr>
          <w:rStyle w:val="FootnoteAnchor"/>
          <w:rtl w:val="true"/>
        </w:rPr>
        <w:footnoteReference w:id="609"/>
      </w:r>
      <w:r>
        <w:rPr>
          <w:rFonts w:ascii="Amiri" w:hAnsi="Amiri" w:eastAsia="Amiri" w:cs="Amiri"/>
          <w:color w:val="111111"/>
          <w:sz w:val="28"/>
          <w:sz w:val="28"/>
          <w:szCs w:val="28"/>
          <w:rtl w:val="true"/>
          <w:lang w:bidi="ar-SA"/>
        </w:rPr>
        <w:t xml:space="preserve">، أو مسح الذكر بالريق </w:t>
      </w:r>
      <w:r>
        <w:rPr>
          <w:rStyle w:val="FootnoteAnchor"/>
          <w:rtl w:val="true"/>
        </w:rPr>
        <w:footnoteReference w:id="610"/>
      </w:r>
      <w:r>
        <w:rPr>
          <w:rFonts w:ascii="Amiri" w:hAnsi="Amiri" w:eastAsia="Amiri" w:cs="Amiri"/>
          <w:color w:val="111111"/>
          <w:sz w:val="28"/>
          <w:sz w:val="28"/>
          <w:szCs w:val="28"/>
          <w:rtl w:val="true"/>
          <w:lang w:bidi="ar-SA"/>
        </w:rPr>
        <w:t>، لإمكان حمل الأول على نفي البأس عن الخارج بعد الاستبراء، و الثاني على تحصيل منشأ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ما يجزئ بمقتضى رواية ابن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 الظاهر من البلل هي مرتبة خاصة فوق الرطوبة التي بمنزلة العرض، غير الواصل إلى حد القطرة، و مثلاه مساوق لحد القطرة الحادثة على المحل، الموجب لصدق أول مرتبة الغسل، ففي هذا البيان مبالغة لبيان الإجزاء بأقل مسمّى الغسل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رواية أخرى من الإجزاء بالمثل </w:t>
      </w:r>
      <w:r>
        <w:rPr>
          <w:rStyle w:val="FootnoteAnchor"/>
          <w:rtl w:val="true"/>
        </w:rPr>
        <w:footnoteReference w:id="612"/>
      </w:r>
      <w:r>
        <w:rPr>
          <w:rFonts w:ascii="Amiri" w:hAnsi="Amiri" w:eastAsia="Amiri" w:cs="Amiri"/>
          <w:color w:val="111111"/>
          <w:sz w:val="28"/>
          <w:sz w:val="28"/>
          <w:szCs w:val="28"/>
          <w:rtl w:val="true"/>
          <w:lang w:bidi="ar-SA"/>
        </w:rPr>
        <w:t>حينئذ مطروح أو مؤول، و بهذه الرواية أيضا يخصص ما دل على اعتبار التعدد في البول بغير</w:t>
      </w:r>
    </w:p>
    <w:p>
      <w:pPr>
        <w:pStyle w:val="BookText"/>
        <w:rPr/>
      </w:pPr>
      <w:r>
        <w:rPr>
          <w:rFonts w:ascii="Amiri" w:hAnsi="Amiri" w:eastAsia="Amiri" w:cs="Amiri"/>
          <w:color w:val="111111"/>
          <w:sz w:val="28"/>
          <w:sz w:val="28"/>
          <w:szCs w:val="28"/>
          <w:rtl w:val="true"/>
          <w:lang w:bidi="ar-SA"/>
        </w:rPr>
        <w:t xml:space="preserve">الجاري </w:t>
      </w:r>
      <w:r>
        <w:rPr>
          <w:rStyle w:val="FootnoteAnchor"/>
          <w:rtl w:val="true"/>
        </w:rPr>
        <w:footnoteReference w:id="613"/>
      </w:r>
      <w:r>
        <w:rPr>
          <w:rFonts w:ascii="Amiri" w:hAnsi="Amiri" w:eastAsia="Amiri" w:cs="Amiri"/>
          <w:color w:val="111111"/>
          <w:sz w:val="28"/>
          <w:sz w:val="28"/>
          <w:szCs w:val="28"/>
          <w:rtl w:val="true"/>
          <w:lang w:bidi="ar-SA"/>
        </w:rPr>
        <w:t>، و هو المناسب للتسهيل في الاستنجاء من الجهات ليست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قصر النظر في الرواية إلى تحديد ما يتحقق به مسمّى الغسل من دون نظر إلى المرة أو المرتين، فيبقى مطلقات المرتين 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ليس في صدق الغسل بالمثلين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بأول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خفاء كي يكون الحكم بالإجزاء ناظرا إليه، فلا محيص من الحمل على الإجزاء بمسمّى الغسل في التطهير، كما هو المناسب مع التسهيل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عدم التمكن من الاستنجاء، ففي وجوب إزالة عين النجاسة عن المحل كلام، قد يدّعى جريان قاعدة الميسور، و النهي عن الصلاة في سيف فيه الدم </w:t>
      </w:r>
      <w:r>
        <w:rPr>
          <w:rStyle w:val="FootnoteAnchor"/>
          <w:rtl w:val="true"/>
        </w:rPr>
        <w:footnoteReference w:id="614"/>
      </w:r>
      <w:r>
        <w:rPr>
          <w:rFonts w:ascii="Amiri" w:hAnsi="Amiri" w:eastAsia="Amiri" w:cs="Amiri"/>
          <w:color w:val="111111"/>
          <w:sz w:val="28"/>
          <w:sz w:val="28"/>
          <w:szCs w:val="28"/>
          <w:rtl w:val="true"/>
          <w:lang w:bidi="ar-SA"/>
        </w:rPr>
        <w:t xml:space="preserve">، و في الحديد </w:t>
      </w:r>
      <w:r>
        <w:rPr>
          <w:rStyle w:val="FootnoteAnchor"/>
          <w:rtl w:val="true"/>
        </w:rPr>
        <w:footnoteReference w:id="615"/>
      </w:r>
      <w:r>
        <w:rPr>
          <w:rFonts w:ascii="Amiri" w:hAnsi="Amiri" w:eastAsia="Amiri" w:cs="Amiri"/>
          <w:color w:val="111111"/>
          <w:sz w:val="28"/>
          <w:sz w:val="28"/>
          <w:szCs w:val="28"/>
          <w:rtl w:val="true"/>
          <w:lang w:bidi="ar-SA"/>
        </w:rPr>
        <w:t xml:space="preserve">معللا بأنه نجس، مضافا إلى النهي عن الصلاة في بول ما لا يؤكل </w:t>
      </w:r>
      <w:r>
        <w:rPr>
          <w:rStyle w:val="FootnoteAnchor"/>
          <w:rtl w:val="true"/>
        </w:rPr>
        <w:footnoteReference w:id="616"/>
      </w:r>
      <w:r>
        <w:rPr>
          <w:rFonts w:ascii="Amiri" w:hAnsi="Amiri" w:eastAsia="Amiri" w:cs="Amiri"/>
          <w:color w:val="111111"/>
          <w:sz w:val="28"/>
          <w:sz w:val="28"/>
          <w:szCs w:val="28"/>
          <w:rtl w:val="true"/>
          <w:lang w:bidi="ar-SA"/>
        </w:rPr>
        <w:t>الشامل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خرج مثل شعر الإنسان بالسيرة و بقي الباقي، و لا بأس به مع صدق الصلاة فيه، لو لا دعوى انصراف ما لا يؤكل لحمه في الخبر </w:t>
      </w:r>
      <w:r>
        <w:rPr>
          <w:rStyle w:val="FootnoteAnchor"/>
          <w:rtl w:val="true"/>
        </w:rPr>
        <w:footnoteReference w:id="617"/>
      </w:r>
      <w:r>
        <w:rPr>
          <w:rFonts w:ascii="Amiri" w:hAnsi="Amiri" w:eastAsia="Amiri" w:cs="Amiri"/>
          <w:color w:val="111111"/>
          <w:sz w:val="28"/>
          <w:sz w:val="28"/>
          <w:szCs w:val="28"/>
          <w:rtl w:val="true"/>
          <w:lang w:bidi="ar-SA"/>
        </w:rPr>
        <w:t>عن الإنسان، و منع جريان قاعدة الميسور بعد كون الغرض هو التطهير، و احتمال خصوصية في الدم لا من جهة نجاسته، و عدم تمامية العلّة في الحديد، و الاحتياط في مثله لا يترك، لقوة الدم من حيث النجاسة، و ضعف الانصراف المزبور عن الإنسان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غسل مخرج الغائط مع التعدّي الخارج عن</w:t>
      </w:r>
    </w:p>
    <w:p>
      <w:pPr>
        <w:pStyle w:val="BookText"/>
        <w:rPr/>
      </w:pPr>
      <w:r>
        <w:rPr>
          <w:rFonts w:ascii="Amiri" w:hAnsi="Amiri" w:eastAsia="Amiri" w:cs="Amiri"/>
          <w:color w:val="111111"/>
          <w:sz w:val="28"/>
          <w:sz w:val="28"/>
          <w:szCs w:val="28"/>
          <w:rtl w:val="true"/>
          <w:lang w:bidi="ar-SA"/>
        </w:rPr>
        <w:t xml:space="preserve">العادة عند المصنف، و فيه إشكال، لإطلاق دليل الأحجار </w:t>
      </w:r>
      <w:r>
        <w:rPr>
          <w:rStyle w:val="FootnoteAnchor"/>
          <w:rtl w:val="true"/>
        </w:rPr>
        <w:footnoteReference w:id="618"/>
      </w:r>
      <w:r>
        <w:rPr>
          <w:rFonts w:ascii="Amiri" w:hAnsi="Amiri" w:eastAsia="Amiri" w:cs="Amiri"/>
          <w:color w:val="111111"/>
          <w:sz w:val="28"/>
          <w:sz w:val="28"/>
          <w:szCs w:val="28"/>
          <w:rtl w:val="true"/>
          <w:lang w:bidi="ar-SA"/>
        </w:rPr>
        <w:t>لنفس المخرج حتى مع التعدي، نعم ينصرف عن مورد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رواية عامية قيّد الإجزاء بغير صورة التعدّي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قابل للحمل على نفي الاجتزاء عن مورد التعدي، علاوة على ضعف سندها نعم لا بأس في الإجزاء بها فيما يتعارف التعدّي إليه عادة، و إلى ذلك أشرنا بالإشكال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بدونه أي التعدّي يجزي ثلاثة أحجار طاهرة في موضع مسحها، لأنه المتيقّن من معاقد الإجماعات، و في اعتبار كونها أبكارا و لو كانت طاهرة كما في بعض النصوص </w:t>
      </w:r>
      <w:r>
        <w:rPr>
          <w:rStyle w:val="FootnoteAnchor"/>
          <w:rtl w:val="true"/>
        </w:rPr>
        <w:footnoteReference w:id="620"/>
      </w:r>
      <w:r>
        <w:rPr>
          <w:rFonts w:ascii="Amiri" w:hAnsi="Amiri" w:eastAsia="Amiri" w:cs="Amiri"/>
          <w:color w:val="111111"/>
          <w:sz w:val="28"/>
          <w:sz w:val="28"/>
          <w:szCs w:val="28"/>
          <w:rtl w:val="true"/>
          <w:lang w:bidi="ar-SA"/>
        </w:rPr>
        <w:t>إشكال، لإمكان تنزيل القيد على الغالب من ملازمة بكارته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اعتبار التعدد و كون أقلّه ثلاثة وجه، كما هو ظاهر الفتاوى و النصوص </w:t>
      </w:r>
      <w:r>
        <w:rPr>
          <w:rStyle w:val="FootnoteAnchor"/>
          <w:rtl w:val="true"/>
        </w:rPr>
        <w:footnoteReference w:id="621"/>
      </w:r>
      <w:r>
        <w:rPr>
          <w:rFonts w:ascii="Amiri" w:hAnsi="Amiri" w:eastAsia="Amiri" w:cs="Amiri"/>
          <w:color w:val="111111"/>
          <w:sz w:val="28"/>
          <w:sz w:val="28"/>
          <w:szCs w:val="28"/>
          <w:rtl w:val="true"/>
          <w:lang w:bidi="ar-SA"/>
        </w:rPr>
        <w:t xml:space="preserve">، لو لا حملها على الغالب من تحصيل النقاء بها، و إلّا فحدّه النقاء كما في النص </w:t>
      </w:r>
      <w:r>
        <w:rPr>
          <w:rStyle w:val="FootnoteAnchor"/>
          <w:rtl w:val="true"/>
        </w:rPr>
        <w:footnoteReference w:id="622"/>
      </w:r>
      <w:r>
        <w:rPr>
          <w:rFonts w:ascii="Amiri" w:hAnsi="Amiri" w:eastAsia="Amiri" w:cs="Amiri"/>
          <w:color w:val="111111"/>
          <w:sz w:val="28"/>
          <w:sz w:val="28"/>
          <w:szCs w:val="28"/>
          <w:rtl w:val="true"/>
          <w:lang w:bidi="ar-SA"/>
        </w:rPr>
        <w:t>، و مع إجمال التحديد في مرتبة النقاء بما يحصل من ثلاثة يرجع الأمر إلى قاعدة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الشك في حدّه مع احتمال دخل الثلاثة في وجوده، بنى جمع على الاشتغال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اشكال، و هو أنّ في النص حدّد الاستنجاء بالنقاء </w:t>
      </w:r>
      <w:r>
        <w:rPr>
          <w:rStyle w:val="FootnoteAnchor"/>
          <w:rtl w:val="true"/>
        </w:rPr>
        <w:footnoteReference w:id="623"/>
      </w:r>
      <w:r>
        <w:rPr>
          <w:rFonts w:ascii="Amiri" w:hAnsi="Amiri" w:eastAsia="Amiri" w:cs="Amiri"/>
          <w:color w:val="111111"/>
          <w:sz w:val="28"/>
          <w:sz w:val="28"/>
          <w:szCs w:val="28"/>
          <w:rtl w:val="true"/>
          <w:lang w:bidi="ar-SA"/>
        </w:rPr>
        <w:t>، و مع ذلك التزموا في المائية بإزالة العين و الأثر، و في الأحجار بكفاية إزالة</w:t>
      </w:r>
    </w:p>
    <w:p>
      <w:pPr>
        <w:pStyle w:val="BookText"/>
        <w:rPr/>
      </w:pPr>
      <w:r>
        <w:rPr>
          <w:rFonts w:ascii="Amiri" w:hAnsi="Amiri" w:eastAsia="Amiri" w:cs="Amiri"/>
          <w:color w:val="111111"/>
          <w:sz w:val="28"/>
          <w:sz w:val="28"/>
          <w:szCs w:val="28"/>
          <w:rtl w:val="true"/>
          <w:lang w:bidi="ar-SA"/>
        </w:rPr>
        <w:t>العين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النقاء إن كان عبارة عن الإزالة للعين و الأثر، و انّ إطلاقه على مجرد نقاء العين مسامحي، فكيف يجتزأ به في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صادقا على مجرد إزالة العين، فلم لا يكتفي به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لزوم الأزيد من النقاء في المائية ينافي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الاشكال بالالتزام بمراتب النقاء القابل ترتبها على آلاتها بمرتبة منه مترتبة على الأحجار، و بمرتبة أخرى على المياه، و يكفي قرينة للالتزام بهذه المراتب انصراف إطلاق كل سبب إلى مرتبة تصلح ترتبها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اختصاص في ما به الاستنجاء بالأحجار، بل يجتزأ بكل جسم قالع من ثلاثة أخشاب أو ثلاث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شمول أخباره للخرقة </w:t>
      </w:r>
      <w:r>
        <w:rPr>
          <w:rStyle w:val="FootnoteAnchor"/>
          <w:rtl w:val="true"/>
        </w:rPr>
        <w:footnoteReference w:id="624"/>
      </w:r>
      <w:r>
        <w:rPr>
          <w:rFonts w:ascii="Amiri" w:hAnsi="Amiri" w:eastAsia="Amiri" w:cs="Amiri"/>
          <w:color w:val="111111"/>
          <w:sz w:val="28"/>
          <w:sz w:val="28"/>
          <w:szCs w:val="28"/>
          <w:rtl w:val="true"/>
          <w:lang w:bidi="ar-SA"/>
        </w:rPr>
        <w:t xml:space="preserve">، و المدر و الخزف و الكرسف </w:t>
      </w:r>
      <w:r>
        <w:rPr>
          <w:rStyle w:val="FootnoteAnchor"/>
          <w:rtl w:val="true"/>
        </w:rPr>
        <w:footnoteReference w:id="625"/>
      </w:r>
      <w:r>
        <w:rPr>
          <w:rFonts w:ascii="Amiri" w:hAnsi="Amiri" w:eastAsia="Amiri" w:cs="Amiri"/>
          <w:color w:val="111111"/>
          <w:sz w:val="28"/>
          <w:sz w:val="28"/>
          <w:szCs w:val="28"/>
          <w:rtl w:val="true"/>
          <w:lang w:bidi="ar-SA"/>
        </w:rPr>
        <w:t>، بعد ظهورها في المثالية لكل جسم كذلك، نعم لا يتعدّى إلى ما ليس بقالع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إلى يد الإنسان نفسه أو أحد محارمه إشكال، لبعد انصراف الذهن من هذه الأمور إلى ذلك، خصوصا مع التمكن منه غالبا بنحو السهولة على وجه لا يحتاج إلى مئونة تحصيل البقية، فما عن بعض الأعاظم من الاجتزاء به فيه 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الاجتزاء بالعظم و الروث و الطعام إشكال، من عدم قصور في قالعيتها و مناسبة نواهيها </w:t>
      </w:r>
      <w:r>
        <w:rPr>
          <w:rStyle w:val="FootnoteAnchor"/>
          <w:rtl w:val="true"/>
        </w:rPr>
        <w:footnoteReference w:id="626"/>
      </w:r>
      <w:r>
        <w:rPr>
          <w:rFonts w:ascii="Amiri" w:hAnsi="Amiri" w:eastAsia="Amiri" w:cs="Amiri"/>
          <w:color w:val="111111"/>
          <w:sz w:val="28"/>
          <w:sz w:val="28"/>
          <w:szCs w:val="28"/>
          <w:rtl w:val="true"/>
          <w:lang w:bidi="ar-SA"/>
        </w:rPr>
        <w:t>للتكليف محضا، و من أنّ النهي عن الاستنجاء بها كالنهي عن شرط الشي‌ء أو جزئه ظاهر في الإرشاد إلى عدم ترتب</w:t>
      </w:r>
      <w:bookmarkStart w:id="149" w:name="pg19729_212708"/>
    </w:p>
    <w:p>
      <w:pPr>
        <w:pStyle w:val="BookText"/>
        <w:rPr/>
      </w:pPr>
      <w:bookmarkEnd w:id="149"/>
      <w:r>
        <w:rPr>
          <w:rFonts w:ascii="Amiri" w:hAnsi="Amiri" w:eastAsia="Amiri" w:cs="Amiri"/>
          <w:color w:val="111111"/>
          <w:sz w:val="28"/>
          <w:sz w:val="28"/>
          <w:szCs w:val="28"/>
          <w:rtl w:val="true"/>
          <w:lang w:bidi="ar-SA"/>
        </w:rPr>
        <w:t>الأثر من النقاء بالمرتبة المخصوصة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بعد هذا الحمل في النقاء، فأخبار التحديد </w:t>
      </w:r>
      <w:r>
        <w:rPr>
          <w:rStyle w:val="FootnoteAnchor"/>
          <w:rtl w:val="true"/>
        </w:rPr>
        <w:footnoteReference w:id="627"/>
      </w:r>
      <w:r>
        <w:rPr>
          <w:rFonts w:ascii="Amiri" w:hAnsi="Amiri" w:eastAsia="Amiri" w:cs="Amiri"/>
          <w:color w:val="111111"/>
          <w:sz w:val="28"/>
          <w:sz w:val="28"/>
          <w:szCs w:val="28"/>
          <w:rtl w:val="true"/>
          <w:lang w:bidi="ar-SA"/>
        </w:rPr>
        <w:t xml:space="preserve">به غير قاصر الشمول للمورد، خصوصا مع مناسبة التعليل في أخبارها </w:t>
      </w:r>
      <w:r>
        <w:rPr>
          <w:rStyle w:val="FootnoteAnchor"/>
          <w:rtl w:val="true"/>
        </w:rPr>
        <w:footnoteReference w:id="628"/>
      </w:r>
      <w:r>
        <w:rPr>
          <w:rFonts w:ascii="Amiri" w:hAnsi="Amiri" w:eastAsia="Amiri" w:cs="Amiri"/>
          <w:color w:val="111111"/>
          <w:sz w:val="28"/>
          <w:sz w:val="28"/>
          <w:szCs w:val="28"/>
          <w:rtl w:val="true"/>
          <w:lang w:bidi="ar-SA"/>
        </w:rPr>
        <w:t>مع الحرمة، لكونها خلاف نحو احترام فيها، و مع ذلك لا تخلو المسألة عن الإشكال،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251207_2314609296"/>
      <w:bookmarkStart w:id="151" w:name="_Toc56"/>
      <w:bookmarkEnd w:id="150"/>
      <w:r>
        <w:rPr>
          <w:rtl w:val="true"/>
        </w:rPr>
        <w:t>الفصل الثالث</w:t>
      </w:r>
      <w:r>
        <w:rPr>
          <w:rtl w:val="true"/>
        </w:rPr>
        <w:t xml:space="preserve">: </w:t>
      </w:r>
      <w:r>
        <w:rPr>
          <w:rtl w:val="true"/>
        </w:rPr>
        <w:t>في كيفية الوضوء</w:t>
      </w:r>
      <w:bookmarkEnd w:id="151"/>
    </w:p>
    <w:p>
      <w:pPr>
        <w:pStyle w:val="Heading6"/>
        <w:numPr>
          <w:ilvl w:val="5"/>
          <w:numId w:val="1"/>
        </w:numPr>
        <w:rPr/>
      </w:pPr>
      <w:bookmarkStart w:id="152" w:name="__RefHeading___Toc3251209_2314609296"/>
      <w:bookmarkStart w:id="153" w:name="_Toc57"/>
      <w:bookmarkEnd w:id="152"/>
      <w:r>
        <w:rPr>
          <w:rtl w:val="true"/>
        </w:rPr>
        <w:t>(</w:t>
      </w:r>
      <w:r>
        <w:rPr>
          <w:rtl w:val="true"/>
        </w:rPr>
        <w:t>و يجب فيه سبعة أشياء</w:t>
      </w:r>
      <w:r>
        <w:rPr>
          <w:rtl w:val="true"/>
        </w:rPr>
        <w:t>):</w:t>
      </w:r>
      <w:bookmarkEnd w:id="153"/>
    </w:p>
    <w:p>
      <w:pPr>
        <w:pStyle w:val="Heading6"/>
        <w:numPr>
          <w:ilvl w:val="5"/>
          <w:numId w:val="1"/>
        </w:numPr>
        <w:rPr/>
      </w:pPr>
      <w:bookmarkStart w:id="154" w:name="__RefHeading___Toc3251211_2314609296"/>
      <w:bookmarkStart w:id="155" w:name="_Toc58"/>
      <w:bookmarkEnd w:id="154"/>
      <w:r>
        <w:rPr>
          <w:rtl w:val="true"/>
        </w:rPr>
        <w:t>أولها</w:t>
      </w:r>
      <w:r>
        <w:rPr>
          <w:rtl w:val="true"/>
        </w:rPr>
        <w:t xml:space="preserve">: </w:t>
      </w:r>
      <w:r>
        <w:rPr>
          <w:rtl w:val="true"/>
        </w:rPr>
        <w:t>النية</w:t>
      </w:r>
      <w:bookmarkEnd w:id="155"/>
    </w:p>
    <w:p>
      <w:pPr>
        <w:pStyle w:val="BookText"/>
        <w:rPr/>
      </w:pPr>
      <w:r>
        <w:rPr>
          <w:rFonts w:ascii="Amiri" w:hAnsi="Amiri" w:eastAsia="Amiri" w:cs="Amiri"/>
          <w:color w:val="111111"/>
          <w:sz w:val="28"/>
          <w:sz w:val="28"/>
          <w:szCs w:val="28"/>
          <w:rtl w:val="true"/>
          <w:lang w:bidi="ar-SA"/>
        </w:rPr>
        <w:t>التي هي عبارة عن الإرادة الناشئة من داعي الأمر أو غيره بوجه قربى للعمل باقية أو حادثة، على وجه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لغسل الوجه، للإجماعات القائمة على عبادية الوضوء الكافي في حصول التقرّب به مجرد الداعي المزبور بلا احتياج إلى الاخطار، و لا قصد الوجه و التميز، و لا قصد التعيين من جهة وحدة الحقيقة، و لو مع تعدد الأمر به، كما هو الشأن في غيره، بإيجاده بداعي أمر و لو إجمالا يسقط أحد الأمرين بلا عنوان لو لم يكن أحدهما آكد أو ذا أثر مثل الكفارة مثلا، كما هو الشأن في الأمر بسجدات السهو الناشئ عن السببين، و إلّا فيسقط خصوصه وجدانا و برهانا لو لا عدم ملازمة الأثر للأهمية، و إلّا ففي سقوطه حينئذ إشكال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يكفي في نفي الأمور المزبورة أصالة البراءة، أو الإطلاقات المقامية، بل اللفظية على وجه اخترناه في مقالتنا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اعتبار قصد الغاية وجه مبني على أنّ امتثال الأوامر الغيرية إنما هو بقصد ذيها، كي به يتحقق مطاوعة إرادة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لكفاية قصد مجرد محبوبيته لدى المولى، بشهادة امتثال الأوامر العرفية، مع أنّ لها غيرية راجعة في نهاية الأمر إلى استراحة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العبادة مقدمة فيدخل قربيتها في المقدمية، غير مضرّ بمطلوبية ذات العمل أيضا غيريا، لدخل الذوات أيضا في ذيها، غاية الأمر لا بنحو الإطلاق، و حينئذ فلا طريق من هذه الجهة إلى مطلوبية الأعمال المزبورة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يعتبر علاوة على القربة كون العمل خالصا لوجه ربه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اللّٰه مخلصين </w:t>
      </w:r>
      <w:r>
        <w:rPr>
          <w:rStyle w:val="FootnoteAnchor"/>
          <w:rtl w:val="true"/>
        </w:rPr>
        <w:footnoteReference w:id="629"/>
      </w:r>
      <w:r>
        <w:rPr>
          <w:rFonts w:ascii="Amiri" w:hAnsi="Amiri" w:eastAsia="Amiri" w:cs="Amiri"/>
          <w:color w:val="111111"/>
          <w:sz w:val="28"/>
          <w:sz w:val="28"/>
          <w:szCs w:val="28"/>
          <w:rtl w:val="true"/>
          <w:lang w:bidi="ar-SA"/>
        </w:rPr>
        <w:t>، فيضرّ به تشريك الداعي و لو بالتبريد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الإضرار به حتى في فرض تمامية كل داع في اقتضائه تردد، أقربه عدم الجواز لإضراره بالخلوص الفعلي، و يضرّ به داعي الرياء أيضا، و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الرياء في جزئه يبطل الجزء، فيعيده مترتبا ما لم يخل بالموالاة العرفية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إبطال العجب بعد العمل للعمل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w:t>
      </w:r>
      <w:r>
        <w:rPr>
          <w:rStyle w:val="FootnoteAnchor"/>
          <w:rtl w:val="true"/>
        </w:rPr>
        <w:footnoteReference w:id="631"/>
      </w:r>
      <w:r>
        <w:rPr>
          <w:rFonts w:ascii="Amiri" w:hAnsi="Amiri" w:eastAsia="Amiri" w:cs="Amiri"/>
          <w:color w:val="111111"/>
          <w:sz w:val="28"/>
          <w:sz w:val="28"/>
          <w:szCs w:val="28"/>
          <w:rtl w:val="true"/>
          <w:lang w:bidi="ar-SA"/>
        </w:rPr>
        <w:t xml:space="preserve">الكثيرة، إشكال، لا لعدم تصور المانعية المتأخرة كشرطه لإمكانهما تحقيقا، بل من جهة إعراض الأصحاب عنها، و عدم فهمهم المانعية لصحة العمل فقهيا، بل موجب لفساده أخلاقيا، الكاشفة عن دنو مرتبة فاعلها، وجه لا يبقى على استحقاقه الثواب، كما هو ظاهر نصوصها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bookmarkStart w:id="156" w:name="pg19729_212710"/>
    </w:p>
    <w:p>
      <w:pPr>
        <w:pStyle w:val="BookText"/>
        <w:rPr/>
      </w:pPr>
      <w:bookmarkEnd w:id="156"/>
      <w:r>
        <w:rPr>
          <w:rFonts w:ascii="Amiri" w:hAnsi="Amiri" w:eastAsia="Amiri" w:cs="Amiri"/>
          <w:color w:val="111111"/>
          <w:sz w:val="28"/>
          <w:sz w:val="28"/>
          <w:szCs w:val="28"/>
          <w:rtl w:val="true"/>
          <w:lang w:bidi="ar-SA"/>
        </w:rPr>
        <w:t xml:space="preserve">و هذا المقدار لا ينافي وفاء العمل بالمصلحة الملزمة، و كأن العجب في العبادات يؤثر في رفع أثرها الأخروي، لا منعها عن الوفاء بالمصالح الدنيوية بالنسبة إلى المعاصي، و حينئذ فما عن بعض الأساطين في مفاتيحه من الميل إلى المبطلية </w:t>
      </w:r>
      <w:r>
        <w:rPr>
          <w:rStyle w:val="FootnoteAnchor"/>
          <w:rtl w:val="true"/>
        </w:rPr>
        <w:footnoteReference w:id="633"/>
      </w:r>
      <w:r>
        <w:rPr>
          <w:rFonts w:ascii="Amiri" w:hAnsi="Amiri" w:eastAsia="Amiri" w:cs="Amiri"/>
          <w:color w:val="111111"/>
          <w:sz w:val="28"/>
          <w:sz w:val="28"/>
          <w:szCs w:val="28"/>
          <w:rtl w:val="true"/>
          <w:lang w:bidi="ar-SA"/>
        </w:rPr>
        <w:t>، منظور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اعتبار استدامتها أي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 إذ غاية ما يجب هو إيجاد أفعاله عن وجه قربى، و لو بأن ينصرف عن العمل في خلال أفعال، و يبدو له ثانيا إتيانه، و هكذا إلى آخر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أشرنا في حاشية الكتاب بالإشكال فيه</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251213_2314609296"/>
      <w:bookmarkStart w:id="158" w:name="_Toc59"/>
      <w:bookmarkEnd w:id="157"/>
      <w:r>
        <w:rPr>
          <w:rtl w:val="true"/>
        </w:rPr>
        <w:t>و ثانيها غسل الوجه</w:t>
      </w:r>
      <w:bookmarkEnd w:id="158"/>
    </w:p>
    <w:p>
      <w:pPr>
        <w:pStyle w:val="BookText"/>
        <w:rPr/>
      </w:pPr>
      <w:r>
        <w:rPr>
          <w:rFonts w:ascii="Amiri" w:hAnsi="Amiri" w:eastAsia="Amiri" w:cs="Amiri"/>
          <w:color w:val="111111"/>
          <w:sz w:val="28"/>
          <w:sz w:val="28"/>
          <w:szCs w:val="28"/>
          <w:rtl w:val="true"/>
          <w:lang w:bidi="ar-SA"/>
        </w:rPr>
        <w:t>الذي هو عضو معروف محدّد شرعا، من قصاص شعر الرأس إلى محاذي شعر الذقن طولا، و ما اشتملت عليه الإبهام و الوسطى عرضا، من مناسب الأعضاء على المشهور، للرواية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و الوسطى من قصاص شعر الرأس إلى الذقن، و ما جرت عليه الإصبعان مستديرا، فهو من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الكليني زيادة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السبابة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ابن مهران تحديده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الشعر إلى آخر الوجه، و كذلك الجبينين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تضعّف احتمال البهائي، إذ لازمة خروج مقدار من</w:t>
      </w:r>
    </w:p>
    <w:p>
      <w:pPr>
        <w:pStyle w:val="BookText"/>
        <w:rPr/>
      </w:pPr>
      <w:r>
        <w:rPr>
          <w:rFonts w:ascii="Amiri" w:hAnsi="Amiri" w:eastAsia="Amiri" w:cs="Amiri"/>
          <w:color w:val="111111"/>
          <w:sz w:val="28"/>
          <w:sz w:val="28"/>
          <w:szCs w:val="28"/>
          <w:rtl w:val="true"/>
          <w:lang w:bidi="ar-SA"/>
        </w:rPr>
        <w:t>الجبينين، فلا محيص من حمل الاستدارة في الرواية على ما هو شبه الدائرة التي عليه نوع الوجوه كحمل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على ما حوت به الإصبعان في تحديده عرضا و في الطول أيضا من الشعر إلى آخر الذقن، الذي هو آخر الوجه بقرينة المكاتبة، و هو مذهب المشهور، و أنّ الفقرة الثانية لمحض التنبيه على استدارة الوجه من طرف الذقن الذي لا يستفاد هذه الجهة من الفقرة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يوهم إطلاقه إدخال الزائد فيه، فليس مثل هذه الفقرة تأكيدا محضا كما توهم،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إدخال مقدار زائد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رواية قرب الاسناد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من أعلى وجهك إلى أسفله بالماء مسحا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وجوب البدأة بالأعلى، كما هو المشهور، و مثل فهمهم في المقام شاهد كون من و إلى قيدا للغسل لا المغسول، فلو لا نص </w:t>
      </w:r>
      <w:r>
        <w:rPr>
          <w:rStyle w:val="FootnoteAnchor"/>
          <w:rtl w:val="true"/>
        </w:rPr>
        <w:footnoteReference w:id="638"/>
      </w:r>
      <w:r>
        <w:rPr>
          <w:rFonts w:ascii="Amiri" w:hAnsi="Amiri" w:eastAsia="Amiri" w:cs="Amiri"/>
          <w:color w:val="111111"/>
          <w:sz w:val="28"/>
          <w:sz w:val="28"/>
          <w:szCs w:val="28"/>
          <w:rtl w:val="true"/>
          <w:lang w:bidi="ar-SA"/>
        </w:rPr>
        <w:t xml:space="preserve">مخصوص على تنزيل آية المرافق </w:t>
      </w:r>
      <w:r>
        <w:rPr>
          <w:rStyle w:val="FootnoteAnchor"/>
          <w:rtl w:val="true"/>
        </w:rPr>
        <w:footnoteReference w:id="639"/>
      </w:r>
      <w:r>
        <w:rPr>
          <w:rFonts w:ascii="Amiri" w:hAnsi="Amiri" w:eastAsia="Amiri" w:cs="Amiri"/>
          <w:color w:val="111111"/>
          <w:sz w:val="28"/>
          <w:sz w:val="28"/>
          <w:szCs w:val="28"/>
          <w:rtl w:val="true"/>
          <w:lang w:bidi="ar-SA"/>
        </w:rPr>
        <w:t>من بدوه من المرافق، لما كان وجه للتشكيك في دلالة الآية بجعل من المرافق بيانا لمحل الغسل بلا نظر إلى كيفية الغسل، كما عن بعض الأعاظم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كفاية الترتيب المزبور عرفا بلا اعتباره دقة، نعم في اشتماله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الاستحباب، ربما يوهن حمل الأمر به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 لا جعله كناية لبيان أول مرتبة الغسل بكونه كالدهن، أو دعوى انّ استفادة استحباب القيد بقرينة منفصلة لا يضر بظهور أمره في الوجوب، و حجيته في مقدار لم يقم حجة على خلافه</w:t>
      </w:r>
      <w:r>
        <w:rPr>
          <w:rFonts w:eastAsia="Amiri" w:cs="Amiri" w:ascii="Amiri" w:hAnsi="Amiri"/>
          <w:color w:val="111111"/>
          <w:sz w:val="28"/>
          <w:szCs w:val="28"/>
          <w:rtl w:val="true"/>
          <w:lang w:bidi="ar-SA"/>
        </w:rPr>
        <w:t>.</w:t>
      </w:r>
      <w:bookmarkStart w:id="159" w:name="pg19729_212712"/>
    </w:p>
    <w:p>
      <w:pPr>
        <w:pStyle w:val="BookText"/>
        <w:rPr/>
      </w:pPr>
      <w:bookmarkEnd w:id="159"/>
      <w:r>
        <w:rPr>
          <w:rFonts w:ascii="Amiri" w:hAnsi="Amiri" w:eastAsia="Amiri" w:cs="Amiri"/>
          <w:color w:val="111111"/>
          <w:sz w:val="28"/>
          <w:sz w:val="28"/>
          <w:szCs w:val="28"/>
          <w:rtl w:val="true"/>
          <w:lang w:bidi="ar-SA"/>
        </w:rPr>
        <w:t>ثم لا اشكال فتوى و نصا في عدم وجوب غسل ما أحاط به الشعر من الوجه، بل يكفي غسل الشعر المحيط بدلا عن المحل، كل ذلك لما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كان تحت الشعر؟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أحاط به الشعر فليس للعباد أن يبحثوا عنه، و 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الرواية كون المدار في البدلية على صدق الإحاطة، لو لا دعوى أوسعية نص ابطان اللحية </w:t>
      </w:r>
      <w:r>
        <w:rPr>
          <w:rStyle w:val="FootnoteAnchor"/>
          <w:rtl w:val="true"/>
        </w:rPr>
        <w:footnoteReference w:id="641"/>
      </w:r>
      <w:r>
        <w:rPr>
          <w:rFonts w:ascii="Amiri" w:hAnsi="Amiri" w:eastAsia="Amiri" w:cs="Amiri"/>
          <w:color w:val="111111"/>
          <w:sz w:val="28"/>
          <w:sz w:val="28"/>
          <w:szCs w:val="28"/>
          <w:rtl w:val="true"/>
          <w:lang w:bidi="ar-SA"/>
        </w:rPr>
        <w:t>لظهوره في عدم وجوب الإبطان المنصرف إلى صورة احتياج اجراء الماء على البشرة إلى ابطان و علاج، إذ مثله ربما يشمل بعض مراتب الخفيف أيضا، و مع الشك فيه يرجع إلى أصالة عدم البدلية، و لا أقل من قاعدة الاشتغال في باب المطهّرات، كما أشرنا إليه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المدار على إحاطة شعر المحل، أو ما يقرب منه جدا، و إلّا فمجرد تدلّي الشعر من محل آخر لا يجدي في صدق الإحاطة به، كما لا يخفى</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251215_2314609296"/>
      <w:bookmarkStart w:id="161" w:name="_Toc60"/>
      <w:bookmarkEnd w:id="160"/>
      <w:r>
        <w:rPr>
          <w:rtl w:val="true"/>
        </w:rPr>
        <w:t>و الثالث من واجبات الوضوء غسل اليدين</w:t>
      </w:r>
      <w:bookmarkEnd w:id="161"/>
    </w:p>
    <w:p>
      <w:pPr>
        <w:pStyle w:val="BookText"/>
        <w:rPr/>
      </w:pPr>
      <w:r>
        <w:rPr>
          <w:rFonts w:ascii="Amiri" w:hAnsi="Amiri" w:eastAsia="Amiri" w:cs="Amiri"/>
          <w:color w:val="111111"/>
          <w:sz w:val="28"/>
          <w:sz w:val="28"/>
          <w:szCs w:val="28"/>
          <w:rtl w:val="true"/>
          <w:lang w:bidi="ar-SA"/>
        </w:rPr>
        <w:t xml:space="preserve">من المرفقين إلى أطراف الأصابع، بلا اشكال نصا </w:t>
      </w:r>
      <w:r>
        <w:rPr>
          <w:rStyle w:val="FootnoteAnchor"/>
          <w:rtl w:val="true"/>
        </w:rPr>
        <w:footnoteReference w:id="642"/>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الهيثم في شرح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هي فَاغْسِلُوا وُجُوهَكُمْ وَ أَيْدِيَكُمْ من الْمَرٰافِقِ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أيضا شاهدة ما استظهرنا، و انه تأويل لها أو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المرافق كون المرفق مبدأ غسله، و لازمة دخوله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النص من وضع رسول اللّٰه الماء على المرفق </w:t>
      </w:r>
      <w:r>
        <w:rPr>
          <w:rStyle w:val="FootnoteAnchor"/>
          <w:rtl w:val="true"/>
        </w:rPr>
        <w:footnoteReference w:id="644"/>
      </w:r>
      <w:r>
        <w:rPr>
          <w:rFonts w:ascii="Amiri" w:hAnsi="Amiri" w:eastAsia="Amiri" w:cs="Amiri"/>
          <w:color w:val="111111"/>
          <w:sz w:val="28"/>
          <w:sz w:val="28"/>
          <w:szCs w:val="28"/>
          <w:rtl w:val="true"/>
          <w:lang w:bidi="ar-SA"/>
        </w:rPr>
        <w:t>، و هو نفس المفصل باعتبار، و الموصل باعتبار آخر، و هو غير العظمين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للمفصل في ظاهر البشرة نحو فرجة صار قابلا للإشارة الحسية و لوضع الماء عليه، فلا مجال لجعل ذلك قرينة على دخول رأس العظمين، بزعم أنّ المفصل و الموصل ينتهيان إلى خط موهومي غير قابل للإشارة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الثمرة في عدم وجوب غسل عظم العضد في الأقطع، و ما في بعض الروايات من غسل عضده </w:t>
      </w:r>
      <w:r>
        <w:rPr>
          <w:rStyle w:val="FootnoteAnchor"/>
          <w:rtl w:val="true"/>
        </w:rPr>
        <w:footnoteReference w:id="645"/>
      </w:r>
      <w:r>
        <w:rPr>
          <w:rFonts w:ascii="IRNazanin" w:hAnsi="IRNazanin" w:eastAsia="IRNazanin"/>
          <w:color w:val="111111"/>
          <w:sz w:val="28"/>
          <w:sz w:val="28"/>
          <w:szCs w:val="28"/>
          <w:rtl w:val="true"/>
          <w:lang w:bidi="fa-IR"/>
        </w:rPr>
        <w:t>، 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قطع ممن دونه يجب غسله بلا اشكال، للنصوص الواردة في الأقطع </w:t>
      </w:r>
      <w:r>
        <w:rPr>
          <w:rStyle w:val="FootnoteAnchor"/>
          <w:rtl w:val="true"/>
        </w:rPr>
        <w:footnoteReference w:id="646"/>
      </w:r>
      <w:r>
        <w:rPr>
          <w:rFonts w:ascii="Amiri" w:hAnsi="Amiri" w:eastAsia="Amiri" w:cs="Amiri"/>
          <w:color w:val="111111"/>
          <w:sz w:val="28"/>
          <w:sz w:val="28"/>
          <w:szCs w:val="28"/>
          <w:rtl w:val="true"/>
          <w:lang w:bidi="ar-SA"/>
        </w:rPr>
        <w:t>، مؤيدا بقاعدة الميسور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عكس في غسله لم يجز، كما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ذراعان دون المرفق، أو إصبع زائدة، أو لحم زائد، بل و شعر كذلك، فلا إشكال في وجوب غسلها تبعا لاستفادته من فحوى غسل اليد، بل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أن يدع شيئا إلّا و غسله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بدلية الشعر غير ثابت هنا، لاحتمال كونه عين رواية الفقيه المصدّر بالوجه </w:t>
      </w:r>
      <w:r>
        <w:rPr>
          <w:rStyle w:val="FootnoteAnchor"/>
          <w:rtl w:val="true"/>
        </w:rPr>
        <w:footnoteReference w:id="648"/>
      </w:r>
      <w:r>
        <w:rPr>
          <w:rFonts w:ascii="Amiri" w:hAnsi="Amiri" w:eastAsia="Amiri" w:cs="Amiri"/>
          <w:color w:val="111111"/>
          <w:sz w:val="28"/>
          <w:sz w:val="28"/>
          <w:szCs w:val="28"/>
          <w:rtl w:val="true"/>
          <w:lang w:bidi="ar-SA"/>
        </w:rPr>
        <w:t>، فالنص مختل المتن حينئذ فلا يعبأ به في غير الوجه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اليدان فوق المرفق، فمع العلم بالأصلية فلا اشكال، و مع عدم التميز و احتمال الأصلية يغسلهما بقاعدة الشبهة المحصورة، و مع احتمال</w:t>
      </w:r>
      <w:bookmarkStart w:id="162" w:name="pg19729_212714"/>
    </w:p>
    <w:p>
      <w:pPr>
        <w:pStyle w:val="BookText"/>
        <w:rPr/>
      </w:pPr>
      <w:bookmarkEnd w:id="162"/>
      <w:r>
        <w:rPr>
          <w:rFonts w:ascii="Amiri" w:hAnsi="Amiri" w:eastAsia="Amiri" w:cs="Amiri"/>
          <w:color w:val="111111"/>
          <w:sz w:val="28"/>
          <w:sz w:val="28"/>
          <w:szCs w:val="28"/>
          <w:rtl w:val="true"/>
          <w:lang w:bidi="ar-SA"/>
        </w:rPr>
        <w:t>كونهما أصليين، ففي الأخذ بالإطلاق في طرف اليد بجعل العموم من باب تلاقي الجمع بالجمع، أو الأخذ بظاهر الجمع وجهان، و مع الاحتمال يرجع إلى قاعدتي البراءة أو الاشتغال في المقام</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251217_2314609296"/>
      <w:bookmarkStart w:id="164" w:name="_Toc61"/>
      <w:bookmarkEnd w:id="163"/>
      <w:r>
        <w:rPr>
          <w:rtl w:val="true"/>
        </w:rPr>
        <w:t>و الرابع من واجبات الوضوء مسح بشرة مقدّم الرأس</w:t>
      </w:r>
      <w:bookmarkEnd w:id="164"/>
    </w:p>
    <w:p>
      <w:pPr>
        <w:pStyle w:val="BookText"/>
        <w:rPr/>
      </w:pPr>
      <w:r>
        <w:rPr>
          <w:rFonts w:ascii="Amiri" w:hAnsi="Amiri" w:eastAsia="Amiri" w:cs="Amiri"/>
          <w:color w:val="111111"/>
          <w:sz w:val="28"/>
          <w:sz w:val="28"/>
          <w:szCs w:val="28"/>
          <w:rtl w:val="true"/>
          <w:lang w:bidi="ar-SA"/>
        </w:rPr>
        <w:t xml:space="preserve">لو لم يكن له شعر، بلا اشكال نصا </w:t>
      </w:r>
      <w:r>
        <w:rPr>
          <w:rStyle w:val="FootnoteAnchor"/>
          <w:rtl w:val="true"/>
        </w:rPr>
        <w:footnoteReference w:id="649"/>
      </w:r>
      <w:r>
        <w:rPr>
          <w:rFonts w:ascii="Amiri" w:hAnsi="Amiri" w:eastAsia="Amiri" w:cs="Amiri"/>
          <w:color w:val="111111"/>
          <w:sz w:val="28"/>
          <w:sz w:val="28"/>
          <w:szCs w:val="28"/>
          <w:rtl w:val="true"/>
          <w:lang w:bidi="ar-SA"/>
        </w:rPr>
        <w:t xml:space="preserve">و فتوى، للمستفيضة المشتملة على مسح المقدّم منها </w:t>
      </w:r>
      <w:r>
        <w:rPr>
          <w:rStyle w:val="FootnoteAnchor"/>
          <w:rtl w:val="true"/>
        </w:rPr>
        <w:footnoteReference w:id="650"/>
      </w:r>
      <w:r>
        <w:rPr>
          <w:rFonts w:ascii="Amiri" w:hAnsi="Amiri" w:eastAsia="Amiri" w:cs="Amiri"/>
          <w:color w:val="111111"/>
          <w:sz w:val="28"/>
          <w:sz w:val="28"/>
          <w:szCs w:val="28"/>
          <w:rtl w:val="true"/>
          <w:lang w:bidi="ar-SA"/>
        </w:rPr>
        <w:t>، و قضية وحدة المطلوب تقييد المطلقات بها، لو لا احتمال جمع آخر بحمل الأمر بالمقيّد على أفضل الفردين مع وحدة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التصريح بجواز مسح المؤخّر </w:t>
      </w:r>
      <w:r>
        <w:rPr>
          <w:rStyle w:val="FootnoteAnchor"/>
          <w:rtl w:val="true"/>
        </w:rPr>
        <w:footnoteReference w:id="651"/>
      </w:r>
      <w:r>
        <w:rPr>
          <w:rFonts w:ascii="Amiri" w:hAnsi="Amiri" w:eastAsia="Amiri" w:cs="Amiri"/>
          <w:color w:val="111111"/>
          <w:sz w:val="28"/>
          <w:sz w:val="28"/>
          <w:szCs w:val="28"/>
          <w:rtl w:val="true"/>
          <w:lang w:bidi="ar-SA"/>
        </w:rPr>
        <w:t xml:space="preserve">، و لكن يوهنه إعراض الأصحاب عنه، و قوة تقييد المطلقات في المقام بقرينة رواية ابن يقطين </w:t>
      </w:r>
      <w:r>
        <w:rPr>
          <w:rStyle w:val="FootnoteAnchor"/>
          <w:rtl w:val="true"/>
        </w:rPr>
        <w:footnoteReference w:id="652"/>
      </w:r>
      <w:r>
        <w:rPr>
          <w:rFonts w:ascii="Amiri" w:hAnsi="Amiri" w:eastAsia="Amiri" w:cs="Amiri"/>
          <w:color w:val="111111"/>
          <w:sz w:val="28"/>
          <w:sz w:val="28"/>
          <w:szCs w:val="28"/>
          <w:rtl w:val="true"/>
          <w:lang w:bidi="ar-SA"/>
        </w:rPr>
        <w:t xml:space="preserve">، و في جملة من الروايات تعيين الناصية </w:t>
      </w:r>
      <w:r>
        <w:rPr>
          <w:rStyle w:val="FootnoteAnchor"/>
          <w:rtl w:val="true"/>
        </w:rPr>
        <w:footnoteReference w:id="653"/>
      </w:r>
      <w:r>
        <w:rPr>
          <w:rFonts w:ascii="Amiri" w:hAnsi="Amiri" w:eastAsia="Amiri" w:cs="Amiri"/>
          <w:color w:val="111111"/>
          <w:sz w:val="28"/>
          <w:sz w:val="28"/>
          <w:szCs w:val="28"/>
          <w:rtl w:val="true"/>
          <w:lang w:bidi="ar-SA"/>
        </w:rPr>
        <w:t>، و لكن في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فيحمل تلك على الفضيلة، و عليه فيجزئ مسح ما يصدق عليه بشرة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شعره بالإجماعات المتكررة في الكلمات، علاوة على السيرة، خصوصا لو قيل بصدق الناصية عليه فيدل عليه الأمر بمسح الناصية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أن يكون بالبلل من غير استئناف ماء جديد خارج عن بلل الوضوء، و ما في الأخبار من الاكتفاء بماء خارج </w:t>
      </w:r>
      <w:r>
        <w:rPr>
          <w:rStyle w:val="FootnoteAnchor"/>
          <w:rtl w:val="true"/>
        </w:rPr>
        <w:footnoteReference w:id="655"/>
      </w:r>
      <w:r>
        <w:rPr>
          <w:rFonts w:ascii="IRNazanin" w:hAnsi="IRNazanin" w:eastAsia="IRNazanin"/>
          <w:color w:val="111111"/>
          <w:sz w:val="28"/>
          <w:sz w:val="28"/>
          <w:szCs w:val="28"/>
          <w:rtl w:val="true"/>
          <w:lang w:bidi="fa-IR"/>
        </w:rPr>
        <w:t>، مطروح أو</w:t>
      </w:r>
    </w:p>
    <w:p>
      <w:pPr>
        <w:pStyle w:val="BookText"/>
        <w:rPr/>
      </w:pP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 كفاية مطلق بلّة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يقطين </w:t>
      </w:r>
      <w:r>
        <w:rPr>
          <w:rStyle w:val="FootnoteAnchor"/>
          <w:rtl w:val="true"/>
        </w:rPr>
        <w:footnoteReference w:id="656"/>
      </w:r>
      <w:r>
        <w:rPr>
          <w:rFonts w:ascii="Amiri" w:hAnsi="Amiri" w:eastAsia="Amiri" w:cs="Amiri"/>
          <w:color w:val="111111"/>
          <w:sz w:val="28"/>
          <w:sz w:val="28"/>
          <w:szCs w:val="28"/>
          <w:rtl w:val="true"/>
          <w:lang w:bidi="ar-SA"/>
        </w:rPr>
        <w:t xml:space="preserve">، أو بله اليد </w:t>
      </w:r>
      <w:r>
        <w:rPr>
          <w:rStyle w:val="FootnoteAnchor"/>
          <w:rtl w:val="true"/>
        </w:rPr>
        <w:footnoteReference w:id="657"/>
      </w:r>
      <w:r>
        <w:rPr>
          <w:rFonts w:ascii="Amiri" w:hAnsi="Amiri" w:eastAsia="Amiri" w:cs="Amiri"/>
          <w:color w:val="111111"/>
          <w:sz w:val="28"/>
          <w:sz w:val="28"/>
          <w:szCs w:val="28"/>
          <w:rtl w:val="true"/>
          <w:lang w:bidi="ar-SA"/>
        </w:rPr>
        <w:t xml:space="preserve">، أو بله خصوص اليمنى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 قوة إطلاق نص ابن يقطين المعلوم كونه في مقام البيان مقدّم على المقيّدات، فتحمل على فضيلة الخصوصية على اختلاف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ربّما يرتفع شبهة الوسواسين في اتصال مسح رأسهم بماء وجههم، فإنه على الاحتمالين الأخيرين يشكل مسح الرجل بهذه اليد، لعدم تمحض بلّتها في بلّة اليد أو اليمنى بخلافه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يجتزي في امتثال الواجب بأقل ما يقع عليه اسم المسح، للإطلاقات </w:t>
      </w:r>
      <w:r>
        <w:rPr>
          <w:rStyle w:val="FootnoteAnchor"/>
          <w:rtl w:val="true"/>
        </w:rPr>
        <w:footnoteReference w:id="659"/>
      </w:r>
      <w:r>
        <w:rPr>
          <w:rFonts w:ascii="Amiri" w:hAnsi="Amiri" w:eastAsia="Amiri" w:cs="Amiri"/>
          <w:color w:val="111111"/>
          <w:sz w:val="28"/>
          <w:sz w:val="28"/>
          <w:szCs w:val="28"/>
          <w:rtl w:val="true"/>
          <w:lang w:bidi="ar-SA"/>
        </w:rPr>
        <w:t xml:space="preserve">القابلة للقرينية على جعل التحديدات الواردة للفضيلة، و في جواز النكس بالمسح وجه، للنص بنفي البأس بالمسح مقبلا و مدبرا </w:t>
      </w:r>
      <w:r>
        <w:rPr>
          <w:rStyle w:val="FootnoteAnchor"/>
          <w:rtl w:val="true"/>
        </w:rPr>
        <w:footnoteReference w:id="660"/>
      </w:r>
      <w:r>
        <w:rPr>
          <w:rFonts w:ascii="Amiri" w:hAnsi="Amiri" w:eastAsia="Amiri" w:cs="Amiri"/>
          <w:color w:val="111111"/>
          <w:sz w:val="28"/>
          <w:sz w:val="28"/>
          <w:szCs w:val="28"/>
          <w:rtl w:val="true"/>
          <w:lang w:bidi="ar-SA"/>
        </w:rPr>
        <w:t>، كما عليه الأصحاب، و من المحتمل كون الرواية المزبورة عين ما ورد في مسح الرجل، فلا يشمل المقام، فيبقى في البين الإطلاقات المنصرفة إلى المتعارف من الأعلى إلى الأدنى، كما هو مقتضى صرافة الطبع، و لا أقل من الإجمال و أصالة الاشتغال، خصوصا مع كون المقام من صغريات التعيين و التخيير لا الأقل و الأكثر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أيضا انصراف الإطلاقات إلى المسح بباطن الكف، و مع التعذر ينتقل إلى الظاهر،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المصير أيضا إلى المطلقات المنصرفة في هذا الحال إلى المسح بالظاهر لا بسائر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مقامنا بباب الغسل، لأن اليد لا يكون من مقومات وجوده هناك كي يتبع خصوصياتها المنصرف إليها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بدّ في الماسح من بلّة مؤثرة في المحل بنفسه، بلا ممازجته بالبلّة الخارجة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بأس بكثرة البلّة على وجه يصدق عليه الغسل أيضا، إذ مع عدم قصد الغسل و قصده المسح الذي هو جزء لوضوئه لا بأس باقترانه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لم يتمكن من مسح الرأس، فإن كان لتأخيره عمدا أو نسيانا إلى أن لم يتمكن من المسح ببلّته، فيعيد الوضوء، لرواية مالك </w:t>
      </w:r>
      <w:r>
        <w:rPr>
          <w:rStyle w:val="FootnoteAnchor"/>
          <w:rtl w:val="true"/>
        </w:rPr>
        <w:footnoteReference w:id="661"/>
      </w:r>
      <w:r>
        <w:rPr>
          <w:rFonts w:ascii="Amiri" w:hAnsi="Amiri" w:eastAsia="Amiri" w:cs="Amiri"/>
          <w:color w:val="111111"/>
          <w:sz w:val="28"/>
          <w:sz w:val="28"/>
          <w:szCs w:val="28"/>
          <w:rtl w:val="true"/>
          <w:lang w:bidi="ar-SA"/>
        </w:rPr>
        <w:t>، مضافا إلى بقاء الأمر بتحصيل الوضوء التام، و عدم دليل على بدلية الناقص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لحرارة الهواء، ففي لزوم تحصيل المسح بماء جديد، أو المسح بلا بلّة، أو الانتقال إلى التيمم، وجوه أوفقها بقاعدة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طبّقها الإمام على الأجزاء المضطرة و الشرائط كذلك، خصوصا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 أشباهه من كتاب اللّٰه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شرطية بلّة الوضوء، و عدم انتقال الأمر إلى التيمم، لحكومتها على دليله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ففي اقتضاء القاعدة المزبورة سقوط قيد الوضوئية فيجب تحصيل ماء جديد، أو أصل البلّة فيمسح بلا بلّة، وجهان، لا يبعد استفادة الالتزام بالأول أيضا من الأمر بالمسح على الجبيرة بمحض عدم التمكن من المسح على البشرة </w:t>
      </w:r>
      <w:r>
        <w:rPr>
          <w:rStyle w:val="FootnoteAnchor"/>
          <w:rtl w:val="true"/>
        </w:rPr>
        <w:footnoteReference w:id="663"/>
      </w:r>
      <w:r>
        <w:rPr>
          <w:rFonts w:ascii="Amiri" w:hAnsi="Amiri" w:eastAsia="Amiri" w:cs="Amiri"/>
          <w:color w:val="111111"/>
          <w:sz w:val="28"/>
          <w:sz w:val="28"/>
          <w:szCs w:val="28"/>
          <w:rtl w:val="true"/>
          <w:lang w:bidi="ar-SA"/>
        </w:rPr>
        <w:t>، و ليس تباين الجبيرة عن البشرة أقل من بينونة رطوبة ماء جديد عن رطوبة الوضوء كما لا يخفى</w:t>
      </w:r>
      <w:r>
        <w:rPr>
          <w:rFonts w:eastAsia="Amiri" w:cs="Amiri" w:ascii="Amiri" w:hAnsi="Amiri"/>
          <w:color w:val="111111"/>
          <w:sz w:val="28"/>
          <w:szCs w:val="28"/>
          <w:rtl w:val="true"/>
          <w:lang w:bidi="ar-SA"/>
        </w:rPr>
        <w:t>.</w:t>
      </w:r>
      <w:bookmarkStart w:id="165" w:name="pg19729_212717"/>
    </w:p>
    <w:p>
      <w:pPr>
        <w:pStyle w:val="Heading6"/>
        <w:numPr>
          <w:ilvl w:val="5"/>
          <w:numId w:val="1"/>
        </w:numPr>
        <w:rPr/>
      </w:pPr>
      <w:bookmarkStart w:id="166" w:name="__RefHeading___Toc3251219_2314609296"/>
      <w:bookmarkStart w:id="167" w:name="_Toc62"/>
      <w:bookmarkEnd w:id="165"/>
      <w:bookmarkEnd w:id="166"/>
      <w:r>
        <w:rPr>
          <w:rtl w:val="true"/>
        </w:rPr>
        <w:t>و الخامس من واجبات الوضوء كتابا و سنة مسح بشرة الرجلين</w:t>
      </w:r>
      <w:bookmarkEnd w:id="167"/>
    </w:p>
    <w:p>
      <w:pPr>
        <w:pStyle w:val="BookText"/>
        <w:rPr/>
      </w:pPr>
      <w:r>
        <w:rPr>
          <w:rFonts w:ascii="Amiri" w:hAnsi="Amiri" w:eastAsia="Amiri" w:cs="Amiri"/>
          <w:color w:val="111111"/>
          <w:sz w:val="28"/>
          <w:sz w:val="28"/>
          <w:szCs w:val="28"/>
          <w:rtl w:val="true"/>
          <w:lang w:bidi="ar-SA"/>
        </w:rPr>
        <w:t xml:space="preserve">و الخامس من واجبات الوضوء كتابا </w:t>
      </w:r>
      <w:r>
        <w:rPr>
          <w:rStyle w:val="FootnoteAnchor"/>
          <w:rtl w:val="true"/>
        </w:rPr>
        <w:footnoteReference w:id="664"/>
      </w:r>
      <w:r>
        <w:rPr>
          <w:rFonts w:ascii="Amiri" w:hAnsi="Amiri" w:eastAsia="Amiri" w:cs="Amiri"/>
          <w:color w:val="111111"/>
          <w:sz w:val="28"/>
          <w:sz w:val="28"/>
          <w:szCs w:val="28"/>
          <w:rtl w:val="true"/>
          <w:lang w:bidi="ar-SA"/>
        </w:rPr>
        <w:t xml:space="preserve">و سنة </w:t>
      </w:r>
      <w:r>
        <w:rPr>
          <w:rStyle w:val="FootnoteAnchor"/>
          <w:rtl w:val="true"/>
        </w:rPr>
        <w:footnoteReference w:id="665"/>
      </w:r>
      <w:r>
        <w:rPr>
          <w:rFonts w:ascii="Amiri" w:hAnsi="Amiri" w:eastAsia="Amiri" w:cs="Amiri"/>
          <w:color w:val="111111"/>
          <w:sz w:val="28"/>
          <w:sz w:val="28"/>
          <w:szCs w:val="28"/>
          <w:rtl w:val="true"/>
          <w:lang w:bidi="ar-SA"/>
        </w:rPr>
        <w:t>مسح بشرة الرجلين</w:t>
      </w:r>
    </w:p>
    <w:p>
      <w:pPr>
        <w:pStyle w:val="BookText"/>
        <w:rPr/>
      </w:pPr>
      <w:r>
        <w:rPr>
          <w:rFonts w:ascii="Amiri" w:hAnsi="Amiri" w:eastAsia="Amiri" w:cs="Amiri"/>
          <w:color w:val="111111"/>
          <w:sz w:val="28"/>
          <w:sz w:val="28"/>
          <w:szCs w:val="28"/>
          <w:rtl w:val="true"/>
          <w:lang w:bidi="ar-SA"/>
        </w:rPr>
        <w:t>لا شعرهما، لعدم تمامية البدلية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عموم فيما أحاط في مورد المسح </w:t>
      </w:r>
      <w:r>
        <w:rPr>
          <w:rStyle w:val="FootnoteAnchor"/>
          <w:rtl w:val="true"/>
        </w:rPr>
        <w:footnoteReference w:id="666"/>
      </w:r>
      <w:r>
        <w:rPr>
          <w:rFonts w:ascii="Amiri" w:hAnsi="Amiri" w:eastAsia="Amiri" w:cs="Amiri"/>
          <w:color w:val="111111"/>
          <w:sz w:val="28"/>
          <w:sz w:val="28"/>
          <w:szCs w:val="28"/>
          <w:rtl w:val="true"/>
          <w:lang w:bidi="ar-SA"/>
        </w:rPr>
        <w:t>، و لا إجماع في المقام كما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تقديم الأيمن على الأيسر، أو عدم تقديم الأيسر، أو التخيير بينهما،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الإطلاقات الكثيرة الواردة في مقام البيان </w:t>
      </w:r>
      <w:r>
        <w:rPr>
          <w:rStyle w:val="FootnoteAnchor"/>
          <w:rtl w:val="true"/>
        </w:rPr>
        <w:footnoteReference w:id="667"/>
      </w:r>
      <w:r>
        <w:rPr>
          <w:rFonts w:ascii="Amiri" w:hAnsi="Amiri" w:eastAsia="Amiri" w:cs="Amiri"/>
          <w:color w:val="111111"/>
          <w:sz w:val="28"/>
          <w:sz w:val="28"/>
          <w:szCs w:val="28"/>
          <w:rtl w:val="true"/>
          <w:lang w:bidi="ar-SA"/>
        </w:rPr>
        <w:t xml:space="preserve">، و من الأخبار الآمرة بالبدأة بالأيمن </w:t>
      </w:r>
      <w:r>
        <w:rPr>
          <w:rStyle w:val="FootnoteAnchor"/>
          <w:rtl w:val="true"/>
        </w:rPr>
        <w:footnoteReference w:id="668"/>
      </w:r>
      <w:r>
        <w:rPr>
          <w:rFonts w:ascii="Amiri" w:hAnsi="Amiri" w:eastAsia="Amiri" w:cs="Amiri"/>
          <w:color w:val="111111"/>
          <w:sz w:val="28"/>
          <w:sz w:val="28"/>
          <w:szCs w:val="28"/>
          <w:rtl w:val="true"/>
          <w:lang w:bidi="ar-SA"/>
        </w:rPr>
        <w:t xml:space="preserve">، و انّ النبي صلّى اللّٰه عليه و آله بدأ بميامنه </w:t>
      </w:r>
      <w:r>
        <w:rPr>
          <w:rStyle w:val="FootnoteAnchor"/>
          <w:rtl w:val="true"/>
        </w:rPr>
        <w:footnoteReference w:id="669"/>
      </w:r>
      <w:r>
        <w:rPr>
          <w:rFonts w:ascii="Amiri" w:hAnsi="Amiri" w:eastAsia="Amiri" w:cs="Amiri"/>
          <w:color w:val="111111"/>
          <w:sz w:val="28"/>
          <w:sz w:val="28"/>
          <w:szCs w:val="28"/>
          <w:rtl w:val="true"/>
          <w:lang w:bidi="ar-SA"/>
        </w:rPr>
        <w:t xml:space="preserve">، و من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و إن بدأ بأحدهما فلا يبدأ إلّا باليمين</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الحمل على مراتب الفضيلة، كما هو ظاهر المتن و إن كان الأحوط مضمون التوقيع، و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مسحت بشي‌ء من رأسك و قدميك</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عدم تحديد المسح عرضا، مؤيدا بما دل على إدخال اليد في الخف المخرق المعلوم عدم التمكن غالبا من إدخال تمام اليد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ذلك يرفع اليد عن قوله في صحيحة البزنطي من وجوب المسح بتمام الكف </w:t>
      </w:r>
      <w:r>
        <w:rPr>
          <w:rStyle w:val="FootnoteAnchor"/>
          <w:rtl w:val="true"/>
        </w:rPr>
        <w:footnoteReference w:id="673"/>
      </w:r>
      <w:r>
        <w:rPr>
          <w:rFonts w:ascii="Amiri" w:hAnsi="Amiri" w:eastAsia="Amiri" w:cs="Amiri"/>
          <w:color w:val="111111"/>
          <w:sz w:val="28"/>
          <w:sz w:val="28"/>
          <w:szCs w:val="28"/>
          <w:rtl w:val="true"/>
          <w:lang w:bidi="ar-SA"/>
        </w:rPr>
        <w:t xml:space="preserve">، و كذا عن رواية معمر بن خلاد، الآمرة بثلاث أصابع </w:t>
      </w:r>
      <w:r>
        <w:rPr>
          <w:rStyle w:val="FootnoteAnchor"/>
          <w:rtl w:val="true"/>
        </w:rPr>
        <w:footnoteReference w:id="6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فيحمل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حدّه طولا، فيجب المسح من رءوس الأصابع إلى الكعبين بلا اشكال فيه في الجملة نصا، لظهور الآية الشريفة </w:t>
      </w:r>
      <w:r>
        <w:rPr>
          <w:rStyle w:val="FootnoteAnchor"/>
          <w:rtl w:val="true"/>
        </w:rPr>
        <w:footnoteReference w:id="675"/>
      </w:r>
      <w:r>
        <w:rPr>
          <w:rFonts w:ascii="Amiri" w:hAnsi="Amiri" w:eastAsia="Amiri" w:cs="Amiri"/>
          <w:color w:val="111111"/>
          <w:sz w:val="28"/>
          <w:sz w:val="28"/>
          <w:szCs w:val="28"/>
          <w:rtl w:val="true"/>
          <w:lang w:bidi="ar-SA"/>
        </w:rPr>
        <w:t xml:space="preserve">، و النصوص المشتملة على تحديده بالكعبين في الاستيعاب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ظاهر جمع عدم وجوب استيعابه للإطلاقات السابقة </w:t>
      </w:r>
      <w:r>
        <w:rPr>
          <w:rStyle w:val="FootnoteAnchor"/>
          <w:rtl w:val="true"/>
        </w:rPr>
        <w:footnoteReference w:id="677"/>
      </w:r>
      <w:r>
        <w:rPr>
          <w:rFonts w:ascii="Amiri" w:hAnsi="Amiri" w:eastAsia="Amiri" w:cs="Amiri"/>
          <w:color w:val="111111"/>
          <w:sz w:val="28"/>
          <w:sz w:val="28"/>
          <w:szCs w:val="28"/>
          <w:rtl w:val="true"/>
          <w:lang w:bidi="ar-SA"/>
        </w:rPr>
        <w:t>على شي‌ء من رجليك، بعد حمل البقية من النصوص بسببها على بيان مورد المسح 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قوة حمل الإطلاقات على حدّه العرضي، أو على تحديد الشي‌ء طولا بما ذكر، كما انّ ظاهر الأمر بوجوب المسح إلى الكعبين </w:t>
      </w:r>
      <w:r>
        <w:rPr>
          <w:rStyle w:val="FootnoteAnchor"/>
          <w:rtl w:val="true"/>
        </w:rPr>
        <w:footnoteReference w:id="678"/>
      </w:r>
      <w:r>
        <w:rPr>
          <w:rFonts w:ascii="Amiri" w:hAnsi="Amiri" w:eastAsia="Amiri" w:cs="Amiri"/>
          <w:color w:val="111111"/>
          <w:sz w:val="28"/>
          <w:sz w:val="28"/>
          <w:szCs w:val="28"/>
          <w:rtl w:val="true"/>
          <w:lang w:bidi="ar-SA"/>
        </w:rPr>
        <w:t>كون مورد المسح ما هو مورد الكعب الذي هو ظاهر القدم، بقرينة وضع يده على ظاهر القدم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هذه الرواية أيضا ينفي مذهب العامة من حملهم الكعبين على النابتين في طرفي القدم، فيبقى الكلام في أنّ الكعب هو العظم النابت في وسط القدم، أو العظم المستدير بين المفصل و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هو الأول، و مذهب البهائي هو الثاني، و نسب إلى العلّامة نفس المفصل </w:t>
      </w:r>
      <w:r>
        <w:rPr>
          <w:rStyle w:val="FootnoteAnchor"/>
          <w:rtl w:val="true"/>
        </w:rPr>
        <w:footnoteReference w:id="680"/>
      </w:r>
      <w:r>
        <w:rPr>
          <w:rFonts w:ascii="Amiri" w:hAnsi="Amiri" w:eastAsia="Amiri" w:cs="Amiri"/>
          <w:color w:val="111111"/>
          <w:sz w:val="28"/>
          <w:sz w:val="28"/>
          <w:szCs w:val="28"/>
          <w:rtl w:val="true"/>
          <w:lang w:bidi="ar-SA"/>
        </w:rPr>
        <w:t>، و أظن رجوعه إلى مذهب البهائي، و إلّا ففي غاية البعد كون المفصل هو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صحيحة زرارة تفسير الكعب بالمفصل </w:t>
      </w:r>
      <w:r>
        <w:rPr>
          <w:rStyle w:val="FootnoteAnchor"/>
          <w:rtl w:val="true"/>
        </w:rPr>
        <w:footnoteReference w:id="681"/>
      </w:r>
      <w:r>
        <w:rPr>
          <w:rFonts w:ascii="Amiri" w:hAnsi="Amiri" w:eastAsia="Amiri" w:cs="Amiri"/>
          <w:color w:val="111111"/>
          <w:sz w:val="28"/>
          <w:sz w:val="28"/>
          <w:szCs w:val="28"/>
          <w:rtl w:val="true"/>
          <w:lang w:bidi="ar-SA"/>
        </w:rPr>
        <w:t>، و الظاهر منه أيضا بيان محلّه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هما متفقان في عدم كون الكعب ما هو المشهور، و لكن يؤيدهم ما في صحيحة البزنطي فمسحه إلى الكعبين إلى ظهر القدم </w:t>
      </w:r>
      <w:r>
        <w:rPr>
          <w:rStyle w:val="FootnoteAnchor"/>
          <w:rtl w:val="true"/>
        </w:rPr>
        <w:footnoteReference w:id="682"/>
      </w:r>
      <w:r>
        <w:rPr>
          <w:rFonts w:ascii="Amiri" w:hAnsi="Amiri" w:eastAsia="Amiri" w:cs="Amiri"/>
          <w:color w:val="111111"/>
          <w:sz w:val="28"/>
          <w:sz w:val="28"/>
          <w:szCs w:val="28"/>
          <w:rtl w:val="true"/>
          <w:lang w:bidi="ar-SA"/>
        </w:rPr>
        <w:t>، لظهور ظهره الواقع غاية للمسح الموضع المرتفع منه، لا الظهر المقابل للبطن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لا يناسب العظم المستدير في المفصل، لأنه لا يكون له ارتفاع محسوس، و حينئذ فمع الدوران يؤخذ بالرواية المشهورة </w:t>
      </w:r>
      <w:r>
        <w:rPr>
          <w:rStyle w:val="FootnoteAnchor"/>
          <w:rtl w:val="true"/>
        </w:rPr>
        <w:footnoteReference w:id="683"/>
      </w:r>
      <w:r>
        <w:rPr>
          <w:rFonts w:ascii="Amiri" w:hAnsi="Amiri" w:eastAsia="Amiri" w:cs="Amiri"/>
          <w:color w:val="111111"/>
          <w:sz w:val="28"/>
          <w:sz w:val="28"/>
          <w:szCs w:val="28"/>
          <w:rtl w:val="true"/>
          <w:lang w:bidi="ar-SA"/>
        </w:rPr>
        <w:t>و إن كان الاحتياط يقتضي مذهب العلّامة و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لزوم طرح الرواية المزبورة </w:t>
      </w:r>
      <w:r>
        <w:rPr>
          <w:rStyle w:val="FootnoteAnchor"/>
          <w:rtl w:val="true"/>
        </w:rPr>
        <w:footnoteReference w:id="684"/>
      </w:r>
      <w:r>
        <w:rPr>
          <w:rFonts w:ascii="Amiri" w:hAnsi="Amiri" w:eastAsia="Amiri" w:cs="Amiri"/>
          <w:color w:val="111111"/>
          <w:sz w:val="28"/>
          <w:sz w:val="28"/>
          <w:szCs w:val="28"/>
          <w:rtl w:val="true"/>
          <w:lang w:bidi="ar-SA"/>
        </w:rPr>
        <w:t>، لظهور كون مسحه الشخصي إلى الكعبين، و هو مناسب لمذهب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بأنّ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ظهر القدم</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كونه أيضا غاية للمسح و شرحا له، و هذا المعنى لا يناسب مع كون الكعبين بما فسّروه، و رفع اليد عن ظهور الأول بجعله داخلا في المسح خلاف الظاهر، فالأمر حينئذ يدور بين رفع اليد عن الظهور المزبور في خروج الغاية، أو حمل الكعبين بيانا لما صدر منه من طبيعة المسح 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أولى، لكون الرواية من الخاصة، و يبعد تعبير الشيعة عن الكعب بما هو معروف لدى مخالفيهم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لا يخلو مثل هذه الرواية من الإجمال، فقاعدة الاشتغال تقتضي المصير إلى مذهب البهائي، بلا احتياج حينئذ إلى دفع توهم حمل</w:t>
      </w:r>
    </w:p>
    <w:p>
      <w:pPr>
        <w:pStyle w:val="BookText"/>
        <w:rPr/>
      </w:pPr>
      <w:r>
        <w:rPr>
          <w:rFonts w:ascii="Amiri" w:hAnsi="Amiri" w:eastAsia="Amiri" w:cs="Amiri"/>
          <w:color w:val="111111"/>
          <w:sz w:val="28"/>
          <w:sz w:val="28"/>
          <w:szCs w:val="28"/>
          <w:rtl w:val="true"/>
          <w:lang w:bidi="ar-SA"/>
        </w:rPr>
        <w:t>الرواية الأولى على باب قطع السارق، إذ الشبهة غير مرتفعة بذلك، مع بعد التفكيك بين المقامين،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ينافي مذهب البهائي أخبار استبطان الشراك </w:t>
      </w:r>
      <w:r>
        <w:rPr>
          <w:rStyle w:val="FootnoteAnchor"/>
          <w:rtl w:val="true"/>
        </w:rPr>
        <w:footnoteReference w:id="686"/>
      </w:r>
      <w:r>
        <w:rPr>
          <w:rFonts w:ascii="Amiri" w:hAnsi="Amiri" w:eastAsia="Amiri" w:cs="Amiri"/>
          <w:color w:val="111111"/>
          <w:sz w:val="28"/>
          <w:sz w:val="28"/>
          <w:szCs w:val="28"/>
          <w:rtl w:val="true"/>
          <w:lang w:bidi="ar-SA"/>
        </w:rPr>
        <w:t>، إذ غايته كون محل معقده خارجا عن حد المسح، و ذلك إنما يقتضي خروج الغاية عن حد المسح، و لا ضير فيه، فلا وجه حينئذ لجعل ذلك مؤيدا لمذهب المشهور إلّا بجعل معقد الشراك موضعا أسفل من المفصل لا نفسه، أو فوقه و هو أول الدعوى،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المسح منكوسا بلا اشكال، لصريح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الرجل مقبلا و مدبرا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المسح المزبور لا بدّ أن يكون على الخصوصيات المحفوظة في باب مسح الرأس، لظهور أدلتها في كونها أحكاما للمسح، بلا خصوصية لمسح الرأس فيها، و لقد عرفت بأنه مع عدم القدرة على المسح بالبلّة لحرارة الهواء يجب المسح بماء جديد، و مع التقية في المقام أيضا يقتضي عمومات الاضطرار المزبورة المسح بصورة الغسل بماء جديد، و مع العجز من المسح أيضا يجتزأ بصرف الغسل بماء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الخفين ورد النص بالمسح على الخفين </w:t>
      </w:r>
      <w:r>
        <w:rPr>
          <w:rStyle w:val="FootnoteAnchor"/>
          <w:rtl w:val="true"/>
        </w:rPr>
        <w:footnoteReference w:id="688"/>
      </w:r>
      <w:r>
        <w:rPr>
          <w:rFonts w:ascii="Amiri" w:hAnsi="Amiri" w:eastAsia="Amiri" w:cs="Amiri"/>
          <w:color w:val="111111"/>
          <w:sz w:val="28"/>
          <w:sz w:val="28"/>
          <w:szCs w:val="28"/>
          <w:rtl w:val="true"/>
          <w:lang w:bidi="ar-SA"/>
        </w:rPr>
        <w:t xml:space="preserve">، و لا يبعد ترجيحه على ما دلّ على الغسل </w:t>
      </w:r>
      <w:r>
        <w:rPr>
          <w:rStyle w:val="FootnoteAnchor"/>
          <w:rtl w:val="true"/>
        </w:rPr>
        <w:footnoteReference w:id="689"/>
      </w:r>
      <w:r>
        <w:rPr>
          <w:rFonts w:ascii="Amiri" w:hAnsi="Amiri" w:eastAsia="Amiri" w:cs="Amiri"/>
          <w:color w:val="111111"/>
          <w:sz w:val="28"/>
          <w:sz w:val="28"/>
          <w:szCs w:val="28"/>
          <w:rtl w:val="true"/>
          <w:lang w:bidi="ar-SA"/>
        </w:rPr>
        <w:t>باشتهار الفتوى بالمسح على الخف، و ربّما يوهن ذلك سند رواية الغسل و لو كانت مستفيضة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بقائها على وثوقها سندا أمكن الجمع بين الطائفتين بالحمل</w:t>
      </w:r>
    </w:p>
    <w:p>
      <w:pPr>
        <w:pStyle w:val="BookText"/>
        <w:rPr/>
      </w:pPr>
      <w:r>
        <w:rPr>
          <w:rFonts w:ascii="Amiri" w:hAnsi="Amiri" w:eastAsia="Amiri" w:cs="Amiri"/>
          <w:color w:val="111111"/>
          <w:sz w:val="28"/>
          <w:sz w:val="28"/>
          <w:szCs w:val="28"/>
          <w:rtl w:val="true"/>
          <w:lang w:bidi="ar-SA"/>
        </w:rPr>
        <w:t>على التخيير، و لو برفع اليد عن ظهور كل منهما في التعينية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نفي التقية في المسح على الخف </w:t>
      </w:r>
      <w:r>
        <w:rPr>
          <w:rStyle w:val="FootnoteAnchor"/>
          <w:rtl w:val="true"/>
        </w:rPr>
        <w:footnoteReference w:id="690"/>
      </w:r>
      <w:r>
        <w:rPr>
          <w:rFonts w:ascii="Amiri" w:hAnsi="Amiri" w:eastAsia="Amiri" w:cs="Amiri"/>
          <w:color w:val="111111"/>
          <w:sz w:val="28"/>
          <w:sz w:val="28"/>
          <w:szCs w:val="28"/>
          <w:rtl w:val="true"/>
          <w:lang w:bidi="ar-SA"/>
        </w:rPr>
        <w:t xml:space="preserve">، خصوصا ما كان بلسان النهي غير الجاري فيه توجيه زرارة من نفي صدوره عنهم لا نهي الناس عنه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حمل النهي على توهم إيجابه تعيينا، فيؤيد حينئذ التخيير بينه و بين الغسل بماء جديد، و يمكن الحمل على الكراهة كي يناسب توجيه زرارة أيضا، و لو بنص رواية أبي الورد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مقتضى إطلاق الرواية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بقية المنصوصات بالخصوص من مثل رد الشعر </w:t>
      </w:r>
      <w:r>
        <w:rPr>
          <w:rStyle w:val="FootnoteAnchor"/>
          <w:rtl w:val="true"/>
        </w:rPr>
        <w:footnoteReference w:id="693"/>
      </w:r>
      <w:r>
        <w:rPr>
          <w:rFonts w:ascii="Amiri" w:hAnsi="Amiri" w:eastAsia="Amiri" w:cs="Amiri"/>
          <w:color w:val="111111"/>
          <w:sz w:val="28"/>
          <w:sz w:val="28"/>
          <w:szCs w:val="28"/>
          <w:rtl w:val="true"/>
          <w:lang w:bidi="ar-SA"/>
        </w:rPr>
        <w:t>و غيره بقرينة بعد تنزيلها على الموارد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تغيير موضوع الابتلاء مع تمكنه منه، و بهذا المقدار يرفع اليد عن إطلاق دليل الجزئية أو الشرطية الأولية، و أما في غير هذه الصورة فينحصر أمر مشروعيته بصدق الاضطرار، غير الصادق مع وجود المندوحة حتى يغيّر موضوع ابتلائه، فضلا عن جعل نفسه في مورد الابتلاء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ورد من لزوم الصلاة في بيوتهم ثم الصلاة معهم </w:t>
      </w:r>
      <w:r>
        <w:rPr>
          <w:rStyle w:val="FootnoteAnchor"/>
          <w:rtl w:val="true"/>
        </w:rPr>
        <w:footnoteReference w:id="694"/>
      </w:r>
      <w:r>
        <w:rPr>
          <w:rFonts w:ascii="Amiri" w:hAnsi="Amiri" w:eastAsia="Amiri" w:cs="Amiri"/>
          <w:color w:val="111111"/>
          <w:sz w:val="28"/>
          <w:sz w:val="28"/>
          <w:szCs w:val="28"/>
          <w:rtl w:val="true"/>
          <w:lang w:bidi="ar-SA"/>
        </w:rPr>
        <w:t xml:space="preserve">، بل و من مثل هذه الرواية يستفاد كيفية المعاشرة معهم التي هي مورد التحريض و الترغيب في جملة من الروايات </w:t>
      </w:r>
      <w:r>
        <w:rPr>
          <w:rStyle w:val="FootnoteAnchor"/>
          <w:rtl w:val="true"/>
        </w:rPr>
        <w:footnoteReference w:id="695"/>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bookmarkStart w:id="168" w:name="pg19729_212722"/>
    </w:p>
    <w:p>
      <w:pPr>
        <w:pStyle w:val="BookText"/>
        <w:rPr/>
      </w:pPr>
      <w:bookmarkEnd w:id="168"/>
      <w:r>
        <w:rPr>
          <w:rFonts w:ascii="IRNazanin" w:hAnsi="IRNazanin" w:eastAsia="IRNazanin"/>
          <w:color w:val="111111"/>
          <w:sz w:val="28"/>
          <w:sz w:val="28"/>
          <w:szCs w:val="28"/>
          <w:rtl w:val="true"/>
          <w:lang w:bidi="fa-IR"/>
        </w:rPr>
        <w:t>و</w:t>
      </w:r>
    </w:p>
    <w:p>
      <w:pPr>
        <w:pStyle w:val="Heading6"/>
        <w:numPr>
          <w:ilvl w:val="5"/>
          <w:numId w:val="1"/>
        </w:numPr>
        <w:rPr/>
      </w:pPr>
      <w:bookmarkStart w:id="169" w:name="__RefHeading___Toc3251221_2314609296"/>
      <w:bookmarkStart w:id="170" w:name="_Toc63"/>
      <w:bookmarkEnd w:id="169"/>
      <w:r>
        <w:rPr>
          <w:rtl w:val="true"/>
        </w:rPr>
        <w:t>السادس من واجبات الوضوء الترتيب</w:t>
      </w:r>
      <w:bookmarkEnd w:id="170"/>
    </w:p>
    <w:p>
      <w:pPr>
        <w:pStyle w:val="BookText"/>
        <w:rPr/>
      </w:pPr>
      <w:r>
        <w:rPr>
          <w:rFonts w:ascii="Amiri" w:hAnsi="Amiri" w:eastAsia="Amiri" w:cs="Amiri"/>
          <w:color w:val="111111"/>
          <w:sz w:val="28"/>
          <w:sz w:val="28"/>
          <w:szCs w:val="28"/>
          <w:rtl w:val="true"/>
          <w:lang w:bidi="ar-SA"/>
        </w:rPr>
        <w:t xml:space="preserve">على ما قلنا واحدا بعد واحد، لما دلّ من النص على الأمر بمجرد غسل يساره الذي أوقعه قبل يمينه </w:t>
      </w:r>
      <w:r>
        <w:rPr>
          <w:rStyle w:val="FootnoteAnchor"/>
          <w:rtl w:val="true"/>
        </w:rPr>
        <w:footnoteReference w:id="696"/>
      </w:r>
      <w:r>
        <w:rPr>
          <w:rFonts w:ascii="Amiri" w:hAnsi="Amiri" w:eastAsia="Amiri" w:cs="Amiri"/>
          <w:color w:val="111111"/>
          <w:sz w:val="28"/>
          <w:sz w:val="28"/>
          <w:szCs w:val="28"/>
          <w:rtl w:val="true"/>
          <w:lang w:bidi="ar-SA"/>
        </w:rPr>
        <w:t xml:space="preserve">، بعد منع منافاته لخبر اللمعة </w:t>
      </w:r>
      <w:r>
        <w:rPr>
          <w:rStyle w:val="FootnoteAnchor"/>
          <w:rtl w:val="true"/>
        </w:rPr>
        <w:footnoteReference w:id="697"/>
      </w:r>
      <w:r>
        <w:rPr>
          <w:rFonts w:ascii="Amiri" w:hAnsi="Amiri" w:eastAsia="Amiri" w:cs="Amiri"/>
          <w:color w:val="111111"/>
          <w:sz w:val="28"/>
          <w:sz w:val="28"/>
          <w:szCs w:val="28"/>
          <w:rtl w:val="true"/>
          <w:lang w:bidi="ar-SA"/>
        </w:rPr>
        <w:t>، لإمكان حمله على صورة عدم فوت الترتيب، و لو بتقييد عمومه الناشئ عن ترك استفصاله عليه السلام، بل منه يستفاد عدم وجوب إعادة ما هو حقه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الموجب لإعادة الفعلين، لرواية أبي بصير </w:t>
      </w:r>
      <w:r>
        <w:rPr>
          <w:rStyle w:val="FootnoteAnchor"/>
          <w:rtl w:val="true"/>
        </w:rPr>
        <w:footnoteReference w:id="698"/>
      </w:r>
      <w:r>
        <w:rPr>
          <w:rFonts w:ascii="Amiri" w:hAnsi="Amiri" w:eastAsia="Amiri" w:cs="Amiri"/>
          <w:color w:val="111111"/>
          <w:sz w:val="28"/>
          <w:sz w:val="28"/>
          <w:szCs w:val="28"/>
          <w:rtl w:val="true"/>
          <w:lang w:bidi="ar-SA"/>
        </w:rPr>
        <w:t xml:space="preserve">، و رواية أخرى مشتملة على غسل اليدين في محل الفرض </w:t>
      </w:r>
      <w:r>
        <w:rPr>
          <w:rStyle w:val="FootnoteAnchor"/>
          <w:rtl w:val="true"/>
        </w:rPr>
        <w:footnoteReference w:id="699"/>
      </w:r>
      <w:r>
        <w:rPr>
          <w:rFonts w:ascii="Amiri" w:hAnsi="Amiri" w:eastAsia="Amiri" w:cs="Amiri"/>
          <w:color w:val="111111"/>
          <w:sz w:val="28"/>
          <w:sz w:val="28"/>
          <w:szCs w:val="28"/>
          <w:rtl w:val="true"/>
          <w:lang w:bidi="ar-SA"/>
        </w:rPr>
        <w:t xml:space="preserve">، إذ على فرض تمامية دلالتها قابلة للتصرف بالرواية السابقة </w:t>
      </w:r>
      <w:r>
        <w:rPr>
          <w:rStyle w:val="FootnoteAnchor"/>
          <w:rtl w:val="true"/>
        </w:rPr>
        <w:footnoteReference w:id="700"/>
      </w:r>
      <w:r>
        <w:rPr>
          <w:rFonts w:ascii="Amiri" w:hAnsi="Amiri" w:eastAsia="Amiri" w:cs="Amiri"/>
          <w:color w:val="111111"/>
          <w:sz w:val="28"/>
          <w:sz w:val="28"/>
          <w:szCs w:val="28"/>
          <w:rtl w:val="true"/>
          <w:lang w:bidi="ar-SA"/>
        </w:rPr>
        <w:t xml:space="preserve">، المؤيدة بخبر علي بن جعفر المشتملة على إعادة اليسار محضا </w:t>
      </w:r>
      <w:r>
        <w:rPr>
          <w:rStyle w:val="FootnoteAnchor"/>
          <w:rtl w:val="true"/>
        </w:rPr>
        <w:footnoteReference w:id="701"/>
      </w:r>
      <w:r>
        <w:rPr>
          <w:rFonts w:ascii="IRNazanin" w:hAnsi="IRNazanin" w:eastAsia="IRNazanin"/>
          <w:color w:val="111111"/>
          <w:sz w:val="28"/>
          <w:sz w:val="28"/>
          <w:szCs w:val="28"/>
          <w:rtl w:val="true"/>
          <w:lang w:bidi="fa-IR"/>
        </w:rPr>
        <w:t>، بحملهما على الاستحباب</w:t>
      </w:r>
      <w:r>
        <w:rPr>
          <w:rFonts w:eastAsia="IRNazanin" w:cs="IRNazanin"/>
          <w:color w:val="111111"/>
          <w:sz w:val="28"/>
          <w:szCs w:val="28"/>
          <w:rtl w:val="true"/>
          <w:lang w:bidi="fa-IR"/>
        </w:rPr>
        <w:t>.</w:t>
      </w:r>
    </w:p>
    <w:p>
      <w:pPr>
        <w:pStyle w:val="Heading6"/>
        <w:numPr>
          <w:ilvl w:val="5"/>
          <w:numId w:val="1"/>
        </w:numPr>
        <w:rPr/>
      </w:pPr>
      <w:bookmarkStart w:id="171" w:name="__RefHeading___Toc3251223_2314609296"/>
      <w:bookmarkStart w:id="172" w:name="_Toc64"/>
      <w:bookmarkEnd w:id="171"/>
      <w:r>
        <w:rPr>
          <w:rtl w:val="true"/>
        </w:rPr>
        <w:t>و السابع الموالاة</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متابعة أفعاله بعضها ببعض، بلا اشكال فيه في الجملة نصا </w:t>
      </w:r>
      <w:r>
        <w:rPr>
          <w:rStyle w:val="FootnoteAnchor"/>
          <w:rtl w:val="true"/>
        </w:rPr>
        <w:footnoteReference w:id="702"/>
      </w:r>
      <w:r>
        <w:rPr>
          <w:rFonts w:ascii="Amiri" w:hAnsi="Amiri" w:eastAsia="Amiri" w:cs="Amiri"/>
          <w:color w:val="111111"/>
          <w:sz w:val="28"/>
          <w:sz w:val="28"/>
          <w:szCs w:val="28"/>
          <w:rtl w:val="true"/>
          <w:lang w:bidi="ar-SA"/>
        </w:rPr>
        <w:t>و فتوى، و إنما الكلام في المراد من المتابعة من أنها خصوص التواصل أثرا، أو خصوص تواصل الأفعال خارجا اختيارا، أو تواصل الأثر اضطرارا، أو خصوص التواصل أثرا مع وجوب التواصل بين الأفعال تعبدا، وجوه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المقام هي النصوص</w:t>
      </w:r>
      <w:bookmarkStart w:id="173" w:name="pg19729_212723"/>
    </w:p>
    <w:p>
      <w:pPr>
        <w:pStyle w:val="BookText"/>
        <w:rPr/>
      </w:pPr>
      <w:bookmarkEnd w:id="173"/>
      <w:r>
        <w:rPr>
          <w:rFonts w:ascii="Amiri" w:hAnsi="Amiri" w:eastAsia="Amiri" w:cs="Amiri"/>
          <w:color w:val="111111"/>
          <w:sz w:val="28"/>
          <w:sz w:val="28"/>
          <w:szCs w:val="28"/>
          <w:rtl w:val="true"/>
          <w:lang w:bidi="ar-SA"/>
        </w:rPr>
        <w:t xml:space="preserve">المشتملة على الأمر بالإعادة بالجفاف لإبطاء الجارية </w:t>
      </w:r>
      <w:r>
        <w:rPr>
          <w:rStyle w:val="FootnoteAnchor"/>
          <w:rtl w:val="true"/>
        </w:rPr>
        <w:footnoteReference w:id="703"/>
      </w:r>
      <w:r>
        <w:rPr>
          <w:rFonts w:ascii="Amiri" w:hAnsi="Amiri" w:eastAsia="Amiri" w:cs="Amiri"/>
          <w:color w:val="111111"/>
          <w:sz w:val="28"/>
          <w:sz w:val="28"/>
          <w:szCs w:val="28"/>
          <w:rtl w:val="true"/>
          <w:lang w:bidi="ar-SA"/>
        </w:rPr>
        <w:t xml:space="preserve">، أو باليبوسة لعروض الحاجة </w:t>
      </w:r>
      <w:r>
        <w:rPr>
          <w:rStyle w:val="FootnoteAnchor"/>
          <w:rtl w:val="true"/>
        </w:rPr>
        <w:footnoteReference w:id="704"/>
      </w:r>
      <w:r>
        <w:rPr>
          <w:rFonts w:ascii="Amiri" w:hAnsi="Amiri" w:eastAsia="Amiri" w:cs="Amiri"/>
          <w:color w:val="111111"/>
          <w:sz w:val="28"/>
          <w:sz w:val="28"/>
          <w:szCs w:val="28"/>
          <w:rtl w:val="true"/>
          <w:lang w:bidi="ar-SA"/>
        </w:rPr>
        <w:t xml:space="preserve">، أو نسيان الرأس </w:t>
      </w:r>
      <w:r>
        <w:rPr>
          <w:rStyle w:val="FootnoteAnchor"/>
          <w:rtl w:val="true"/>
        </w:rPr>
        <w:footnoteReference w:id="705"/>
      </w:r>
      <w:r>
        <w:rPr>
          <w:rFonts w:ascii="IRNazanin" w:hAnsi="IRNazanin" w:eastAsia="IRNazanin"/>
          <w:color w:val="111111"/>
          <w:sz w:val="28"/>
          <w:sz w:val="28"/>
          <w:szCs w:val="28"/>
          <w:rtl w:val="true"/>
          <w:lang w:bidi="fa-IR"/>
        </w:rPr>
        <w:t xml:space="preserve">، أو الذارع </w:t>
      </w:r>
      <w:r>
        <w:rPr>
          <w:rStyle w:val="FootnoteAnchor"/>
          <w:rtl w:val="true"/>
        </w:rPr>
        <w:footnoteReference w:id="706"/>
      </w:r>
      <w:r>
        <w:rPr>
          <w:rFonts w:ascii="Amiri" w:hAnsi="Amiri" w:eastAsia="Amiri" w:cs="Amiri"/>
          <w:color w:val="111111"/>
          <w:sz w:val="28"/>
          <w:sz w:val="28"/>
          <w:szCs w:val="28"/>
          <w:rtl w:val="true"/>
          <w:lang w:bidi="ar-SA"/>
        </w:rPr>
        <w:t>معللا في الثانية بأن الوضوء لا يتبعض، و في الثالثة بأنه يتبع بعضه بعضا، و ظاهر ترتب الإعادة في الثانية على اليبوسة كفاية التواصل أثرا، و كونه تمام المناط، بحيث لا يجب التتابع الفعلي و تواصله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التتابع الفعلي، و ظاهره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تمام مناط الصحة، فالأمر حينئذ يدور بين رفع اليد عن مفهوم كل واحد بمنطوق الآخر، و بين تقييد المنطوقين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كما أنّ لازم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الصحة بمجموعهما،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التصرف بالنحو الأول أولى منه بالنحو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إطلاق للرواية الأولى </w:t>
      </w:r>
      <w:r>
        <w:rPr>
          <w:rStyle w:val="FootnoteAnchor"/>
          <w:rtl w:val="true"/>
        </w:rPr>
        <w:footnoteReference w:id="707"/>
      </w:r>
      <w:r>
        <w:rPr>
          <w:rFonts w:ascii="Amiri" w:hAnsi="Amiri" w:eastAsia="Amiri" w:cs="Amiri"/>
          <w:color w:val="111111"/>
          <w:sz w:val="28"/>
          <w:sz w:val="28"/>
          <w:szCs w:val="28"/>
          <w:rtl w:val="true"/>
          <w:lang w:bidi="ar-SA"/>
        </w:rPr>
        <w:t>لصورة خروج بقاء الأثر عن المقدار المتعارف، لطول المدة و رطوبة الهواء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البيان المزبور ظهر حال بقية الأقوال، إذ كل قول ناظر إلى نحو 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أيضا انّ ما أفاده المصنف من شرح المتابعة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متابعة الأفعال بعضها لبعض من غير تأخير الظاهر في عدم كفاية المتابعة الأثرية، منظور فيه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251225_2314609296"/>
      <w:bookmarkStart w:id="175" w:name="_Toc65"/>
      <w:bookmarkEnd w:id="174"/>
      <w:r>
        <w:rPr>
          <w:rtl w:val="true"/>
        </w:rPr>
        <w:t>بقي في المقام فرعان</w:t>
      </w:r>
      <w:r>
        <w:rPr>
          <w:rtl w:val="true"/>
        </w:rPr>
        <w:t>:</w:t>
      </w:r>
      <w:bookmarkEnd w:id="17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6" w:name="__RefHeading___Toc3251227_2314609296"/>
      <w:bookmarkStart w:id="177" w:name="_Toc66"/>
      <w:bookmarkEnd w:id="176"/>
      <w:r>
        <w:rPr>
          <w:rtl w:val="true"/>
        </w:rPr>
        <w:t>اشارة</w:t>
      </w:r>
      <w:bookmarkStart w:id="178" w:name="pg19729_212724"/>
      <w:bookmarkEnd w:id="177"/>
    </w:p>
    <w:p>
      <w:pPr>
        <w:pStyle w:val="Heading6"/>
        <w:numPr>
          <w:ilvl w:val="5"/>
          <w:numId w:val="1"/>
        </w:numPr>
        <w:rPr/>
      </w:pPr>
      <w:bookmarkStart w:id="179" w:name="__RefHeading___Toc3251229_2314609296"/>
      <w:bookmarkStart w:id="180" w:name="_Toc67"/>
      <w:bookmarkEnd w:id="178"/>
      <w:bookmarkEnd w:id="179"/>
      <w:r>
        <w:rPr>
          <w:rtl w:val="true"/>
        </w:rPr>
        <w:t>أحدهما</w:t>
      </w:r>
      <w:r>
        <w:rPr>
          <w:rtl w:val="true"/>
        </w:rPr>
        <w:t xml:space="preserve">: </w:t>
      </w:r>
      <w:r>
        <w:rPr>
          <w:rtl w:val="true"/>
        </w:rPr>
        <w:t>انّ من كان في بعض أعضائه جبيرة، فإن أمكنه إيصال الماء إلى المحل بلا عسر و لا نجاسة محل، فلا إشكال في وجوبه،</w:t>
      </w:r>
      <w:bookmarkEnd w:id="180"/>
    </w:p>
    <w:p>
      <w:pPr>
        <w:pStyle w:val="BookText"/>
        <w:rPr/>
      </w:pPr>
      <w:r>
        <w:rPr>
          <w:rFonts w:ascii="Amiri" w:hAnsi="Amiri" w:eastAsia="Amiri" w:cs="Amiri"/>
          <w:color w:val="111111"/>
          <w:sz w:val="28"/>
          <w:sz w:val="28"/>
          <w:szCs w:val="28"/>
          <w:rtl w:val="true"/>
          <w:lang w:bidi="ar-SA"/>
        </w:rPr>
        <w:t xml:space="preserve">لإطلاقات الأدلة، مضافا إلى الموثقة الآمرة بوضعه في الماء من غير أن يحله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لم يتمكن من ذلك، فمع فرض ستر موضع الجبيرة، فلا إشكال أيضا في كفاية مسح الجبيرة بالماء بدل غسل المحل، للأخبار </w:t>
      </w:r>
      <w:r>
        <w:rPr>
          <w:rStyle w:val="FootnoteAnchor"/>
          <w:rtl w:val="true"/>
        </w:rPr>
        <w:footnoteReference w:id="709"/>
      </w:r>
      <w:r>
        <w:rPr>
          <w:rFonts w:ascii="Amiri" w:hAnsi="Amiri" w:eastAsia="Amiri" w:cs="Amiri"/>
          <w:color w:val="111111"/>
          <w:sz w:val="28"/>
          <w:sz w:val="28"/>
          <w:szCs w:val="28"/>
          <w:rtl w:val="true"/>
          <w:lang w:bidi="ar-SA"/>
        </w:rPr>
        <w:t xml:space="preserve">المستفيضة المشتملة بعضها على المسح </w:t>
      </w:r>
      <w:r>
        <w:rPr>
          <w:rStyle w:val="FootnoteAnchor"/>
          <w:rtl w:val="true"/>
        </w:rPr>
        <w:footnoteReference w:id="710"/>
      </w:r>
      <w:r>
        <w:rPr>
          <w:rFonts w:ascii="IRNazanin" w:hAnsi="IRNazanin" w:eastAsia="IRNazanin"/>
          <w:color w:val="111111"/>
          <w:sz w:val="28"/>
          <w:sz w:val="28"/>
          <w:szCs w:val="28"/>
          <w:rtl w:val="true"/>
          <w:lang w:bidi="fa-IR"/>
        </w:rPr>
        <w:t xml:space="preserve">، و بعضها على المسح بالماء </w:t>
      </w:r>
      <w:r>
        <w:rPr>
          <w:rStyle w:val="FootnoteAnchor"/>
          <w:rtl w:val="true"/>
        </w:rPr>
        <w:footnoteReference w:id="711"/>
      </w:r>
      <w:r>
        <w:rPr>
          <w:rFonts w:ascii="Amiri" w:hAnsi="Amiri" w:eastAsia="Amiri" w:cs="Amiri"/>
          <w:color w:val="111111"/>
          <w:sz w:val="28"/>
          <w:sz w:val="28"/>
          <w:szCs w:val="28"/>
          <w:rtl w:val="true"/>
          <w:lang w:bidi="ar-SA"/>
        </w:rPr>
        <w:t>، و مورد الأخير و إن كان في الجنابة إلّا أنه يجري في المقام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رواية عبد الأعلى </w:t>
      </w:r>
      <w:r>
        <w:rPr>
          <w:rStyle w:val="FootnoteAnchor"/>
          <w:rtl w:val="true"/>
        </w:rPr>
        <w:footnoteReference w:id="712"/>
      </w:r>
      <w:r>
        <w:rPr>
          <w:rFonts w:ascii="Amiri" w:hAnsi="Amiri" w:eastAsia="Amiri" w:cs="Amiri"/>
          <w:color w:val="111111"/>
          <w:sz w:val="28"/>
          <w:sz w:val="28"/>
          <w:szCs w:val="28"/>
          <w:rtl w:val="true"/>
          <w:lang w:bidi="ar-SA"/>
        </w:rPr>
        <w:t xml:space="preserve">، و بمثلها يرفع اليد عن إطلاق ما دلّ على كفاية غسل ما حوله </w:t>
      </w:r>
      <w:r>
        <w:rPr>
          <w:rStyle w:val="FootnoteAnchor"/>
          <w:rtl w:val="true"/>
        </w:rPr>
        <w:footnoteReference w:id="713"/>
      </w:r>
      <w:r>
        <w:rPr>
          <w:rFonts w:ascii="Amiri" w:hAnsi="Amiri" w:eastAsia="Amiri" w:cs="Amiri"/>
          <w:color w:val="111111"/>
          <w:sz w:val="28"/>
          <w:sz w:val="28"/>
          <w:szCs w:val="28"/>
          <w:rtl w:val="true"/>
          <w:lang w:bidi="ar-SA"/>
        </w:rPr>
        <w:t>، بحملها على أنه يدع ما سوى الحول في غسله المعتبر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وجوب مسح الجبيرة بالماء، على وجه لا يقتضي وجود الغسل المعهود في بقية الأعضاء، بل بمقدار يقتضيه المسح المزبور، من دون احتياج إلى حملها على الجرح المكشوف، كي ينافيه رواية ابن الحجاج الواردة في فرض وجود الجبيرة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باب الغسل جملة أخبار دالة على الانتقال إلى التيمم </w:t>
      </w:r>
      <w:r>
        <w:rPr>
          <w:rStyle w:val="FootnoteAnchor"/>
          <w:rtl w:val="true"/>
        </w:rPr>
        <w:footnoteReference w:id="7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حيث إنّ في أخبار الباب ما اشتملت على حكم الوضوء و الغسل </w:t>
      </w:r>
      <w:r>
        <w:rPr>
          <w:rStyle w:val="FootnoteAnchor"/>
          <w:rtl w:val="true"/>
        </w:rPr>
        <w:footnoteReference w:id="716"/>
      </w:r>
      <w:r>
        <w:rPr>
          <w:rFonts w:ascii="Amiri" w:hAnsi="Amiri" w:eastAsia="Amiri" w:cs="Amiri"/>
          <w:color w:val="111111"/>
          <w:sz w:val="28"/>
          <w:sz w:val="28"/>
          <w:szCs w:val="28"/>
          <w:rtl w:val="true"/>
          <w:lang w:bidi="ar-SA"/>
        </w:rPr>
        <w:t>، لا يبقى مجال الجمع بحمل أخبار التيمم على الغسل و غيره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أخبار التيمم على الجرح المكشوف و غيره على غيره جمع بلا شاهد، كالجمع بينهما بحمل أخبار التيمم على المستوعب و غيره على غيره، كما أنّ الجمع بالتخيير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فأولى الجموع حمل أخبار التيمم على صورة عدم التمكن من وضع الجبيرة، و عدم إمكان غسل ما حوله أيضا، فيبقى أخبار غسل ما حوله مع التمكن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الجرح المكشوف الذي لا يمكن وضع جبيرة عليه، يكتفي بغسل ما حوله مطلقا غسلا أو وضوء، أما مع التمكن من وضع الجبيرة، ففي وجوب وضع الجبيرة و المسح عليها أيضا، أو الاقتصار على غسل ما حوله، وجهان مبنيان على إطلاق وجوب المسح على الجبيرة بالنسبة إلى تحصيل الجبيرة، أم هو مثل سائر الخطابات المتعلقة بالموضوعات الخارجية، منوط بوجود موضوعها من باب الاتفاق، بلا اقتضاء الحكم تحصيل موضوعه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الجواهر إطلاق وجوبه </w:t>
      </w:r>
      <w:r>
        <w:rPr>
          <w:rStyle w:val="FootnoteAnchor"/>
          <w:rtl w:val="true"/>
        </w:rPr>
        <w:footnoteReference w:id="718"/>
      </w:r>
      <w:r>
        <w:rPr>
          <w:rFonts w:ascii="Amiri" w:hAnsi="Amiri" w:eastAsia="Amiri" w:cs="Amiri"/>
          <w:color w:val="111111"/>
          <w:sz w:val="28"/>
          <w:sz w:val="28"/>
          <w:szCs w:val="28"/>
          <w:rtl w:val="true"/>
          <w:lang w:bidi="ar-SA"/>
        </w:rPr>
        <w:t>، و هو منظور فيه، و قياس المقام بالجبيرة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حكي دعوى إطباقهم على وجوب وضع شي‌ء طاهر عليها و مسحه، على فرض تسليم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إذ الموضوع هناك محقق الوقوع، و إنما النجاسة مانعة عن القدرة على مسحها، فيجب تحصيل</w:t>
      </w:r>
      <w:bookmarkStart w:id="181" w:name="pg19729_212726"/>
    </w:p>
    <w:p>
      <w:pPr>
        <w:pStyle w:val="BookText"/>
        <w:rPr/>
      </w:pPr>
      <w:bookmarkEnd w:id="181"/>
      <w:r>
        <w:rPr>
          <w:rFonts w:ascii="Amiri" w:hAnsi="Amiri" w:eastAsia="Amiri" w:cs="Amiri"/>
          <w:color w:val="111111"/>
          <w:sz w:val="28"/>
          <w:sz w:val="28"/>
          <w:szCs w:val="28"/>
          <w:rtl w:val="true"/>
          <w:lang w:bidi="ar-SA"/>
        </w:rPr>
        <w:t>القدرة عقلا بوضع شي‌ء طاهر، و ذلك أيضا لو لم نقل باقتضاء الخطاب وجوب المسح على الجبيرة بنفسها لا بشي‌ء آخر مفروش عليها، فتحصيل طاهر مفروش عليه لا وجه له، فيسقط المسح عليه حينئذ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دعوى انّ وضع شي‌ء خفيف عليه لا يوجب عرفا تغيير موضوع الجبيرة، و مع عدم تغييره يصدق التمكن من مسحه، فيجب تحصيل مقدمته، و أين ذلك من تحصيل أصل الجبيرة، كما لا يخفى</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251231_2314609296"/>
      <w:bookmarkStart w:id="183" w:name="_Toc68"/>
      <w:bookmarkEnd w:id="182"/>
      <w:r>
        <w:rPr>
          <w:rtl w:val="true"/>
        </w:rPr>
        <w:t>ثانيهما</w:t>
      </w:r>
      <w:r>
        <w:rPr>
          <w:rtl w:val="true"/>
        </w:rPr>
        <w:t xml:space="preserve">: </w:t>
      </w:r>
      <w:r>
        <w:rPr>
          <w:rtl w:val="true"/>
        </w:rPr>
        <w:t>من به السلس إن كانت له فترة تتسع الوضوء و الصلاة، فإنه يجب عليه الانتظار إليه</w:t>
      </w:r>
      <w:bookmarkEnd w:id="183"/>
    </w:p>
    <w:p>
      <w:pPr>
        <w:pStyle w:val="BookText"/>
        <w:rPr/>
      </w:pPr>
      <w:r>
        <w:rPr>
          <w:rFonts w:ascii="Amiri" w:hAnsi="Amiri" w:eastAsia="Amiri" w:cs="Amiri"/>
          <w:color w:val="111111"/>
          <w:sz w:val="28"/>
          <w:sz w:val="28"/>
          <w:szCs w:val="28"/>
          <w:rtl w:val="true"/>
          <w:lang w:bidi="ar-SA"/>
        </w:rPr>
        <w:t>للقدرة على تحصيل ما كلّف به، و قصور دليل البدلية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كذلك، فلا شبهة في انّ الصلاة لا تترك بحال، و حينئذ فإن أمكن تحصيل الطهارة في أثناء الصلاة بنحو لا يستلزم فعلا كثيرا زائدا عن تحصيل الغسلات، فالظاهر وجوبه أيضا، تنظيرا للمقام بباب المبطون، علاوة على اقتضاء القاعدة عدم رفع اليد عن ناقضية البول، أو مانعية هذا الحدث في الصلاة بمقدار يتمكن معه من فعل الوضوء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يتمكن من ذلك أيضا، فالظاهر الاكتفاء بوضوئه إلى آخر الصلاة، و تجديده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يفرّق بين رفع الناقضية و رفع المانعية، بأنّ الوضوء مطهّر على الأول و مبيح على الثاني، و مع الشك في ترجيح أحد الجهتين ربما يفرّق بين صورة طروء القطرات في أثناء الوضوء أو بعده، فعلى الأول يستصحب الحدث فيصير الوضوء مبيحا، و على الثاني يستصحب الطهارة فيكون مطهّرا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قائما، ذلك بلاء ابتلاه اللّٰه به فلا يعيدن إلّا</w:t>
      </w:r>
    </w:p>
    <w:p>
      <w:pPr>
        <w:pStyle w:val="BookText"/>
        <w:rPr/>
      </w:pPr>
      <w:r>
        <w:rPr>
          <w:rFonts w:ascii="Amiri" w:hAnsi="Amiri" w:eastAsia="Amiri" w:cs="Amiri"/>
          <w:color w:val="111111"/>
          <w:sz w:val="28"/>
          <w:sz w:val="28"/>
          <w:szCs w:val="28"/>
          <w:rtl w:val="true"/>
          <w:lang w:bidi="ar-SA"/>
        </w:rPr>
        <w:t>من الحدث الذي يتوضأ منه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 ظاهره كون ذلك حدثا، غاية الأمر لا يتوضأ منه لعدم مانعيته، و لازمة المبيحية و وجوب الوضوء لكل صلاة، لأنه المتيقن، لو لا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لزومه، و انه معذور في تركه ما دام غلب اللّٰه عليه، كما ورد في المقام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مقتضى صحيحة أخرى جواز الجمع بين صلاتين بوضوء واحد </w:t>
      </w:r>
      <w:r>
        <w:rPr>
          <w:rStyle w:val="FootnoteAnchor"/>
          <w:rtl w:val="true"/>
        </w:rPr>
        <w:footnoteReference w:id="721"/>
      </w:r>
      <w:r>
        <w:rPr>
          <w:rFonts w:ascii="Amiri" w:hAnsi="Amiri" w:eastAsia="Amiri" w:cs="Amiri"/>
          <w:color w:val="111111"/>
          <w:sz w:val="28"/>
          <w:sz w:val="28"/>
          <w:szCs w:val="28"/>
          <w:rtl w:val="true"/>
          <w:lang w:bidi="ar-SA"/>
        </w:rPr>
        <w:t>، و بذلك يرفع اليد عن مقتضى القواعد من لزوم تجديد الوضوء في أثناء الصلاة بمقدار لا يلزم منه فعل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أيضا يمتاز حكم المقام عن المبطون، لاختصاص نصه الوارد على طبق القاعدة بمورده </w:t>
      </w:r>
      <w:r>
        <w:rPr>
          <w:rStyle w:val="FootnoteAnchor"/>
          <w:rtl w:val="true"/>
        </w:rPr>
        <w:footnoteReference w:id="722"/>
      </w:r>
      <w:r>
        <w:rPr>
          <w:rFonts w:ascii="Amiri" w:hAnsi="Amiri" w:eastAsia="Amiri" w:cs="Amiri"/>
          <w:color w:val="111111"/>
          <w:sz w:val="28"/>
          <w:sz w:val="28"/>
          <w:szCs w:val="28"/>
          <w:rtl w:val="true"/>
          <w:lang w:bidi="ar-SA"/>
        </w:rPr>
        <w:t xml:space="preserve">، دون المقام الذي فيه نص آخر في تخصيصها </w:t>
      </w:r>
      <w:r>
        <w:rPr>
          <w:rStyle w:val="FootnoteAnchor"/>
          <w:rtl w:val="true"/>
        </w:rPr>
        <w:footnoteReference w:id="723"/>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مدرك المشهور، و مذهب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مبنى القولين طرح الصحيحة </w:t>
      </w:r>
      <w:r>
        <w:rPr>
          <w:rStyle w:val="FootnoteAnchor"/>
          <w:rtl w:val="true"/>
        </w:rPr>
        <w:footnoteReference w:id="724"/>
      </w:r>
      <w:r>
        <w:rPr>
          <w:rFonts w:ascii="Amiri" w:hAnsi="Amiri" w:eastAsia="Amiri" w:cs="Amiri"/>
          <w:color w:val="111111"/>
          <w:sz w:val="28"/>
          <w:sz w:val="28"/>
          <w:szCs w:val="28"/>
          <w:rtl w:val="true"/>
          <w:lang w:bidi="ar-SA"/>
        </w:rPr>
        <w:t>، لأعراضهم، و الأخذ بمقتضى القواعد كما هو المشهور، أو العكس كما هو مذهب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فيه أي في الوضوء غسل اليدين من الزندين قبل إدخالهما الإناء مرة من حدث النوم و البول، و مرتين من الغائط، و ثلاثا من الجنابة، كل ذلك لصحيح الحلبي </w:t>
      </w:r>
      <w:r>
        <w:rPr>
          <w:rStyle w:val="FootnoteAnchor"/>
          <w:rtl w:val="true"/>
        </w:rPr>
        <w:footnoteReference w:id="725"/>
      </w:r>
      <w:r>
        <w:rPr>
          <w:rFonts w:ascii="Amiri" w:hAnsi="Amiri" w:eastAsia="Amiri" w:cs="Amiri"/>
          <w:color w:val="111111"/>
          <w:sz w:val="28"/>
          <w:sz w:val="28"/>
          <w:szCs w:val="28"/>
          <w:rtl w:val="true"/>
          <w:lang w:bidi="ar-SA"/>
        </w:rPr>
        <w:t xml:space="preserve">، و المرسلة </w:t>
      </w:r>
      <w:r>
        <w:rPr>
          <w:rStyle w:val="FootnoteAnchor"/>
          <w:rtl w:val="true"/>
        </w:rPr>
        <w:footnoteReference w:id="726"/>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رواية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للغائط و البول مرتين</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و هو محمول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وضع الإناء على اليمين،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كان يعجبه التيمّن </w:t>
      </w:r>
      <w:r>
        <w:rPr>
          <w:rStyle w:val="FootnoteAnchor"/>
          <w:rtl w:val="true"/>
        </w:rPr>
        <w:footnoteReference w:id="728"/>
      </w:r>
      <w:r>
        <w:rPr>
          <w:rFonts w:ascii="IRNazanin" w:hAnsi="IRNazanin" w:eastAsia="IRNazanin"/>
          <w:color w:val="111111"/>
          <w:sz w:val="28"/>
          <w:sz w:val="28"/>
          <w:szCs w:val="28"/>
          <w:rtl w:val="true"/>
          <w:lang w:bidi="fa-IR"/>
        </w:rPr>
        <w:t>، و لا بأس به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الاغتراف بها، للأخبار </w:t>
      </w:r>
      <w:r>
        <w:rPr>
          <w:rStyle w:val="FootnoteAnchor"/>
          <w:rtl w:val="true"/>
        </w:rPr>
        <w:footnoteReference w:id="729"/>
      </w:r>
      <w:r>
        <w:rPr>
          <w:rFonts w:ascii="Amiri" w:hAnsi="Amiri" w:eastAsia="Amiri" w:cs="Amiri"/>
          <w:color w:val="111111"/>
          <w:sz w:val="28"/>
          <w:sz w:val="28"/>
          <w:szCs w:val="28"/>
          <w:rtl w:val="true"/>
          <w:lang w:bidi="ar-SA"/>
        </w:rPr>
        <w:t>، و هي بالنسبة إلى غسل غير اليمنى متفقة، أما فيها فمختلفة، فمدلول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اغتراف الماء باليمنى ثم إدارته في اليسرى و الغسل بها، 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الاغتراف بنفس اليسرى </w:t>
      </w:r>
      <w:r>
        <w:rPr>
          <w:rStyle w:val="FootnoteAnchor"/>
          <w:rtl w:val="true"/>
        </w:rPr>
        <w:footnoteReference w:id="730"/>
      </w:r>
      <w:r>
        <w:rPr>
          <w:rFonts w:ascii="Amiri" w:hAnsi="Amiri" w:eastAsia="Amiri" w:cs="Amiri"/>
          <w:color w:val="111111"/>
          <w:sz w:val="28"/>
          <w:sz w:val="28"/>
          <w:szCs w:val="28"/>
          <w:rtl w:val="true"/>
          <w:lang w:bidi="ar-SA"/>
        </w:rPr>
        <w:t xml:space="preserve">، و حملهما صاحب الحدائق على التخيير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التسمية عند غسل الوجه، أو عند وضع اليد في الإناء، أو قبل الوضع، كل ذلك للأخبار المختلفة المحمولة على فضيلة جميعها </w:t>
      </w:r>
      <w:r>
        <w:rPr>
          <w:rStyle w:val="FootnoteAnchor"/>
          <w:rtl w:val="true"/>
        </w:rPr>
        <w:footnoteReference w:id="732"/>
      </w:r>
      <w:r>
        <w:rPr>
          <w:rFonts w:ascii="Amiri" w:hAnsi="Amiri" w:eastAsia="Amiri" w:cs="Amiri"/>
          <w:color w:val="111111"/>
          <w:sz w:val="28"/>
          <w:sz w:val="28"/>
          <w:szCs w:val="28"/>
          <w:rtl w:val="true"/>
          <w:lang w:bidi="ar-SA"/>
        </w:rPr>
        <w:t xml:space="preserve">، و لو لاحتمال تعدد المطلوب، و في المرسلة الأمر بإعادة الوضوء لترك التسمية </w:t>
      </w:r>
      <w:r>
        <w:rPr>
          <w:rStyle w:val="FootnoteAnchor"/>
          <w:rtl w:val="true"/>
        </w:rPr>
        <w:footnoteReference w:id="733"/>
      </w:r>
      <w:r>
        <w:rPr>
          <w:rFonts w:ascii="Amiri" w:hAnsi="Amiri" w:eastAsia="Amiri" w:cs="Amiri"/>
          <w:color w:val="111111"/>
          <w:sz w:val="28"/>
          <w:sz w:val="28"/>
          <w:szCs w:val="28"/>
          <w:rtl w:val="true"/>
          <w:lang w:bidi="ar-SA"/>
        </w:rPr>
        <w:t>، و هو أيضا لا ينافي الحمل على الاستحباب لتحصيل الفضيلة الفائتة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أيضا المضمضة و الاستنشاق ثلاثا ثلاثا، للجمع بين المطلقات </w:t>
      </w:r>
      <w:r>
        <w:rPr>
          <w:rStyle w:val="FootnoteAnchor"/>
          <w:rtl w:val="true"/>
        </w:rPr>
        <w:footnoteReference w:id="734"/>
      </w:r>
      <w:r>
        <w:rPr>
          <w:rFonts w:ascii="Amiri" w:hAnsi="Amiri" w:eastAsia="Amiri" w:cs="Amiri"/>
          <w:color w:val="111111"/>
          <w:sz w:val="28"/>
          <w:sz w:val="28"/>
          <w:szCs w:val="28"/>
          <w:rtl w:val="true"/>
          <w:lang w:bidi="ar-SA"/>
        </w:rPr>
        <w:t xml:space="preserve">و المقيدات </w:t>
      </w:r>
      <w:r>
        <w:rPr>
          <w:rStyle w:val="FootnoteAnchor"/>
          <w:rtl w:val="true"/>
        </w:rPr>
        <w:footnoteReference w:id="735"/>
      </w:r>
      <w:r>
        <w:rPr>
          <w:rFonts w:ascii="Amiri" w:hAnsi="Amiri" w:eastAsia="Amiri" w:cs="Amiri"/>
          <w:color w:val="111111"/>
          <w:sz w:val="28"/>
          <w:sz w:val="28"/>
          <w:szCs w:val="28"/>
          <w:rtl w:val="true"/>
          <w:lang w:bidi="ar-SA"/>
        </w:rPr>
        <w:t xml:space="preserve">بالحمل على مراتب الفضيلة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الدعاء عند كل فعل بالمأثور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التمندل، و في استفادة الكراهة من نصه </w:t>
      </w:r>
      <w:r>
        <w:rPr>
          <w:rStyle w:val="FootnoteAnchor"/>
          <w:rtl w:val="true"/>
        </w:rPr>
        <w:footnoteReference w:id="738"/>
      </w:r>
      <w:r>
        <w:rPr>
          <w:rFonts w:ascii="Amiri" w:hAnsi="Amiri" w:eastAsia="Amiri" w:cs="Amiri"/>
          <w:color w:val="111111"/>
          <w:sz w:val="28"/>
          <w:sz w:val="28"/>
          <w:szCs w:val="28"/>
          <w:rtl w:val="true"/>
          <w:lang w:bidi="ar-SA"/>
        </w:rPr>
        <w:t>مشكل، غاية الأمر انّ في ترك التمندل الملازم لبقاء رطوبة الوضوء فضيلة أزيد من فضيلة فعله،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الاستعانة بالغير في مقدماته،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و في خبر الوشاء اسناد الوزر إليه </w:t>
      </w:r>
      <w:r>
        <w:rPr>
          <w:rStyle w:val="FootnoteAnchor"/>
          <w:rtl w:val="true"/>
        </w:rPr>
        <w:footnoteReference w:id="740"/>
      </w:r>
      <w:r>
        <w:rPr>
          <w:rFonts w:ascii="Amiri" w:hAnsi="Amiri" w:eastAsia="Amiri" w:cs="Amiri"/>
          <w:color w:val="111111"/>
          <w:sz w:val="28"/>
          <w:sz w:val="28"/>
          <w:szCs w:val="28"/>
          <w:rtl w:val="true"/>
          <w:lang w:bidi="ar-SA"/>
        </w:rPr>
        <w:t xml:space="preserve">، و يمكن أن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جملة من النصوص استشهاده بأنه لا يشرك بعبادة ربه أحدا </w:t>
      </w:r>
      <w:r>
        <w:rPr>
          <w:rStyle w:val="FootnoteAnchor"/>
          <w:rtl w:val="true"/>
        </w:rPr>
        <w:footnoteReference w:id="741"/>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تطبيق الإمام في بعض المقامات </w:t>
      </w:r>
      <w:r>
        <w:rPr>
          <w:rStyle w:val="FootnoteAnchor"/>
          <w:rtl w:val="true"/>
        </w:rPr>
        <w:footnoteReference w:id="742"/>
      </w:r>
      <w:r>
        <w:rPr>
          <w:rFonts w:ascii="Amiri" w:hAnsi="Amiri" w:eastAsia="Amiri" w:cs="Amiri"/>
          <w:color w:val="111111"/>
          <w:sz w:val="28"/>
          <w:sz w:val="28"/>
          <w:szCs w:val="28"/>
          <w:rtl w:val="true"/>
          <w:lang w:bidi="ar-SA"/>
        </w:rPr>
        <w:t>على جعل الشريك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عدم إمكان الجمع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عبادته له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فعله و فعل غيره لتحصيل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مفهومان غير مجتمعين تحت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لإمكان كون الشركة في العبادة بلحاظ الإضافتين معنى يجمعها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تصور هذا الجامع أيضا لا بأس برفع اليد</w:t>
      </w:r>
      <w:bookmarkStart w:id="184" w:name="pg19729_212730"/>
    </w:p>
    <w:p>
      <w:pPr>
        <w:pStyle w:val="BookText"/>
        <w:rPr/>
      </w:pPr>
      <w:bookmarkEnd w:id="184"/>
      <w:r>
        <w:rPr>
          <w:rFonts w:ascii="Amiri" w:hAnsi="Amiri" w:eastAsia="Amiri" w:cs="Amiri"/>
          <w:color w:val="111111"/>
          <w:sz w:val="28"/>
          <w:sz w:val="28"/>
          <w:szCs w:val="28"/>
          <w:rtl w:val="true"/>
          <w:lang w:bidi="ar-SA"/>
        </w:rPr>
        <w:t>عن ظهور النهي في أحدهما بالأخبار السابقة، المشتملة على التعبيرات الوافية في الرخصة في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التولية تشريعا لا ذاتا، لأن عمدة مدركه انصراف الإطلاقات إلى المباشرة، الموجب لعدم الاجتزاء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التمكن ربما يقتضي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قيد المباشرة، و لازمه الاجتزاء بتولية الغير بلا احتياج إلى قصده النيابة، بل يجزئ بقصد المتوضئ القربة لا المتولي للعمل، كما رتبوا عليه ثمرة التولية و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مثل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احتياج النائب إلى قصد التقرب أيضا، غاية الأمر أنه يقصد تقرّب الغير بعمله لا تقرب نفسه، و هذا المقدار يتمشى من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لا يتمشى منه فهو قصد التقرب بداعي الأمر، لأن أمر الغير لم يتوجه إليه، و ما توجه إليه لا يوجب داعيا إلى تقرّب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تمّمنا الكلام في باب العبادة النيابية، من دون الالتزام بكون النائب نائبا في ذات العمل، و أنّ تقرب المنوب عنه إنما يحصل برضاه، و لو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لازمة الاكتفاء بعمله و لو اتى رياء أو بتشهي نفسه، و لا أظن التزامهم به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251233_2314609296"/>
      <w:bookmarkStart w:id="186" w:name="_Toc69"/>
      <w:bookmarkEnd w:id="185"/>
      <w:r>
        <w:rPr>
          <w:rtl w:val="true"/>
        </w:rPr>
        <w:t>مسائل</w:t>
      </w:r>
      <w:bookmarkEnd w:id="186"/>
    </w:p>
    <w:p>
      <w:pPr>
        <w:pStyle w:val="Heading6"/>
        <w:numPr>
          <w:ilvl w:val="5"/>
          <w:numId w:val="1"/>
        </w:numPr>
        <w:rPr/>
      </w:pPr>
      <w:bookmarkStart w:id="187" w:name="__RefHeading___Toc3251235_2314609296"/>
      <w:bookmarkStart w:id="188" w:name="_Toc70"/>
      <w:bookmarkEnd w:id="187"/>
      <w:r>
        <w:rPr>
          <w:rtl w:val="true"/>
        </w:rPr>
        <w:t>الاولى</w:t>
      </w:r>
      <w:r>
        <w:rPr>
          <w:rtl w:val="true"/>
        </w:rPr>
        <w:t xml:space="preserve">: </w:t>
      </w:r>
      <w:r>
        <w:rPr>
          <w:rtl w:val="true"/>
        </w:rPr>
        <w:t>لا يجوز للمحدث مس كتابة القرآن</w:t>
      </w:r>
      <w:bookmarkEnd w:id="1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بنقوشه الحاكية عنه مادة و هيئة، حتى المد، بنفسه أو المكتوب بقصده، كما في المشتركات، بلا اشكال فيه نصا و فتوى، و يكفي من النص ما اشتمل على النهي عن</w:t>
      </w:r>
      <w:bookmarkStart w:id="189" w:name="pg19729_212731"/>
    </w:p>
    <w:p>
      <w:pPr>
        <w:pStyle w:val="BookText"/>
        <w:rPr/>
      </w:pPr>
      <w:bookmarkEnd w:id="189"/>
      <w:r>
        <w:rPr>
          <w:rFonts w:ascii="Amiri" w:hAnsi="Amiri" w:eastAsia="Amiri" w:cs="Amiri"/>
          <w:color w:val="111111"/>
          <w:sz w:val="28"/>
          <w:sz w:val="28"/>
          <w:szCs w:val="28"/>
          <w:rtl w:val="true"/>
          <w:lang w:bidi="ar-SA"/>
        </w:rPr>
        <w:t xml:space="preserve">مس الكتاب </w:t>
      </w:r>
      <w:r>
        <w:rPr>
          <w:rStyle w:val="FootnoteAnchor"/>
          <w:rtl w:val="true"/>
        </w:rPr>
        <w:footnoteReference w:id="743"/>
      </w:r>
      <w:r>
        <w:rPr>
          <w:rFonts w:ascii="Amiri" w:hAnsi="Amiri" w:eastAsia="Amiri" w:cs="Amiri"/>
          <w:color w:val="111111"/>
          <w:sz w:val="28"/>
          <w:sz w:val="28"/>
          <w:szCs w:val="28"/>
          <w:rtl w:val="true"/>
          <w:lang w:bidi="ar-SA"/>
        </w:rPr>
        <w:t xml:space="preserve">، و اشتمال بعضها على بعض المكروهات، مثل تعليقه </w:t>
      </w:r>
      <w:r>
        <w:rPr>
          <w:rStyle w:val="FootnoteAnchor"/>
          <w:rtl w:val="true"/>
        </w:rPr>
        <w:footnoteReference w:id="744"/>
      </w:r>
      <w:r>
        <w:rPr>
          <w:rFonts w:ascii="Amiri" w:hAnsi="Amiri" w:eastAsia="Amiri" w:cs="Amiri"/>
          <w:color w:val="111111"/>
          <w:sz w:val="28"/>
          <w:sz w:val="28"/>
          <w:szCs w:val="28"/>
          <w:rtl w:val="true"/>
          <w:lang w:bidi="ar-SA"/>
        </w:rPr>
        <w:t>، غير ضائر بعد فرض كشف الترخيص بقرينة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أمثال هذه الخطابات حرمة العمل مباشرة، و أما حرمته تسبيبا في مثل مسّ الصبيان ففيه إشكال، إذ هو فرع حرمته على أمثالهم و لو بتسبيب الغير، و هو أول الكلام، نعم لو كان مورد التسبيب مكلفا آخر فيحرم من حيث عنوان الإعانة،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الأصحاب ألحقوا مس اسم اللّٰه و الرسول و الأئمة و غيرهم من المعصومين عليهم السّلام، لتنقيحهم مناط الحكم من الاحترام الجاري في الموارد المذكورة، و لا بأس به</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251237_2314609296"/>
      <w:bookmarkStart w:id="191" w:name="_Toc71"/>
      <w:bookmarkEnd w:id="190"/>
      <w:r>
        <w:rPr>
          <w:rtl w:val="true"/>
        </w:rPr>
        <w:t>الثانية</w:t>
      </w:r>
      <w:r>
        <w:rPr>
          <w:rtl w:val="true"/>
        </w:rPr>
        <w:t xml:space="preserve">: </w:t>
      </w:r>
      <w:r>
        <w:rPr>
          <w:rtl w:val="true"/>
        </w:rPr>
        <w:t>لو تيقّن الحدث و شك في الطهارة تطهّر</w:t>
      </w:r>
      <w:bookmarkEnd w:id="191"/>
    </w:p>
    <w:p>
      <w:pPr>
        <w:pStyle w:val="BookText"/>
        <w:rPr/>
      </w:pPr>
      <w:r>
        <w:rPr>
          <w:rFonts w:ascii="Amiri" w:hAnsi="Amiri" w:eastAsia="Amiri" w:cs="Amiri"/>
          <w:color w:val="111111"/>
          <w:sz w:val="28"/>
          <w:sz w:val="28"/>
          <w:szCs w:val="28"/>
          <w:rtl w:val="true"/>
          <w:lang w:bidi="ar-SA"/>
        </w:rPr>
        <w:t>جزما، لحرمة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لمضمرة زرارة </w:t>
      </w:r>
      <w:r>
        <w:rPr>
          <w:rStyle w:val="FootnoteAnchor"/>
          <w:rtl w:val="true"/>
        </w:rPr>
        <w:footnoteReference w:id="745"/>
      </w:r>
      <w:r>
        <w:rPr>
          <w:rFonts w:ascii="Amiri" w:hAnsi="Amiri" w:eastAsia="Amiri" w:cs="Amiri"/>
          <w:color w:val="111111"/>
          <w:sz w:val="28"/>
          <w:sz w:val="28"/>
          <w:szCs w:val="28"/>
          <w:rtl w:val="true"/>
          <w:lang w:bidi="ar-SA"/>
        </w:rPr>
        <w:t>، و بالعكس لا يجب الطهارة،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بطروء احدى الحالتين، فمع الجهل بتأريخ إحداهما فيؤخذ بمعلومه، و بتأريخهما لا يؤخذ بهما، لقصور الأخبار عن الشمول للمورد، حيث انّ اتصال زمان الشك بزمان اليقين تفصيلا غير محرز، و إجمالا لا يكاد يصلح لأن يقع موردا للحكم بعدم النقض، لأن آن بعد اليقين المتصل به بنحو الإجمال محتمل لأن ينطبق عليه الشك في الحدوث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هذا الزمان مردد أمره بين آن الانتقاض و آن الحدوث، فيعلم على أي حال أنه ليس آن بقاء ما سبق و حينئذ فالآن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انطباقه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موضوع الشك الذي يجب فيه البناء على السابق،</w:t>
      </w:r>
      <w:bookmarkStart w:id="192" w:name="pg19729_212732"/>
    </w:p>
    <w:p>
      <w:pPr>
        <w:pStyle w:val="BookText"/>
        <w:rPr/>
      </w:pPr>
      <w:bookmarkEnd w:id="192"/>
      <w:r>
        <w:rPr>
          <w:rFonts w:ascii="Amiri" w:hAnsi="Amiri" w:eastAsia="Amiri" w:cs="Amiri"/>
          <w:color w:val="111111"/>
          <w:sz w:val="28"/>
          <w:sz w:val="28"/>
          <w:szCs w:val="28"/>
          <w:rtl w:val="true"/>
          <w:lang w:bidi="ar-SA"/>
        </w:rPr>
        <w:t xml:space="preserve">فلا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يشمل العموم إلّا آنا آخر منفصلا عن زمان اليقين بنحو الإجمال، و هو خارج عن منصرف أخبار حرمة النقض،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 الأمر العملي مترتب في باب الطهارة على صورة إحراز التطبيق في زمان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مرتبا على صرف بقاء المتيقن بنحو مفاد كان التامة، بلا احتياج إلى التطبيق الصحيح، على نحو مفاد كان الناقصة، لأمكن القول بجريان كل واحد، فيتعارضان، فينتج حينئذ جريان أحدهما بلا معارض عند ترتّب الأثر عليه وحده، كما لا يخفى</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251239_2314609296"/>
      <w:bookmarkStart w:id="194" w:name="_Toc72"/>
      <w:bookmarkEnd w:id="193"/>
      <w:r>
        <w:rPr>
          <w:rtl w:val="true"/>
        </w:rPr>
        <w:t>الثالثة</w:t>
      </w:r>
      <w:r>
        <w:rPr>
          <w:rtl w:val="true"/>
        </w:rPr>
        <w:t xml:space="preserve">: </w:t>
      </w:r>
      <w:r>
        <w:rPr>
          <w:rtl w:val="true"/>
        </w:rPr>
        <w:t>لو شك في شي‌ء من أفعال الوضوء</w:t>
      </w:r>
      <w:r>
        <w:rPr>
          <w:rtl w:val="true"/>
        </w:rPr>
        <w:t xml:space="preserve">- </w:t>
      </w:r>
      <w:r>
        <w:rPr>
          <w:rtl w:val="true"/>
        </w:rPr>
        <w:t>و هو على حاله</w:t>
      </w:r>
      <w:r>
        <w:rPr>
          <w:rtl w:val="true"/>
        </w:rPr>
        <w:t xml:space="preserve">- </w:t>
      </w:r>
      <w:r>
        <w:rPr>
          <w:rtl w:val="true"/>
        </w:rPr>
        <w:t>أتى به و بما بعده</w:t>
      </w:r>
      <w:bookmarkEnd w:id="194"/>
    </w:p>
    <w:p>
      <w:pPr>
        <w:pStyle w:val="BookText"/>
        <w:rPr/>
      </w:pPr>
      <w:r>
        <w:rPr>
          <w:rFonts w:ascii="Amiri" w:hAnsi="Amiri" w:eastAsia="Amiri" w:cs="Amiri"/>
          <w:color w:val="111111"/>
          <w:sz w:val="28"/>
          <w:sz w:val="28"/>
          <w:szCs w:val="28"/>
          <w:rtl w:val="true"/>
          <w:lang w:bidi="ar-SA"/>
        </w:rPr>
        <w:t>بلا اشكال نصا و فتوى، لمفهوم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الوارد في مورد الوضوء، مؤيدا بنصوص اخرى </w:t>
      </w:r>
      <w:r>
        <w:rPr>
          <w:rStyle w:val="FootnoteAnchor"/>
          <w:rtl w:val="true"/>
        </w:rPr>
        <w:footnoteReference w:id="747"/>
      </w:r>
      <w:r>
        <w:rPr>
          <w:rFonts w:ascii="Amiri" w:hAnsi="Amiri" w:eastAsia="Amiri" w:cs="Amiri"/>
          <w:color w:val="111111"/>
          <w:sz w:val="28"/>
          <w:sz w:val="28"/>
          <w:szCs w:val="28"/>
          <w:rtl w:val="true"/>
          <w:lang w:bidi="ar-SA"/>
        </w:rPr>
        <w:t>أصرح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يعارض المنطوق المزبور بمفهومه، من أنه إذا جزته فشكك ليس بشي‌ء، إذ يصدق ذلك على صورة التجاوز عن الجزء المشكوك فيه حال التشاغل بالوضوء، من دون صلاحية تخصيص المورد و إخراجه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الوضوء بسيطا اعتبارا بلحاظ بساطة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تقييد التجاوز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الخروج تمام العمل، و لا ضير فيه و لا استهجان، كتقييد مورد آية النبإ </w:t>
      </w:r>
      <w:r>
        <w:rPr>
          <w:rStyle w:val="FootnoteAnchor"/>
          <w:rtl w:val="true"/>
        </w:rPr>
        <w:footnoteReference w:id="748"/>
      </w:r>
      <w:r>
        <w:rPr>
          <w:rFonts w:ascii="Amiri" w:hAnsi="Amiri" w:eastAsia="Amiri" w:cs="Amiri"/>
          <w:color w:val="111111"/>
          <w:sz w:val="28"/>
          <w:sz w:val="28"/>
          <w:szCs w:val="28"/>
          <w:rtl w:val="true"/>
          <w:lang w:bidi="ar-SA"/>
        </w:rPr>
        <w:t>بصورة ضم عادل آخر</w:t>
      </w:r>
      <w:r>
        <w:rPr>
          <w:rFonts w:eastAsia="Amiri" w:cs="Amiri" w:ascii="Amiri" w:hAnsi="Amiri"/>
          <w:color w:val="111111"/>
          <w:sz w:val="28"/>
          <w:szCs w:val="28"/>
          <w:rtl w:val="true"/>
          <w:lang w:bidi="ar-SA"/>
        </w:rPr>
        <w:t>.</w:t>
      </w:r>
      <w:bookmarkStart w:id="195" w:name="pg19729_212733"/>
    </w:p>
    <w:p>
      <w:pPr>
        <w:pStyle w:val="BookText"/>
        <w:rPr/>
      </w:pPr>
      <w:bookmarkEnd w:id="195"/>
      <w:r>
        <w:rPr>
          <w:rFonts w:ascii="Amiri" w:hAnsi="Amiri" w:eastAsia="Amiri" w:cs="Amiri"/>
          <w:color w:val="111111"/>
          <w:sz w:val="28"/>
          <w:sz w:val="28"/>
          <w:szCs w:val="28"/>
          <w:rtl w:val="true"/>
          <w:lang w:bidi="ar-SA"/>
        </w:rPr>
        <w:t>و عليه فلا ينبغي لأجل الفرار عن الشبهة المزبورة، صرف مفاد هذه القاعدة المضروبة للشك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أخرى مضروبة للشك في صحة الموجود، و لو من جهة الشك في الترتيب و الموالاة اللذين لا يكونان ينظر العرف شيئا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فامضه كما هو</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فيما مضى فامضه كما هو</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أي كما ينبغي من كيفية وقوعه، هي القاعدة المضروبة بنحو مفاد كان الناقصة، و عليه فلا محيص عن كونهما قاعدتين لا قاعدة واحدة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الأمر انه يعتبر في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لإجزاء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عن أصل العمل، و هذا الحكم و إن استظهرناه في الوضوء لكنه يعم الغسل و التيمم، للإجماع على عدم الفصل بينها من هذه الجهة،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فقد ظهر أنه لو انصرف عن العمل لم يلتفت</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251241_2314609296"/>
      <w:bookmarkStart w:id="197" w:name="_Toc73"/>
      <w:bookmarkEnd w:id="196"/>
      <w:r>
        <w:rPr>
          <w:rtl w:val="true"/>
        </w:rPr>
        <w:t>فرع</w:t>
      </w:r>
      <w:r>
        <w:rPr>
          <w:rtl w:val="true"/>
        </w:rPr>
        <w:t xml:space="preserve">: </w:t>
      </w:r>
      <w:r>
        <w:rPr>
          <w:rtl w:val="true"/>
        </w:rPr>
        <w:t>لو جدّد الوضوء فلا إشكال في كونه نورا على نور،</w:t>
      </w:r>
      <w:bookmarkEnd w:id="1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التجديد و كان محدثا واقعا فإنه يكفيه ذلك، و لا يضره قصد امتثال شخص أمره أيّا ما كان، غاية الأمر تخيّل أنه استحبابي نظير من توضأ بظن دخول الوقت فبان عدم دخوله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فساد أحد الوضوئين من غير الحدث، فلا شبهة في كونه متوضئا، أما إن كان من جهة صدور حدث، فإن كان علم بصدور الحدث بعد العمل، فاستصحاب صحة الثاني محكم، و إن كان في أثنائه فيدخل في مسألة توارد الحالتين بلا علم بسبق معيّن فيتوضأ جديدا</w:t>
      </w:r>
      <w:r>
        <w:rPr>
          <w:rFonts w:eastAsia="Amiri" w:cs="Amiri" w:ascii="Amiri" w:hAnsi="Amiri"/>
          <w:color w:val="111111"/>
          <w:sz w:val="28"/>
          <w:szCs w:val="28"/>
          <w:rtl w:val="true"/>
          <w:lang w:bidi="ar-SA"/>
        </w:rPr>
        <w:t>.</w:t>
      </w:r>
      <w:bookmarkStart w:id="198" w:name="pg19729_212735"/>
    </w:p>
    <w:p>
      <w:pPr>
        <w:pStyle w:val="Heading4"/>
        <w:numPr>
          <w:ilvl w:val="3"/>
          <w:numId w:val="1"/>
        </w:numPr>
        <w:rPr/>
      </w:pPr>
      <w:bookmarkStart w:id="199" w:name="__RefHeading___Toc3251243_2314609296"/>
      <w:bookmarkStart w:id="200" w:name="_Toc74"/>
      <w:bookmarkEnd w:id="198"/>
      <w:bookmarkEnd w:id="199"/>
      <w:r>
        <w:rPr>
          <w:rtl w:val="true"/>
        </w:rPr>
        <w:t>الباب الثالث في الغسل</w:t>
      </w:r>
      <w:bookmarkEnd w:id="200"/>
    </w:p>
    <w:p>
      <w:pPr>
        <w:pStyle w:val="Heading5"/>
        <w:numPr>
          <w:ilvl w:val="4"/>
          <w:numId w:val="1"/>
        </w:numPr>
        <w:rPr/>
      </w:pPr>
      <w:bookmarkStart w:id="201" w:name="__RefHeading___Toc3251245_2314609296"/>
      <w:bookmarkStart w:id="202" w:name="_Toc75"/>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و يجب بالجنابة، و الحيض، و الاستحاضة، و النفاس، و مس الأموات بعد بردهم بالموت و قبل تطهيرهم بالغسل، كما يأتي كل ذلك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الغسل أيضا لما يأتي، فهاهنا فصول</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251247_2314609296"/>
      <w:bookmarkStart w:id="204" w:name="_Toc76"/>
      <w:bookmarkEnd w:id="203"/>
      <w:r>
        <w:rPr>
          <w:rtl w:val="true"/>
        </w:rPr>
        <w:t>الفصل الأول</w:t>
      </w:r>
      <w:r>
        <w:rPr>
          <w:rtl w:val="true"/>
        </w:rPr>
        <w:t xml:space="preserve">: </w:t>
      </w:r>
      <w:r>
        <w:rPr>
          <w:rtl w:val="true"/>
        </w:rPr>
        <w:t xml:space="preserve">في </w:t>
      </w:r>
      <w:r>
        <w:rPr>
          <w:rtl w:val="true"/>
        </w:rPr>
        <w:t>[</w:t>
      </w:r>
      <w:r>
        <w:rPr>
          <w:rtl w:val="true"/>
        </w:rPr>
        <w:t>غسل الجنابة</w:t>
      </w:r>
      <w:r>
        <w:rPr>
          <w:rtl w:val="true"/>
        </w:rPr>
        <w:t>]</w:t>
      </w:r>
      <w:bookmarkEnd w:id="204"/>
    </w:p>
    <w:p>
      <w:pPr>
        <w:pStyle w:val="Heading6"/>
        <w:numPr>
          <w:ilvl w:val="5"/>
          <w:numId w:val="1"/>
        </w:numPr>
        <w:rPr/>
      </w:pPr>
      <w:bookmarkStart w:id="205" w:name="__RefHeading___Toc3251249_2314609296"/>
      <w:bookmarkStart w:id="206" w:name="_Toc77"/>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أسباب الغسل،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w:t>
      </w:r>
    </w:p>
    <w:p>
      <w:pPr>
        <w:pStyle w:val="Heading6"/>
        <w:numPr>
          <w:ilvl w:val="5"/>
          <w:numId w:val="1"/>
        </w:numPr>
        <w:rPr/>
      </w:pPr>
      <w:bookmarkStart w:id="207" w:name="__RefHeading___Toc3251251_2314609296"/>
      <w:bookmarkStart w:id="208" w:name="_Toc78"/>
      <w:bookmarkEnd w:id="207"/>
      <w:r>
        <w:rPr>
          <w:rtl w:val="true"/>
        </w:rPr>
        <w:t>و هي تحصل بإنزال الماء الدافق</w:t>
      </w:r>
      <w:bookmarkEnd w:id="208"/>
    </w:p>
    <w:p>
      <w:pPr>
        <w:pStyle w:val="BookText"/>
        <w:rPr/>
      </w:pPr>
      <w:r>
        <w:rPr>
          <w:rFonts w:ascii="Amiri" w:hAnsi="Amiri" w:eastAsia="Amiri" w:cs="Amiri"/>
          <w:color w:val="111111"/>
          <w:sz w:val="28"/>
          <w:sz w:val="28"/>
          <w:szCs w:val="28"/>
          <w:rtl w:val="true"/>
          <w:lang w:bidi="ar-SA"/>
        </w:rPr>
        <w:t xml:space="preserve">، أو الجامع لوصفين من الدفق و الشهوة، أو الفتور و الشهوة، أو الصفات الثلاثة من الدفق و الفتور و الشهوة، لاختلاف الأخبار الواردة في الباب </w:t>
      </w:r>
      <w:r>
        <w:rPr>
          <w:rStyle w:val="FootnoteAnchor"/>
          <w:rtl w:val="true"/>
        </w:rPr>
        <w:footnoteReference w:id="752"/>
      </w:r>
      <w:r>
        <w:rPr>
          <w:rFonts w:ascii="Amiri" w:hAnsi="Amiri" w:eastAsia="Amiri" w:cs="Amiri"/>
          <w:color w:val="111111"/>
          <w:sz w:val="28"/>
          <w:sz w:val="28"/>
          <w:szCs w:val="28"/>
          <w:rtl w:val="true"/>
          <w:lang w:bidi="ar-SA"/>
        </w:rPr>
        <w:t>، القابلة لتقييد إطلاق بعضها بالتصريح في بعض آخر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الممكن حمل الإطلاق على الغالب من ملازمة المنصوص عليه لوجود غيره، و مع الإجمال فالأصل أيضا يقتضي وجود مجمعية الثلاثة، و من الممكن أيضا حمل إطلاق المصنف على الغالب، و أظهر منه حمل الاختلاف على بيان عدم التعبد ببعض دون بعض، بل تمام المدار على إفادتها الاطمئنان الذي عليه مدار العقلاء، و سيأتي إن شاء اللّٰه تنزيل</w:t>
      </w:r>
    </w:p>
    <w:p>
      <w:pPr>
        <w:pStyle w:val="BookText"/>
        <w:rPr/>
      </w:pPr>
      <w:r>
        <w:rPr>
          <w:rFonts w:ascii="Amiri" w:hAnsi="Amiri" w:eastAsia="Amiri" w:cs="Amiri"/>
          <w:color w:val="111111"/>
          <w:sz w:val="28"/>
          <w:sz w:val="28"/>
          <w:szCs w:val="28"/>
          <w:rtl w:val="true"/>
          <w:lang w:bidi="ar-SA"/>
        </w:rPr>
        <w:t>اختلاف صفات الحيض و الاستحاضة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مثل هذا السبب ثابت مطلقا، ذكرا كان أم أنثى أو خنثى، و ما في جملة من الأخبار من نفي وجوب الغسل على النسوان بالإنزال </w:t>
      </w:r>
      <w:r>
        <w:rPr>
          <w:rStyle w:val="FootnoteAnchor"/>
          <w:rtl w:val="true"/>
        </w:rPr>
        <w:footnoteReference w:id="753"/>
      </w:r>
      <w:r>
        <w:rPr>
          <w:rFonts w:ascii="Amiri" w:hAnsi="Amiri" w:eastAsia="Amiri" w:cs="Amiri"/>
          <w:color w:val="111111"/>
          <w:sz w:val="28"/>
          <w:sz w:val="28"/>
          <w:szCs w:val="28"/>
          <w:rtl w:val="true"/>
          <w:lang w:bidi="ar-SA"/>
        </w:rPr>
        <w:t xml:space="preserve">، محمولة على الغالب من عدم خروج المني من الفرج، لاستقراره في أرحامهن، و ظاهر بعض الأخبار عدم اعلامهن بذلك، لاتخاذهن إيّاه علّة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كون عدم الوجوب للمانع لا لعدم المقتضي، و لا ضير فيه لو فرض عدم بلوغ الغرض بمثابة يجب حفظه حتى من قبيل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التفاتهن إليه يجب، لإطلاق دليل الوجوب لهن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العلم بخروج مني فيجب الغسل، و مع الشك في الغسل يجب الاحتياط، تحصيلا للفراغ، و مع الشك في أصل الجنابة و لو لاشتراك الثوب، يستصحبان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توارد الحالتين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تردد الخارج بين كونه منيّا أو بولا، فمع الجهل بالحالة السابقة أو طهارته يستصحب الحدث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العلم بكونه محدثا بالأصغر ففيه اشكال، من عدم بناء الأصحاب إلّا على وجوب الإتيان بوظيفة الأصغر، و من أنّ استصحاب الجامع بلحاظ مانعيته للصلاة يقتضي الجمع بين الوظيفتين، بلا حكومة استصحاب عدم حدوث سبب الجنابة، لأنه لا ينفي الجامع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فرع المضادة بين الحدثين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احتمال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اليقين بوجوده المردد</w:t>
      </w:r>
      <w:r>
        <w:rPr>
          <w:rFonts w:eastAsia="Amiri" w:cs="Amiri" w:ascii="Amiri" w:hAnsi="Amiri"/>
          <w:color w:val="111111"/>
          <w:sz w:val="28"/>
          <w:szCs w:val="28"/>
          <w:rtl w:val="true"/>
          <w:lang w:bidi="ar-SA"/>
        </w:rPr>
        <w:t>.</w:t>
      </w:r>
      <w:bookmarkStart w:id="209" w:name="pg19729_212737"/>
    </w:p>
    <w:p>
      <w:pPr>
        <w:pStyle w:val="BookText"/>
        <w:rPr/>
      </w:pPr>
      <w:bookmarkEnd w:id="209"/>
      <w:r>
        <w:rPr>
          <w:rFonts w:ascii="Amiri" w:hAnsi="Amiri" w:eastAsia="Amiri" w:cs="Amiri"/>
          <w:color w:val="111111"/>
          <w:sz w:val="28"/>
          <w:sz w:val="28"/>
          <w:szCs w:val="28"/>
          <w:rtl w:val="true"/>
          <w:lang w:bidi="ar-SA"/>
        </w:rPr>
        <w:t>ثم لو فرض التضاد المزبور ربما يجري استصحاب بقاء الحدث الأصغر، الموجوب لوجوب الوضوء المصحح للصلاة، و مثل ذلك يعارض استصحاب الجامع المانع عن صحة صلاته، فيتضادان عملا فيتساقطان، فيرجع إلى الاستصحاب المحكوم من استصحاب الطهارة التعليقية على محض الوضوء، كما لا يخفى فتدبر جيدا</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3251253_2314609296"/>
      <w:bookmarkStart w:id="211" w:name="_Toc79"/>
      <w:bookmarkEnd w:id="210"/>
      <w:r>
        <w:rPr>
          <w:rtl w:val="true"/>
        </w:rPr>
        <w:t>و تتحقق الجنابة أيضا بالجماع في الفرج</w:t>
      </w:r>
      <w:bookmarkEnd w:id="211"/>
    </w:p>
    <w:p>
      <w:pPr>
        <w:pStyle w:val="BookText"/>
        <w:rPr/>
      </w:pPr>
      <w:r>
        <w:rPr>
          <w:rFonts w:ascii="Amiri" w:hAnsi="Amiri" w:eastAsia="Amiri" w:cs="Amiri"/>
          <w:color w:val="111111"/>
          <w:sz w:val="28"/>
          <w:sz w:val="28"/>
          <w:szCs w:val="28"/>
          <w:rtl w:val="true"/>
          <w:lang w:bidi="ar-SA"/>
        </w:rPr>
        <w:t>و إن لم ينزل، حتى تغيب الحشفة، سواء كان في القبل للآدمي بلا اشكال فيه،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أو الدبر على المشهور، للمرسلة المنجبرة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مرفوعة البرقي </w:t>
      </w:r>
      <w:r>
        <w:rPr>
          <w:rStyle w:val="FootnoteAnchor"/>
          <w:rtl w:val="true"/>
        </w:rPr>
        <w:footnoteReference w:id="757"/>
      </w:r>
      <w:r>
        <w:rPr>
          <w:rFonts w:ascii="IRNazanin" w:hAnsi="IRNazanin" w:eastAsia="IRNazanin"/>
          <w:color w:val="111111"/>
          <w:sz w:val="28"/>
          <w:sz w:val="28"/>
          <w:szCs w:val="28"/>
          <w:rtl w:val="true"/>
          <w:lang w:bidi="fa-IR"/>
        </w:rPr>
        <w:t xml:space="preserve">، و إطلاقهما </w:t>
      </w:r>
      <w:r>
        <w:rPr>
          <w:rStyle w:val="FootnoteAnchor"/>
          <w:rtl w:val="true"/>
        </w:rPr>
        <w:footnoteReference w:id="758"/>
      </w:r>
      <w:r>
        <w:rPr>
          <w:rFonts w:ascii="Amiri" w:hAnsi="Amiri" w:eastAsia="Amiri" w:cs="Amiri"/>
          <w:color w:val="111111"/>
          <w:sz w:val="28"/>
          <w:sz w:val="28"/>
          <w:szCs w:val="28"/>
          <w:rtl w:val="true"/>
          <w:lang w:bidi="ar-SA"/>
        </w:rPr>
        <w:t>يشمل الصغير و الكبير، و الحي و الميت، فاعلا أم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بالوجوب لا ينافي الإطلاق المزبور، لأن الظاهر من هذا لتعبير بيان الاقتضاء، و هذه الجهة من الأحكام الوضعية ثابتة و شائعة في جميع المقامات، كما لا يخفى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دبر الذكور، فلما يستفاد من كلماتهم من الملازمة بين وجوب الحدّ و الجنابة، و لعله لما في بعض الروايات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يحدّ في دبر المرأة و لا يغسل؟</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بنحو الاستفهام الإنكاري، مؤيدا بما ورد بقوله</w:t>
      </w:r>
      <w:r>
        <w:rPr>
          <w:rFonts w:eastAsia="Amiri" w:cs="Amiri" w:ascii="Amiri" w:hAnsi="Amiri"/>
          <w:color w:val="111111"/>
          <w:sz w:val="28"/>
          <w:szCs w:val="28"/>
          <w:rtl w:val="true"/>
          <w:lang w:bidi="ar-SA"/>
        </w:rPr>
        <w:t>:</w:t>
      </w:r>
      <w:bookmarkStart w:id="212" w:name="pg19729_212738"/>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غلاما جاء جنبا يوم القيامة لا ينقيه ماء الدنيا</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و في دلالته على المدّعي نظر واضح، كالدلالة في الوجوه السابقة، فالأحوط الجمع بين الغسل و الوضوء</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251255_2314609296"/>
      <w:bookmarkStart w:id="214" w:name="_Toc80"/>
      <w:bookmarkEnd w:id="213"/>
      <w:r>
        <w:rPr>
          <w:rtl w:val="true"/>
        </w:rPr>
        <w:t>[</w:t>
      </w:r>
      <w:r>
        <w:rPr>
          <w:rtl w:val="true"/>
        </w:rPr>
        <w:t>واجبات غسل الجنابة</w:t>
      </w:r>
      <w:r>
        <w:rPr>
          <w:rtl w:val="true"/>
        </w:rPr>
        <w:t>]</w:t>
      </w:r>
      <w:bookmarkEnd w:id="214"/>
    </w:p>
    <w:p>
      <w:pPr>
        <w:pStyle w:val="Heading6"/>
        <w:numPr>
          <w:ilvl w:val="5"/>
          <w:numId w:val="1"/>
        </w:numPr>
        <w:rPr/>
      </w:pPr>
      <w:bookmarkStart w:id="215" w:name="__RefHeading___Toc3251257_2314609296"/>
      <w:bookmarkStart w:id="216" w:name="_Toc81"/>
      <w:bookmarkEnd w:id="215"/>
      <w:r>
        <w:rPr>
          <w:rtl w:val="true"/>
        </w:rPr>
        <w:t>و يجب بها أي بالجنابة الغسل</w:t>
      </w:r>
      <w:bookmarkEnd w:id="216"/>
    </w:p>
    <w:p>
      <w:pPr>
        <w:pStyle w:val="BookText"/>
        <w:rPr/>
      </w:pPr>
      <w:r>
        <w:rPr>
          <w:rFonts w:ascii="Amiri" w:hAnsi="Amiri" w:eastAsia="Amiri" w:cs="Amiri"/>
          <w:color w:val="111111"/>
          <w:sz w:val="28"/>
          <w:sz w:val="28"/>
          <w:szCs w:val="28"/>
          <w:rtl w:val="true"/>
          <w:lang w:bidi="ar-SA"/>
        </w:rPr>
        <w:t xml:space="preserve">وجوبا غيريا لا نفسيا، لعدم إطلاق في هذه التعبيرات على وجه تثبت به النفسية، نعم في حكمة وجوب غسل الميت بخروج النطفة </w:t>
      </w:r>
      <w:r>
        <w:rPr>
          <w:rStyle w:val="FootnoteAnchor"/>
          <w:rtl w:val="true"/>
        </w:rPr>
        <w:footnoteReference w:id="761"/>
      </w:r>
      <w:r>
        <w:rPr>
          <w:rFonts w:ascii="Amiri" w:hAnsi="Amiri" w:eastAsia="Amiri" w:cs="Amiri"/>
          <w:color w:val="111111"/>
          <w:sz w:val="28"/>
          <w:sz w:val="28"/>
          <w:szCs w:val="28"/>
          <w:rtl w:val="true"/>
          <w:lang w:bidi="ar-SA"/>
        </w:rPr>
        <w:t>ما يقتضي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أيضا على المقدمية، ليكون طاهرا في حال حضور الملائكة و عند ربه الكريم، مع أنه حكمة لا يعبأ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دليل السببية أيضا عدم الفرق بين المسلم و الكافر، و بمثل هذه الإطلاقات يستفاد تكليفهم بالفروع أيضا، فلو أسلم الكافر لا يسقط عنه الغسل، لاستناده إلى الجنابة الباقية إلى حين الإسلام، و دليل الجب غير ظاهر الشمول لمثله، بل هو منصرف إلى نفي شي‌ء مستند إلى وجود سببيته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نفي الجنابة به مدفوع، بظهوره في نفي ما فيه المنة من استحقاق عقوبة دنيوية أو أخروية، و مثل هذه الأحكام الوضعية غير داخلة في العقوبات، و لا مستتبعة لها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نقول بعدم شمول القاعدة لباب الضمانات و الديون، فينحصر موردها بمثل قضاء الصلاة و الكفارة و الحدود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تكليفهم بالقضاء حينئذ من صغريات أمر الآمر مع العلم</w:t>
      </w:r>
      <w:bookmarkStart w:id="217" w:name="pg19729_212739"/>
    </w:p>
    <w:p>
      <w:pPr>
        <w:pStyle w:val="BookText"/>
        <w:rPr/>
      </w:pPr>
      <w:bookmarkEnd w:id="217"/>
      <w:r>
        <w:rPr>
          <w:rFonts w:ascii="Amiri" w:hAnsi="Amiri" w:eastAsia="Amiri" w:cs="Amiri"/>
          <w:color w:val="111111"/>
          <w:sz w:val="28"/>
          <w:sz w:val="28"/>
          <w:szCs w:val="28"/>
          <w:rtl w:val="true"/>
          <w:lang w:bidi="ar-SA"/>
        </w:rPr>
        <w:t>بانتفاء شرطه، مدفوع بأنه كذلك لو كان الشرط خصوص الإسلام بعد الوقت، و إلّا فلا محذور فيه، غاية الأمر ينتهي الأمر فيه إلى مسألة الترتب، و هو أيضا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ظاهر الأصحاب تخصيص القاعدة بالكافر الأصلي، و لعلّه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كان كفره ممتدا من زمان بلوغه إلى حال قبوله الإسلام، و ما كان شأنه ذلك هو الكافر الأصلي،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شمول القاعدة للزكاة كلام مبني على أن وضعها تبع للتكليف بشهادة الزكاة المستحبة، أو العكس بظهور أدلة ثبوتها في الأشياء، غاية الأمر يتصوّر مراتب من الوضع، الموجبة لاختلاف التكليف وجوبا و استحبابا، و أما الخمس فظاهرهم كونه وضعا جزما، فكان من قبيل الديون غير الساقطة بالإسلام، كما لا يخفى على من راجع المطولات</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251259_2314609296"/>
      <w:bookmarkStart w:id="219" w:name="_Toc82"/>
      <w:bookmarkEnd w:id="218"/>
      <w:r>
        <w:rPr>
          <w:rtl w:val="true"/>
        </w:rPr>
        <w:t>و يجب فيه أي في الغسل النية</w:t>
      </w:r>
      <w:bookmarkEnd w:id="219"/>
    </w:p>
    <w:p>
      <w:pPr>
        <w:pStyle w:val="BookText"/>
        <w:rPr/>
      </w:pPr>
      <w:r>
        <w:rPr>
          <w:rFonts w:ascii="Amiri" w:hAnsi="Amiri" w:eastAsia="Amiri" w:cs="Amiri"/>
          <w:color w:val="111111"/>
          <w:sz w:val="28"/>
          <w:sz w:val="28"/>
          <w:szCs w:val="28"/>
          <w:rtl w:val="true"/>
          <w:lang w:bidi="ar-SA"/>
        </w:rPr>
        <w:t>، و هي عبارة عن الداعي على إتيانه للّٰه تعالى، أو بداعي أمره طمعا في ثوابه، أو خوفا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الغسل بملاحظة اختلاف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إطلاق الحقوق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قصد التعيين علاوة على القربة، و سيأتي تفصيله في مسألة تداخل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 اليدين أو الرأس،</w:t>
      </w:r>
    </w:p>
    <w:p>
      <w:pPr>
        <w:pStyle w:val="Heading6"/>
        <w:numPr>
          <w:ilvl w:val="5"/>
          <w:numId w:val="1"/>
        </w:numPr>
        <w:rPr/>
      </w:pPr>
      <w:bookmarkStart w:id="220" w:name="__RefHeading___Toc3251261_2314609296"/>
      <w:bookmarkStart w:id="221" w:name="_Toc83"/>
      <w:bookmarkEnd w:id="220"/>
      <w:r>
        <w:rPr>
          <w:rtl w:val="true"/>
        </w:rPr>
        <w:t>و يجب أيضا استدامة الحكم</w:t>
      </w:r>
      <w:bookmarkEnd w:id="221"/>
    </w:p>
    <w:p>
      <w:pPr>
        <w:pStyle w:val="BookText"/>
        <w:rPr/>
      </w:pPr>
      <w:r>
        <w:rPr>
          <w:rFonts w:ascii="Amiri" w:hAnsi="Amiri" w:eastAsia="Amiri" w:cs="Amiri"/>
          <w:color w:val="111111"/>
          <w:sz w:val="28"/>
          <w:sz w:val="28"/>
          <w:szCs w:val="28"/>
          <w:rtl w:val="true"/>
          <w:lang w:bidi="ar-SA"/>
        </w:rPr>
        <w:t>، و قد تقدم الكلام في ذلك كله في الوضوء فراجع</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3251263_2314609296"/>
      <w:bookmarkStart w:id="223" w:name="_Toc84"/>
      <w:bookmarkEnd w:id="222"/>
      <w:r>
        <w:rPr>
          <w:rtl w:val="true"/>
        </w:rPr>
        <w:t>و يجب استيعاب الجسد بالغسل</w:t>
      </w:r>
      <w:bookmarkEnd w:id="2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القرن إلى القدم، كما في النص </w:t>
      </w:r>
      <w:r>
        <w:rPr>
          <w:rStyle w:val="FootnoteAnchor"/>
          <w:rtl w:val="true"/>
        </w:rPr>
        <w:footnoteReference w:id="762"/>
      </w:r>
      <w:r>
        <w:rPr>
          <w:rFonts w:ascii="Amiri" w:hAnsi="Amiri" w:eastAsia="Amiri" w:cs="Amiri"/>
          <w:color w:val="111111"/>
          <w:sz w:val="28"/>
          <w:sz w:val="28"/>
          <w:szCs w:val="28"/>
          <w:rtl w:val="true"/>
          <w:lang w:bidi="ar-SA"/>
        </w:rPr>
        <w:t xml:space="preserve">، فلا بدلية للشعر في المقام، لاختصاص دليلها </w:t>
      </w:r>
      <w:r>
        <w:rPr>
          <w:rStyle w:val="FootnoteAnchor"/>
          <w:rtl w:val="true"/>
        </w:rPr>
        <w:footnoteReference w:id="763"/>
      </w:r>
      <w:r>
        <w:rPr>
          <w:rFonts w:ascii="IRNazanin" w:hAnsi="IRNazanin" w:eastAsia="IRNazanin"/>
          <w:color w:val="111111"/>
          <w:sz w:val="28"/>
          <w:sz w:val="28"/>
          <w:szCs w:val="28"/>
          <w:rtl w:val="true"/>
          <w:lang w:bidi="fa-IR"/>
        </w:rPr>
        <w:t>بالوضوء،</w:t>
      </w:r>
      <w:bookmarkStart w:id="224" w:name="pg19729_212740"/>
    </w:p>
    <w:p>
      <w:pPr>
        <w:pStyle w:val="BookText"/>
        <w:rPr/>
      </w:pPr>
      <w:bookmarkEnd w:id="224"/>
      <w:r>
        <w:rPr>
          <w:rFonts w:ascii="Amiri" w:hAnsi="Amiri" w:eastAsia="Amiri" w:cs="Amiri"/>
          <w:color w:val="111111"/>
          <w:sz w:val="28"/>
          <w:sz w:val="28"/>
          <w:szCs w:val="28"/>
          <w:rtl w:val="true"/>
          <w:lang w:bidi="ar-SA"/>
        </w:rPr>
        <w:t>و يكفي فيه مجرد إيصال الماء إليه بلا جريان،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بلّوا الشعر و أنقوا البشرة</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أمسسته الماء فقد أنقيته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 و مقتضى فحاوي ما دلّ على وجوب غسل البدن وجوب غسل ما فيه من شعر أو لحم أو غيره </w:t>
      </w:r>
      <w:r>
        <w:rPr>
          <w:rStyle w:val="FootnoteAnchor"/>
          <w:rtl w:val="true"/>
        </w:rPr>
        <w:footnoteReference w:id="766"/>
      </w:r>
      <w:r>
        <w:rPr>
          <w:rFonts w:ascii="Amiri" w:hAnsi="Amiri" w:eastAsia="Amiri" w:cs="Amiri"/>
          <w:color w:val="111111"/>
          <w:sz w:val="28"/>
          <w:sz w:val="28"/>
          <w:szCs w:val="28"/>
          <w:rtl w:val="true"/>
          <w:lang w:bidi="ar-SA"/>
        </w:rPr>
        <w:t>، كما أشرنا إليه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الوجوب تبعي محض لا نفسي و لا غيري، و لذا يسقط وجوبه بسقوط وجوب غسل البدن، نظير سقوط ضيافة غلام زيد بسقوط ضيافته، فيشبه الوجوبات الغيرية من تلك الجهة، و يفارقها من حيث عدم مقدمية غسلها لغسل البدن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هذا الوجوب سنخ آخر لا نفسي و لا غيري، و مرجعه إلى صيرورة الشي‌ء بملاحظة كونه من شئون غيره و من مراتب وجوده، على وجه يجب حفظ جميعها في ظرف التمكن من نفسه، و إلّا فيسقط الوجوب حتى من شئونه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3251265_2314609296"/>
      <w:bookmarkStart w:id="226" w:name="_Toc85"/>
      <w:bookmarkEnd w:id="225"/>
      <w:r>
        <w:rPr>
          <w:rtl w:val="true"/>
        </w:rPr>
        <w:t>و يجب حينئذ في الغسل المزبور لما عرفت تخليل ما لا يصل إليه الماء إلّا به، و البدأة بالرأس</w:t>
      </w:r>
      <w:bookmarkEnd w:id="226"/>
    </w:p>
    <w:p>
      <w:pPr>
        <w:pStyle w:val="BookText"/>
        <w:rPr/>
      </w:pPr>
      <w:r>
        <w:rPr>
          <w:rFonts w:ascii="Amiri" w:hAnsi="Amiri" w:eastAsia="Amiri" w:cs="Amiri"/>
          <w:color w:val="111111"/>
          <w:sz w:val="28"/>
          <w:sz w:val="28"/>
          <w:szCs w:val="28"/>
          <w:rtl w:val="true"/>
          <w:lang w:bidi="ar-SA"/>
        </w:rPr>
        <w:t xml:space="preserve">بلا اشكال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بالرأس ثم أفض على سائر جسدك</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و ظاهرهم إلحاق الرقبة بالرأس، لتوهم انصراف الجسد عنها، و فيه نظر، و الاحتياط لا يترك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غسل الميت المتحد مع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غسل الميت مثل غسل الجنابة ثم على منكبه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68"/>
      </w:r>
      <w:r>
        <w:rPr>
          <w:rFonts w:ascii="Amiri" w:hAnsi="Amiri" w:eastAsia="Amiri" w:cs="Amiri"/>
          <w:color w:val="111111"/>
          <w:sz w:val="28"/>
          <w:sz w:val="28"/>
          <w:szCs w:val="28"/>
          <w:rtl w:val="true"/>
          <w:lang w:bidi="ar-SA"/>
        </w:rPr>
        <w:t>، فإنه ظاهر في</w:t>
      </w:r>
    </w:p>
    <w:p>
      <w:pPr>
        <w:pStyle w:val="BookText"/>
        <w:rPr/>
      </w:pPr>
      <w:r>
        <w:rPr>
          <w:rFonts w:ascii="Amiri" w:hAnsi="Amiri" w:eastAsia="Amiri" w:cs="Amiri"/>
          <w:color w:val="111111"/>
          <w:sz w:val="28"/>
          <w:sz w:val="28"/>
          <w:szCs w:val="28"/>
          <w:rtl w:val="true"/>
          <w:lang w:bidi="ar-SA"/>
        </w:rPr>
        <w:t xml:space="preserve">المشهور من إلحاقها بالرأس، بل بمثلها يستفاد الغسلات الثلاث، و إلّا ففي أخبار الباب لا مقتضى لترتيب الجانبين، عدا ما اشتمل على تثليث الغسلات على تثليث الغسلات </w:t>
      </w:r>
      <w:r>
        <w:rPr>
          <w:rStyle w:val="FootnoteAnchor"/>
          <w:rtl w:val="true"/>
        </w:rPr>
        <w:footnoteReference w:id="769"/>
      </w:r>
      <w:r>
        <w:rPr>
          <w:rFonts w:ascii="Amiri" w:hAnsi="Amiri" w:eastAsia="Amiri" w:cs="Amiri"/>
          <w:color w:val="111111"/>
          <w:sz w:val="28"/>
          <w:sz w:val="28"/>
          <w:szCs w:val="28"/>
          <w:rtl w:val="true"/>
          <w:lang w:bidi="ar-SA"/>
        </w:rPr>
        <w:t>، بضميمة أنه ملازم شرعا الوجوب الترتيب، و به صرح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بالجانب الأيمن، ثم بالجانب الأيسر، و يسقط الترتيب مع الارتماس بلا اشكال،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ارتمس ارتماسة واحدة أجزأه</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 يكفي صدق الارتماس الواحد لوحدة عرفية حاصلة و لو تدريجا بلا تخلل عدم فيه، كما هو مذهب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 في كون الارتماس مقدمة للانغسال دفعة كذلك، أوله دخل، فيه وجهان،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اغتسالا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كون المدار على الاغتسال، و مناسبة المقدمية للارتماس المزبور مانعة أيضا عن ظهور دخله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يحتاج إلى إخراج تمام البدن من الماء في إيجاده، بخلافه بناء على دخل الارتماس مستقلا، فإنه ظاهر في ارتماس تمام البدن غير الحاصل إلّا بخروجه عن الماء، كما لا يخفى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إشكال في سقوط الترتيب مع الارتماس في المقام، و في اقتضائه ذلك في كل مورد شرع فيه الترتيب، له وجه، لظهور الاجتزاء بالارتماس في النظر إلى سقوط الترتيب، و بدليته عن الترتيبي في كل مورد شرع فيه، فيقوى حينئذ أجزاؤه في غسل الميت أيضا، لو لا دعوى انصرافه إلى غسل الأحياء، كما لا يخفى</w:t>
      </w:r>
      <w:r>
        <w:rPr>
          <w:rFonts w:eastAsia="Amiri" w:cs="Amiri" w:ascii="Amiri" w:hAnsi="Amiri"/>
          <w:color w:val="111111"/>
          <w:sz w:val="28"/>
          <w:szCs w:val="28"/>
          <w:rtl w:val="true"/>
          <w:lang w:bidi="ar-SA"/>
        </w:rPr>
        <w:t>.</w:t>
      </w:r>
      <w:bookmarkStart w:id="227" w:name="pg19729_212742"/>
    </w:p>
    <w:p>
      <w:pPr>
        <w:pStyle w:val="BookText"/>
        <w:rPr/>
      </w:pPr>
      <w:bookmarkEnd w:id="227"/>
      <w:r>
        <w:rPr>
          <w:rFonts w:ascii="Amiri" w:hAnsi="Amiri" w:eastAsia="Amiri" w:cs="Amiri"/>
          <w:color w:val="111111"/>
          <w:sz w:val="28"/>
          <w:sz w:val="28"/>
          <w:szCs w:val="28"/>
          <w:rtl w:val="true"/>
          <w:lang w:bidi="ar-SA"/>
        </w:rPr>
        <w:t xml:space="preserve">ثم إنّ المستفاد من أوامر تطهير الفرج و اليدين قبل الغسل </w:t>
      </w:r>
      <w:r>
        <w:rPr>
          <w:rStyle w:val="FootnoteAnchor"/>
          <w:rtl w:val="true"/>
        </w:rPr>
        <w:footnoteReference w:id="773"/>
      </w:r>
      <w:r>
        <w:rPr>
          <w:rFonts w:ascii="Amiri" w:hAnsi="Amiri" w:eastAsia="Amiri" w:cs="Amiri"/>
          <w:color w:val="111111"/>
          <w:sz w:val="28"/>
          <w:sz w:val="28"/>
          <w:szCs w:val="28"/>
          <w:rtl w:val="true"/>
          <w:lang w:bidi="ar-SA"/>
        </w:rPr>
        <w:t>اشتراط الغسل بطهارة المحل،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طهارة كل عضو في غسله، و لا يحتاج إلى طهارة جميع البدن، كما أنه لا إشكال في عدم اشتراط الموالاة للنصوص المستفيضة المسلّمة لدى الأصحاب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3251267_2314609296"/>
      <w:bookmarkStart w:id="229" w:name="_Toc86"/>
      <w:bookmarkEnd w:id="228"/>
      <w:r>
        <w:rPr>
          <w:rtl w:val="true"/>
        </w:rPr>
        <w:t>[</w:t>
      </w:r>
      <w:r>
        <w:rPr>
          <w:rtl w:val="true"/>
        </w:rPr>
        <w:t>مستحبات غسل الجنابة</w:t>
      </w:r>
      <w:r>
        <w:rPr>
          <w:rtl w:val="true"/>
        </w:rPr>
        <w:t>]</w:t>
      </w:r>
      <w:bookmarkEnd w:id="229"/>
    </w:p>
    <w:p>
      <w:pPr>
        <w:pStyle w:val="Heading6"/>
        <w:numPr>
          <w:ilvl w:val="5"/>
          <w:numId w:val="1"/>
        </w:numPr>
        <w:rPr/>
      </w:pPr>
      <w:bookmarkStart w:id="230" w:name="__RefHeading___Toc3251269_2314609296"/>
      <w:bookmarkStart w:id="231" w:name="_Toc87"/>
      <w:bookmarkEnd w:id="230"/>
      <w:r>
        <w:rPr>
          <w:rtl w:val="true"/>
        </w:rPr>
        <w:t>و يستحب فيه أي الغسل الاستبراء بالبول، و الاجتهاد</w:t>
      </w:r>
      <w:bookmarkEnd w:id="231"/>
    </w:p>
    <w:p>
      <w:pPr>
        <w:pStyle w:val="BookText"/>
        <w:rPr/>
      </w:pPr>
      <w:r>
        <w:rPr>
          <w:rFonts w:ascii="Amiri" w:hAnsi="Amiri" w:eastAsia="Amiri" w:cs="Amiri"/>
          <w:color w:val="111111"/>
          <w:sz w:val="28"/>
          <w:sz w:val="28"/>
          <w:szCs w:val="28"/>
          <w:rtl w:val="true"/>
          <w:lang w:bidi="ar-SA"/>
        </w:rPr>
        <w:t xml:space="preserve">إذا كانت الجنابة بالإنزال، بلا إشكال في الأول، لصحيح البزنطي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مناسبته للمقدمية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للفراغ عن تبعات البلل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توهن أمر استحبابه شرعا، و في كونه تعبّديا في تلك المقدمة، أو بملاحظة ملازمته للقطع بخلو المجرى، وجهان، لا يخلو ثانيهما عن قوة، و عليه فيتعدّى إلى مطلق الاجتهاد الموجب للقطع بخلو المجرى أيضا، بخلافه بناء على التعبّدية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251271_2314609296"/>
      <w:bookmarkStart w:id="233" w:name="_Toc88"/>
      <w:bookmarkEnd w:id="232"/>
      <w:r>
        <w:rPr>
          <w:rtl w:val="true"/>
        </w:rPr>
        <w:t>و يستحب أيضا المضمضة و الاستنشاق</w:t>
      </w:r>
      <w:bookmarkEnd w:id="233"/>
    </w:p>
    <w:p>
      <w:pPr>
        <w:pStyle w:val="BookText"/>
        <w:rPr/>
      </w:pPr>
      <w:r>
        <w:rPr>
          <w:rFonts w:ascii="IRNazanin" w:hAnsi="IRNazanin" w:eastAsia="IRNazanin"/>
          <w:color w:val="111111"/>
          <w:sz w:val="28"/>
          <w:sz w:val="28"/>
          <w:szCs w:val="28"/>
          <w:rtl w:val="true"/>
          <w:lang w:bidi="fa-IR"/>
        </w:rPr>
        <w:t xml:space="preserve">، للنص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الغسل بصاع، لما في النص من أنّ رسول اللّٰه صلّى اللّٰه عليه و آله كان يغتسل بصاع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يجزئ الصاع فيما زاد، لظهور النص في القدر الأقل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تخليل ما يصل إليه الماء زائدا على المقدار اللازم، و عليه بعض الروايات الدالة على إمرار يده على ما ناله من جسده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234" w:name="pg19729_212743"/>
    </w:p>
    <w:p>
      <w:pPr>
        <w:pStyle w:val="Heading6"/>
        <w:numPr>
          <w:ilvl w:val="5"/>
          <w:numId w:val="1"/>
        </w:numPr>
        <w:rPr/>
      </w:pPr>
      <w:bookmarkStart w:id="235" w:name="__RefHeading___Toc3251273_2314609296"/>
      <w:bookmarkStart w:id="236" w:name="_Toc89"/>
      <w:bookmarkEnd w:id="234"/>
      <w:bookmarkEnd w:id="235"/>
      <w:r>
        <w:rPr>
          <w:rtl w:val="true"/>
        </w:rPr>
        <w:t>[</w:t>
      </w:r>
      <w:r>
        <w:rPr>
          <w:rtl w:val="true"/>
        </w:rPr>
        <w:t>محرمات غسل الجنابة</w:t>
      </w:r>
      <w:r>
        <w:rPr>
          <w:rtl w:val="true"/>
        </w:rPr>
        <w:t>]</w:t>
      </w:r>
      <w:bookmarkEnd w:id="236"/>
    </w:p>
    <w:p>
      <w:pPr>
        <w:pStyle w:val="Heading6"/>
        <w:numPr>
          <w:ilvl w:val="5"/>
          <w:numId w:val="1"/>
        </w:numPr>
        <w:rPr/>
      </w:pPr>
      <w:bookmarkStart w:id="237" w:name="__RefHeading___Toc3251275_2314609296"/>
      <w:bookmarkStart w:id="238" w:name="_Toc90"/>
      <w:bookmarkEnd w:id="237"/>
      <w:r>
        <w:rPr>
          <w:rtl w:val="true"/>
        </w:rPr>
        <w:t>و يحرم عليه أي على المجنب قبل الغسل قراءة العزائم</w:t>
      </w:r>
      <w:bookmarkEnd w:id="238"/>
    </w:p>
    <w:p>
      <w:pPr>
        <w:pStyle w:val="BookText"/>
        <w:rPr/>
      </w:pPr>
      <w:r>
        <w:rPr>
          <w:rFonts w:ascii="Amiri" w:hAnsi="Amiri" w:eastAsia="Amiri" w:cs="Amiri"/>
          <w:color w:val="111111"/>
          <w:sz w:val="28"/>
          <w:sz w:val="28"/>
          <w:szCs w:val="28"/>
          <w:rtl w:val="true"/>
          <w:lang w:bidi="ar-SA"/>
        </w:rPr>
        <w:t xml:space="preserve">الأربع، لرواية البزنطي المشتملة على النهي عن كل واحدة بعنوانها المخصوص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النهي عن السورة حرمة مجموعها لا جميعها </w:t>
      </w:r>
      <w:r>
        <w:rPr>
          <w:rStyle w:val="FootnoteAnchor"/>
          <w:rtl w:val="true"/>
        </w:rPr>
        <w:footnoteReference w:id="781"/>
      </w:r>
      <w:r>
        <w:rPr>
          <w:rFonts w:ascii="Amiri" w:hAnsi="Amiri" w:eastAsia="Amiri" w:cs="Amiri"/>
          <w:color w:val="111111"/>
          <w:sz w:val="28"/>
          <w:sz w:val="28"/>
          <w:szCs w:val="28"/>
          <w:rtl w:val="true"/>
          <w:lang w:bidi="ar-SA"/>
        </w:rPr>
        <w:t xml:space="preserve">، نعم يمكن استفادة حرمة خصوص آية السجدة من النواهي المتعلقة بالسجدة </w:t>
      </w:r>
      <w:r>
        <w:rPr>
          <w:rStyle w:val="FootnoteAnchor"/>
          <w:rtl w:val="true"/>
        </w:rPr>
        <w:footnoteReference w:id="782"/>
      </w:r>
      <w:r>
        <w:rPr>
          <w:rFonts w:ascii="Amiri" w:hAnsi="Amiri" w:eastAsia="Amiri" w:cs="Amiri"/>
          <w:color w:val="111111"/>
          <w:sz w:val="28"/>
          <w:sz w:val="28"/>
          <w:szCs w:val="28"/>
          <w:rtl w:val="true"/>
          <w:lang w:bidi="ar-SA"/>
        </w:rPr>
        <w:t>، إذ الظاهرة منها آية السجدة لا سورتها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251277_2314609296"/>
      <w:bookmarkStart w:id="240" w:name="_Toc91"/>
      <w:bookmarkEnd w:id="239"/>
      <w:r>
        <w:rPr>
          <w:rtl w:val="true"/>
        </w:rPr>
        <w:t>و يحرم عليه أيضا مسّ كتابة القرآن</w:t>
      </w:r>
      <w:bookmarkEnd w:id="240"/>
    </w:p>
    <w:p>
      <w:pPr>
        <w:pStyle w:val="BookText"/>
        <w:rPr/>
      </w:pPr>
      <w:r>
        <w:rPr>
          <w:rFonts w:ascii="Amiri" w:hAnsi="Amiri" w:eastAsia="Amiri" w:cs="Amiri"/>
          <w:color w:val="111111"/>
          <w:sz w:val="28"/>
          <w:sz w:val="28"/>
          <w:szCs w:val="28"/>
          <w:rtl w:val="true"/>
          <w:lang w:bidi="ar-SA"/>
        </w:rPr>
        <w:t xml:space="preserve">على التفصيل المتقدّم، مع ما ألحقناه بها، بل و حرمة مسّ شي‌ء عليه اسم اللّٰه تعالى، للنص </w:t>
      </w:r>
      <w:r>
        <w:rPr>
          <w:rStyle w:val="FootnoteAnchor"/>
          <w:rtl w:val="true"/>
        </w:rPr>
        <w:footnoteReference w:id="783"/>
      </w:r>
      <w:r>
        <w:rPr>
          <w:rFonts w:ascii="Amiri" w:hAnsi="Amiri" w:eastAsia="Amiri" w:cs="Amiri"/>
          <w:color w:val="111111"/>
          <w:sz w:val="28"/>
          <w:sz w:val="28"/>
          <w:szCs w:val="28"/>
          <w:rtl w:val="true"/>
          <w:lang w:bidi="ar-SA"/>
        </w:rPr>
        <w:t>، و يلحق به أيضا بمناط التعظيم أسماء الأنبياء أو أحد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251279_2314609296"/>
      <w:bookmarkStart w:id="242" w:name="_Toc92"/>
      <w:bookmarkEnd w:id="241"/>
      <w:r>
        <w:rPr>
          <w:rtl w:val="true"/>
        </w:rPr>
        <w:t>و يحرم عليه أيضا دخول المساجد إلّا اجتيازا</w:t>
      </w:r>
      <w:bookmarkEnd w:id="242"/>
    </w:p>
    <w:p>
      <w:pPr>
        <w:pStyle w:val="BookText"/>
        <w:rPr/>
      </w:pPr>
      <w:r>
        <w:rPr>
          <w:rFonts w:ascii="Amiri" w:hAnsi="Amiri" w:eastAsia="Amiri" w:cs="Amiri"/>
          <w:color w:val="111111"/>
          <w:sz w:val="28"/>
          <w:sz w:val="28"/>
          <w:szCs w:val="28"/>
          <w:rtl w:val="true"/>
          <w:lang w:bidi="ar-SA"/>
        </w:rPr>
        <w:t xml:space="preserve">، لصحيح زرارة </w:t>
      </w:r>
      <w:r>
        <w:rPr>
          <w:rStyle w:val="FootnoteAnchor"/>
          <w:rtl w:val="true"/>
        </w:rPr>
        <w:footnoteReference w:id="784"/>
      </w:r>
      <w:r>
        <w:rPr>
          <w:rFonts w:ascii="IRNazanin" w:hAnsi="IRNazanin" w:eastAsia="IRNazanin"/>
          <w:color w:val="111111"/>
          <w:sz w:val="28"/>
          <w:sz w:val="28"/>
          <w:szCs w:val="28"/>
          <w:rtl w:val="true"/>
          <w:lang w:bidi="fa-IR"/>
        </w:rPr>
        <w:t xml:space="preserve">، و محمد بن مسلم </w:t>
      </w:r>
      <w:r>
        <w:rPr>
          <w:rStyle w:val="FootnoteAnchor"/>
          <w:rtl w:val="true"/>
        </w:rPr>
        <w:footnoteReference w:id="785"/>
      </w:r>
      <w:r>
        <w:rPr>
          <w:rFonts w:ascii="Amiri" w:hAnsi="Amiri" w:eastAsia="Amiri" w:cs="Amiri"/>
          <w:color w:val="111111"/>
          <w:sz w:val="28"/>
          <w:sz w:val="28"/>
          <w:szCs w:val="28"/>
          <w:rtl w:val="true"/>
          <w:lang w:bidi="ar-SA"/>
        </w:rPr>
        <w:t>المشتملتين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يدخلان المسجد إلّا مجتازين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جملة من الأخبار تجويز المشي قبال القعود </w:t>
      </w:r>
      <w:r>
        <w:rPr>
          <w:rStyle w:val="FootnoteAnchor"/>
          <w:rtl w:val="true"/>
        </w:rPr>
        <w:footnoteReference w:id="786"/>
      </w:r>
      <w:r>
        <w:rPr>
          <w:rFonts w:ascii="Amiri" w:hAnsi="Amiri" w:eastAsia="Amiri" w:cs="Amiri"/>
          <w:color w:val="111111"/>
          <w:sz w:val="28"/>
          <w:sz w:val="28"/>
          <w:szCs w:val="28"/>
          <w:rtl w:val="true"/>
          <w:lang w:bidi="ar-SA"/>
        </w:rPr>
        <w:t xml:space="preserve">، بل في بعضها التصريح بجواز المرور، الأعم من الاجتياز، كما في رواية أبي حمزة </w:t>
      </w:r>
      <w:r>
        <w:rPr>
          <w:rStyle w:val="FootnoteAnchor"/>
          <w:rtl w:val="true"/>
        </w:rPr>
        <w:footnoteReference w:id="787"/>
      </w:r>
      <w:r>
        <w:rPr>
          <w:rFonts w:ascii="Amiri" w:hAnsi="Amiri" w:eastAsia="Amiri" w:cs="Amiri"/>
          <w:color w:val="111111"/>
          <w:sz w:val="28"/>
          <w:sz w:val="28"/>
          <w:szCs w:val="28"/>
          <w:rtl w:val="true"/>
          <w:lang w:bidi="ar-SA"/>
        </w:rPr>
        <w:t>، و لا يبعد المصير إلى تقييد مطلق المشي بالاجتياز، أو الخروج و لو من بابه</w:t>
      </w:r>
      <w:bookmarkStart w:id="243" w:name="pg19729_212744"/>
    </w:p>
    <w:p>
      <w:pPr>
        <w:pStyle w:val="BookText"/>
        <w:rPr/>
      </w:pPr>
      <w:bookmarkEnd w:id="243"/>
      <w:r>
        <w:rPr>
          <w:rFonts w:ascii="Amiri" w:hAnsi="Amiri" w:eastAsia="Amiri" w:cs="Amiri"/>
          <w:color w:val="111111"/>
          <w:sz w:val="28"/>
          <w:sz w:val="28"/>
          <w:szCs w:val="28"/>
          <w:rtl w:val="true"/>
          <w:lang w:bidi="ar-SA"/>
        </w:rPr>
        <w:t xml:space="preserve">الداخل فيه عند ابتلائه بالجنابة فيه لا مطلقا، نعم في رواية تجويز النوم فيه </w:t>
      </w:r>
      <w:r>
        <w:rPr>
          <w:rStyle w:val="FootnoteAnchor"/>
          <w:rtl w:val="true"/>
        </w:rPr>
        <w:footnoteReference w:id="788"/>
      </w:r>
      <w:r>
        <w:rPr>
          <w:rFonts w:ascii="Amiri" w:hAnsi="Amiri" w:eastAsia="Amiri" w:cs="Amiri"/>
          <w:color w:val="111111"/>
          <w:sz w:val="28"/>
          <w:sz w:val="28"/>
          <w:szCs w:val="28"/>
          <w:rtl w:val="true"/>
          <w:lang w:bidi="ar-SA"/>
        </w:rPr>
        <w:t>، و هي مطروحة، لإعراضهم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جار في ما عدا مسجد الحرام و مسجد الرسول، لما في جملة من النصوص استثناؤهما من حكم الاجتياز و غيره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3251281_2314609296"/>
      <w:bookmarkStart w:id="245" w:name="_Toc93"/>
      <w:bookmarkEnd w:id="244"/>
      <w:r>
        <w:rPr>
          <w:rtl w:val="true"/>
        </w:rPr>
        <w:t>و يحرم الدخول لوضع شي‌ء فيه</w:t>
      </w:r>
      <w:bookmarkEnd w:id="245"/>
    </w:p>
    <w:p>
      <w:pPr>
        <w:pStyle w:val="BookText"/>
        <w:rPr/>
      </w:pPr>
      <w:r>
        <w:rPr>
          <w:rFonts w:ascii="Amiri" w:hAnsi="Amiri" w:eastAsia="Amiri" w:cs="Amiri"/>
          <w:color w:val="111111"/>
          <w:sz w:val="28"/>
          <w:sz w:val="28"/>
          <w:szCs w:val="28"/>
          <w:rtl w:val="true"/>
          <w:lang w:bidi="ar-SA"/>
        </w:rPr>
        <w:t>دون أخذه، لما في خبر زرارة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بالهما يأخذان و لا يضعان فيه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لا يقدران على أخذ ما فيه إلّا منه، و يقدران على وضع ما في يدهما من غيره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لأن ظاهر الرواية عدم دخل الوضع في الحرمة، بل تمام المناط جهة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جعل هذه الجهة حكمه، فلا تنافي ظهور الصحيحة الأخرى </w:t>
      </w:r>
      <w:r>
        <w:rPr>
          <w:rStyle w:val="FootnoteAnchor"/>
          <w:rtl w:val="true"/>
        </w:rPr>
        <w:footnoteReference w:id="791"/>
      </w:r>
      <w:r>
        <w:rPr>
          <w:rFonts w:ascii="Amiri" w:hAnsi="Amiri" w:eastAsia="Amiri" w:cs="Amiri"/>
          <w:color w:val="111111"/>
          <w:sz w:val="28"/>
          <w:sz w:val="28"/>
          <w:szCs w:val="28"/>
          <w:rtl w:val="true"/>
          <w:lang w:bidi="ar-SA"/>
        </w:rPr>
        <w:t>في دخل الوضع في الموضوع،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الحكم بجواز الأخذ بإطلاقه يشمل المسجدين، و قد يعارضه إطلاق قول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فيه جنب</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الوارد في مسجد النبي الملحق به بيت اللّٰه، بعدم الفصل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للجنب أن يمشي في المساجد كلها، و لا يجلس فيها إلّا المسجد الحرام و مسجد الرسول</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و النسبة بينهما عموم من وجه، و مقتضاه التساقط في المجمع، و الرجوع إلى عموم حرمة الدخول إلّا مجتازا، بناء على عدم صدق الاجتياز على الدخول من باب</w:t>
      </w:r>
      <w:bookmarkStart w:id="246" w:name="pg19729_212745"/>
    </w:p>
    <w:p>
      <w:pPr>
        <w:pStyle w:val="BookText"/>
        <w:rPr/>
      </w:pPr>
      <w:bookmarkEnd w:id="246"/>
      <w:r>
        <w:rPr>
          <w:rFonts w:ascii="Amiri" w:hAnsi="Amiri" w:eastAsia="Amiri" w:cs="Amiri"/>
          <w:color w:val="111111"/>
          <w:sz w:val="28"/>
          <w:sz w:val="28"/>
          <w:szCs w:val="28"/>
          <w:rtl w:val="true"/>
          <w:lang w:bidi="ar-SA"/>
        </w:rPr>
        <w:t>و الخروج من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لو لا دعوى كون النسبة بينها و بين رواية الأخذ </w:t>
      </w:r>
      <w:r>
        <w:rPr>
          <w:rStyle w:val="FootnoteAnchor"/>
          <w:rtl w:val="true"/>
        </w:rPr>
        <w:footnoteReference w:id="794"/>
      </w:r>
      <w:r>
        <w:rPr>
          <w:rFonts w:ascii="Amiri" w:hAnsi="Amiri" w:eastAsia="Amiri" w:cs="Amiri"/>
          <w:color w:val="111111"/>
          <w:sz w:val="28"/>
          <w:sz w:val="28"/>
          <w:szCs w:val="28"/>
          <w:rtl w:val="true"/>
          <w:lang w:bidi="ar-SA"/>
        </w:rPr>
        <w:t xml:space="preserve">أيضا عموما من وجه، فتكون هذه الرواية كرواية المسجدين </w:t>
      </w:r>
      <w:r>
        <w:rPr>
          <w:rStyle w:val="FootnoteAnchor"/>
          <w:rtl w:val="true"/>
        </w:rPr>
        <w:footnoteReference w:id="795"/>
      </w:r>
      <w:r>
        <w:rPr>
          <w:rFonts w:ascii="Amiri" w:hAnsi="Amiri" w:eastAsia="Amiri" w:cs="Amiri"/>
          <w:color w:val="111111"/>
          <w:sz w:val="28"/>
          <w:sz w:val="28"/>
          <w:szCs w:val="28"/>
          <w:rtl w:val="true"/>
          <w:lang w:bidi="ar-SA"/>
        </w:rPr>
        <w:t>طرفا للمعارضة، و لازمها التساقط في المجمع أيضا و الرجوع إلى الأصل، و لا مجال لإعمال المرجّحات السندية في كلية العمومات من وجه، لعدم ما عده العرف على طرح الرواية رأسا، و لا على طرحها في خصوص مورد التعارض،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دعوى أنّ روايات الأخذ إنما هي ناظرة إلى المساجد المفروغ جواز الاجتياز فيها، مدفوعة، بل ظاهر التعليل في رواية زرارة </w:t>
      </w:r>
      <w:r>
        <w:rPr>
          <w:rStyle w:val="FootnoteAnchor"/>
          <w:rtl w:val="true"/>
        </w:rPr>
        <w:footnoteReference w:id="796"/>
      </w:r>
      <w:r>
        <w:rPr>
          <w:rFonts w:ascii="Amiri" w:hAnsi="Amiri" w:eastAsia="Amiri" w:cs="Amiri"/>
          <w:color w:val="111111"/>
          <w:sz w:val="28"/>
          <w:sz w:val="28"/>
          <w:szCs w:val="28"/>
          <w:rtl w:val="true"/>
          <w:lang w:bidi="ar-SA"/>
        </w:rPr>
        <w:t>يتناسب مع التعميم، و حينئذ فلا وجه لاستثناء المسجدين من هذا الحكم فتدبر</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251283_2314609296"/>
      <w:bookmarkStart w:id="248" w:name="_Toc94"/>
      <w:bookmarkEnd w:id="247"/>
      <w:r>
        <w:rPr>
          <w:rtl w:val="true"/>
        </w:rPr>
        <w:t>فرع</w:t>
      </w:r>
      <w:r>
        <w:rPr>
          <w:rtl w:val="true"/>
        </w:rPr>
        <w:t xml:space="preserve">: </w:t>
      </w:r>
      <w:r>
        <w:rPr>
          <w:rtl w:val="true"/>
        </w:rPr>
        <w:t>لو أجنب في المسجد، ففي بعض النصوص التفصيل بين المسجدين و غيرهما</w:t>
      </w:r>
      <w:bookmarkEnd w:id="248"/>
    </w:p>
    <w:p>
      <w:pPr>
        <w:pStyle w:val="BookText"/>
        <w:rPr/>
      </w:pPr>
      <w:r>
        <w:rPr>
          <w:rFonts w:ascii="Amiri" w:hAnsi="Amiri" w:eastAsia="Amiri" w:cs="Amiri"/>
          <w:color w:val="111111"/>
          <w:sz w:val="28"/>
          <w:sz w:val="28"/>
          <w:szCs w:val="28"/>
          <w:rtl w:val="true"/>
          <w:lang w:bidi="ar-SA"/>
        </w:rPr>
        <w:t xml:space="preserve">بوجوب التيمم، كما في رواية أبي حمزة </w:t>
      </w:r>
      <w:r>
        <w:rPr>
          <w:rStyle w:val="FootnoteAnchor"/>
          <w:rtl w:val="true"/>
        </w:rPr>
        <w:footnoteReference w:id="797"/>
      </w:r>
      <w:r>
        <w:rPr>
          <w:rFonts w:ascii="Amiri" w:hAnsi="Amiri" w:eastAsia="Amiri" w:cs="Amiri"/>
          <w:color w:val="111111"/>
          <w:sz w:val="28"/>
          <w:sz w:val="28"/>
          <w:szCs w:val="28"/>
          <w:rtl w:val="true"/>
          <w:lang w:bidi="ar-SA"/>
        </w:rPr>
        <w:t>، المصرّحة باختصاص التيمم بالمرور في المسجدين دون غيرهما، و إلى ذلك أيضا نظر المحقق في الشرائع، حيث 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بالمسجدين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التصريح باستحبابه في غيرهما </w:t>
      </w:r>
      <w:r>
        <w:rPr>
          <w:rStyle w:val="FootnoteAnchor"/>
          <w:rtl w:val="true"/>
        </w:rPr>
        <w:footnoteReference w:id="799"/>
      </w:r>
      <w:r>
        <w:rPr>
          <w:rFonts w:ascii="Amiri" w:hAnsi="Amiri" w:eastAsia="Amiri" w:cs="Amiri"/>
          <w:color w:val="111111"/>
          <w:sz w:val="28"/>
          <w:sz w:val="28"/>
          <w:szCs w:val="28"/>
          <w:rtl w:val="true"/>
          <w:lang w:bidi="ar-SA"/>
        </w:rPr>
        <w:t>، و عن آخر الإشكال في أصل مشروعيته حينئذ و إن كان فيه إشكال، و لو لأجل أنّ التراب أحد</w:t>
      </w:r>
      <w:bookmarkStart w:id="249" w:name="pg19729_212746"/>
    </w:p>
    <w:p>
      <w:pPr>
        <w:pStyle w:val="BookText"/>
        <w:rPr/>
      </w:pPr>
      <w:bookmarkEnd w:id="249"/>
      <w:r>
        <w:rPr>
          <w:rFonts w:ascii="Amiri" w:hAnsi="Amiri" w:eastAsia="Amiri" w:cs="Amiri"/>
          <w:color w:val="111111"/>
          <w:sz w:val="28"/>
          <w:sz w:val="28"/>
          <w:szCs w:val="28"/>
          <w:rtl w:val="true"/>
          <w:lang w:bidi="ar-SA"/>
        </w:rPr>
        <w:t>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لازمة صحة التيمم في كل مورد يسقط فيه الغسل، و ليس كذلك،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البدلية ناظرة إلى صورة عدم القدرة على المائية، مع فرض مشروعيتها عليه، و لا يشمل موارد يشك في أصل مشروعية الطهارة المائية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التيمم في مورده إنما هو في صورة اقتضائه زمانا أقل من زمن الخروج، أو زمن الغسل على فرض وجود الماء فيه، و إلّا فلا شبهة في أن الخروج أو الغسل واجب، و يحرم التيمم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خبر التيمم </w:t>
      </w:r>
      <w:r>
        <w:rPr>
          <w:rStyle w:val="FootnoteAnchor"/>
          <w:rtl w:val="true"/>
        </w:rPr>
        <w:footnoteReference w:id="800"/>
      </w:r>
      <w:r>
        <w:rPr>
          <w:rFonts w:ascii="Amiri" w:hAnsi="Amiri" w:eastAsia="Amiri" w:cs="Amiri"/>
          <w:color w:val="111111"/>
          <w:sz w:val="28"/>
          <w:sz w:val="28"/>
          <w:szCs w:val="28"/>
          <w:rtl w:val="true"/>
          <w:lang w:bidi="ar-SA"/>
        </w:rPr>
        <w:t>أيضا منزل على الغالب، و لا أقل من جهة انّ المناسبة بين الحكم و موضوعه كون ما ذكرنا مشكوك الاندراج في إطلاقه، كما لا يخفى،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251285_2314609296"/>
      <w:bookmarkStart w:id="251" w:name="_Toc95"/>
      <w:bookmarkEnd w:id="250"/>
      <w:r>
        <w:rPr>
          <w:rtl w:val="true"/>
        </w:rPr>
        <w:t>[</w:t>
      </w:r>
      <w:r>
        <w:rPr>
          <w:rtl w:val="true"/>
        </w:rPr>
        <w:t>مكروهات غسل الجنابة</w:t>
      </w:r>
      <w:r>
        <w:rPr>
          <w:rtl w:val="true"/>
        </w:rPr>
        <w:t>]</w:t>
      </w:r>
      <w:bookmarkEnd w:id="251"/>
    </w:p>
    <w:p>
      <w:pPr>
        <w:pStyle w:val="Heading6"/>
        <w:numPr>
          <w:ilvl w:val="5"/>
          <w:numId w:val="1"/>
        </w:numPr>
        <w:rPr/>
      </w:pPr>
      <w:bookmarkStart w:id="252" w:name="__RefHeading___Toc3251287_2314609296"/>
      <w:bookmarkStart w:id="253" w:name="_Toc96"/>
      <w:bookmarkEnd w:id="252"/>
      <w:r>
        <w:rPr>
          <w:rtl w:val="true"/>
        </w:rPr>
        <w:t>و يكره على الجنب قراءة ما زاد على سبع آيات</w:t>
      </w:r>
      <w:bookmarkEnd w:id="253"/>
    </w:p>
    <w:p>
      <w:pPr>
        <w:pStyle w:val="BookText"/>
        <w:rPr/>
      </w:pPr>
      <w:r>
        <w:rPr>
          <w:rFonts w:ascii="Amiri" w:hAnsi="Amiri" w:eastAsia="Amiri" w:cs="Amiri"/>
          <w:color w:val="111111"/>
          <w:sz w:val="28"/>
          <w:sz w:val="28"/>
          <w:szCs w:val="28"/>
          <w:rtl w:val="true"/>
          <w:lang w:bidi="ar-SA"/>
        </w:rPr>
        <w:t xml:space="preserve">، للجمع بين المطلقات المجوزة </w:t>
      </w:r>
      <w:r>
        <w:rPr>
          <w:rStyle w:val="FootnoteAnchor"/>
          <w:rtl w:val="true"/>
        </w:rPr>
        <w:footnoteReference w:id="801"/>
      </w:r>
      <w:r>
        <w:rPr>
          <w:rFonts w:ascii="Amiri" w:hAnsi="Amiri" w:eastAsia="Amiri" w:cs="Amiri"/>
          <w:color w:val="111111"/>
          <w:sz w:val="28"/>
          <w:sz w:val="28"/>
          <w:szCs w:val="28"/>
          <w:rtl w:val="true"/>
          <w:lang w:bidi="ar-SA"/>
        </w:rPr>
        <w:t xml:space="preserve">، و الناهية عما زاد على السبع </w:t>
      </w:r>
      <w:r>
        <w:rPr>
          <w:rStyle w:val="FootnoteAnchor"/>
          <w:rtl w:val="true"/>
        </w:rPr>
        <w:footnoteReference w:id="802"/>
      </w:r>
      <w:r>
        <w:rPr>
          <w:rFonts w:ascii="Amiri" w:hAnsi="Amiri" w:eastAsia="Amiri" w:cs="Amiri"/>
          <w:color w:val="111111"/>
          <w:sz w:val="28"/>
          <w:sz w:val="28"/>
          <w:szCs w:val="28"/>
          <w:rtl w:val="true"/>
          <w:lang w:bidi="ar-SA"/>
        </w:rPr>
        <w:t>،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بعضها النهي عن القراءة مطلقا </w:t>
      </w:r>
      <w:r>
        <w:rPr>
          <w:rStyle w:val="FootnoteAnchor"/>
          <w:rtl w:val="true"/>
        </w:rPr>
        <w:footnoteReference w:id="803"/>
      </w:r>
      <w:r>
        <w:rPr>
          <w:rFonts w:ascii="Amiri" w:hAnsi="Amiri" w:eastAsia="Amiri" w:cs="Amiri"/>
          <w:color w:val="111111"/>
          <w:sz w:val="28"/>
          <w:sz w:val="28"/>
          <w:szCs w:val="28"/>
          <w:rtl w:val="true"/>
          <w:lang w:bidi="ar-SA"/>
        </w:rPr>
        <w:t>، و الحمل على مراتب الكراهة أولى من التقييد، كما هو ظاهر المصنف</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251289_2314609296"/>
      <w:bookmarkStart w:id="255" w:name="_Toc97"/>
      <w:bookmarkEnd w:id="254"/>
      <w:r>
        <w:rPr>
          <w:rtl w:val="true"/>
        </w:rPr>
        <w:t>و يكره عليه أيضا مس المصحف</w:t>
      </w:r>
      <w:bookmarkEnd w:id="2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المشهور، للنهي عن مس خطه </w:t>
      </w:r>
      <w:r>
        <w:rPr>
          <w:rStyle w:val="FootnoteAnchor"/>
          <w:rtl w:val="true"/>
        </w:rPr>
        <w:footnoteReference w:id="804"/>
      </w:r>
      <w:r>
        <w:rPr>
          <w:rFonts w:ascii="Amiri" w:hAnsi="Amiri" w:eastAsia="Amiri" w:cs="Amiri"/>
          <w:color w:val="111111"/>
          <w:sz w:val="28"/>
          <w:sz w:val="28"/>
          <w:szCs w:val="28"/>
          <w:rtl w:val="true"/>
          <w:lang w:bidi="ar-SA"/>
        </w:rPr>
        <w:t xml:space="preserve">، و تعليقه </w:t>
      </w:r>
      <w:r>
        <w:rPr>
          <w:rStyle w:val="FootnoteAnchor"/>
          <w:rtl w:val="true"/>
        </w:rPr>
        <w:footnoteReference w:id="805"/>
      </w:r>
      <w:r>
        <w:rPr>
          <w:rFonts w:ascii="Amiri" w:hAnsi="Amiri" w:eastAsia="Amiri" w:cs="Amiri"/>
          <w:color w:val="111111"/>
          <w:sz w:val="28"/>
          <w:sz w:val="28"/>
          <w:szCs w:val="28"/>
          <w:rtl w:val="true"/>
          <w:lang w:bidi="ar-SA"/>
        </w:rPr>
        <w:t>المحمولين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w:t>
      </w:r>
      <w:bookmarkStart w:id="256" w:name="pg19729_212747"/>
    </w:p>
    <w:p>
      <w:pPr>
        <w:pStyle w:val="BookText"/>
        <w:rPr/>
      </w:pPr>
      <w:bookmarkEnd w:id="256"/>
      <w:r>
        <w:rPr>
          <w:rFonts w:ascii="Amiri" w:hAnsi="Amiri" w:eastAsia="Amiri" w:cs="Amiri"/>
          <w:color w:val="111111"/>
          <w:sz w:val="28"/>
          <w:sz w:val="28"/>
          <w:szCs w:val="28"/>
          <w:rtl w:val="true"/>
          <w:lang w:bidi="ar-SA"/>
        </w:rPr>
        <w:t>الكتاب و مس الورق</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3251291_2314609296"/>
      <w:bookmarkStart w:id="258" w:name="_Toc98"/>
      <w:bookmarkEnd w:id="257"/>
      <w:r>
        <w:rPr>
          <w:rtl w:val="true"/>
        </w:rPr>
        <w:t>و كذا الأكل و الشرب إلّا بعد المضمضة</w:t>
      </w:r>
      <w:bookmarkEnd w:id="258"/>
    </w:p>
    <w:p>
      <w:pPr>
        <w:pStyle w:val="BookText"/>
        <w:rPr/>
      </w:pPr>
      <w:r>
        <w:rPr>
          <w:rFonts w:ascii="Amiri" w:hAnsi="Amiri" w:eastAsia="Amiri" w:cs="Amiri"/>
          <w:color w:val="111111"/>
          <w:sz w:val="28"/>
          <w:sz w:val="28"/>
          <w:szCs w:val="28"/>
          <w:rtl w:val="true"/>
          <w:lang w:bidi="ar-SA"/>
        </w:rPr>
        <w:t xml:space="preserve">، للجمع بين ما ورد من النهي </w:t>
      </w:r>
      <w:r>
        <w:rPr>
          <w:rStyle w:val="FootnoteAnchor"/>
          <w:rtl w:val="true"/>
        </w:rPr>
        <w:footnoteReference w:id="807"/>
      </w:r>
      <w:r>
        <w:rPr>
          <w:rFonts w:ascii="Amiri" w:hAnsi="Amiri" w:eastAsia="Amiri" w:cs="Amiri"/>
          <w:color w:val="111111"/>
          <w:sz w:val="28"/>
          <w:sz w:val="28"/>
          <w:szCs w:val="28"/>
          <w:rtl w:val="true"/>
          <w:lang w:bidi="ar-SA"/>
        </w:rPr>
        <w:t xml:space="preserve">، و ما ورد من الترخيص بعد المضمضة </w:t>
      </w:r>
      <w:r>
        <w:rPr>
          <w:rStyle w:val="FootnoteAnchor"/>
          <w:rtl w:val="true"/>
        </w:rPr>
        <w:footnoteReference w:id="808"/>
      </w:r>
      <w:r>
        <w:rPr>
          <w:rFonts w:ascii="Amiri" w:hAnsi="Amiri" w:eastAsia="Amiri" w:cs="Amiri"/>
          <w:color w:val="111111"/>
          <w:sz w:val="28"/>
          <w:sz w:val="28"/>
          <w:szCs w:val="28"/>
          <w:rtl w:val="true"/>
          <w:lang w:bidi="ar-SA"/>
        </w:rPr>
        <w:t>، و في المقام جمع آخر بالحمل على مراتب الكراهة، بالأخذ بمطلقات النواهي و عدم تقييدها بخبر المضمضة، لأنه أولى، خلافا للمصنف قدّس سرّه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251293_2314609296"/>
      <w:bookmarkStart w:id="260" w:name="_Toc99"/>
      <w:bookmarkEnd w:id="259"/>
      <w:r>
        <w:rPr>
          <w:rtl w:val="true"/>
        </w:rPr>
        <w:t>و يكره النوم إلّا بعد الوضوء</w:t>
      </w:r>
      <w:bookmarkEnd w:id="260"/>
    </w:p>
    <w:p>
      <w:pPr>
        <w:pStyle w:val="BookText"/>
        <w:rPr/>
      </w:pPr>
      <w:r>
        <w:rPr>
          <w:rFonts w:ascii="Amiri" w:hAnsi="Amiri" w:eastAsia="Amiri" w:cs="Amiri"/>
          <w:color w:val="111111"/>
          <w:sz w:val="28"/>
          <w:sz w:val="28"/>
          <w:szCs w:val="28"/>
          <w:rtl w:val="true"/>
          <w:lang w:bidi="ar-SA"/>
        </w:rPr>
        <w:t xml:space="preserve">، لصحيح الحلبي المصرّح بالاستثناء أيضا </w:t>
      </w:r>
      <w:r>
        <w:rPr>
          <w:rStyle w:val="FootnoteAnchor"/>
          <w:rtl w:val="true"/>
        </w:rPr>
        <w:footnoteReference w:id="809"/>
      </w:r>
      <w:r>
        <w:rPr>
          <w:rFonts w:ascii="Amiri" w:hAnsi="Amiri" w:eastAsia="Amiri" w:cs="Amiri"/>
          <w:color w:val="111111"/>
          <w:sz w:val="28"/>
          <w:sz w:val="28"/>
          <w:szCs w:val="28"/>
          <w:rtl w:val="true"/>
          <w:lang w:bidi="ar-SA"/>
        </w:rPr>
        <w:t xml:space="preserve">، و كذا يكره الخضاب، لجملة من الروايات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أحدث في أثناء الغسل أعاد، للمرسلة المصرحة بها </w:t>
      </w:r>
      <w:r>
        <w:rPr>
          <w:rStyle w:val="FootnoteAnchor"/>
          <w:rtl w:val="true"/>
        </w:rPr>
        <w:footnoteReference w:id="811"/>
      </w:r>
      <w:r>
        <w:rPr>
          <w:rFonts w:ascii="Amiri" w:hAnsi="Amiri" w:eastAsia="Amiri" w:cs="Amiri"/>
          <w:color w:val="111111"/>
          <w:sz w:val="28"/>
          <w:sz w:val="28"/>
          <w:szCs w:val="28"/>
          <w:rtl w:val="true"/>
          <w:lang w:bidi="ar-SA"/>
        </w:rPr>
        <w:t xml:space="preserve">، بعد منع إطلاقات ما ورد في بيان حقيقة الغسل من هذه الجهة </w:t>
      </w:r>
      <w:r>
        <w:rPr>
          <w:rStyle w:val="FootnoteAnchor"/>
          <w:rtl w:val="true"/>
        </w:rPr>
        <w:footnoteReference w:id="812"/>
      </w:r>
      <w:r>
        <w:rPr>
          <w:rFonts w:ascii="Amiri" w:hAnsi="Amiri" w:eastAsia="Amiri" w:cs="Amiri"/>
          <w:color w:val="111111"/>
          <w:sz w:val="28"/>
          <w:sz w:val="28"/>
          <w:szCs w:val="28"/>
          <w:rtl w:val="true"/>
          <w:lang w:bidi="ar-SA"/>
        </w:rPr>
        <w:t xml:space="preserve">، بل و إطلاق ما دل على عدم لزوم التوالي </w:t>
      </w:r>
      <w:r>
        <w:rPr>
          <w:rStyle w:val="FootnoteAnchor"/>
          <w:rtl w:val="true"/>
        </w:rPr>
        <w:footnoteReference w:id="813"/>
      </w:r>
      <w:r>
        <w:rPr>
          <w:rFonts w:ascii="Amiri" w:hAnsi="Amiri" w:eastAsia="Amiri" w:cs="Amiri"/>
          <w:color w:val="111111"/>
          <w:sz w:val="28"/>
          <w:sz w:val="28"/>
          <w:szCs w:val="28"/>
          <w:rtl w:val="true"/>
          <w:lang w:bidi="ar-SA"/>
        </w:rPr>
        <w:t xml:space="preserve">لا ينظر إلى نفي مانع آخر، فكان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في مقام عدم الانتقاض بنفسه لا في مقام عدم ناقضية شي‌ء آخر، و حينئذ يكفينا في الحكم بالبطلان قاعدة الاشتغال، فضلا عن وجود المرسلة، فتدبر</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251295_2314609296"/>
      <w:bookmarkStart w:id="262" w:name="_Toc100"/>
      <w:bookmarkEnd w:id="261"/>
      <w:r>
        <w:rPr>
          <w:rtl w:val="true"/>
        </w:rPr>
        <w:t>فرع</w:t>
      </w:r>
      <w:r>
        <w:rPr>
          <w:rtl w:val="true"/>
        </w:rPr>
        <w:t xml:space="preserve">: </w:t>
      </w:r>
      <w:r>
        <w:rPr>
          <w:rtl w:val="true"/>
        </w:rPr>
        <w:t>إذا اجتمعت عليه أغسال فلا شبهة في الاجتزاء بغسل واحد</w:t>
      </w:r>
      <w:bookmarkEnd w:id="2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لما</w:t>
      </w:r>
      <w:bookmarkStart w:id="263" w:name="pg19729_212748"/>
    </w:p>
    <w:p>
      <w:pPr>
        <w:pStyle w:val="BookText"/>
        <w:rPr/>
      </w:pPr>
      <w:bookmarkEnd w:id="263"/>
      <w:r>
        <w:rPr>
          <w:rFonts w:ascii="IRNazanin" w:hAnsi="IRNazanin" w:eastAsia="IRNazanin"/>
          <w:color w:val="111111"/>
          <w:sz w:val="28"/>
          <w:sz w:val="28"/>
          <w:szCs w:val="28"/>
          <w:rtl w:val="true"/>
          <w:lang w:bidi="fa-IR"/>
        </w:rPr>
        <w:t xml:space="preserve">ورد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الحقوق أجزأ غسل واحد</w:t>
      </w:r>
      <w:r>
        <w:rPr>
          <w:rFonts w:eastAsia="IRNazanin" w:cs="IRNazanin"/>
          <w:color w:val="111111"/>
          <w:sz w:val="28"/>
          <w:szCs w:val="28"/>
          <w:rtl w:val="true"/>
          <w:lang w:bidi="fa-IR"/>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غسلا واحدا</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و ظاهره أنه في مقام دفع توهم وجوب التعدد، و حينئذ فله أن يقصد بكل غسل ما شرع له، فيأتي بكل واحد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قصد جميعها بغسل واحد، بل قوله يجعل يومئ إلى كونه تحت اختياره، و لا يكون ذلك إلّا بكونها أمورا 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بغسل الجنابة عن غيره </w:t>
      </w:r>
      <w:r>
        <w:rPr>
          <w:rStyle w:val="FootnoteAnchor"/>
          <w:rtl w:val="true"/>
        </w:rPr>
        <w:footnoteReference w:id="817"/>
      </w:r>
      <w:r>
        <w:rPr>
          <w:rFonts w:ascii="Amiri" w:hAnsi="Amiri" w:eastAsia="Amiri" w:cs="Amiri"/>
          <w:color w:val="111111"/>
          <w:sz w:val="28"/>
          <w:sz w:val="28"/>
          <w:szCs w:val="28"/>
          <w:rtl w:val="true"/>
          <w:lang w:bidi="ar-SA"/>
        </w:rPr>
        <w:t xml:space="preserve">، و ظاهره كفاية قصدها عن قصد غيرها، و لو من جهة احداثه أعلى مرتبة الطهارة، على وجه لا يبقى مجال للبقية، لا أنّ غيرها ليست بقصدية، إذ لا أقل من عباديتها المنوطة بامتثال شخص أمرها، فإن تم ذلك فهو، و إلّا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كل سبب غسلا متقربا به مستقلا، غاية الأمر قصة النصوص السابقة اقتضت اجتماعها في فعل واحد، و لازمة قصد تحقق جميعها بهذا العمل فإن تمت المرسلة المزبورة يرفع اليد بها عن القاعدة المذكورة في هذه الصورة، و إلّا فلا بدّ أن يكون المأتي بقصد الجميع كما هو ظاهر، و لا يبعد الأخذ بالمرسلة لكفاية جبرها بعمل جل الأعاظم،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251297_2314609296"/>
      <w:bookmarkStart w:id="265" w:name="_Toc101"/>
      <w:bookmarkEnd w:id="264"/>
      <w:r>
        <w:rPr>
          <w:rtl w:val="true"/>
        </w:rPr>
        <w:t>الفصل الثاني</w:t>
      </w:r>
      <w:r>
        <w:rPr>
          <w:rtl w:val="true"/>
        </w:rPr>
        <w:t xml:space="preserve">: </w:t>
      </w:r>
      <w:r>
        <w:rPr>
          <w:rtl w:val="true"/>
        </w:rPr>
        <w:t>في الحيض</w:t>
      </w:r>
      <w:bookmarkEnd w:id="265"/>
    </w:p>
    <w:p>
      <w:pPr>
        <w:pStyle w:val="Heading6"/>
        <w:numPr>
          <w:ilvl w:val="5"/>
          <w:numId w:val="1"/>
        </w:numPr>
        <w:rPr/>
      </w:pPr>
      <w:bookmarkStart w:id="266" w:name="__RefHeading___Toc3251299_2314609296"/>
      <w:bookmarkStart w:id="267" w:name="_Toc102"/>
      <w:bookmarkEnd w:id="266"/>
      <w:r>
        <w:rPr>
          <w:rtl w:val="true"/>
        </w:rPr>
        <w:t>اشارة</w:t>
      </w:r>
      <w:bookmarkEnd w:id="2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دم مخصوص متكوّن في الرحم، و له حدود و أمارات، و إرجاع الاولى إلى الثانية أو إلى تحديد حكمها بعيد جدا من سياق أدلتها الصادرة من العالم بما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الأغلب دم أسود غليظ يخرج بحرقة و حرارة، و به مضامين أخبار مستفيضة </w:t>
      </w:r>
      <w:r>
        <w:rPr>
          <w:rStyle w:val="FootnoteAnchor"/>
          <w:rtl w:val="true"/>
        </w:rPr>
        <w:footnoteReference w:id="818"/>
      </w:r>
      <w:r>
        <w:rPr>
          <w:rFonts w:ascii="Amiri" w:hAnsi="Amiri" w:eastAsia="Amiri" w:cs="Amiri"/>
          <w:color w:val="111111"/>
          <w:sz w:val="28"/>
          <w:sz w:val="28"/>
          <w:szCs w:val="28"/>
          <w:rtl w:val="true"/>
          <w:lang w:bidi="ar-SA"/>
        </w:rPr>
        <w:t xml:space="preserve">، و إنما الكلام في كونها أمارات تعبّدية بقيد الاجتماع، أو كل واحد منها، أو أنها أمارات عقلائية بملاك حصول الاطمئنان بها، أو أنها في مقام الإرشاد إلى عدم بقاء الجهل به مع وجودها، كما يومئ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يعرف</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ببركة هذه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تقديم العادة على الصفات في المرسلة الطويلة </w:t>
      </w:r>
      <w:r>
        <w:rPr>
          <w:rStyle w:val="FootnoteAnchor"/>
          <w:rtl w:val="true"/>
        </w:rPr>
        <w:footnoteReference w:id="820"/>
      </w:r>
      <w:r>
        <w:rPr>
          <w:rFonts w:ascii="Amiri" w:hAnsi="Amiri" w:eastAsia="Amiri" w:cs="Amiri"/>
          <w:color w:val="111111"/>
          <w:sz w:val="28"/>
          <w:sz w:val="28"/>
          <w:szCs w:val="28"/>
          <w:rtl w:val="true"/>
          <w:lang w:bidi="ar-SA"/>
        </w:rPr>
        <w:t>، مع فرض اشتمالها لأمثال هذه التعبيرات، يؤيد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فالمدار على حصول الاطمئنان منها مجتمعة أم متفرقة، فلا ينتهي الأمر بعد ذلك إلى معارضة الصفات حينئذ، كما أنّ ظاهر مثل هذا البيان عدم اختصاص أماريتها بحال استمرار الدم و إن كان أخبار الصفات واردة في المستمرة، كما أنّ المراد من إقبال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المرسلة أيضا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الصفات لا تغييرها من لون إلى لون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النص أيضا جعل التطوّق امارة للعذرة </w:t>
      </w:r>
      <w:r>
        <w:rPr>
          <w:rStyle w:val="FootnoteAnchor"/>
          <w:rtl w:val="true"/>
        </w:rPr>
        <w:footnoteReference w:id="821"/>
      </w:r>
      <w:r>
        <w:rPr>
          <w:rFonts w:ascii="Amiri" w:hAnsi="Amiri" w:eastAsia="Amiri" w:cs="Amiri"/>
          <w:color w:val="111111"/>
          <w:sz w:val="28"/>
          <w:sz w:val="28"/>
          <w:szCs w:val="28"/>
          <w:rtl w:val="true"/>
          <w:lang w:bidi="ar-SA"/>
        </w:rPr>
        <w:t>، و في كون الاستنقاع امارة الحيضية إشكال، لأن الظاهر انّ وجه الحكم بالحيضية به إنما هو من جهة حصر الاحتمال فيهما، نظير الحكم بكون الصفرة استحاضة في قبال صفات الحيض، إذ من الممكن حملها على حصر الاحتمال فيه أيضا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الأمارية لما كان وجه للحكم بالحيضية</w:t>
      </w:r>
    </w:p>
    <w:p>
      <w:pPr>
        <w:pStyle w:val="BookText"/>
        <w:rPr/>
      </w:pPr>
      <w:r>
        <w:rPr>
          <w:rFonts w:ascii="Amiri" w:hAnsi="Amiri" w:eastAsia="Amiri" w:cs="Amiri"/>
          <w:color w:val="111111"/>
          <w:sz w:val="28"/>
          <w:sz w:val="28"/>
          <w:szCs w:val="28"/>
          <w:rtl w:val="true"/>
          <w:lang w:bidi="ar-SA"/>
        </w:rPr>
        <w:t>في مورد الاستنقاع و الاستحاضة في مورد الصفرة، لأن نفي الامارة لا يوجب نفي ذيها، فلا يثبت ضده إلّا بأمارة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إطلاق أماريتها لغير صورة الانحصار، لو لا دعوى كون أمثال صفات الاستحاضة أيضا من الأمارات العقلائية كصفات الحيض، فيدور مدار الاطمئنان بها في أي مورد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بما أفيد في الاستنقاع، فيقتصر على مورد الحصر،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أمارية الجانب ففيها رواية </w:t>
      </w:r>
      <w:r>
        <w:rPr>
          <w:rStyle w:val="FootnoteAnchor"/>
          <w:rtl w:val="true"/>
        </w:rPr>
        <w:footnoteReference w:id="822"/>
      </w:r>
      <w:r>
        <w:rPr>
          <w:rFonts w:ascii="Amiri" w:hAnsi="Amiri" w:eastAsia="Amiri" w:cs="Amiri"/>
          <w:color w:val="111111"/>
          <w:sz w:val="28"/>
          <w:sz w:val="28"/>
          <w:szCs w:val="28"/>
          <w:rtl w:val="true"/>
          <w:lang w:bidi="ar-SA"/>
        </w:rPr>
        <w:t>مختلفة المتن، مع عدم قيام حجة على الترجيح، فلا يعبأ بها، فالمرجع هو الأخذ بالحالة السابقة لو كان حيضا أو طهارة، و مع عدم العلم بها يجمع بين أفعال الطاهر و تروك الحائض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هو المرجع في جميع المقامات المرددة بين الحيض و غيره، نعم لو دار الأمر مع الاستحاضة فقط فيجب الجمع بين أفعالها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ورود قاعدة الإمكان على مثل هذه الأصول في موارد جريانها، و لا اشكال فيه، لأنها مضروبة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يبقى الكلام في شرح الإمكان الذي هو موضوع القاعدة، و اخرى في بيان مدركها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 فلا شبهة في أنه ليس المراد الإمكان الذاتي، و لا الوقوعي، و لا القياسي بالإضافة إلى القواعد الواقعية، لعدم إحراز الصغرى في شخص الدم المردد، فلا محيص من أن يكون بمعنى الاحتمال، أو</w:t>
      </w:r>
    </w:p>
    <w:p>
      <w:pPr>
        <w:pStyle w:val="BookText"/>
        <w:rPr/>
      </w:pPr>
      <w:r>
        <w:rPr>
          <w:rFonts w:ascii="Amiri" w:hAnsi="Amiri" w:eastAsia="Amiri" w:cs="Amiri"/>
          <w:color w:val="111111"/>
          <w:sz w:val="28"/>
          <w:sz w:val="28"/>
          <w:szCs w:val="28"/>
          <w:rtl w:val="true"/>
          <w:lang w:bidi="ar-SA"/>
        </w:rPr>
        <w:t>بمعنى القياسي بالإضافة إلى القواعد الواصلة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أوسع دائرة من الثاني، لصدقه على الدم المرئي من المبتدئة قبل مضي الثلاثة أيضا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شرح المراد من الإمكان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يتشبّث لإثبات المعنى الأول بأصالة السلامة تارة، و بأخبار دالة على حيضية دم الحامل معللا بأنه يقذفه الرحم </w:t>
      </w:r>
      <w:r>
        <w:rPr>
          <w:rStyle w:val="FootnoteAnchor"/>
          <w:rtl w:val="true"/>
        </w:rPr>
        <w:footnoteReference w:id="823"/>
      </w:r>
      <w:r>
        <w:rPr>
          <w:rFonts w:ascii="Amiri" w:hAnsi="Amiri" w:eastAsia="Amiri" w:cs="Amiri"/>
          <w:color w:val="111111"/>
          <w:sz w:val="28"/>
          <w:sz w:val="28"/>
          <w:szCs w:val="28"/>
          <w:rtl w:val="true"/>
          <w:lang w:bidi="ar-SA"/>
        </w:rPr>
        <w:t xml:space="preserve">، الظاهر في إبداء احتماله، نظير التعليل بتعجيل الدم أحيانا في المرئي قبل العادة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هذه الوجوه من منع كون الأصل المزبور مثبتا للحيضية، و على فرضه فيمنع كون دم الاستحاضة معدودا من المرض، لغلبته في النسوان بحيث صار كالطبيعة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التعليلان فالظاهر كونهما في مقام تقريب الحيضية قبال امتناعه، لا الحيضية بمحض الاحتمال، و من هذه الجهة صار بناء المشهور على عدم الحكم بحيضية دم المبتدئة بمحض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من جملة من كلماتهم انّ كل دم تراه المرأة البالغة غير اليائسة بعد الثلاثة و انقطع على العشرة، أنه محكوم بالحيضية، و ادعى عليه الإجماع في بعض كلماتهم، و لازم ذلك تمامية القاعدة بالنسبة إلى المعنى الثاني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هداية الأنام للشيخ الكاظمي قدّس سرّه إنكار هذا الإجماع، و تخصيص مورده بدم مرئي في ضمن العشرة، بعد الفراغ عن كونه في الثلاثة محكوما بالحيضية، لا مطلقا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يدل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ما تراه المرأة قبل العشرة فهو من الحيضة الاولى، و ما تراه بعدها فهو من الحيضة المستقبلة</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إذ الظاهر من الفقرة السابقة إلحاق الدم المرئي قبل العشرة بالدم المفروغ كونه حيضا، و عليه فيختص مورد القاعدة الثانية بخصوص هذه الصورة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في غيرها من الرجوع إلى سائر الأصول، و إن كان الأحوط في مطلق الدم المرئي في الثلاثة، المنقطع على العشرة، بين الجمع بين الوظائف، لقوة اشتهار الفتوى به، كما لا يخفى على من راجع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تراه المرأة بعد خمسين سنة إن لم تكن قرشية و لا نبطية، أو بعد ستين سنة إن كانت إحداهما، أو قبل تسع سنين مطلقا فليس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 الأول، جمعا بين مطلقات الخمسين و الستين </w:t>
      </w:r>
      <w:r>
        <w:rPr>
          <w:rStyle w:val="FootnoteAnchor"/>
          <w:rtl w:val="true"/>
        </w:rPr>
        <w:footnoteReference w:id="827"/>
      </w:r>
      <w:r>
        <w:rPr>
          <w:rFonts w:ascii="Amiri" w:hAnsi="Amiri" w:eastAsia="Amiri" w:cs="Amiri"/>
          <w:color w:val="111111"/>
          <w:sz w:val="28"/>
          <w:sz w:val="28"/>
          <w:szCs w:val="28"/>
          <w:rtl w:val="true"/>
          <w:lang w:bidi="ar-SA"/>
        </w:rPr>
        <w:t>، و المرسلة المفصّلة بينهما،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التحديد بالخمسين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و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الستين في القرشية و النبطية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 المرسلة الاولى قابلة للانجبار بالشهرة بخلاف الثانية، فلذلك استشكل فيه جمع من الأساطين، و مع الشك في كونها قرشية فيستصحب عدم اتصافها لو لم يحتمل كونها من الحدود الواقعية، لأن الأصل المزبور لا يثبت 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اشكال فيه نصا و فتوى،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كمل لها تسع سنين أمكن حيضها</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نعم قد تعلم الحيضية ببعض العلائم و الأمارات، فيصير امارة على البلوغ، فلا دور في ذلك حينئذ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أقله ثلاثة أيام متواليات على المشهور في قيد التوالي، مع نفي الاشكال في أصل اعتبار الثلاثة فتوى و نصا مستفيضا </w:t>
      </w:r>
      <w:r>
        <w:rPr>
          <w:rStyle w:val="FootnoteAnchor"/>
          <w:rtl w:val="true"/>
        </w:rPr>
        <w:footnoteReference w:id="831"/>
      </w:r>
      <w:r>
        <w:rPr>
          <w:rFonts w:ascii="Amiri" w:hAnsi="Amiri" w:eastAsia="Amiri" w:cs="Amiri"/>
          <w:color w:val="111111"/>
          <w:sz w:val="28"/>
          <w:sz w:val="28"/>
          <w:szCs w:val="28"/>
          <w:rtl w:val="true"/>
          <w:lang w:bidi="ar-SA"/>
        </w:rPr>
        <w:t xml:space="preserve">، بعد طرح مضمرة سماعة بحيضية الأقل من الثلاثة </w:t>
      </w:r>
      <w:r>
        <w:rPr>
          <w:rStyle w:val="FootnoteAnchor"/>
          <w:rtl w:val="true"/>
        </w:rPr>
        <w:footnoteReference w:id="832"/>
      </w:r>
      <w:r>
        <w:rPr>
          <w:rFonts w:ascii="IRNazanin" w:hAnsi="IRNazanin" w:eastAsia="IRNazanin"/>
          <w:color w:val="111111"/>
          <w:sz w:val="28"/>
          <w:sz w:val="28"/>
          <w:szCs w:val="28"/>
          <w:rtl w:val="true"/>
          <w:lang w:bidi="fa-IR"/>
        </w:rPr>
        <w:t>باعراضهم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أمثال هذه 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التدريجية القابلة للاتصال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بيانا لمقدار استمرارها، و لازمة دخول الليلتين المتوسطتين دون الاولى و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التلفيق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يومين و ثلاث ليال، أو مع حفظ الثلاثة من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يبعد الأخير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لازمة استيعاب الزمان برؤية الدم، و لا تكفي الرؤية في كل يوم بمقدار متعارف معتد به، و إن كان يؤيد الاحتمال الأخير استبعاد استمرار الرؤية عادة في غالب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يبقى وجه لاستفادة التوالي من التقريب السابق، بل لا بدّ إما من دعوى الانصراف، أو التشبث بالفقه الرضوي </w:t>
      </w:r>
      <w:r>
        <w:rPr>
          <w:rStyle w:val="FootnoteAnchor"/>
          <w:rtl w:val="true"/>
        </w:rPr>
        <w:footnoteReference w:id="833"/>
      </w:r>
      <w:r>
        <w:rPr>
          <w:rFonts w:ascii="Amiri" w:hAnsi="Amiri" w:eastAsia="Amiri" w:cs="Amiri"/>
          <w:color w:val="111111"/>
          <w:sz w:val="28"/>
          <w:sz w:val="28"/>
          <w:szCs w:val="28"/>
          <w:rtl w:val="true"/>
          <w:lang w:bidi="ar-SA"/>
        </w:rPr>
        <w:t>و الأخير موهون، و الأول أشكل، و عليه فلا دليل على التوالي إلّا الشهرة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يمكن دعوى انّ ما أفيد إنما يتم لو كان المستفاد من أدلة التحديد تحديد خروج الدم من الفرج، و إلّا فلو كان تحديدا لبقاء الدم في</w:t>
      </w:r>
    </w:p>
    <w:p>
      <w:pPr>
        <w:pStyle w:val="BookText"/>
        <w:rPr/>
      </w:pPr>
      <w:r>
        <w:rPr>
          <w:rFonts w:ascii="Amiri" w:hAnsi="Amiri" w:eastAsia="Amiri" w:cs="Amiri"/>
          <w:color w:val="111111"/>
          <w:sz w:val="28"/>
          <w:sz w:val="28"/>
          <w:szCs w:val="28"/>
          <w:rtl w:val="true"/>
          <w:lang w:bidi="ar-SA"/>
        </w:rPr>
        <w:t xml:space="preserve">الرحم، على وجه فيه اقتضاء الخروج، و لو في كل يوم مقدارا معتدا به، كما هو الشأن في استمراره إلى العشرة، بشهادة أخبار الاستبراء بوضع القطنة </w:t>
      </w:r>
      <w:r>
        <w:rPr>
          <w:rStyle w:val="FootnoteAnchor"/>
          <w:rtl w:val="true"/>
        </w:rPr>
        <w:footnoteReference w:id="834"/>
      </w:r>
      <w:r>
        <w:rPr>
          <w:rFonts w:ascii="Amiri" w:hAnsi="Amiri" w:eastAsia="Amiri" w:cs="Amiri"/>
          <w:color w:val="111111"/>
          <w:sz w:val="28"/>
          <w:sz w:val="28"/>
          <w:szCs w:val="28"/>
          <w:rtl w:val="true"/>
          <w:lang w:bidi="ar-SA"/>
        </w:rPr>
        <w:t>، فلا بعد في استمراره 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قصور في الاستظهار السابق من روايات الباب،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المخالف في هذه المسألة صاحب الحدائق </w:t>
      </w:r>
      <w:r>
        <w:rPr>
          <w:rStyle w:val="FootnoteAnchor"/>
          <w:rtl w:val="true"/>
        </w:rPr>
        <w:footnoteReference w:id="835"/>
      </w:r>
      <w:r>
        <w:rPr>
          <w:rFonts w:ascii="Amiri" w:hAnsi="Amiri" w:eastAsia="Amiri" w:cs="Amiri"/>
          <w:color w:val="111111"/>
          <w:sz w:val="28"/>
          <w:sz w:val="28"/>
          <w:szCs w:val="28"/>
          <w:rtl w:val="true"/>
          <w:lang w:bidi="ar-SA"/>
        </w:rPr>
        <w:t xml:space="preserve">، مستندا إلى بعض الأخبار الظاهرة في الاكتفاء بالثلاثة في ضمن العشرة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اعراضهم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عدم الاعتناء بها، و هو يكفي في وهنها، خصوصا في دلالتها أيضا على وقوع الطهر أقل من عشرة أيام أثناء حيضة واحدة، إذ ذاك أيضا موهون عندهم كما لا يخفى، و إن كان الاحتياط في مثله الجمع بين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حدود الحيض أيضا أن لا يكون أكثره أزيد من عشرة أيام، بلا إشكال أيضا نصا و فتوى، للأخبار المستفيضة </w:t>
      </w:r>
      <w:r>
        <w:rPr>
          <w:rStyle w:val="FootnoteAnchor"/>
          <w:rtl w:val="true"/>
        </w:rPr>
        <w:footnoteReference w:id="837"/>
      </w:r>
      <w:r>
        <w:rPr>
          <w:rFonts w:ascii="Amiri" w:hAnsi="Amiri" w:eastAsia="Amiri" w:cs="Amiri"/>
          <w:color w:val="111111"/>
          <w:sz w:val="28"/>
          <w:sz w:val="28"/>
          <w:szCs w:val="28"/>
          <w:rtl w:val="true"/>
          <w:lang w:bidi="ar-SA"/>
        </w:rPr>
        <w:t xml:space="preserve">، بعد طرح ما دل على كون أكثره ثمانية </w:t>
      </w:r>
      <w:r>
        <w:rPr>
          <w:rStyle w:val="FootnoteAnchor"/>
          <w:rtl w:val="true"/>
        </w:rPr>
        <w:footnoteReference w:id="838"/>
      </w:r>
      <w:r>
        <w:rPr>
          <w:rFonts w:ascii="Amiri" w:hAnsi="Amiri" w:eastAsia="Amiri" w:cs="Amiri"/>
          <w:color w:val="111111"/>
          <w:sz w:val="28"/>
          <w:sz w:val="28"/>
          <w:szCs w:val="28"/>
          <w:rtl w:val="true"/>
          <w:lang w:bidi="ar-SA"/>
        </w:rPr>
        <w:t>، أو تأويله بأنه ناظر إلى عادة غالبية النسوان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اعتبار عدم الأقلية من العشرة في الطهر بعد تمام عشرة الحيض خلاف معروف بين المشهور و صاحب الحدائق </w:t>
      </w:r>
      <w:r>
        <w:rPr>
          <w:rStyle w:val="FootnoteAnchor"/>
          <w:rtl w:val="true"/>
        </w:rPr>
        <w:footnoteReference w:id="839"/>
      </w:r>
      <w:r>
        <w:rPr>
          <w:rFonts w:ascii="Amiri" w:hAnsi="Amiri" w:eastAsia="Amiri" w:cs="Amiri"/>
          <w:color w:val="111111"/>
          <w:sz w:val="28"/>
          <w:sz w:val="28"/>
          <w:szCs w:val="28"/>
          <w:rtl w:val="true"/>
          <w:lang w:bidi="ar-SA"/>
        </w:rPr>
        <w:t xml:space="preserve">أيضا، تمسكا بالمرسلة السابقة </w:t>
      </w:r>
      <w:r>
        <w:rPr>
          <w:rStyle w:val="FootnoteAnchor"/>
          <w:rtl w:val="true"/>
        </w:rPr>
        <w:footnoteReference w:id="840"/>
      </w:r>
      <w:r>
        <w:rPr>
          <w:rFonts w:ascii="Amiri" w:hAnsi="Amiri" w:eastAsia="Amiri" w:cs="Amiri"/>
          <w:color w:val="111111"/>
          <w:sz w:val="28"/>
          <w:sz w:val="28"/>
          <w:szCs w:val="28"/>
          <w:rtl w:val="true"/>
          <w:lang w:bidi="ar-SA"/>
        </w:rPr>
        <w:t xml:space="preserve">قبال المطلقات المحددة بالعشرة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المقام أخبار دالة على ترك الصلاة برؤية الدم، و وجوب الاغتسال و الصلاة بقطعه </w:t>
      </w:r>
      <w:r>
        <w:rPr>
          <w:rStyle w:val="FootnoteAnchor"/>
          <w:rtl w:val="true"/>
        </w:rPr>
        <w:footnoteReference w:id="842"/>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لا يساعد مذهب صاحب الحدائق أيضا، فلا بد من طرحها أو تأويلها، فلا رجحان للأخير بعد العلم الإجمالي بطرح أحد الأصلين، من أصالة السند أو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معلومية الحدين يحكم بأنّ ما بينهما بحسب العادة أو غيرها، من سائر القواعد و الأمارات، بالحيضية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مطلب آخر، و هو أنه قد يدّعى انّ من حدود الحيض أن لا يكون في زمان الحمل، أو بعد استبانته، أو بعد مضي عشرين يوما من عادتها، خلافا للمشهور القائلين بالاجتماع و عدم كونه من حدوده، و مدرك الخلاف اختلاف أخبار الباب </w:t>
      </w:r>
      <w:r>
        <w:rPr>
          <w:rStyle w:val="FootnoteAnchor"/>
          <w:rtl w:val="true"/>
        </w:rPr>
        <w:footnoteReference w:id="843"/>
      </w:r>
      <w:r>
        <w:rPr>
          <w:rFonts w:ascii="Amiri" w:hAnsi="Amiri" w:eastAsia="Amiri" w:cs="Amiri"/>
          <w:color w:val="111111"/>
          <w:sz w:val="28"/>
          <w:sz w:val="28"/>
          <w:szCs w:val="28"/>
          <w:rtl w:val="true"/>
          <w:lang w:bidi="ar-SA"/>
        </w:rPr>
        <w:t xml:space="preserve">، و المشهور عملوا بالمستفيضة الدالة على الاجتماع </w:t>
      </w:r>
      <w:r>
        <w:rPr>
          <w:rStyle w:val="FootnoteAnchor"/>
          <w:rtl w:val="true"/>
        </w:rPr>
        <w:footnoteReference w:id="844"/>
      </w:r>
      <w:r>
        <w:rPr>
          <w:rFonts w:ascii="Amiri" w:hAnsi="Amiri" w:eastAsia="Amiri" w:cs="Amiri"/>
          <w:color w:val="111111"/>
          <w:sz w:val="28"/>
          <w:sz w:val="28"/>
          <w:szCs w:val="28"/>
          <w:rtl w:val="true"/>
          <w:lang w:bidi="ar-SA"/>
        </w:rPr>
        <w:t>، و طرحوا غيرها، فلا وثوق لنا في طريقها، فالأقوى ما هو المشهور، لقوة مدركهم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تجاوز الدم العشرة، فإن كانت المرأة ذات عادة مستقرة رجعت إليها، و تتحيّض بمقدار اقتضاء العادة، بلا خلاف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له المرسلة الطويلة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ذات عادة فمرجعها عادتها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بل هي صريحة في تقديم العادة على الصفات، و إن كانت حاصلة منها، لإطلاق الدليل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اختصاص في مرجعية العادة بالمستمرة الدم، بل مهما تحقق عنوان العادة لها كان ذلك طريقا إلى حيضها، كما يومئ إليه تعليل الرجوع إلى</w:t>
      </w:r>
    </w:p>
    <w:p>
      <w:pPr>
        <w:pStyle w:val="BookText"/>
        <w:rPr/>
      </w:pPr>
      <w:r>
        <w:rPr>
          <w:rFonts w:ascii="Amiri" w:hAnsi="Amiri" w:eastAsia="Amiri" w:cs="Amiri"/>
          <w:color w:val="111111"/>
          <w:sz w:val="28"/>
          <w:sz w:val="28"/>
          <w:szCs w:val="28"/>
          <w:rtl w:val="true"/>
          <w:lang w:bidi="ar-SA"/>
        </w:rPr>
        <w:t>الصفات بعدم معرفة أيام الدم الجاري في غير المستمرة، من دون فرق بين أقسامها من العددية و الوقتية، أو العددية فقط أو الوقتية كذلك، لظهور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أيام سواء</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في الأعم، سواء الوقتية أو العددية أو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أبيت إلّا عن حمل التسوية المزبورة على العدد، فيكفي في الوقتية المحضة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انقطع الدم لوقته في الشهر الأول سواء</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إذ إطلاقه يشمل التسوية في وقت الانقطاع، فيتعدّى إلى التساوي في وقت الشروع أيضا و إن اختلفا في وقت الانقطاع، و ذلك لعدم القول بالفصل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الهلالي، فلا يشمل الحيضتين المفصول بينهما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تكرر الدم بنسق واحد على مقدار يصدق عرفا أنه أيامها و خلقها، فلا بأس بأخذه، و في مثله لا يعتبر اتصال الشهرين، و لا وقوع كل حيضة في شهر هلالي، للإطلاقات الدالة على أنّ ذات العادة مطلقا تأخذ بعادتها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العادة الشرعية الحاصلة بالمرتين، فإنها ليست بتلك السعة، بل لا بد من حفظ الخصوصيات المستفادة من النص، من اتصال الشهرين الهلاليين، و عدم كون المرتين في شهر واحد،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شمول الإطلاق </w:t>
      </w:r>
      <w:r>
        <w:rPr>
          <w:rStyle w:val="FootnoteAnchor"/>
          <w:rtl w:val="true"/>
        </w:rPr>
        <w:footnoteReference w:id="848"/>
      </w:r>
      <w:r>
        <w:rPr>
          <w:rFonts w:ascii="Amiri" w:hAnsi="Amiri" w:eastAsia="Amiri" w:cs="Amiri"/>
          <w:color w:val="111111"/>
          <w:sz w:val="28"/>
          <w:sz w:val="28"/>
          <w:szCs w:val="28"/>
          <w:rtl w:val="true"/>
          <w:lang w:bidi="ar-SA"/>
        </w:rPr>
        <w:t>ذات العادة المركبة بالنسبة إلى الشهرين بعد انحصار الدم المرئي في الشهر الثاني، بما كان على نسق المرئي في الأول وقتا و عددا، أو أحدهما، وجه وجيه، كما لا يخفى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بعد استقرار العادة العرفية لا تكاد تزول بمجرد الرؤية في شهر من الشهور على خلافها، نعم لو تكررت المخالفة بمقدار يوجب سلب العادة</w:t>
      </w:r>
    </w:p>
    <w:p>
      <w:pPr>
        <w:pStyle w:val="BookText"/>
        <w:rPr/>
      </w:pPr>
      <w:r>
        <w:rPr>
          <w:rFonts w:ascii="Amiri" w:hAnsi="Amiri" w:eastAsia="Amiri" w:cs="Amiri"/>
          <w:color w:val="111111"/>
          <w:sz w:val="28"/>
          <w:sz w:val="28"/>
          <w:szCs w:val="28"/>
          <w:rtl w:val="true"/>
          <w:lang w:bidi="ar-SA"/>
        </w:rPr>
        <w:t>عند العرف فعند ذلك يحكم بزوال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الشك في الزوال حكميا يحكم ببقاء حكمها لا نفسها، و موضوعيا يحكم ببقاء نفسها إلى أن يحصل الجزم بزوالها، أو بحصول عادة جديدة، فالمتبع حينئذ العادة الثانية لا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العادة الشرعية، ففي إضرار مخالفة المرة بالعادة وجه، لعدم مساعدة الإطلاقات لمثله لو لا استصحاب بقائها حكما أو موضوعا إلى أن تحصل عادة جديدة، أو كان بحد لا يساعد العرف على كونها ذات خلق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فمهما تحقّقت العادة الوقتية و العددية، بل في الوقتية من حيث بدو الدم، فلا إشكال في التحيّض بمجرد الرؤية، و الصفرة في أيامها حيض أيضا، و أما في الوقتية من حيث الانقطاع، ففي التحيّض بمجرد الرؤية إشكال، لو لا دعوى شمول ما دل على تعجيل الدم يوما أو يومين أو ثلاثا </w:t>
      </w:r>
      <w:r>
        <w:rPr>
          <w:rStyle w:val="FootnoteAnchor"/>
          <w:rtl w:val="true"/>
        </w:rPr>
        <w:footnoteReference w:id="849"/>
      </w:r>
      <w:r>
        <w:rPr>
          <w:rFonts w:ascii="Amiri" w:hAnsi="Amiri" w:eastAsia="Amiri" w:cs="Amiri"/>
          <w:color w:val="111111"/>
          <w:sz w:val="28"/>
          <w:sz w:val="28"/>
          <w:szCs w:val="28"/>
          <w:rtl w:val="true"/>
          <w:lang w:bidi="ar-SA"/>
        </w:rPr>
        <w:t>لما نحن فيه، و عدم انصرافه إلى التعجيل عن وقته المستقر بدوا و ختما، أو بدوا فقط، و في المقام لم يستقر بدوه في وقت معلوم، و لا يخلو الانصراف المزبور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سبق الدم بمقدار لا يصدق عليه التعجيل، فلا تشمله الأخبار المزبورة، و في شمولها لمقدار يحتمل كونه تعجيلا لدم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مسبوقا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 توهّم الانصراف عنه ممنوع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العددية المحضة ففي الحكم بالحيضية بمجرد رؤية الدم اشكال، لعدم إحراز كون ذلك من الدم المزبور، فما في بعض الكلمات من الحكم بالتحيّض فيه أيضا بمحض رؤية الدم لا وجه له، نعم كانت العددية مرجعا للمستمرة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الوقتية المحضة فلا يبعد فيها ذلك أيضا بالنسبة إلى المقدار المستقر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انصراف دليل المرجعية </w:t>
      </w:r>
      <w:r>
        <w:rPr>
          <w:rStyle w:val="FootnoteAnchor"/>
          <w:rtl w:val="true"/>
        </w:rPr>
        <w:footnoteReference w:id="850"/>
      </w:r>
      <w:r>
        <w:rPr>
          <w:rFonts w:ascii="Amiri" w:hAnsi="Amiri" w:eastAsia="Amiri" w:cs="Amiri"/>
          <w:color w:val="111111"/>
          <w:sz w:val="28"/>
          <w:sz w:val="28"/>
          <w:szCs w:val="28"/>
          <w:rtl w:val="true"/>
          <w:lang w:bidi="ar-SA"/>
        </w:rPr>
        <w:t>إلى العادة المنطبقة بحديها دون المقام، مدفوع، كما أنّ الصفرة في هذا المقدار أيضا محكومة بالحيضية بلا توهم انصراف في دليله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انقضاء زمان العادة، فإن استمر الدم إلى العشرة و انقطع عليها كان الكل حيضا و إن لم يكن بصفاته، لكونه من صغريات معقد الإجماع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يظهر من صاحب الحدائق </w:t>
      </w:r>
      <w:r>
        <w:rPr>
          <w:rStyle w:val="FootnoteAnchor"/>
          <w:rtl w:val="true"/>
        </w:rPr>
        <w:footnoteReference w:id="851"/>
      </w:r>
      <w:r>
        <w:rPr>
          <w:rFonts w:ascii="Amiri" w:hAnsi="Amiri" w:eastAsia="Amiri" w:cs="Amiri"/>
          <w:color w:val="111111"/>
          <w:sz w:val="28"/>
          <w:sz w:val="28"/>
          <w:szCs w:val="28"/>
          <w:rtl w:val="true"/>
          <w:lang w:bidi="ar-SA"/>
        </w:rPr>
        <w:t xml:space="preserve">و غيره الإشكال في إلحاق الصفرة التي تراه المرأة بعد ثلاثة أيام الاستظهار بالحيض، و الظاهر انه خلاف ظواهر معاقد إجماعاتهم، و لا أقل من معارضته مع ما دل على أنّ ما رأته قبل العشرة فهو من الحيضة الأولى </w:t>
      </w:r>
      <w:r>
        <w:rPr>
          <w:rStyle w:val="FootnoteAnchor"/>
          <w:rtl w:val="true"/>
        </w:rPr>
        <w:footnoteReference w:id="852"/>
      </w:r>
      <w:r>
        <w:rPr>
          <w:rFonts w:ascii="Amiri" w:hAnsi="Amiri" w:eastAsia="Amiri" w:cs="Amiri"/>
          <w:color w:val="111111"/>
          <w:sz w:val="28"/>
          <w:sz w:val="28"/>
          <w:szCs w:val="28"/>
          <w:rtl w:val="true"/>
          <w:lang w:bidi="ar-SA"/>
        </w:rPr>
        <w:t>، الظاهرة في الحكم بالإلحاق من حيث الحيضة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بعد التعارض استصحاب أحكام الحيض، بل ربما يؤيده أخبار الاستظهار </w:t>
      </w:r>
      <w:r>
        <w:rPr>
          <w:rStyle w:val="FootnoteAnchor"/>
          <w:rtl w:val="true"/>
        </w:rPr>
        <w:footnoteReference w:id="853"/>
      </w:r>
      <w:r>
        <w:rPr>
          <w:rFonts w:ascii="Amiri" w:hAnsi="Amiri" w:eastAsia="Amiri" w:cs="Amiri"/>
          <w:color w:val="111111"/>
          <w:sz w:val="28"/>
          <w:sz w:val="28"/>
          <w:szCs w:val="28"/>
          <w:rtl w:val="true"/>
          <w:lang w:bidi="ar-SA"/>
        </w:rPr>
        <w:t>الظاهرة في طلب ظهور الحال في الانقطاع قبل العشرة و عدمه، و لو بصفرة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انقطع عنها الدم بانتهاء عادتها، فلا إشكال في وجوب الاغتسال و الصلاة بمجرد نقائها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شكت في الانقطاع المزبور فتستظهر بيوم أو يومين أو ثلاثة، بل إلى العشرة على اختلاف أخباره المنزّلة على اختلاف عادة النسوان</w:t>
      </w:r>
    </w:p>
    <w:p>
      <w:pPr>
        <w:pStyle w:val="BookText"/>
        <w:rPr/>
      </w:pPr>
      <w:r>
        <w:rPr>
          <w:rFonts w:ascii="Amiri" w:hAnsi="Amiri" w:eastAsia="Amiri" w:cs="Amiri"/>
          <w:color w:val="111111"/>
          <w:sz w:val="28"/>
          <w:sz w:val="28"/>
          <w:szCs w:val="28"/>
          <w:rtl w:val="true"/>
          <w:lang w:bidi="ar-SA"/>
        </w:rPr>
        <w:t>و اختلاف مزاجهن، من حيث قلّة الدم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ظاهر هذه الأخبار كون وجوب هذا الاختبار حكما طريقيا، بملاحظة مراعاة الواقع، و أن الأمر بترك العبادة من جهة تغليب احتمال الحرمة، بل و تنجّزها الموجب لفساد العبادة، و لو بمناط التجري، المخرج للفاعل عن صلاحية المقربية، لا يبقى مجال لتوهّم معارضتها مع ما دل من أنّ المستحاضة تأخذ بأيام العادة </w:t>
      </w:r>
      <w:r>
        <w:rPr>
          <w:rStyle w:val="FootnoteAnchor"/>
          <w:rtl w:val="true"/>
        </w:rPr>
        <w:footnoteReference w:id="854"/>
      </w:r>
      <w:r>
        <w:rPr>
          <w:rFonts w:ascii="Amiri" w:hAnsi="Amiri" w:eastAsia="Amiri" w:cs="Amiri"/>
          <w:color w:val="111111"/>
          <w:sz w:val="28"/>
          <w:sz w:val="28"/>
          <w:szCs w:val="28"/>
          <w:rtl w:val="true"/>
          <w:lang w:bidi="ar-SA"/>
        </w:rPr>
        <w:t>، إذ مثل هذا الحكم يكون من الأحكام الواقعية الثابتة المستمرة، و أنّ المراد من المستحاضة في لسان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شيخنا العلّامة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المستمرة، إذ من المعلوم انه لا يبقى مجال لمعارضة الأحكام الظاهرية و الواقعية، لاختلافهما رتبة، فما عن المدارك من إلقاء المعارضة بينهما و أخذه بأخبار العادة ترجيحا </w:t>
      </w:r>
      <w:r>
        <w:rPr>
          <w:rStyle w:val="FootnoteAnchor"/>
          <w:rtl w:val="true"/>
        </w:rPr>
        <w:footnoteReference w:id="856"/>
      </w:r>
      <w:r>
        <w:rPr>
          <w:rFonts w:ascii="Amiri" w:hAnsi="Amiri" w:eastAsia="Amiri" w:cs="Amiri"/>
          <w:color w:val="111111"/>
          <w:sz w:val="28"/>
          <w:sz w:val="28"/>
          <w:szCs w:val="28"/>
          <w:rtl w:val="true"/>
          <w:lang w:bidi="ar-SA"/>
        </w:rPr>
        <w:t>، منظور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ذات العادة و إن كانت مبتدئة أو مضطربة بالمعنى الأعم الشامل للناسية و لها تميّز عملت عليه، لما في المرسلة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التميز وظيفة كل من لم تكن لها عادة</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 بشهادة اقتضاء التعليل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تعرف أيامها ما احتاجت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كون التميّز وظيفة كل من لم تعرف أيامها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ظاهرها و إن كانت مختصة بالناسية، لكن التأمل في سائر فقرأته، بل و ملاحظة المضمرة المشتملة على مثل هذا العنوان، الظاهرة في</w:t>
      </w:r>
    </w:p>
    <w:p>
      <w:pPr>
        <w:pStyle w:val="BookText"/>
        <w:rPr/>
      </w:pPr>
      <w:r>
        <w:rPr>
          <w:rFonts w:ascii="Amiri" w:hAnsi="Amiri" w:eastAsia="Amiri" w:cs="Amiri"/>
          <w:color w:val="111111"/>
          <w:sz w:val="28"/>
          <w:sz w:val="28"/>
          <w:szCs w:val="28"/>
          <w:rtl w:val="true"/>
          <w:lang w:bidi="ar-SA"/>
        </w:rPr>
        <w:t xml:space="preserve">المبتدئة </w:t>
      </w:r>
      <w:r>
        <w:rPr>
          <w:rStyle w:val="FootnoteAnchor"/>
          <w:rtl w:val="true"/>
        </w:rPr>
        <w:footnoteReference w:id="858"/>
      </w:r>
      <w:r>
        <w:rPr>
          <w:rFonts w:ascii="Amiri" w:hAnsi="Amiri" w:eastAsia="Amiri" w:cs="Amiri"/>
          <w:color w:val="111111"/>
          <w:sz w:val="28"/>
          <w:sz w:val="28"/>
          <w:szCs w:val="28"/>
          <w:rtl w:val="true"/>
          <w:lang w:bidi="ar-SA"/>
        </w:rPr>
        <w:t>، يشهد بأنّ المراد هي التي لا تعرف الأيام، و لو لعدم استقرار العادة لها، فتشمل المبتدئة و المضطربة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ظهور أخبار الصفات في كونها امارة عقلائية </w:t>
      </w:r>
      <w:r>
        <w:rPr>
          <w:rStyle w:val="FootnoteAnchor"/>
          <w:rtl w:val="true"/>
        </w:rPr>
        <w:footnoteReference w:id="859"/>
      </w:r>
      <w:r>
        <w:rPr>
          <w:rFonts w:ascii="Amiri" w:hAnsi="Amiri" w:eastAsia="Amiri" w:cs="Amiri"/>
          <w:color w:val="111111"/>
          <w:sz w:val="28"/>
          <w:sz w:val="28"/>
          <w:szCs w:val="28"/>
          <w:rtl w:val="true"/>
          <w:lang w:bidi="ar-SA"/>
        </w:rPr>
        <w:t>، بحيث لا يبقى معها خفاء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الجهة بنفسها تقتضي عدم اختصاصها بفرد دون فرد، فكانت الصفات مرجعا من حين صدور الدم إلى أن ينقطع على العشرة أو لم ينقطع، بل لو انقطع الدم الموصوف قبل العشرة اغتسلت، و مع الشك صبرت المبتدئة إلى العشرة، فتتحيّض للاستصحاب، علاوة على جملة من النصوص الدالة على تحيّض المبتدئة ما دامت ترى الدم ما لم يجز العشرة </w:t>
      </w:r>
      <w:r>
        <w:rPr>
          <w:rStyle w:val="FootnoteAnchor"/>
          <w:rtl w:val="true"/>
        </w:rPr>
        <w:footnoteReference w:id="860"/>
      </w:r>
      <w:r>
        <w:rPr>
          <w:rFonts w:ascii="Amiri" w:hAnsi="Amiri" w:eastAsia="Amiri" w:cs="Amiri"/>
          <w:color w:val="111111"/>
          <w:sz w:val="28"/>
          <w:sz w:val="28"/>
          <w:szCs w:val="28"/>
          <w:rtl w:val="true"/>
          <w:lang w:bidi="ar-SA"/>
        </w:rPr>
        <w:t>، و إن كان في تنزيلها على مورد الشك بوجود الدم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فأدلة استظهار ذات العادة لا تشمل المقام، و لذا يعبّرون في مثلها بصبرها، و لو للاستصحاب من جهة احتمال بقاء الدم إلى العشرة و انقطاعه عليها، إذ مثل هذا الدم واقعا حيض بحكم الأخبار السابقة، فاحتماله يوجب الصبر إليها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انّ مقتضى إطلاق هذه الروايات هو حيضية مثل هذا الدم المنقطع و لو لم يكن بصفات الحيض، و جعلوها مدرك قاعدة الإمكان، بالقياس إلى القواعد الشرعية، وفاقا لإطلاق جملة من الكلمات، و لكنه توهم فاسد، لأن إطلاقها مسوق لبيان استمرار حيضية الدم إلى العشرة المنقطع عليها، و ذلك غير إثبات حيضيته بأي وجه اتفق، كما لا يخفى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فيشكل الحكم بالكلية المزبورة، بل لا بد من ملاحظة كونها ذات تميّز، و مع عدمه فتحتاط بالجمع بين الوظائف، لما ذكرنا من اشتهار</w:t>
      </w:r>
    </w:p>
    <w:p>
      <w:pPr>
        <w:pStyle w:val="BookText"/>
        <w:rPr/>
      </w:pPr>
      <w:r>
        <w:rPr>
          <w:rFonts w:ascii="Amiri" w:hAnsi="Amiri" w:eastAsia="Amiri" w:cs="Amiri"/>
          <w:color w:val="111111"/>
          <w:sz w:val="28"/>
          <w:sz w:val="28"/>
          <w:szCs w:val="28"/>
          <w:rtl w:val="true"/>
          <w:lang w:bidi="ar-SA"/>
        </w:rPr>
        <w:t>الفتوى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تجاوز الدم عن الشعرة و فقدته أي التميز رجعت المبتدئة إلى عادة أهلها، للمضمرة </w:t>
      </w:r>
      <w:r>
        <w:rPr>
          <w:rStyle w:val="FootnoteAnchor"/>
          <w:rtl w:val="true"/>
        </w:rPr>
        <w:footnoteReference w:id="861"/>
      </w:r>
      <w:r>
        <w:rPr>
          <w:rFonts w:ascii="Amiri" w:hAnsi="Amiri" w:eastAsia="Amiri" w:cs="Amiri"/>
          <w:color w:val="111111"/>
          <w:sz w:val="28"/>
          <w:sz w:val="28"/>
          <w:szCs w:val="28"/>
          <w:rtl w:val="true"/>
          <w:lang w:bidi="ar-SA"/>
        </w:rPr>
        <w:t xml:space="preserve">المقيّد إطلاقها بوجود التميز أيضا، لما يستفاد من المرسلة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العلّة للانتقال إلى التميّز عدم معرفة الأيام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فإنها ظاهرة في أن فقد العادة موجب للمصير إلى التميّز و الاحتياج إليه، لأن ظهور العلّة أقوى من إطلاق المضمرة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ظاهر العنوان المأخوذ في الحكم بعادة الأهل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عدم اختصاص الحكم المزبور بالمبتدئة، بل يجري في المضطربة بالمعنى الأخص أيضا، خلافا للمصنف، حيث خص الحكم بالمبتدئة بمحض كونها مورد السؤال، فيقتصر في خلاف القاعدة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 الحكم هو ما أخذ له من العنوان، و هو أعم منها،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المضمرة صورة اتفاق عادة الأهل، و لكن في الموثقتين الاكتفاء بعادة البعض </w:t>
      </w:r>
      <w:r>
        <w:rPr>
          <w:rStyle w:val="FootnoteAnchor"/>
          <w:rtl w:val="true"/>
        </w:rPr>
        <w:footnoteReference w:id="863"/>
      </w:r>
      <w:r>
        <w:rPr>
          <w:rFonts w:ascii="Amiri" w:hAnsi="Amiri" w:eastAsia="Amiri" w:cs="Amiri"/>
          <w:color w:val="111111"/>
          <w:sz w:val="28"/>
          <w:sz w:val="28"/>
          <w:szCs w:val="28"/>
          <w:rtl w:val="true"/>
          <w:lang w:bidi="ar-SA"/>
        </w:rPr>
        <w:t>، و يمكن حملهما على صورة إمكان جعلها أمارة كاشفة عن عادة الباقيات، كما لا يخفى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فقدن أو كنّ مختلفات العادة فمرجعها العدد، و عمدة الوجه ما في المرسلة الطويلة </w:t>
      </w:r>
      <w:r>
        <w:rPr>
          <w:rStyle w:val="FootnoteAnchor"/>
          <w:rtl w:val="true"/>
        </w:rPr>
        <w:footnoteReference w:id="864"/>
      </w:r>
      <w:r>
        <w:rPr>
          <w:rFonts w:ascii="Amiri" w:hAnsi="Amiri" w:eastAsia="Amiri" w:cs="Amiri"/>
          <w:color w:val="111111"/>
          <w:sz w:val="28"/>
          <w:sz w:val="28"/>
          <w:szCs w:val="28"/>
          <w:rtl w:val="true"/>
          <w:lang w:bidi="ar-SA"/>
        </w:rPr>
        <w:t>، من جعل سنة المبتدئة العدد، و لا يتوهم</w:t>
      </w:r>
    </w:p>
    <w:p>
      <w:pPr>
        <w:pStyle w:val="BookText"/>
        <w:rPr/>
      </w:pPr>
      <w:r>
        <w:rPr>
          <w:rFonts w:ascii="Amiri" w:hAnsi="Amiri" w:eastAsia="Amiri" w:cs="Amiri"/>
          <w:color w:val="111111"/>
          <w:sz w:val="28"/>
          <w:sz w:val="28"/>
          <w:szCs w:val="28"/>
          <w:rtl w:val="true"/>
          <w:lang w:bidi="ar-SA"/>
        </w:rPr>
        <w:t>شمول إطلاقها لصورة التميز و عادة الأهل، إذ مقتضى ظهور استظهار الإمام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بكونها عاملة عمل الحائض، لا أنها حائض في قبال ما لو كانت لها أيام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مرجع الأمر بالتحيّض إلى التعبّد بالحيضية في أيام معدودة في علم اللّٰه لا في علمها، بلا كشف شي‌ء عن حيضها واقعا، بحيث لو كانت في البين عادة كاشفة عن الواقع، لما كان لمثل هذا التعبّد المحض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وزان هذا اللسان بالنسبة إلى من لها عادة وزان من له الأصل بالنسبة إلى من له الامارة، و لازمة حينئذ تقديم الصفات أو العادة للأهل على العدد أيضا، بعين مناط تقديم عادة نفسها، لأنهما أيضا من الأمارة المقدّمة على الأصل التعبّدي،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ففي تعيين العدد في المبتدئة نحو إشكال، إذ في المرسلة </w:t>
      </w:r>
      <w:r>
        <w:rPr>
          <w:rStyle w:val="FootnoteAnchor"/>
          <w:rtl w:val="true"/>
        </w:rPr>
        <w:footnoteReference w:id="866"/>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أقل من ذلك، و هو الست الذي أشار إليه في الفقرة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حمل اختلاف ألسنتها على اختلاف الشهور، كي يناسب مع ثلاثة عشر في الشهرين بالثلاثة في شهر و العشرة في شهر آخر، كما يومئ إليه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جلوسها عشرة و أقلها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الموثقتين تعيين الثلاثة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بينهما بحمل الثلاثة في الموثقتين على ما يتعيّن عليه في أحد الشهرين، بعد أخذها العشرة في الآخر، كما أنّ ما في</w:t>
      </w:r>
    </w:p>
    <w:p>
      <w:pPr>
        <w:pStyle w:val="BookText"/>
        <w:rPr/>
      </w:pPr>
      <w:r>
        <w:rPr>
          <w:rFonts w:ascii="Amiri" w:hAnsi="Amiri" w:eastAsia="Amiri" w:cs="Amiri"/>
          <w:color w:val="111111"/>
          <w:sz w:val="28"/>
          <w:sz w:val="28"/>
          <w:szCs w:val="28"/>
          <w:rtl w:val="true"/>
          <w:lang w:bidi="ar-SA"/>
        </w:rPr>
        <w:t xml:space="preserve">المضمرة </w:t>
      </w:r>
      <w:r>
        <w:rPr>
          <w:rStyle w:val="FootnoteAnchor"/>
          <w:rtl w:val="true"/>
        </w:rPr>
        <w:footnoteReference w:id="868"/>
      </w:r>
      <w:r>
        <w:rPr>
          <w:rFonts w:ascii="Amiri" w:hAnsi="Amiri" w:eastAsia="Amiri" w:cs="Amiri"/>
          <w:color w:val="111111"/>
          <w:sz w:val="28"/>
          <w:sz w:val="28"/>
          <w:szCs w:val="28"/>
          <w:rtl w:val="true"/>
          <w:lang w:bidi="ar-SA"/>
        </w:rPr>
        <w:t>أيضا محمول على تمام ما عليها من حدي الأقل و الأكثر من الوظيفة، و لو في الشهرين، بقرينة التعيين بالثلاثة في الشهر الواحد في الموثقة، فيرفع بظهور الموثقة في تعيين الثلاثة إجمال المضمرة في التحديد، من حيث احتمال كونه تحديدا لطرفيه و لو في 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ظهور المضمرة في عدم انحصار التحديد بالثلاثة يرفع اليد عن إطلاق التعيين بالثلاثة في جميع الشهور في الموثقة، فبنص كل واحد في جهة يرفع اليد عن 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بملاحظة المناسبة مع هذا العدد يحمل اختلاف الألسنة بين السبع و الست في المرسلة على اختلاف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بينهما اختلاف آخر في اختيار العدد بين السبع و الست، أو الثلاث و العشرة، فيجمع بين الطائفتين من تلك الجهة أيضا برفع اليد عن تعيين كل واحد من الطريقتين، فتتخيّر المبتدئة بين الست و السبع، أو الثلاث و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الممكن الجمع بين الروايات بحمل الاختلاف في هذه الروايات على بيان المراتب التي كانت المرأة مخيّرة في الأخذ بكل واحد في الشهر الواحد، نظرا إلى رفع اليد عن ظهور التعيين في الثلاثة بالنسبة إلى باقي مراتب العدد،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أو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التخيير في شهر واحد، و حمل أكثرية العشرة على أقصى مراتبه في هذا الشهر، و هو مذهب علم الهدى قدّس سرّه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حمل الترديد في الست أو السبع من الراوي، فيتعيّن السبع للاستصحاب، فيحكم بعده بالتخيير بين الأخذ به أو الأخذ بالثلاثة</w:t>
      </w:r>
      <w:bookmarkStart w:id="268" w:name="pg19729_212764"/>
    </w:p>
    <w:p>
      <w:pPr>
        <w:pStyle w:val="BookText"/>
        <w:rPr/>
      </w:pPr>
      <w:bookmarkEnd w:id="268"/>
      <w:r>
        <w:rPr>
          <w:rFonts w:ascii="Amiri" w:hAnsi="Amiri" w:eastAsia="Amiri" w:cs="Amiri"/>
          <w:color w:val="111111"/>
          <w:sz w:val="28"/>
          <w:sz w:val="28"/>
          <w:szCs w:val="28"/>
          <w:rtl w:val="true"/>
          <w:lang w:bidi="ar-SA"/>
        </w:rPr>
        <w:t>في شهر و العشرة في آخر، بملاحظة ما ذكرنا من كيفية الجمع بين المضمرة و الموثقة بالطريقة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نظر المصنف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تحيّضت المبتدئة في كل شهر سبعة أيام أو ثلاثة أيام من الشهر الأول و عشرة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الإنصاف بعد احتمال حمل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ترديد الراوي، بل لا وجه لتعيين وضع الثلاثة في الشهر الأول إلّا الترتيب الذكري في المضمرة، و إلّا فتتخيّر في وضعها، اللهم إلّا أن يدّعى انه يكفي لاحتماله الأول دوران الأمر بين التعيين و التخيير، و الأصل في مثله التعيين،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المقام المصير إلى الجمع الأول، و إلّا فإلى الثاني، و الأولى من الجميع الأخذ بالثلاثة في كل شهر، و تجمع بين التروك و أفعال الطاهر فوق الثلاثة إلى العشرة، و إلى ذلك أشرنا أيضا في حاشية الكتاب،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الأضعف مما أفاده المصنّف بشأن المبتدئة ما أفاده بشأن المضطربة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المضطربة تتحيّض بالسبعة، أو الثلاثة و العشرة في الشهرين بمعنى أنها مخيّرة أيضا بأن تأخذ بالسبعة في كل شهر، أو الثلاثة في أحدهما و العشرة في الثاني نظير المبتدئة من تلك الجهة، لاشتراكهما في شمول دليل العدد، و إنما تفارق المضطربة مع المبتدئة في الرجوع إلى عادة الأهل، بظن اختصاص دليلها بالمبتدئة و لا يشمل المضطربة، و قد عرفت ما فيه، كما لا يخفى</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3251301_2314609296"/>
      <w:bookmarkStart w:id="270" w:name="_Toc103"/>
      <w:bookmarkEnd w:id="269"/>
      <w:r>
        <w:rPr>
          <w:rtl w:val="true"/>
        </w:rPr>
        <w:t>بقي في المقام التنبيه على أمر</w:t>
      </w:r>
      <w:bookmarkEnd w:id="2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الحيض بعد ما كان له حدود و أمارات، فلا شبهة في أنّ مفاد أماراتها يكون من سنخ الأحكام الظاهرية</w:t>
      </w:r>
    </w:p>
    <w:p>
      <w:pPr>
        <w:pStyle w:val="BookText"/>
        <w:rPr/>
      </w:pPr>
      <w:r>
        <w:rPr>
          <w:rFonts w:ascii="Amiri" w:hAnsi="Amiri" w:eastAsia="Amiri" w:cs="Amiri"/>
          <w:color w:val="111111"/>
          <w:sz w:val="28"/>
          <w:sz w:val="28"/>
          <w:szCs w:val="28"/>
          <w:rtl w:val="true"/>
          <w:lang w:bidi="ar-SA"/>
        </w:rPr>
        <w:t>بالنسبة إلى حدودها، و لذا لو فرض مخالفتها أحيانا مع الواقع، كأن يكون زمان الامارة أكثر من زمان الحد الواقعي، لا يبقى مجال لإعمال قواعد المعارضة بينهما، لعدم صلاحية الأحكام الظاهرية لمعارضة الأحكام الواقعية، بل هما مجتمعان أحدهما في طول الآخر، فكيف يطرح الواقع بمثلها، بل حفظ الواقعيات ربما يوجب العلم الإجمالي بمخالفة إحدى الأمارات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في البين مورد لا تكون للأمارة في دلالتها على الحيضية معارض فيؤخذ بها، و أما لو كان لها معارض كلا أو بعضا فلا جرم يطرح الجميع بعد عدم دليل لترجيح الأسبق زمانا، و المرجع حينئذ في الأول هو العلم الإجمالي التدريجي بين التكليف بتروك الحائض و أفعال الطاهر، و في الثاني استصحاب الطهر في المحتمل الأول، و استصحاب الحيض في المحتمل الأخير، و ذلك أيضا في غير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المستمرة، ففي الرجوع إلى العدد بعد فقد الامارة و لو بالتعارض كلام آخر، مبني على انصراف دليل العدد عن مثله و عدمه، و مع عدم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 و لا مجال لمرجّحيته لأحدها، لأنّ العدد كما عرفت مرجع لا مرجّح، نظير الأصل بالنسبة إلى الدليل، كما لا مجال لتعيين وضعها في زمن معيّن، لإطلاق دليله المقتضي للتخيير في وضعها أي وقت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أيضا في صورة كون زمان الامارة أزيد من زمان الحد الواقعي، و أما لو كان زمان الامارة أقل من الحد المعلوم حيضيته، فلا شبهة في وجوب الأخذ بمقدار الامارة، و تستصحب الحيضية إلى زمان يعلم بارتفاعها، لو لم يعلم بحيضية الطرفين تفصيلا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مرجعية مثل هذه الأمارة أيضا لمستمرة الدم، بضميمة</w:t>
      </w:r>
      <w:bookmarkStart w:id="271" w:name="pg19729_212766"/>
    </w:p>
    <w:p>
      <w:pPr>
        <w:pStyle w:val="BookText"/>
        <w:rPr/>
      </w:pPr>
      <w:bookmarkEnd w:id="271"/>
      <w:r>
        <w:rPr>
          <w:rFonts w:ascii="Amiri" w:hAnsi="Amiri" w:eastAsia="Amiri" w:cs="Amiri"/>
          <w:color w:val="111111"/>
          <w:sz w:val="28"/>
          <w:sz w:val="28"/>
          <w:szCs w:val="28"/>
          <w:rtl w:val="true"/>
          <w:lang w:bidi="ar-SA"/>
        </w:rPr>
        <w:t>الاستصحاب المسطور كلام آخر، مبني أيضا على انصراف دليل مرجعية الصفات عن مثله، و مع الشك فيه كان العدد هو المرجع، بناء على عدم انصراف دليل العدد عن مثل هذا الفقدان الكامل، و إلّا فيرجع إلى الأصل السابق من الاستصحاب مع العلم بالحالة السابقة، أو قواعد الشبهة المحصورة بالجمع بين الوظيفتين مع عدمه،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251303_2314609296"/>
      <w:bookmarkStart w:id="273" w:name="_Toc104"/>
      <w:bookmarkEnd w:id="272"/>
      <w:r>
        <w:rPr>
          <w:rtl w:val="true"/>
        </w:rPr>
        <w:t>و من أحكام الحيض، انه يحرم عليها دخول المساجد</w:t>
      </w:r>
      <w:bookmarkEnd w:id="273"/>
    </w:p>
    <w:p>
      <w:pPr>
        <w:pStyle w:val="BookText"/>
        <w:rPr/>
      </w:pPr>
      <w:r>
        <w:rPr>
          <w:rFonts w:ascii="Amiri" w:hAnsi="Amiri" w:eastAsia="Amiri" w:cs="Amiri"/>
          <w:color w:val="111111"/>
          <w:sz w:val="28"/>
          <w:sz w:val="28"/>
          <w:szCs w:val="28"/>
          <w:rtl w:val="true"/>
          <w:lang w:bidi="ar-SA"/>
        </w:rPr>
        <w:t xml:space="preserve">إلّا اجتيازا، عدا المسجدين، للنصوص </w:t>
      </w:r>
      <w:r>
        <w:rPr>
          <w:rStyle w:val="FootnoteAnchor"/>
          <w:rtl w:val="true"/>
        </w:rPr>
        <w:footnoteReference w:id="869"/>
      </w:r>
      <w:r>
        <w:rPr>
          <w:rFonts w:ascii="Amiri" w:hAnsi="Amiri" w:eastAsia="Amiri" w:cs="Amiri"/>
          <w:color w:val="111111"/>
          <w:sz w:val="28"/>
          <w:sz w:val="28"/>
          <w:szCs w:val="28"/>
          <w:rtl w:val="true"/>
          <w:lang w:bidi="ar-SA"/>
        </w:rPr>
        <w:t>المشتركة بين الحائض و الجنب، لاشتمالها لهما، و تقدّم الكلام في مفادها سابقا، و يأتي هنا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يحرم عليها قراءة العزائم، و مس كتابة القرآن على ما مرّ تفصيله في بحث الوضوء، بملاحظة ترتب الحكم على المحدث، الصادق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على زوجها وطؤها بلا اشكال فيه في الجملة نصا </w:t>
      </w:r>
      <w:r>
        <w:rPr>
          <w:rStyle w:val="FootnoteAnchor"/>
          <w:rtl w:val="true"/>
        </w:rPr>
        <w:footnoteReference w:id="870"/>
      </w:r>
      <w:r>
        <w:rPr>
          <w:rFonts w:ascii="Amiri" w:hAnsi="Amiri" w:eastAsia="Amiri" w:cs="Amiri"/>
          <w:color w:val="111111"/>
          <w:sz w:val="28"/>
          <w:sz w:val="28"/>
          <w:szCs w:val="28"/>
          <w:rtl w:val="true"/>
          <w:lang w:bidi="ar-SA"/>
        </w:rPr>
        <w:t xml:space="preserve">و فتوى، و في اختصاص الحرمة بحال الدم أو يبقى إلى أن تتطهر و تغتسل وجهان، قيل بابتنائه على 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بالتخفيف أو بالتشديد، و مع الإجمال تستصحب الحرمة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بزمان الدم، جمعا بين موثقة ابن يقطين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كذلك المرسلة </w:t>
      </w:r>
      <w:r>
        <w:rPr>
          <w:rStyle w:val="FootnoteAnchor"/>
          <w:rtl w:val="true"/>
        </w:rPr>
        <w:footnoteReference w:id="873"/>
      </w:r>
      <w:r>
        <w:rPr>
          <w:rFonts w:ascii="Amiri" w:hAnsi="Amiri" w:eastAsia="Amiri" w:cs="Amiri"/>
          <w:color w:val="111111"/>
          <w:sz w:val="28"/>
          <w:sz w:val="28"/>
          <w:szCs w:val="28"/>
          <w:rtl w:val="true"/>
          <w:lang w:bidi="ar-SA"/>
        </w:rPr>
        <w:t xml:space="preserve">، و بين مرسلة أبي بصير </w:t>
      </w:r>
      <w:r>
        <w:rPr>
          <w:rStyle w:val="FootnoteAnchor"/>
          <w:rtl w:val="true"/>
        </w:rPr>
        <w:footnoteReference w:id="874"/>
      </w:r>
      <w:r>
        <w:rPr>
          <w:rFonts w:ascii="Amiri" w:hAnsi="Amiri" w:eastAsia="Amiri" w:cs="Amiri"/>
          <w:color w:val="111111"/>
          <w:sz w:val="28"/>
          <w:sz w:val="28"/>
          <w:szCs w:val="28"/>
          <w:rtl w:val="true"/>
          <w:lang w:bidi="ar-SA"/>
        </w:rPr>
        <w:t>الناهية عنه، 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قوله في رواية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ما عدا القبل</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بقاء وطء دبرها على حاله قبل الحيض بلا تأثير للحيض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وطأ عمدا عزّر وجوبا بربع حد الزاني مطلقا، لبعض النصوص المطلقة </w:t>
      </w:r>
      <w:r>
        <w:rPr>
          <w:rStyle w:val="FootnoteAnchor"/>
          <w:rtl w:val="true"/>
        </w:rPr>
        <w:footnoteReference w:id="876"/>
      </w:r>
      <w:r>
        <w:rPr>
          <w:rFonts w:ascii="Amiri" w:hAnsi="Amiri" w:eastAsia="Amiri" w:cs="Amiri"/>
          <w:color w:val="111111"/>
          <w:sz w:val="28"/>
          <w:sz w:val="28"/>
          <w:szCs w:val="28"/>
          <w:rtl w:val="true"/>
          <w:lang w:bidi="ar-SA"/>
        </w:rPr>
        <w:t xml:space="preserve">، أو بالتفصيل بين آخره و غيره بالثمن في آخره و الربع في أوله كما في نص آخر </w:t>
      </w:r>
      <w:r>
        <w:rPr>
          <w:rStyle w:val="FootnoteAnchor"/>
          <w:rtl w:val="true"/>
        </w:rPr>
        <w:footnoteReference w:id="877"/>
      </w:r>
      <w:r>
        <w:rPr>
          <w:rFonts w:ascii="Amiri" w:hAnsi="Amiri" w:eastAsia="Amiri" w:cs="Amiri"/>
          <w:color w:val="111111"/>
          <w:sz w:val="28"/>
          <w:sz w:val="28"/>
          <w:szCs w:val="28"/>
          <w:rtl w:val="true"/>
          <w:lang w:bidi="ar-SA"/>
        </w:rPr>
        <w:t>، و يحمل الأول على الترخيص في ترك الزائد مع رجحانه، و كفّر مستحبا خلافا للمشهور القائلين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بذلك مختلفة،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دينار</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دينار</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بدينار في أوله، و نصف في وسطه، و ربع في آخره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شبهة اعراض المشهور عما يدل على نفي وجوب الجمع بين الجميع، لاقتضت القاعدة الحمل على مراتب الرجحان بلا لزوم أحدها، و إليه أيضا نظر المصنّف قدّس سرّه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تكرر الكفارة بتكرر</w:t>
      </w:r>
    </w:p>
    <w:p>
      <w:pPr>
        <w:pStyle w:val="BookText"/>
        <w:rPr/>
      </w:pPr>
      <w:r>
        <w:rPr>
          <w:rFonts w:ascii="Amiri" w:hAnsi="Amiri" w:eastAsia="Amiri" w:cs="Amiri"/>
          <w:color w:val="111111"/>
          <w:sz w:val="28"/>
          <w:sz w:val="28"/>
          <w:szCs w:val="28"/>
          <w:rtl w:val="true"/>
          <w:lang w:bidi="ar-SA"/>
        </w:rPr>
        <w:t>الوطء الحاصل بتكرار الإدخال، من دون فرق بين حصول الوطء الثاني قبل التكفير أم بعده، نعم لو قيل في أصل المسألة بأنّ قضية تعدد السبب تأكد الطلب في المسبب، فلا بد أن يفصّل في المسألة بين حصول الوطء بعد التكفير أو قبله،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ينعقد لها صلاة و لا صوم بلا اشكال فيه فتوى و نصا، للأخبار المستفيضة الناهية عنهما بالخصوص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يلحق بها الطواف، لعموم التنزيل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 المنصوص عليه بالخصوص من الأمور المشروطة بالطهارة، ففي كونها منهيّا عنها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تظهر الثمرة في اقتضاء القاعدة عدم سقوط القضاء، بخلاف المنهيات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اقتضاء النهي المزبور حرمة ذاتية مطلقا، أو بقصد مشروعيته، أو صرف تشريعية كاشفة عن عدم وفائه بالمصلحة محضا، وجوه، أضعفها أخيرها، لظهور تعلّق النهي بذات العمل جزما، فيتردد الأمر بين الأولين، من جهة انصراف نواهيها إلى النحو المعهود من إيجادها قربيا، و من اقتضاء تغليب جانب الحرمة في أيام الاستظهار أن تكون عبادتها محرّمة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يتأيد ذلك بما ورد في رواية خلف بن حماد من قوله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فلا تذيعوه</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بعد أمر الجارية بترك الصلاة إن كانت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العبادة بترك الاختبار في موارده، حتى و لو صادف عدم الحيض، بمناط مبعدية التجري، لا موضوعيته و شرطيته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أمرهم بالجمع بين الوظائف في موارد الاحتياط، لأن احتمال الحرمة بسبب مزاحمته لاحتمال الوجوب غير منجّز، فيبقى في البين احتمال الوجوب طرفا للعلم الإجمالي، و الطرف الآخر تروك الحائض في غير المحتمل وجوبها، فيجب الإتيان حينئذ من تلك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أيضا في عدم تمكنها من طهارة رافعة للحدث، و لا طواف، و لا اعتكاف، لاحتياج الأول إلى الدخول في المسجد الحرام، و الثاني إلى الصوم و المكث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أيضا طلاقها مع الدخول حائلا، و إلّا فهي ممن يطلّقن على كل حال، و بشرط حضور زوجها على التفصيل الآتي في كتاب الطلاق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عليها قضاء الصوم على خلاف القاعدة، لأن المفروض عدم فوت مصلحة التكليف عنها، بعد أن لم تكن واجدة للشرط الذي له مدخل في ملاك مصلحة الواقع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النص </w:t>
      </w:r>
      <w:r>
        <w:rPr>
          <w:rStyle w:val="FootnoteAnchor"/>
          <w:rtl w:val="true"/>
        </w:rPr>
        <w:footnoteReference w:id="885"/>
      </w:r>
      <w:r>
        <w:rPr>
          <w:rFonts w:ascii="Amiri" w:hAnsi="Amiri" w:eastAsia="Amiri" w:cs="Amiri"/>
          <w:color w:val="111111"/>
          <w:sz w:val="28"/>
          <w:sz w:val="28"/>
          <w:szCs w:val="28"/>
          <w:rtl w:val="true"/>
          <w:lang w:bidi="ar-SA"/>
        </w:rPr>
        <w:t xml:space="preserve">الفارق بين قضاء الصلاة و الصوم ما يوهم كون ثبوت القضاء في الصوم على القاعدة، دون سقوط غيره، و أنه </w:t>
      </w:r>
      <w:r>
        <w:rPr>
          <w:rStyle w:val="FootnoteAnchor"/>
          <w:rtl w:val="true"/>
        </w:rPr>
        <w:footnoteReference w:id="886"/>
      </w:r>
      <w:r>
        <w:rPr>
          <w:rFonts w:ascii="Amiri" w:hAnsi="Amiri" w:eastAsia="Amiri" w:cs="Amiri"/>
          <w:color w:val="111111"/>
          <w:sz w:val="28"/>
          <w:sz w:val="28"/>
          <w:szCs w:val="28"/>
          <w:rtl w:val="true"/>
          <w:lang w:bidi="ar-SA"/>
        </w:rPr>
        <w:t xml:space="preserve">من جهة ملاحظة التوسعة في الدين دون قضاء الصوم الواجب في السنة مرة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أمكن حمله على بيان الحكمة في أصل تشريعه على خلاف القاعدة، 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الثابت قضاء رمضان، و إلّا فغيره باق تحت أصالة عدم المشروعية،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ذلك في صورة استيعاب الحيض تمام وقت الصلاة أو غيرها من العبادات، و أما إذا لم يستوعب، فإن وسع الوقت لإتيان الصلاة تامة الأجزاء و الشرائط فلا إشكال في وجوب قضائها، لأنّ فوت صلاتها لم يكن مستندا إلى حيضها، و في النص </w:t>
      </w:r>
      <w:r>
        <w:rPr>
          <w:rStyle w:val="FootnoteAnchor"/>
          <w:rtl w:val="true"/>
        </w:rPr>
        <w:footnoteReference w:id="888"/>
      </w:r>
      <w:r>
        <w:rPr>
          <w:rFonts w:ascii="Amiri" w:hAnsi="Amiri" w:eastAsia="Amiri" w:cs="Amiri"/>
          <w:color w:val="111111"/>
          <w:sz w:val="28"/>
          <w:sz w:val="28"/>
          <w:szCs w:val="28"/>
          <w:rtl w:val="true"/>
          <w:lang w:bidi="ar-SA"/>
        </w:rPr>
        <w:t>أيضا تعليق وجوب قضاء الصلاة على تفريطها، و لو لتقصير في تحصيل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يسع الوقت لتمام صلاتها واجدة للشرائط، فإن اتسع الوقت لتمام الصلاة فاقدة للشرائط، فمقتضى عموم عدم سقوط الصلاة بحال </w:t>
      </w:r>
      <w:r>
        <w:rPr>
          <w:rStyle w:val="FootnoteAnchor"/>
          <w:rtl w:val="true"/>
        </w:rPr>
        <w:footnoteReference w:id="889"/>
      </w:r>
      <w:r>
        <w:rPr>
          <w:rFonts w:ascii="Amiri" w:hAnsi="Amiri" w:eastAsia="Amiri" w:cs="Amiri"/>
          <w:color w:val="111111"/>
          <w:sz w:val="28"/>
          <w:sz w:val="28"/>
          <w:szCs w:val="28"/>
          <w:rtl w:val="true"/>
          <w:lang w:bidi="ar-SA"/>
        </w:rPr>
        <w:t>هو الإتيان بها ثم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ظاهر ما دل على تعليق القضاء بالتفريط </w:t>
      </w:r>
      <w:r>
        <w:rPr>
          <w:rStyle w:val="FootnoteAnchor"/>
          <w:rtl w:val="true"/>
        </w:rPr>
        <w:footnoteReference w:id="890"/>
      </w:r>
      <w:r>
        <w:rPr>
          <w:rFonts w:ascii="Amiri" w:hAnsi="Amiri" w:eastAsia="Amiri" w:cs="Amiri"/>
          <w:color w:val="111111"/>
          <w:sz w:val="28"/>
          <w:sz w:val="28"/>
          <w:szCs w:val="28"/>
          <w:rtl w:val="true"/>
          <w:lang w:bidi="ar-SA"/>
        </w:rPr>
        <w:t>، الدال بمفهومه على عدم القضاء المزبور بلا تفريط منها، سقوط القضاء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أخرى تعليق سقوط القضاء على عدم التمكن من الطهارة المائية </w:t>
      </w:r>
      <w:r>
        <w:rPr>
          <w:rStyle w:val="FootnoteAnchor"/>
          <w:rtl w:val="true"/>
        </w:rPr>
        <w:footnoteReference w:id="891"/>
      </w:r>
      <w:r>
        <w:rPr>
          <w:rFonts w:ascii="Amiri" w:hAnsi="Amiri" w:eastAsia="Amiri" w:cs="Amiri"/>
          <w:color w:val="111111"/>
          <w:sz w:val="28"/>
          <w:sz w:val="28"/>
          <w:szCs w:val="28"/>
          <w:rtl w:val="true"/>
          <w:lang w:bidi="ar-SA"/>
        </w:rPr>
        <w:t>، و لا يبعد شرح التقصير و التفريط في الروايات الأخرى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فالمدار على تمكنها من تحصيل الطهارة فيجب القضاء، و إلّا فلا يجب، بلا دخل في التمكن من سائر الشرائط في ذلك و عدمه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قيام الطهارة الترابية مقام المائية في إثبات مشروعية الصلاة، كي</w:t>
      </w:r>
      <w:bookmarkStart w:id="274" w:name="pg19729_212771"/>
    </w:p>
    <w:p>
      <w:pPr>
        <w:pStyle w:val="BookText"/>
        <w:rPr/>
      </w:pPr>
      <w:bookmarkEnd w:id="274"/>
      <w:r>
        <w:rPr>
          <w:rFonts w:ascii="Amiri" w:hAnsi="Amiri" w:eastAsia="Amiri" w:cs="Amiri"/>
          <w:color w:val="111111"/>
          <w:sz w:val="28"/>
          <w:sz w:val="28"/>
          <w:szCs w:val="28"/>
          <w:rtl w:val="true"/>
          <w:lang w:bidi="ar-SA"/>
        </w:rPr>
        <w:t xml:space="preserve">يترتّب عليها قضاؤها إشكال، إذ دليل البدلية </w:t>
      </w:r>
      <w:r>
        <w:rPr>
          <w:rStyle w:val="FootnoteAnchor"/>
          <w:rtl w:val="true"/>
        </w:rPr>
        <w:footnoteReference w:id="892"/>
      </w:r>
      <w:r>
        <w:rPr>
          <w:rFonts w:ascii="Amiri" w:hAnsi="Amiri" w:eastAsia="Amiri" w:cs="Amiri"/>
          <w:color w:val="111111"/>
          <w:sz w:val="28"/>
          <w:sz w:val="28"/>
          <w:szCs w:val="28"/>
          <w:rtl w:val="true"/>
          <w:lang w:bidi="ar-SA"/>
        </w:rPr>
        <w:t>ناظر إلى صورة عدم التمكن من إيجاد المشروط في ظرف الفراغ عن مشروعيتها، و ليس ناظرا إلى إثبات أصل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فرض عدم تمكنها من الطهارة المائية من جهة أخرى غير ضيق وقتها، لا بأس بقيام التيمم مقامها، إذ ما دل على دخل التمكن من الطهارة المائية في مشروعية صلاتها إنما هو ناظر إلى تمكنها من الطهارة في وقتها، فعدم تمكنها المسقط للمشروعية منحصر بما كان من قبيل ضيق وقتها، و حينئذ فعموم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الصلاة بحال</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كاف في إثبات المشروعية، الموجب للانتقال إلى التيمم مع فقد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تتمكن في ظرف تحصيل الطهارة المائية إلّا من إدراك ركعة، فلا شبهة في انه لو كان ذلك في أول الوقت، فلا دليل على مشروعية الصلاة أيضا، إذ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ناظر إلى القصور من جهة فوت الوقت لا من جهة مانع آخر، و حينئذ فلا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في آخره فلا قصور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 مثله ناظر إلى توسعة الوقت لمن كانت وظيفته وجوب تمامها على فرض سعته، فتدبّر</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251305_2314609296"/>
      <w:bookmarkStart w:id="276" w:name="_Toc105"/>
      <w:bookmarkEnd w:id="275"/>
      <w:r>
        <w:rPr>
          <w:rtl w:val="true"/>
        </w:rPr>
        <w:t>و يكره لها قراءة ما عدا العزائم</w:t>
      </w:r>
      <w:bookmarkEnd w:id="2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لخبر الخصال </w:t>
      </w:r>
      <w:r>
        <w:rPr>
          <w:rStyle w:val="FootnoteAnchor"/>
          <w:rtl w:val="true"/>
        </w:rPr>
        <w:footnoteReference w:id="895"/>
      </w:r>
      <w:r>
        <w:rPr>
          <w:rFonts w:ascii="Amiri" w:hAnsi="Amiri" w:eastAsia="Amiri" w:cs="Amiri"/>
          <w:color w:val="111111"/>
          <w:sz w:val="28"/>
          <w:sz w:val="28"/>
          <w:szCs w:val="28"/>
          <w:rtl w:val="true"/>
          <w:lang w:bidi="ar-SA"/>
        </w:rPr>
        <w:t>، جمعا بينه</w:t>
      </w:r>
      <w:bookmarkStart w:id="277" w:name="pg19729_212772"/>
    </w:p>
    <w:p>
      <w:pPr>
        <w:pStyle w:val="BookText"/>
        <w:rPr/>
      </w:pPr>
      <w:bookmarkEnd w:id="277"/>
      <w:r>
        <w:rPr>
          <w:rFonts w:ascii="Amiri" w:hAnsi="Amiri" w:eastAsia="Amiri" w:cs="Amiri"/>
          <w:color w:val="111111"/>
          <w:sz w:val="28"/>
          <w:sz w:val="28"/>
          <w:szCs w:val="28"/>
          <w:rtl w:val="true"/>
          <w:lang w:bidi="ar-SA"/>
        </w:rPr>
        <w:t xml:space="preserve">و بين ما دل على قراءتها ما شاءت </w:t>
      </w:r>
      <w:r>
        <w:rPr>
          <w:rStyle w:val="FootnoteAnchor"/>
          <w:rtl w:val="true"/>
        </w:rPr>
        <w:footnoteReference w:id="896"/>
      </w:r>
      <w:r>
        <w:rPr>
          <w:rFonts w:ascii="Amiri" w:hAnsi="Amiri" w:eastAsia="Amiri" w:cs="Amiri"/>
          <w:color w:val="111111"/>
          <w:sz w:val="28"/>
          <w:sz w:val="28"/>
          <w:szCs w:val="28"/>
          <w:rtl w:val="true"/>
          <w:lang w:bidi="ar-SA"/>
        </w:rPr>
        <w:t xml:space="preserve">، و مس المصحف، للنهي عنه </w:t>
      </w:r>
      <w:r>
        <w:rPr>
          <w:rStyle w:val="FootnoteAnchor"/>
          <w:rtl w:val="true"/>
        </w:rPr>
        <w:footnoteReference w:id="897"/>
      </w:r>
      <w:r>
        <w:rPr>
          <w:rFonts w:ascii="Amiri" w:hAnsi="Amiri" w:eastAsia="Amiri" w:cs="Amiri"/>
          <w:color w:val="111111"/>
          <w:sz w:val="28"/>
          <w:sz w:val="28"/>
          <w:szCs w:val="28"/>
          <w:rtl w:val="true"/>
          <w:lang w:bidi="ar-SA"/>
        </w:rPr>
        <w:t xml:space="preserve">المحمول على الكراهة، و كذا يكره لها حمله، لاشتراكها مع الجنب بظهور جملة من أخبارهما </w:t>
      </w:r>
      <w:r>
        <w:rPr>
          <w:rStyle w:val="FootnoteAnchor"/>
          <w:rtl w:val="true"/>
        </w:rPr>
        <w:footnoteReference w:id="89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كراهته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الخضاب، للنهي عنه في غير واحد من النصوص </w:t>
      </w:r>
      <w:r>
        <w:rPr>
          <w:rStyle w:val="FootnoteAnchor"/>
          <w:rtl w:val="true"/>
        </w:rPr>
        <w:footnoteReference w:id="899"/>
      </w:r>
      <w:r>
        <w:rPr>
          <w:rFonts w:ascii="Amiri" w:hAnsi="Amiri" w:eastAsia="Amiri" w:cs="Amiri"/>
          <w:color w:val="111111"/>
          <w:sz w:val="28"/>
          <w:sz w:val="28"/>
          <w:szCs w:val="28"/>
          <w:rtl w:val="true"/>
          <w:lang w:bidi="ar-SA"/>
        </w:rPr>
        <w:t xml:space="preserve">، و الوطء قبل الغسل، لما تقدّم، و الاستمتاع منها بما بين السرة و الركبة، للجمع بين النصين المجوز و الناهي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3251307_2314609296"/>
      <w:bookmarkStart w:id="279" w:name="_Toc106"/>
      <w:bookmarkEnd w:id="278"/>
      <w:r>
        <w:rPr>
          <w:rtl w:val="true"/>
        </w:rPr>
        <w:t>و يستحب لها الوضوء لكل صلاة فريضة</w:t>
      </w:r>
      <w:bookmarkEnd w:id="279"/>
    </w:p>
    <w:p>
      <w:pPr>
        <w:pStyle w:val="BookText"/>
        <w:rPr/>
      </w:pPr>
      <w:r>
        <w:rPr>
          <w:rFonts w:ascii="Amiri" w:hAnsi="Amiri" w:eastAsia="Amiri" w:cs="Amiri"/>
          <w:color w:val="111111"/>
          <w:sz w:val="28"/>
          <w:sz w:val="28"/>
          <w:szCs w:val="28"/>
          <w:rtl w:val="true"/>
          <w:lang w:bidi="ar-SA"/>
        </w:rPr>
        <w:t>في وقتها، و الجلوس في مصلّاها ذاكرة بقدر صلاتها، لنصوص مستفيضة، مشتملة بعضها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وضوء الصلاة في وقت كل صلاة</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المعهودة الثلاثة، لا الأوقات المشروعة لكل صلاة كي تصير خمسة و إن كان ظاهر العموم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الأغسال المسنونة، فلا إشكال في مشروعية غسل الإحرام، لكونه منصوصا عليه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 فلا يبعد دعوى اقتضاء إطلاق دليلها مشروعيتها، و لا ضير في</w:t>
      </w:r>
      <w:bookmarkStart w:id="280" w:name="pg19729_212773"/>
    </w:p>
    <w:p>
      <w:pPr>
        <w:pStyle w:val="BookText"/>
        <w:rPr/>
      </w:pPr>
      <w:bookmarkEnd w:id="280"/>
      <w:r>
        <w:rPr>
          <w:rFonts w:ascii="Amiri" w:hAnsi="Amiri" w:eastAsia="Amiri" w:cs="Amiri"/>
          <w:color w:val="111111"/>
          <w:sz w:val="28"/>
          <w:sz w:val="28"/>
          <w:szCs w:val="28"/>
          <w:rtl w:val="true"/>
          <w:lang w:bidi="ar-SA"/>
        </w:rPr>
        <w:t>الالتزام بتأثيرها و لو بتخفيف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فما كان مقدّمة لما اشترط فيه الطهارة، فلا إشكال في عدم وجوبه، و أما لو كان واجبا نفسيا فليلحظ إطلاق دليله، و الذي يسهّل الخطب عدم وجوب غسل نفسيا، كما لا يخفى</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251309_2314609296"/>
      <w:bookmarkStart w:id="282" w:name="_Toc107"/>
      <w:bookmarkEnd w:id="281"/>
      <w:r>
        <w:rPr>
          <w:rtl w:val="true"/>
        </w:rPr>
        <w:t>الفصل الثالث</w:t>
      </w:r>
      <w:r>
        <w:rPr>
          <w:rtl w:val="true"/>
        </w:rPr>
        <w:t xml:space="preserve">: </w:t>
      </w:r>
      <w:r>
        <w:rPr>
          <w:rtl w:val="true"/>
        </w:rPr>
        <w:t>في الاستحاضة</w:t>
      </w:r>
      <w:bookmarkEnd w:id="282"/>
    </w:p>
    <w:p>
      <w:pPr>
        <w:pStyle w:val="BookText"/>
        <w:rPr/>
      </w:pPr>
      <w:r>
        <w:rPr>
          <w:rFonts w:ascii="Amiri" w:hAnsi="Amiri" w:eastAsia="Amiri" w:cs="Amiri"/>
          <w:color w:val="111111"/>
          <w:sz w:val="28"/>
          <w:sz w:val="28"/>
          <w:szCs w:val="28"/>
          <w:rtl w:val="true"/>
          <w:lang w:bidi="ar-SA"/>
        </w:rPr>
        <w:t xml:space="preserve">و هي في الأغلب دم أصفر بارد رقيق يخرج بفتور قبال الحيض، على ما نطقت به الأخبار المشار إليها في أول الحيض </w:t>
      </w:r>
      <w:r>
        <w:rPr>
          <w:rStyle w:val="FootnoteAnchor"/>
          <w:rtl w:val="true"/>
        </w:rPr>
        <w:footnoteReference w:id="903"/>
      </w:r>
      <w:r>
        <w:rPr>
          <w:rFonts w:ascii="Amiri" w:hAnsi="Amiri" w:eastAsia="Amiri" w:cs="Amiri"/>
          <w:color w:val="111111"/>
          <w:sz w:val="28"/>
          <w:sz w:val="28"/>
          <w:szCs w:val="28"/>
          <w:rtl w:val="true"/>
          <w:lang w:bidi="ar-SA"/>
        </w:rPr>
        <w:t>، و شرحنا أيضا أنّ أمثال هذه الصفات من الطرق العقلائية، بمناط افادتها للاطمئنان أنّ أمثال هذا الصفات من الطرق العقلائية، بمناط إفادتها للاطمئنان بموصوفها، بلا اعمال تعبّد في طريقيتها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يتوهم انّ في المقام أيضا كلية اخرى، نظير الكلية في باب الحيض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دم امتنع أن يكون حيضا أو نفاسا، و أمكن أن يكون استحاضة فهو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جملة من النصوص </w:t>
      </w:r>
      <w:r>
        <w:rPr>
          <w:rStyle w:val="FootnoteAnchor"/>
          <w:rtl w:val="true"/>
        </w:rPr>
        <w:footnoteReference w:id="904"/>
      </w:r>
      <w:r>
        <w:rPr>
          <w:rFonts w:ascii="Amiri" w:hAnsi="Amiri" w:eastAsia="Amiri" w:cs="Amiri"/>
          <w:color w:val="111111"/>
          <w:sz w:val="28"/>
          <w:sz w:val="28"/>
          <w:szCs w:val="28"/>
          <w:rtl w:val="true"/>
          <w:lang w:bidi="ar-SA"/>
        </w:rPr>
        <w:t xml:space="preserve">المثبتة لأحكامها بمحض امتناع الحيضية و النفاسية، علاوة على المرسلة القصيرة الآمرة بالغسل و الصلاة، مع إبداء الإمام احتمال كون الدم من قرحة </w:t>
      </w:r>
      <w:r>
        <w:rPr>
          <w:rStyle w:val="FootnoteAnchor"/>
          <w:rtl w:val="true"/>
        </w:rPr>
        <w:footnoteReference w:id="905"/>
      </w:r>
      <w:r>
        <w:rPr>
          <w:rFonts w:ascii="Amiri" w:hAnsi="Amiri" w:eastAsia="Amiri" w:cs="Amiri"/>
          <w:color w:val="111111"/>
          <w:sz w:val="28"/>
          <w:sz w:val="28"/>
          <w:szCs w:val="28"/>
          <w:rtl w:val="true"/>
          <w:lang w:bidi="ar-SA"/>
        </w:rPr>
        <w:t>، فإنها ظاهرة في إثبات الكلية المزبورة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كون مثلها من العوارض العادية التي هي بمنزلة الطبيعة الثانوية، فيصح جريان نظير أصالة الصحة في باب الحيض في المقام، غاية الأمر لا مطلقا بل في ظرف العلم بعدم الحيضية و النفاسية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هذه الوجوه من عدم تمامية الأصل لإثبات الدم المزبور، و عدم تمامية المرسلة باحتمال حملها على مذهب صاحب الحدائق، و أنّ المراد من الغسل للحيض، من جهة كون النقاء المتخلل طهرا و إن لم يبلغ عشرة أيام، و حينئذ فلا بدّ من طرحها أو الالتزام بمذهب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 الأخبار بأحكام الاستحاضة، فهو محمول على الغالب من كون الدم منحصرا بينهما، فمع عدم الحيضية ينحصر أمره في الاستحاضة،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مدرك لهذه الكلية، كما بيّنا عدم المدرك للكلية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فالمدار التام لذلك إنما هو حصول الاطمئنان من قبل الصفات، و إلّا فالمرجع الأصل </w:t>
      </w:r>
      <w:r>
        <w:rPr>
          <w:rStyle w:val="FootnoteAnchor"/>
          <w:rtl w:val="true"/>
        </w:rPr>
        <w:footnoteReference w:id="906"/>
      </w:r>
      <w:r>
        <w:rPr>
          <w:rFonts w:ascii="Amiri" w:hAnsi="Amiri" w:eastAsia="Amiri" w:cs="Amiri"/>
          <w:color w:val="111111"/>
          <w:sz w:val="28"/>
          <w:sz w:val="28"/>
          <w:szCs w:val="28"/>
          <w:rtl w:val="true"/>
          <w:lang w:bidi="ar-SA"/>
        </w:rPr>
        <w:t>مع إحراز الحالة السابقة، و إلّا فإلى قواعد الشبهة المحصورة مع الدوران بينه و بين الحيض، و إلّا فالأصل البراءة عن تحصيل لوازم الاستحاضة، بناء على شرطية نفسها، و إلّا فبناء على كونها من محققات الطهارة، فالأصل في مثله الاشتغال، كما أشرنا إليه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زمان بروزه هو بعد أيام الحيض أو أيام النفاس أو بعد اليأس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يختلف الدم المزبور قلّة و كثرة حسب اختلاف مزاجهن، بل صار ذلك منشأ لاختلاف الأخبار </w:t>
      </w:r>
      <w:r>
        <w:rPr>
          <w:rStyle w:val="FootnoteAnchor"/>
          <w:rtl w:val="true"/>
        </w:rPr>
        <w:footnoteReference w:id="907"/>
      </w:r>
      <w:r>
        <w:rPr>
          <w:rFonts w:ascii="Amiri" w:hAnsi="Amiri" w:eastAsia="Amiri" w:cs="Amiri"/>
          <w:color w:val="111111"/>
          <w:sz w:val="28"/>
          <w:sz w:val="28"/>
          <w:szCs w:val="28"/>
          <w:rtl w:val="true"/>
          <w:lang w:bidi="ar-SA"/>
        </w:rPr>
        <w:t>المثبتة لوظيفتها، و الأصحاب أيضا قسّموها إلى أقسام ثلاثة، من القليلة و المتوسطة و الكثيرة، و جعلوا المدار في الأول</w:t>
      </w:r>
    </w:p>
    <w:p>
      <w:pPr>
        <w:pStyle w:val="BookText"/>
        <w:rPr/>
      </w:pPr>
      <w:r>
        <w:rPr>
          <w:rFonts w:ascii="Amiri" w:hAnsi="Amiri" w:eastAsia="Amiri" w:cs="Amiri"/>
          <w:color w:val="111111"/>
          <w:sz w:val="28"/>
          <w:sz w:val="28"/>
          <w:szCs w:val="28"/>
          <w:rtl w:val="true"/>
          <w:lang w:bidi="ar-SA"/>
        </w:rPr>
        <w:t>عدم النفوذ في القطنة، و في الثاني نفوذه و عدم سيلانه من خلفها، و في الثالث سيلانه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منشأ استفادتهم لهذه الأقسام، و تخصيص القليلة بالوضوء لكل صلاة، و المتوسطة بازدياد غسل للفجر، و ازدياد الثالثة بالغسل لكل صلاة </w:t>
      </w:r>
      <w:r>
        <w:rPr>
          <w:rStyle w:val="FootnoteAnchor"/>
          <w:rtl w:val="true"/>
        </w:rPr>
        <w:footnoteReference w:id="908"/>
      </w:r>
      <w:r>
        <w:rPr>
          <w:rFonts w:ascii="Amiri" w:hAnsi="Amiri" w:eastAsia="Amiri" w:cs="Amiri"/>
          <w:color w:val="111111"/>
          <w:sz w:val="28"/>
          <w:sz w:val="28"/>
          <w:szCs w:val="28"/>
          <w:rtl w:val="true"/>
          <w:lang w:bidi="ar-SA"/>
        </w:rPr>
        <w:t>إنما هو من مضامين نصوص الأئمة الأطهار، فينبغي التعرض لمضامينها، كي يتضح في المقام حقيقة المرام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يستفاد منه التفصيل المزبور، و هي العمدة في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الصحّاف المفصلة بين أنحاء الدم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لا يسيل من خلف الكرسف فلتتوضأ و لتصلّ ما لم تطرح الكرسف، و إن طرحت الكرسف و سال الدم وجب عليها الغسل، و إن طرحت الكرسف و لم يسل الدم فلتتوضأ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الدم إذا أمسكت الكرسف يسيل من خلفه صبيبا لا يرقأ، فإن عليها أن تغتسل في كل يوم و ليلة ثلاث مرات</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يخفى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فيه بالوضوء هو الدم البالغ إلى القطنة، و عدم سيله كناية عن عدم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سال الدم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سيلانه كناية عن نفوذه فيها، و إطلاقه يتقيد بالحكم الأخير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أمسكت الكرسف يسيل من خلفه صبيبا لا يرقأ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عدم سيلانه من الخلف، و إلّا فتغتسل لكل يوم و ليلة ثلاث مرات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موثقة سماعة </w:t>
      </w:r>
      <w:r>
        <w:rPr>
          <w:rStyle w:val="FootnoteAnchor"/>
          <w:rtl w:val="true"/>
        </w:rPr>
        <w:footnoteReference w:id="910"/>
      </w:r>
      <w:r>
        <w:rPr>
          <w:rFonts w:ascii="Amiri" w:hAnsi="Amiri" w:eastAsia="Amiri" w:cs="Amiri"/>
          <w:color w:val="111111"/>
          <w:sz w:val="28"/>
          <w:sz w:val="28"/>
          <w:szCs w:val="28"/>
          <w:rtl w:val="true"/>
          <w:lang w:bidi="ar-SA"/>
        </w:rPr>
        <w:t>أيضا إثبات الأغسال الثلاث للثاقب، و لغير الثاقب</w:t>
      </w:r>
    </w:p>
    <w:p>
      <w:pPr>
        <w:pStyle w:val="BookText"/>
        <w:rPr/>
      </w:pPr>
      <w:r>
        <w:rPr>
          <w:rFonts w:ascii="Amiri" w:hAnsi="Amiri" w:eastAsia="Amiri" w:cs="Amiri"/>
          <w:color w:val="111111"/>
          <w:sz w:val="28"/>
          <w:sz w:val="28"/>
          <w:szCs w:val="28"/>
          <w:rtl w:val="true"/>
          <w:lang w:bidi="ar-SA"/>
        </w:rPr>
        <w:t>الغسل في كل يوم مرة، و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دمها عبيطا، و إن كان صفرة فعليها الوضوء</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بناء على حمل الصفرة في قبال العبيط على غير النافذ، و لو بقرينة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بذلك يشرح غير الثاقب، و يقيّد بصورة سيلانه الملازم لنفوذه، قبال سيلانه من خلفه لثقبه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أيضا تشرح الرواية السابقة من فرضي السيلان المطلق الثابت فيه الغسل، و السيلان من خلفه الثابت فيه الغسل في اليوم و الليلة ثلاثا، بحمل الأول على غير الثاقب، و حمل الأخير على الثاقب، كما يشرح كون الوضوء لكل صلاة بأخبار مطلقة 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فبنص كل خبر يرفع الإجمال عن غيره، فيستفاد حينئذ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مذهب المصنف حيث 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الدم قليلا و هو أن يظهر على القطنة و لا يغمسها وجب عليها تغيير القطنة على اشكال فيه، لكونه في الباطن، خصوصا مع فرض عدم بروز الدم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النص اعادة الكرسف </w:t>
      </w:r>
      <w:r>
        <w:rPr>
          <w:rStyle w:val="FootnoteAnchor"/>
          <w:rtl w:val="true"/>
        </w:rPr>
        <w:footnoteReference w:id="912"/>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فلتضع كرسفا </w:t>
      </w:r>
      <w:r>
        <w:rPr>
          <w:rStyle w:val="FootnoteAnchor"/>
          <w:rtl w:val="true"/>
        </w:rPr>
        <w:footnoteReference w:id="913"/>
      </w:r>
      <w:r>
        <w:rPr>
          <w:rFonts w:ascii="Amiri" w:hAnsi="Amiri" w:eastAsia="Amiri" w:cs="Amiri"/>
          <w:color w:val="111111"/>
          <w:sz w:val="28"/>
          <w:sz w:val="28"/>
          <w:szCs w:val="28"/>
          <w:rtl w:val="true"/>
          <w:lang w:bidi="ar-SA"/>
        </w:rPr>
        <w:t xml:space="preserve">أو قطنة على الكرسف </w:t>
      </w:r>
      <w:r>
        <w:rPr>
          <w:rStyle w:val="FootnoteAnchor"/>
          <w:rtl w:val="true"/>
        </w:rPr>
        <w:footnoteReference w:id="914"/>
      </w:r>
      <w:r>
        <w:rPr>
          <w:rFonts w:ascii="Amiri" w:hAnsi="Amiri" w:eastAsia="Amiri" w:cs="Amiri"/>
          <w:color w:val="111111"/>
          <w:sz w:val="28"/>
          <w:sz w:val="28"/>
          <w:szCs w:val="28"/>
          <w:rtl w:val="true"/>
          <w:lang w:bidi="ar-SA"/>
        </w:rPr>
        <w:t>أو على القطنة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يحمل الأول على الاستحباب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فرض البروز إلى الخارج يجب إزالته تقليلا للنجاسة، كي لا يصدق عليه الصلاة فيها، كما يستفاد من جملة من النصوص النهي عن</w:t>
      </w:r>
    </w:p>
    <w:p>
      <w:pPr>
        <w:pStyle w:val="BookText"/>
        <w:rPr/>
      </w:pPr>
      <w:r>
        <w:rPr>
          <w:rFonts w:ascii="Amiri" w:hAnsi="Amiri" w:eastAsia="Amiri" w:cs="Amiri"/>
          <w:color w:val="111111"/>
          <w:sz w:val="28"/>
          <w:sz w:val="28"/>
          <w:szCs w:val="28"/>
          <w:rtl w:val="true"/>
          <w:lang w:bidi="ar-SA"/>
        </w:rPr>
        <w:t xml:space="preserve">الصلاة في النجاسة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تجديد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كثيرا و هو أن تغمس القطنة و لا يسيل وجب عليها مع ذلك الذي أشرنا إليه من تجديد الوضوء لكل صلاة، و تغيير القطنة على اشكال فيه أيضا مع فرض كون القطنة داخل الرحم و عدم بروز الدم منه إلى الخارج، و منه ظهر حكم تغيير الخرقة أيضا بإطلاقه و لو مع عدم وصول الدم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الغسل لصلاة الغداة على اشكال في إطلاقه، إذ الظاهر من موثقة سماعة </w:t>
      </w:r>
      <w:r>
        <w:rPr>
          <w:rStyle w:val="FootnoteAnchor"/>
          <w:rtl w:val="true"/>
        </w:rPr>
        <w:footnoteReference w:id="916"/>
      </w:r>
      <w:r>
        <w:rPr>
          <w:rFonts w:ascii="Amiri" w:hAnsi="Amiri" w:eastAsia="Amiri" w:cs="Amiri"/>
          <w:color w:val="111111"/>
          <w:sz w:val="28"/>
          <w:sz w:val="28"/>
          <w:szCs w:val="28"/>
          <w:rtl w:val="true"/>
          <w:lang w:bidi="ar-SA"/>
        </w:rPr>
        <w:t>الغسل في كل يوم مرة، و الظاهر منها اليوم بليلته قبال الثلاثة الأغسال للكثيرة في اليوم و الليلة، و مقتضاه أن مثل هذا الدم مهما صدر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لدورة يومه و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وجوب إتيانه للصلاة بعده من زمان بروزه، و أن يكتفي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غداته الآتية، بلا تخصيص ذلك الغسل بأن يكون لصلاة الغداة، بحيث لو حدث الدم بعده لا يكون الغسل واجبا إلّا للغداة الآتية حسب ما يقوله المشهور، إذ مثل هذه الجهات لا تكاد تستفاد من النص المزبور، بعد إطلاقه مرة في كل يوم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احتمل ما استفدناه من رواية المحقق الكاظمي في هدايته </w:t>
      </w:r>
      <w:r>
        <w:rPr>
          <w:rStyle w:val="FootnoteAnchor"/>
          <w:rtl w:val="true"/>
        </w:rPr>
        <w:footnoteReference w:id="917"/>
      </w:r>
      <w:r>
        <w:rPr>
          <w:rFonts w:ascii="Amiri" w:hAnsi="Amiri" w:eastAsia="Amiri" w:cs="Amiri"/>
          <w:color w:val="111111"/>
          <w:sz w:val="28"/>
          <w:sz w:val="28"/>
          <w:szCs w:val="28"/>
          <w:rtl w:val="true"/>
          <w:lang w:bidi="ar-SA"/>
        </w:rPr>
        <w:t>، إلّا أنه ضعّفه بمخالفة المشهور، فإن كان حينئذ إجماع على خلاف مضمون</w:t>
      </w:r>
    </w:p>
    <w:p>
      <w:pPr>
        <w:pStyle w:val="BookText"/>
        <w:rPr/>
      </w:pPr>
      <w:r>
        <w:rPr>
          <w:rFonts w:ascii="Amiri" w:hAnsi="Amiri" w:eastAsia="Amiri" w:cs="Amiri"/>
          <w:color w:val="111111"/>
          <w:sz w:val="28"/>
          <w:sz w:val="28"/>
          <w:szCs w:val="28"/>
          <w:rtl w:val="true"/>
          <w:lang w:bidi="ar-SA"/>
        </w:rPr>
        <w:t>الموثقة فيؤخذ به، و إلّا فإطلاق مضمونها محكم، و لازمة ليس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الدم أكثر منه و هو أن يسيل من خلفه و يثقبه، وجب عليها مع ذلك الذي أشرنا إليه من تغيير القطنة مع اشكال فيه، و الخرقة على تقدير وصول الدم إليها كما أشرنا إلى وجهه، 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للظهر و العصر تجمع بينهما، و غسل للمغرب و العشاء الآخرة تجمع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وجوب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مقتضى قاعدة الجمع بينه و بين حدثية الاستحاضة و مانعيتها عن الصلاة، بشهادة التزامهم بغسل آخر لبرئها و لو لصلاة أخرى، فإنّ المقدار المتيقّن لرفع اليد عن حدثية الدم أو مانعية حدثه عن الصلاة حينئذ هو هذا المقدار، فيبقى الباقي تحت أصالة المانعية و الحدثية فأفهم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ورد من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دما سائلا فلتؤخر الصلاة إلى الصلاة ثم تصلّي الصلاتين بغسل</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إذ الظاهر منه انّ سيلان الدم موجب للغسل للعمل المشروط به و كفايته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خروج دم في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لرافعية الحدث السابق، و لا يبقى بعده مجال لغسل آخر، فالأمر بغسل آخر إنما هو لصدور الدم في خلاله، و هكذا الأمر في الغسل الثاني إلى أن ينتهي إلى الثالث، و لازمة العفو عن الصادر في خلال الغسل بمقدار يساعده الدليل، و في غيره يجب بمقتضى الإطلاق تحصيل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ظاهر الأمر بالتأخير إلى الصلاة </w:t>
      </w:r>
      <w:r>
        <w:rPr>
          <w:rStyle w:val="FootnoteAnchor"/>
          <w:rtl w:val="true"/>
        </w:rPr>
        <w:footnoteReference w:id="919"/>
      </w:r>
      <w:r>
        <w:rPr>
          <w:rFonts w:ascii="Amiri" w:hAnsi="Amiri" w:eastAsia="Amiri" w:cs="Amiri"/>
          <w:color w:val="111111"/>
          <w:sz w:val="28"/>
          <w:sz w:val="28"/>
          <w:szCs w:val="28"/>
          <w:rtl w:val="true"/>
          <w:lang w:bidi="ar-SA"/>
        </w:rPr>
        <w:t>، الجمع بينهما بحسب</w:t>
      </w:r>
    </w:p>
    <w:p>
      <w:pPr>
        <w:pStyle w:val="BookText"/>
        <w:rPr/>
      </w:pPr>
      <w:r>
        <w:rPr>
          <w:rFonts w:ascii="Amiri" w:hAnsi="Amiri" w:eastAsia="Amiri" w:cs="Amiri"/>
          <w:color w:val="111111"/>
          <w:sz w:val="28"/>
          <w:sz w:val="28"/>
          <w:szCs w:val="28"/>
          <w:rtl w:val="true"/>
          <w:lang w:bidi="ar-SA"/>
        </w:rPr>
        <w:t>الزمان، لا مجرد الجمع بينهما بغسل واحد و لو متفرقا، و ربما يساعد ذلك أيضا ما ذكرنا من أنّ الفرار عن مانعية حدثه بمقدار الميسور، بل ربما يستفاد حينئذ من فحوى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تعقب الغسل بالصلاة، لأنه المقدار الذي قامت الضرورة على رفع اليد عن مانعية حدثه، فيبقى أصالة المانعية بحالها بالنسبة إلى غير مورد الضرورة، في أزيد من مقدار الزمان الموجب لإتيان صلاتين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جواز التراخي في صلاتها </w:t>
      </w:r>
      <w:r>
        <w:rPr>
          <w:rStyle w:val="FootnoteAnchor"/>
          <w:rtl w:val="true"/>
        </w:rPr>
        <w:footnoteReference w:id="920"/>
      </w:r>
      <w:r>
        <w:rPr>
          <w:rFonts w:ascii="Amiri" w:hAnsi="Amiri" w:eastAsia="Amiri" w:cs="Amiri"/>
          <w:color w:val="111111"/>
          <w:sz w:val="28"/>
          <w:sz w:val="28"/>
          <w:szCs w:val="28"/>
          <w:rtl w:val="true"/>
          <w:lang w:bidi="ar-SA"/>
        </w:rPr>
        <w:t>، و لازمة استفادة العفو عنه أيضا، المستلزم لعدم لزوم التعقب، و في التعدّي عن تراخي الصلاة عن غسلها إلى تراخي صلاتها الثانية عن الأولى أيضا احتمال، و لازمة حمل الأمر بتأخير الصلاة إلى الصلاة أيضا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منع استفادة جواز هذا التراخي عن التراخي السابق، فيبقى الأمر بالتأخير المزبور على الوجوب، و مقتضى ذلك كون الجمع الزماني بغسل واحد بنحو العزيمة، و أما جمعهما في أصل الغسل و الاكتفاء به محضا بلا غسل آخر، ففي استفادة وجوبه اشكال، بل ظاهره كون أمر المقام من باب دفع توهم الحظر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منع دليل على اقتضاء كل دم غسلا، فكيف يشرع الغسل بدونه، مدفوع بأنه يكفي لهذا الإطلاق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سائلا تؤخر الصلاة و تغتسل</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لأن ظاهره كون السيلان موجبا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إيجابه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بقياس سائر موجباته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الدم المزبور أيضا من الأحداث، غاية الأمر عفي عنه في صورة تأخيره و بقي الباقي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حملنا وجوب الجمع على دفع الحظر، يبقى إطلاق اقتضاء السيلان للغسل بحاله، بل و لازمة احتياج البرء بعد هذا الغسل إلى غسل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ظاهر الأمر بالتأخير </w:t>
      </w:r>
      <w:r>
        <w:rPr>
          <w:rStyle w:val="FootnoteAnchor"/>
          <w:rtl w:val="true"/>
        </w:rPr>
        <w:footnoteReference w:id="922"/>
      </w:r>
      <w:r>
        <w:rPr>
          <w:rFonts w:ascii="Amiri" w:hAnsi="Amiri" w:eastAsia="Amiri" w:cs="Amiri"/>
          <w:color w:val="111111"/>
          <w:sz w:val="28"/>
          <w:sz w:val="28"/>
          <w:szCs w:val="28"/>
          <w:rtl w:val="true"/>
          <w:lang w:bidi="ar-SA"/>
        </w:rPr>
        <w:t>، لحكمة حفظ الضرورة في رفع اليد عن مانعية حدثه في الصلاة، و لازمة حفظ الحدثية باقتضاء الدم فيه، و مقتضاه عدم قصور لمشروعية غسله لاقتضائه الحدثية،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ذلك ملاحظة زمان فترة تتسع للغسل و الصلاة، لإمكان استفادة التوسعة في أمرها على وجه يقتضي الاجزاء، حتى مع حصول البرء بعده في الوقت، فضلا عن حصول الفترة المتسعة، و إن كان الأحوط مراعاة زمان الفترة و البرء في وقته 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الإطلاقات المثبتة للغسل عقيب السيلان </w:t>
      </w:r>
      <w:r>
        <w:rPr>
          <w:rStyle w:val="FootnoteAnchor"/>
          <w:rtl w:val="true"/>
        </w:rPr>
        <w:footnoteReference w:id="923"/>
      </w:r>
      <w:r>
        <w:rPr>
          <w:rFonts w:ascii="Amiri" w:hAnsi="Amiri" w:eastAsia="Amiri" w:cs="Amiri"/>
          <w:color w:val="111111"/>
          <w:sz w:val="28"/>
          <w:sz w:val="28"/>
          <w:szCs w:val="28"/>
          <w:rtl w:val="true"/>
          <w:lang w:bidi="ar-SA"/>
        </w:rPr>
        <w:t>، كفاية الغسل لكل غاية مشروطة بالطهارة، 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الدماء السائلة في أثناء غسلها، أو عملها في جواز ترتبها على الغسل المزبور، بلا اختصاص للصلاة من الغايات في الترتب على هذا الغسل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جواز التراخي بين الغسل و الغاية على خلاف القاعدة، أمكن دعوى اختصاصه بالصلاة، و في غيرها يرجع إلى عموم اقتضاء كل سيلان غسلا رافعا لما صدر، و لازم ذلك الالتزام بفورية التعقب بالنسبة إلى سائر الغايات دون الصلاة، فتكون حينئذ بحكم الطاهرة في حال التعقب في غير الصلاة، و في الصلاة كانت بحكم الطاهرة إلى أن تصلّي و لو متراخية، و لا ضير في هذا التفكيك في المبيحية و إن لم يساعده العرف في الرافعية، فتدبّر</w:t>
      </w:r>
      <w:r>
        <w:rPr>
          <w:rFonts w:eastAsia="Amiri" w:cs="Amiri" w:ascii="Amiri" w:hAnsi="Amiri"/>
          <w:color w:val="111111"/>
          <w:sz w:val="28"/>
          <w:szCs w:val="28"/>
          <w:rtl w:val="true"/>
          <w:lang w:bidi="ar-SA"/>
        </w:rPr>
        <w:t>.</w:t>
      </w:r>
      <w:bookmarkStart w:id="283" w:name="pg19729_212781"/>
    </w:p>
    <w:p>
      <w:pPr>
        <w:pStyle w:val="BookText"/>
        <w:rPr/>
      </w:pPr>
      <w:bookmarkEnd w:id="283"/>
      <w:r>
        <w:rPr>
          <w:rFonts w:ascii="Amiri" w:hAnsi="Amiri" w:eastAsia="Amiri" w:cs="Amiri"/>
          <w:color w:val="111111"/>
          <w:sz w:val="28"/>
          <w:sz w:val="28"/>
          <w:szCs w:val="28"/>
          <w:rtl w:val="true"/>
          <w:lang w:bidi="ar-SA"/>
        </w:rPr>
        <w:t>و إلى مثل هذا البيان نظر الفقهاء في حكمهم بأنّ المستحاضة إذا قامت بوظيفتها، كانت بحكم الطاهرة بالنسبة إلى جميع الغايات المشروطة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و إن كان يوهم دخل الأغسال الآتية أيضا في الأعمال السابقة، لكن الانصاف منع استفادة ذلك من الدليل، إذ الظاهر منه كون الغسل الحاصل بعده كافيا في الأعمال المترتبة المنعقبة عليه في غير الصلاة، و فيها إلى أن تصلّي، و بعد ذلك تحتاج في إعمالها الآخر بعدهما إلى غسل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ظاهر الاقتصار بالغسل للغداة و الظهرين في حق الصائمة أيضا، عدم الاحتياج إلى غسل آخر في بقاء صومها بعد صلاتها، لا أنّ غسل الليل دخيل في صحة صومها، و لا يبعد حمل كلماتهم أيضا على ما ذكرنا،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غسلها فهو كغسل الحائض، لظهور الخطاب في ما هو المعهود منه في سائر المقامات، من الحيض و النفاس و الجنابة و غيرها، كما أنه مما أشرنا إليه آنفا ظهر وجه ما هو المشهور، من أنها إذا فعلت ما قلناه صارت بحكم الطاهرة،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3251311_2314609296"/>
      <w:bookmarkStart w:id="285" w:name="_Toc108"/>
      <w:bookmarkEnd w:id="284"/>
      <w:r>
        <w:rPr>
          <w:rtl w:val="true"/>
        </w:rPr>
        <w:t>الفصل الرابع</w:t>
      </w:r>
      <w:r>
        <w:rPr>
          <w:rtl w:val="true"/>
        </w:rPr>
        <w:t xml:space="preserve">: </w:t>
      </w:r>
      <w:r>
        <w:rPr>
          <w:rtl w:val="true"/>
        </w:rPr>
        <w:t>في النفاس</w:t>
      </w:r>
      <w:bookmarkEnd w:id="2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الدم الذي تراه المرأة عقيب الولادة أو معها، بشرط عدم تأخيره عنها بمقدار لا يراه العرف منها، لانصراف أدلتها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فربما يشكل الأمر في إلحاق ما رأته في اليوم العاشر من ولادتها أو التاسع بنفاسها، و إن كان في أيام عادتها أو كانت عادتها عشرة، فإن ما دل على النفاسية في العشر أو في أيام العادة </w:t>
      </w:r>
      <w:r>
        <w:rPr>
          <w:rStyle w:val="FootnoteAnchor"/>
          <w:rtl w:val="true"/>
        </w:rPr>
        <w:footnoteReference w:id="924"/>
      </w:r>
      <w:r>
        <w:rPr>
          <w:rFonts w:ascii="Amiri" w:hAnsi="Amiri" w:eastAsia="Amiri" w:cs="Amiri"/>
          <w:color w:val="111111"/>
          <w:sz w:val="28"/>
          <w:sz w:val="28"/>
          <w:szCs w:val="28"/>
          <w:rtl w:val="true"/>
          <w:lang w:bidi="ar-SA"/>
        </w:rPr>
        <w:t>كان في مقام بيان بقاء ما هو</w:t>
      </w:r>
    </w:p>
    <w:p>
      <w:pPr>
        <w:pStyle w:val="BookText"/>
        <w:rPr/>
      </w:pPr>
      <w:r>
        <w:rPr>
          <w:rFonts w:ascii="Amiri" w:hAnsi="Amiri" w:eastAsia="Amiri" w:cs="Amiri"/>
          <w:color w:val="111111"/>
          <w:sz w:val="28"/>
          <w:sz w:val="28"/>
          <w:szCs w:val="28"/>
          <w:rtl w:val="true"/>
          <w:lang w:bidi="ar-SA"/>
        </w:rPr>
        <w:t>مفروغ النفاسية، لا في مقام إثبات أصلها،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لما ذكرنا ما في رواية زريق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الولد، و إذا خرج رأسه لم تجب</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و لو بملاحظة ملازمة خروجه لخروج الدم غالبا، بل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خروج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دم مخاض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يشمل المقارنة و ما يتعقبه بمقدار يلحق بهذه الولادة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العلقة أو المضغة بالولد اشكال و خلاف بين الأردبيلي </w:t>
      </w:r>
      <w:r>
        <w:rPr>
          <w:rStyle w:val="FootnoteAnchor"/>
          <w:rtl w:val="true"/>
        </w:rPr>
        <w:footnoteReference w:id="926"/>
      </w:r>
      <w:r>
        <w:rPr>
          <w:rFonts w:ascii="Amiri" w:hAnsi="Amiri" w:eastAsia="Amiri" w:cs="Amiri"/>
          <w:color w:val="111111"/>
          <w:sz w:val="28"/>
          <w:sz w:val="28"/>
          <w:szCs w:val="28"/>
          <w:rtl w:val="true"/>
          <w:lang w:bidi="ar-SA"/>
        </w:rPr>
        <w:t>و المشهور، و الأصل مع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لأقله بلا اشكال و لا خلاف، و يشعر به رواية زريق السابقة، و في الدلالة نظر، كالنظر في إطلاقات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نفي الحد في رواية الليث </w:t>
      </w:r>
      <w:r>
        <w:rPr>
          <w:rStyle w:val="FootnoteAnchor"/>
          <w:rtl w:val="true"/>
        </w:rPr>
        <w:footnoteReference w:id="927"/>
      </w:r>
      <w:r>
        <w:rPr>
          <w:rFonts w:ascii="Amiri" w:hAnsi="Amiri" w:eastAsia="Amiri" w:cs="Amiri"/>
          <w:color w:val="111111"/>
          <w:sz w:val="28"/>
          <w:sz w:val="28"/>
          <w:szCs w:val="28"/>
          <w:rtl w:val="true"/>
          <w:lang w:bidi="ar-SA"/>
        </w:rPr>
        <w:t>منصرفة عن ظاهرها، فلا بد أن تطرح أو يتصرّف فيها أو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أكثره عشرة أيام من حين الولادة، للإطلاق </w:t>
      </w:r>
      <w:r>
        <w:rPr>
          <w:rStyle w:val="FootnoteAnchor"/>
          <w:rtl w:val="true"/>
        </w:rPr>
        <w:footnoteReference w:id="928"/>
      </w:r>
      <w:r>
        <w:rPr>
          <w:rFonts w:ascii="Amiri" w:hAnsi="Amiri" w:eastAsia="Amiri" w:cs="Amiri"/>
          <w:color w:val="111111"/>
          <w:sz w:val="28"/>
          <w:sz w:val="28"/>
          <w:szCs w:val="28"/>
          <w:rtl w:val="true"/>
          <w:lang w:bidi="ar-SA"/>
        </w:rPr>
        <w:t xml:space="preserve">المنصرف إلى ذلك، و يومئ إليه أيضا رواية يونس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استشكله في الجواهر بحمل الإطلاقات على الغالب من رؤية الدم حين الولادة </w:t>
      </w:r>
      <w:r>
        <w:rPr>
          <w:rStyle w:val="FootnoteAnchor"/>
          <w:rtl w:val="true"/>
        </w:rPr>
        <w:footnoteReference w:id="930"/>
      </w:r>
      <w:r>
        <w:rPr>
          <w:rFonts w:ascii="Amiri" w:hAnsi="Amiri" w:eastAsia="Amiri" w:cs="Amiri"/>
          <w:color w:val="111111"/>
          <w:sz w:val="28"/>
          <w:sz w:val="28"/>
          <w:szCs w:val="28"/>
          <w:rtl w:val="true"/>
          <w:lang w:bidi="ar-SA"/>
        </w:rPr>
        <w:t>، و منع الإطلاق في رواية يونس أيضا، فلو لا الإجماع كان مقتضى الأصل خلافه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فالأصل في التحديد المزبور أخبار مستفيضة </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بضميمة خبر يونس المشتمل على الاستظهار بعشرة </w:t>
      </w:r>
      <w:r>
        <w:rPr>
          <w:rStyle w:val="FootnoteAnchor"/>
          <w:rtl w:val="true"/>
        </w:rPr>
        <w:footnoteReference w:id="932"/>
      </w:r>
      <w:r>
        <w:rPr>
          <w:rFonts w:ascii="Amiri" w:hAnsi="Amiri" w:eastAsia="Amiri" w:cs="Amiri"/>
          <w:color w:val="111111"/>
          <w:sz w:val="28"/>
          <w:sz w:val="28"/>
          <w:szCs w:val="28"/>
          <w:rtl w:val="true"/>
          <w:lang w:bidi="ar-SA"/>
        </w:rPr>
        <w:t xml:space="preserve">، نظير ما ورد في باب الحيض، المشتمل على الحكم الظاهري </w:t>
      </w:r>
      <w:r>
        <w:rPr>
          <w:rStyle w:val="FootnoteAnchor"/>
          <w:rtl w:val="true"/>
        </w:rPr>
        <w:footnoteReference w:id="933"/>
      </w:r>
      <w:r>
        <w:rPr>
          <w:rFonts w:ascii="Amiri" w:hAnsi="Amiri" w:eastAsia="Amiri" w:cs="Amiri"/>
          <w:color w:val="111111"/>
          <w:sz w:val="28"/>
          <w:sz w:val="28"/>
          <w:szCs w:val="28"/>
          <w:rtl w:val="true"/>
          <w:lang w:bidi="ar-SA"/>
        </w:rPr>
        <w:t>، بمراعاة احتمال الانقطاع على العشرة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يجمع بينها و بين ما دل على مرجعية العادة </w:t>
      </w:r>
      <w:r>
        <w:rPr>
          <w:rStyle w:val="FootnoteAnchor"/>
          <w:rtl w:val="true"/>
        </w:rPr>
        <w:footnoteReference w:id="934"/>
      </w:r>
      <w:r>
        <w:rPr>
          <w:rFonts w:ascii="Amiri" w:hAnsi="Amiri" w:eastAsia="Amiri" w:cs="Amiri"/>
          <w:color w:val="111111"/>
          <w:sz w:val="28"/>
          <w:sz w:val="28"/>
          <w:szCs w:val="28"/>
          <w:rtl w:val="true"/>
          <w:lang w:bidi="ar-SA"/>
        </w:rPr>
        <w:t>، بحمل الأخيرة على المتجاوز عن العشرة، خلافا لجمع، حيث حكموا على المتجاوز أيضا بنفاسية تمام العشرة، ترجيحا للإطلاقات على أخبار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لصلاحية جعل خبر الاستظهار </w:t>
      </w:r>
      <w:r>
        <w:rPr>
          <w:rStyle w:val="FootnoteAnchor"/>
          <w:rtl w:val="true"/>
        </w:rPr>
        <w:footnoteReference w:id="935"/>
      </w:r>
      <w:r>
        <w:rPr>
          <w:rFonts w:ascii="Amiri" w:hAnsi="Amiri" w:eastAsia="Amiri" w:cs="Amiri"/>
          <w:color w:val="111111"/>
          <w:sz w:val="28"/>
          <w:sz w:val="28"/>
          <w:szCs w:val="28"/>
          <w:rtl w:val="true"/>
          <w:lang w:bidi="ar-SA"/>
        </w:rPr>
        <w:t xml:space="preserve">شاهد جمع بينهما، كما أنه أيضا شاهد جمع بين ما دل على التحديد بثمانية عشر مع الأخبار السابقة، بحمل السابقة على ذات العادة، و غيرها على غيرها، كما هو المحكي عن العلّامة في المختلف </w:t>
      </w:r>
      <w:r>
        <w:rPr>
          <w:rStyle w:val="FootnoteAnchor"/>
          <w:rtl w:val="true"/>
        </w:rPr>
        <w:footnoteReference w:id="936"/>
      </w:r>
      <w:r>
        <w:rPr>
          <w:rFonts w:ascii="Amiri" w:hAnsi="Amiri" w:eastAsia="Amiri" w:cs="Amiri"/>
          <w:color w:val="111111"/>
          <w:sz w:val="28"/>
          <w:sz w:val="28"/>
          <w:szCs w:val="28"/>
          <w:rtl w:val="true"/>
          <w:lang w:bidi="ar-SA"/>
        </w:rPr>
        <w:t xml:space="preserve">، و المقداد في التنقيح </w:t>
      </w:r>
      <w:r>
        <w:rPr>
          <w:rStyle w:val="FootnoteAnchor"/>
          <w:rtl w:val="true"/>
        </w:rPr>
        <w:footnoteReference w:id="937"/>
      </w:r>
      <w:r>
        <w:rPr>
          <w:rFonts w:ascii="Amiri" w:hAnsi="Amiri" w:eastAsia="Amiri" w:cs="Amiri"/>
          <w:color w:val="111111"/>
          <w:sz w:val="28"/>
          <w:sz w:val="28"/>
          <w:szCs w:val="28"/>
          <w:rtl w:val="true"/>
          <w:lang w:bidi="ar-SA"/>
        </w:rPr>
        <w:t>، و حينئذ فيشترك النفاس مع الحيض في خصوص ذات العادة، مستمرة كانت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 باقي أحكام الحيض فيه، من عدم أقلية الطهر بين النفاس الواحد، و لا بين النفاسين، و لا النفاس و الحيض السابق، و مرجعية عادة الأهل، ففيه اشكال، لعدم دليل واف بالاشتراك في جميع الحدود و الأحكام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عدا ما توهم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النفاس حيض محتبس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ما فيه،</w:t>
      </w:r>
    </w:p>
    <w:p>
      <w:pPr>
        <w:pStyle w:val="BookText"/>
        <w:rPr/>
      </w:pPr>
      <w:r>
        <w:rPr>
          <w:rFonts w:ascii="Amiri" w:hAnsi="Amiri" w:eastAsia="Amiri" w:cs="Amiri"/>
          <w:color w:val="111111"/>
          <w:sz w:val="28"/>
          <w:sz w:val="28"/>
          <w:szCs w:val="28"/>
          <w:rtl w:val="true"/>
          <w:lang w:bidi="ar-SA"/>
        </w:rPr>
        <w:t xml:space="preserve">من إمكان بيان كونه في الحقيقة الأولية ذلك، نظير ما ورد من كون الشعير و الحنطة من جنس واحد </w:t>
      </w:r>
      <w:r>
        <w:rPr>
          <w:rStyle w:val="FootnoteAnchor"/>
          <w:rtl w:val="true"/>
        </w:rPr>
        <w:footnoteReference w:id="938"/>
      </w:r>
      <w:r>
        <w:rPr>
          <w:rFonts w:ascii="Amiri" w:hAnsi="Amiri" w:eastAsia="Amiri" w:cs="Amiri"/>
          <w:color w:val="111111"/>
          <w:sz w:val="28"/>
          <w:sz w:val="28"/>
          <w:szCs w:val="28"/>
          <w:rtl w:val="true"/>
          <w:lang w:bidi="ar-SA"/>
        </w:rPr>
        <w:t>، و ذلك لا يقتضي اشتراكهما فعلا في جميع الأحكام، و حينئذ فالمرجع في المقامات المزبورة هو الأصل الجاري فيها، مثبتا أم 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شبهة في اعتبار فصل أقل الطهر بين النفاس و الحيض اللاحق، كما في خبر المغيرة </w:t>
      </w:r>
      <w:r>
        <w:rPr>
          <w:rStyle w:val="FootnoteAnchor"/>
          <w:rtl w:val="true"/>
        </w:rPr>
        <w:footnoteReference w:id="939"/>
      </w:r>
      <w:r>
        <w:rPr>
          <w:rFonts w:ascii="Amiri" w:hAnsi="Amiri" w:eastAsia="Amiri" w:cs="Amiri"/>
          <w:color w:val="111111"/>
          <w:sz w:val="28"/>
          <w:sz w:val="28"/>
          <w:szCs w:val="28"/>
          <w:rtl w:val="true"/>
          <w:lang w:bidi="ar-SA"/>
        </w:rPr>
        <w:t>المعمول به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حكم نفاس ولد واحد، و أما نفاس التوأمين فربما يصير النفاس حتى من ذات العادة أزيد من العشرة، إذ مقتضى عدم تداخل الأسباب اقتضاء كل سبب نفاسا مستقلا ينتهي إلى العشرة أو ثمانية عشر، على الاختلاف في ذات العادة و غيرها، و حينئذ فمع اتصال دميها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شمول إطلاقات التحديد في المقام أيضا منظور فيه، إذ هي ناظرة إلى تحديد دم ولد واحد، لا مجموع دميها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انفصالهما فإن كان بمقدار أقل الطهر فلا إشكال أيضا ما لم يتجاوزا عن حديهما، و إن كان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إلحاق مقدار من الثاني بالأول على وجه يتداخلان فيه، فلا شبهة أيضا في الإلحاق، و الحكم في زمان النقاء بالحدثية، للاستصحاب، بناء على اشتراط أقل الطهر، و إلّا فيؤخذ به و يستصحب حدثية بعده لا قبله، كما لا يخفى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يمكن ذلك مع تخلل نقاء أقل من عشرة، فالأمر يدور مدار اجراء حكم الحيض من حيث فصل أقل الطهر بينهما في المقام و عدمه،</w:t>
      </w:r>
    </w:p>
    <w:p>
      <w:pPr>
        <w:pStyle w:val="BookText"/>
        <w:rPr/>
      </w:pPr>
      <w:r>
        <w:rPr>
          <w:rFonts w:ascii="Amiri" w:hAnsi="Amiri" w:eastAsia="Amiri" w:cs="Amiri"/>
          <w:color w:val="111111"/>
          <w:sz w:val="28"/>
          <w:sz w:val="28"/>
          <w:szCs w:val="28"/>
          <w:rtl w:val="true"/>
          <w:lang w:bidi="ar-SA"/>
        </w:rPr>
        <w:t>فعلى الأخير فلا إشكال في الأخذ بقاعدة عدم تداخل الأسباب أيضا، و إلّا فيقع المعارضة بين الدمين بلا وجود مرجّح في البين حتى في الأسبقية، فلا محيص إلّا من الرجوع إلى قواعد العلم الإجمالي، بالجمع بين الوظائف من أول الدمين إلى آخرهما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أيضا ظهر الحال بين صورة تعارض الحيض و النفاس السابق بفرض النقاء أقل من عشرة، فإنه مع فرض وجود مقدار قابل للإلحاق بأيهما، بمعنى اقتضاء الأخذ بكل منهما إلحاقه به، فيؤخذ و يجري عليه الأحكام المشتركة، للعلم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فينتهي الأمر فيه إلى التعارض و التساقط، فلا وجه لترجيح النفاس على ما دل على حيضية الثاني، من العادة أو الصفات أو غيرهما، فلا جرم ينتهي الأمر فيه إلى قواعد الشبهة المحصورة في الأطراف المشتبهة من الجمع بين الوظائف، لو لا دعوى استصحاب الحدثية بعد الدم المتيقن، و استصحاب الطهر قبله،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فالمشهور أنّ حكمها حكم الحائض في جميع الأحكام، بل ادعي عليه الإجماع، فإن تم فهو، و إلّا فلا دليل عليه عدا ما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حيض محتبس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استفادة الاشتراك من اقتران الحائض بالنفساء في النص الوارد في كثير من المقامات </w:t>
      </w:r>
      <w:r>
        <w:rPr>
          <w:rStyle w:val="FootnoteAnchor"/>
          <w:rtl w:val="true"/>
        </w:rPr>
        <w:footnoteReference w:id="940"/>
      </w:r>
      <w:r>
        <w:rPr>
          <w:rFonts w:ascii="Amiri" w:hAnsi="Amiri" w:eastAsia="Amiri" w:cs="Amiri"/>
          <w:color w:val="111111"/>
          <w:sz w:val="28"/>
          <w:sz w:val="28"/>
          <w:szCs w:val="28"/>
          <w:rtl w:val="true"/>
          <w:lang w:bidi="ar-SA"/>
        </w:rPr>
        <w:t>، إذ دلالته على الكلية المزبورة منظور فيها جدا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ففي إجراء جميع الأحكام الثابتة للحائض في المقام، حتى</w:t>
      </w:r>
      <w:bookmarkStart w:id="286" w:name="pg19729_212786"/>
    </w:p>
    <w:p>
      <w:pPr>
        <w:pStyle w:val="BookText"/>
        <w:rPr/>
      </w:pPr>
      <w:bookmarkEnd w:id="286"/>
      <w:r>
        <w:rPr>
          <w:rFonts w:ascii="Amiri" w:hAnsi="Amiri" w:eastAsia="Amiri" w:cs="Amiri"/>
          <w:color w:val="111111"/>
          <w:sz w:val="28"/>
          <w:sz w:val="28"/>
          <w:szCs w:val="28"/>
          <w:rtl w:val="true"/>
          <w:lang w:bidi="ar-SA"/>
        </w:rPr>
        <w:t xml:space="preserve">مسألة جواز وطئها قبل الاغتسال، أيضا في غاية الإشكال، فالاستصحاب في المقام يلحقه بحال الدم، بعد عدم عموم زماني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الغسل فيه كغسل الحيض و الاستحاضة، لظهور الأوامر في ذلك، و في اقتضاء غسلها أيضا الوضوء كلام، ظاهر جملة من نصوص الاستحاضة الكثيرة الاقتصار على الغسل </w:t>
      </w:r>
      <w:r>
        <w:rPr>
          <w:rStyle w:val="FootnoteAnchor"/>
          <w:rtl w:val="true"/>
        </w:rPr>
        <w:footnoteReference w:id="942"/>
      </w:r>
      <w:r>
        <w:rPr>
          <w:rFonts w:ascii="Amiri" w:hAnsi="Amiri" w:eastAsia="Amiri" w:cs="Amiri"/>
          <w:color w:val="111111"/>
          <w:sz w:val="28"/>
          <w:sz w:val="28"/>
          <w:szCs w:val="28"/>
          <w:rtl w:val="true"/>
          <w:lang w:bidi="ar-SA"/>
        </w:rPr>
        <w:t>، و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وضوء أنقى من الغسل</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المستلزم لكفايته عن الوضوء، و مدار العمل عليها دون ما تقدّم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251313_2314609296"/>
      <w:bookmarkStart w:id="288" w:name="_Toc109"/>
      <w:bookmarkEnd w:id="287"/>
      <w:r>
        <w:rPr>
          <w:rtl w:val="true"/>
        </w:rPr>
        <w:t>الفصل الخامس</w:t>
      </w:r>
      <w:r>
        <w:rPr>
          <w:rtl w:val="true"/>
        </w:rPr>
        <w:t xml:space="preserve">: </w:t>
      </w:r>
      <w:r>
        <w:rPr>
          <w:rtl w:val="true"/>
        </w:rPr>
        <w:t>في غسل الأموات</w:t>
      </w:r>
      <w:bookmarkEnd w:id="288"/>
    </w:p>
    <w:p>
      <w:pPr>
        <w:pStyle w:val="Heading6"/>
        <w:numPr>
          <w:ilvl w:val="5"/>
          <w:numId w:val="1"/>
        </w:numPr>
        <w:rPr/>
      </w:pPr>
      <w:bookmarkStart w:id="289" w:name="__RefHeading___Toc3251315_2314609296"/>
      <w:bookmarkStart w:id="290" w:name="_Toc110"/>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 فيه بقية أحكام الميت، و مباحثه خمسة</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3251317_2314609296"/>
      <w:bookmarkStart w:id="292" w:name="_Toc111"/>
      <w:bookmarkEnd w:id="291"/>
      <w:r>
        <w:rPr>
          <w:rtl w:val="true"/>
        </w:rPr>
        <w:t>الأول</w:t>
      </w:r>
      <w:r>
        <w:rPr>
          <w:rtl w:val="true"/>
        </w:rPr>
        <w:t xml:space="preserve">: </w:t>
      </w:r>
      <w:r>
        <w:rPr>
          <w:rtl w:val="true"/>
        </w:rPr>
        <w:t>الاحتضار</w:t>
      </w:r>
      <w:bookmarkEnd w:id="292"/>
    </w:p>
    <w:p>
      <w:pPr>
        <w:pStyle w:val="BookText"/>
        <w:rPr/>
      </w:pPr>
      <w:r>
        <w:rPr>
          <w:rFonts w:ascii="Amiri" w:hAnsi="Amiri" w:eastAsia="Amiri" w:cs="Amiri"/>
          <w:color w:val="111111"/>
          <w:sz w:val="28"/>
          <w:sz w:val="28"/>
          <w:szCs w:val="28"/>
          <w:rtl w:val="true"/>
          <w:lang w:bidi="ar-SA"/>
        </w:rPr>
        <w:t xml:space="preserve">المأخوذ من حضور الموت، أو الملائكة، أو الأئمة عليهم السّلام، و يجب فيه استقبال الميت إلى القبلة، بأن يلقى على ظهره، و يجعل وجهه و باطن رجليه إليها بلا إشكال، للسيرة المرتكزة في أذهان عامة المسلمين، و إلّا ففيما تشبّثوا له من بعض النصوص </w:t>
      </w:r>
      <w:r>
        <w:rPr>
          <w:rStyle w:val="FootnoteAnchor"/>
          <w:rtl w:val="true"/>
        </w:rPr>
        <w:footnoteReference w:id="944"/>
      </w:r>
      <w:r>
        <w:rPr>
          <w:rFonts w:ascii="Amiri" w:hAnsi="Amiri" w:eastAsia="Amiri" w:cs="Amiri"/>
          <w:color w:val="111111"/>
          <w:sz w:val="28"/>
          <w:sz w:val="28"/>
          <w:szCs w:val="28"/>
          <w:rtl w:val="true"/>
          <w:lang w:bidi="ar-SA"/>
        </w:rPr>
        <w:t>المشتملة على إثبات الحكم على عنوان الميت نظر، إلّا بدعوى مجاز المشارفة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قضية ولد عبد المطلب </w:t>
      </w:r>
      <w:r>
        <w:rPr>
          <w:rStyle w:val="FootnoteAnchor"/>
          <w:rtl w:val="true"/>
        </w:rPr>
        <w:footnoteReference w:id="945"/>
      </w:r>
      <w:r>
        <w:rPr>
          <w:rFonts w:ascii="Amiri" w:hAnsi="Amiri" w:eastAsia="Amiri" w:cs="Amiri"/>
          <w:color w:val="111111"/>
          <w:sz w:val="28"/>
          <w:sz w:val="28"/>
          <w:szCs w:val="28"/>
          <w:rtl w:val="true"/>
          <w:lang w:bidi="ar-SA"/>
        </w:rPr>
        <w:t>ظهور في الشمول لحال الاحتضار،</w:t>
      </w:r>
    </w:p>
    <w:p>
      <w:pPr>
        <w:pStyle w:val="BookText"/>
        <w:rPr/>
      </w:pPr>
      <w:r>
        <w:rPr>
          <w:rFonts w:ascii="Amiri" w:hAnsi="Amiri" w:eastAsia="Amiri" w:cs="Amiri"/>
          <w:color w:val="111111"/>
          <w:sz w:val="28"/>
          <w:sz w:val="28"/>
          <w:szCs w:val="28"/>
          <w:rtl w:val="true"/>
          <w:lang w:bidi="ar-SA"/>
        </w:rPr>
        <w:t>و لكن اقترانه ببعض التعليلات يوهن ظهوره في الوجوب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أمكن التشبّث بفهم الأصحاب من أمثال هذه النصوص، فإطلاقها شاملة للصغير و الكبير، و الحر و العبد، و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مثل 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التعليل في بعضها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و للمخالف أيضا نظر، اللهم إلّا أن يثبت إجراء أحكام المسلمين عليهم حتى في مثل هذا الحكم، خصوصا مع كون التعليل بالنسبة إلى بقية المطلقات من قبيل القرائن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اختصاص مثل هذا الحكم أيضا بصورة اذن الولي مثل سائر أحكام الميت نظر، لاختصاص دليل اعتبار اذن الولي بالأحكام الثابتة بعد موته، المنصرفة عن مثل هذا الحكم، فلا أقل من الشك، فتبقى المطلقات باقية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الجهل بالقبلة يجب التبعيض في الاحتياط المنتهي إلى لزوم تحصيل الظن بها مهما أمكن، و إلّا فيتخيّر الولي، جريا على قواعد العلم الإجمالي،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تلقينه الشهادتين، و الإقرار بالنبي و الأئمة عليهم السّلام، و كلمات الفرج، و قراءة القرآن، للنصوص المشتملة على ذلك كله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بالنبي مستدرك بعد الشهادتين، إذ لا معنى لإقراره إلّا الشهادة بنبوته و رسالته، كما أنّ المنصوص من القرآن يس و الصافات </w:t>
      </w:r>
      <w:r>
        <w:rPr>
          <w:rStyle w:val="FootnoteAnchor"/>
          <w:rtl w:val="true"/>
        </w:rPr>
        <w:footnoteReference w:id="948"/>
      </w:r>
      <w:r>
        <w:rPr>
          <w:rFonts w:ascii="Amiri" w:hAnsi="Amiri" w:eastAsia="Amiri" w:cs="Amiri"/>
          <w:color w:val="111111"/>
          <w:sz w:val="28"/>
          <w:sz w:val="28"/>
          <w:szCs w:val="28"/>
          <w:rtl w:val="true"/>
          <w:lang w:bidi="ar-SA"/>
        </w:rPr>
        <w:t>، و ليس نص به على الإطلاق في خصوص المقام و إن أفتى</w:t>
      </w:r>
    </w:p>
    <w:p>
      <w:pPr>
        <w:pStyle w:val="BookText"/>
        <w:rPr/>
      </w:pPr>
      <w:r>
        <w:rPr>
          <w:rFonts w:ascii="Amiri" w:hAnsi="Amiri" w:eastAsia="Amiri" w:cs="Amiri"/>
          <w:color w:val="111111"/>
          <w:sz w:val="28"/>
          <w:sz w:val="28"/>
          <w:szCs w:val="28"/>
          <w:rtl w:val="true"/>
          <w:lang w:bidi="ar-SA"/>
        </w:rPr>
        <w:t xml:space="preserve">به جمع، نعم حكي عن الفقه الرضوي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إثبات الاستحباب الشرعي بمثل ذلك نظر، بل و بكثير من النصوص أيضا يشكل أمر ثبوت الاستحباب بمحض معموليتها لدى الأصحاب، لاحتمال كون مدرك عملهم قاعدة التسامح، و هي لا تفي عندنا لإثبات الاستحباب الشرعي، خصوصا بعد عدم شمول القاعدة للفتوى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يكون الأمر في هذه المقامات إلّا من باب الانقياد، و تحصيل الثواب برجاء الواقع كما لا يخفى، و من هنا ظهر لك الحال في باقي المستحبات الواردة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ثبت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عينيه، و أطباق فمه، و مدّ يديه، و إعلام المؤمنين بتشييع جنازته، للنصوص الواردة في كل واحد </w:t>
      </w:r>
      <w:r>
        <w:rPr>
          <w:rStyle w:val="FootnoteAnchor"/>
          <w:rtl w:val="true"/>
        </w:rPr>
        <w:footnoteReference w:id="950"/>
      </w:r>
      <w:r>
        <w:rPr>
          <w:rFonts w:ascii="Amiri" w:hAnsi="Amiri" w:eastAsia="Amiri" w:cs="Amiri"/>
          <w:color w:val="111111"/>
          <w:sz w:val="28"/>
          <w:sz w:val="28"/>
          <w:szCs w:val="28"/>
          <w:rtl w:val="true"/>
          <w:lang w:bidi="ar-SA"/>
        </w:rPr>
        <w:t xml:space="preserve">، عدا إعلام المؤمنين، حيث انه مستفاد من استحباب إسراعهم إذا دعوا </w:t>
      </w:r>
      <w:r>
        <w:rPr>
          <w:rStyle w:val="FootnoteAnchor"/>
          <w:rtl w:val="true"/>
        </w:rPr>
        <w:footnoteReference w:id="951"/>
      </w:r>
      <w:r>
        <w:rPr>
          <w:rFonts w:ascii="Amiri" w:hAnsi="Amiri" w:eastAsia="Amiri" w:cs="Amiri"/>
          <w:color w:val="111111"/>
          <w:sz w:val="28"/>
          <w:sz w:val="28"/>
          <w:szCs w:val="28"/>
          <w:rtl w:val="true"/>
          <w:lang w:bidi="ar-SA"/>
        </w:rPr>
        <w:t>، و في الاستفادة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الأحكام ثابتة بعد موته، و ليست من أحكام احتضاره و إن اقترنت به، و من ثم جعلت من تبعات أحكامه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أيضا تعجيل أمره إلّا مع الاشتباه، للنصوص الآمرة بالتعجيل </w:t>
      </w:r>
      <w:r>
        <w:rPr>
          <w:rStyle w:val="FootnoteAnchor"/>
          <w:rtl w:val="true"/>
        </w:rPr>
        <w:footnoteReference w:id="952"/>
      </w:r>
      <w:r>
        <w:rPr>
          <w:rFonts w:ascii="Amiri" w:hAnsi="Amiri" w:eastAsia="Amiri" w:cs="Amiri"/>
          <w:color w:val="111111"/>
          <w:sz w:val="28"/>
          <w:sz w:val="28"/>
          <w:szCs w:val="28"/>
          <w:rtl w:val="true"/>
          <w:lang w:bidi="ar-SA"/>
        </w:rPr>
        <w:t>، المحمولة لدى الأصحاب على الاستحباب عند القطع بالموت، و أما مع الاشتباه فتستصحب الحياة، فيرجع في رفع اليد عنها إلى الأمارات، على ما في بعض النسخ، و نسختنا خالية عن هذه</w:t>
      </w:r>
      <w:bookmarkStart w:id="293" w:name="pg19729_212789"/>
    </w:p>
    <w:p>
      <w:pPr>
        <w:pStyle w:val="BookText"/>
        <w:rPr/>
      </w:pPr>
      <w:bookmarkEnd w:id="293"/>
      <w:r>
        <w:rPr>
          <w:rFonts w:ascii="Amiri" w:hAnsi="Amiri" w:eastAsia="Amiri" w:cs="Amiri"/>
          <w:color w:val="111111"/>
          <w:sz w:val="28"/>
          <w:sz w:val="28"/>
          <w:szCs w:val="28"/>
          <w:rtl w:val="true"/>
          <w:lang w:bidi="ar-SA"/>
        </w:rPr>
        <w:t xml:space="preserve">العبارة </w:t>
      </w:r>
      <w:r>
        <w:rPr>
          <w:rStyle w:val="FootnoteAnchor"/>
          <w:rtl w:val="true"/>
        </w:rPr>
        <w:footnoteReference w:id="953"/>
      </w:r>
      <w:r>
        <w:rPr>
          <w:rFonts w:ascii="Amiri" w:hAnsi="Amiri" w:eastAsia="Amiri" w:cs="Amiri"/>
          <w:color w:val="111111"/>
          <w:sz w:val="28"/>
          <w:sz w:val="28"/>
          <w:szCs w:val="28"/>
          <w:rtl w:val="true"/>
          <w:lang w:bidi="ar-SA"/>
        </w:rPr>
        <w:t>، و على فرضه فلا بد أن يراد منها الأمارات المفيدة لليقين، أو شهادة أهل الخبرة بموته، مستندا إلى حدسياتهم القريبة إلى الحس، و إلّا ففيه أيضا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يحضره أي الميت جنب أو حائض، بل و نفساء على المشهور من اشتراكها معهما في الأحكام، و يدل على الأول رواية يونس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قيام تيممهم مقام الغسل في مثل المقام، مبني على كون الحكم من تبعات كونهم محدثين، أو من لوازم واقع الجنابة و الحيض، فإنّ في بدلية التيمم مقام الماء، على الثاني في مثل هذه الآثار نظر، و مع الشك يقتضي الأصل بقاء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يجعل على بطنه حديد، و ليس له مستند عدا الشهرة، و لا بأس به رجاء</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251319_2314609296"/>
      <w:bookmarkStart w:id="295" w:name="_Toc112"/>
      <w:bookmarkEnd w:id="294"/>
      <w:r>
        <w:rPr>
          <w:rtl w:val="true"/>
        </w:rPr>
        <w:t>البحث الثاني في الغسل</w:t>
      </w:r>
      <w:r>
        <w:rPr>
          <w:rtl w:val="true"/>
        </w:rPr>
        <w:t>.</w:t>
      </w:r>
      <w:bookmarkEnd w:id="295"/>
    </w:p>
    <w:p>
      <w:pPr>
        <w:pStyle w:val="Heading6"/>
        <w:numPr>
          <w:ilvl w:val="5"/>
          <w:numId w:val="1"/>
        </w:numPr>
        <w:rPr/>
      </w:pPr>
      <w:bookmarkStart w:id="296" w:name="__RefHeading___Toc3251321_2314609296"/>
      <w:bookmarkStart w:id="297" w:name="_Toc113"/>
      <w:bookmarkEnd w:id="296"/>
      <w:r>
        <w:rPr>
          <w:rtl w:val="true"/>
        </w:rPr>
        <w:t>اشارة</w:t>
      </w:r>
      <w:bookmarkEnd w:id="2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تغسيله بلا اشكال نصا </w:t>
      </w:r>
      <w:r>
        <w:rPr>
          <w:rStyle w:val="FootnoteAnchor"/>
          <w:rtl w:val="true"/>
        </w:rPr>
        <w:footnoteReference w:id="955"/>
      </w:r>
      <w:r>
        <w:rPr>
          <w:rFonts w:ascii="Amiri" w:hAnsi="Amiri" w:eastAsia="Amiri" w:cs="Amiri"/>
          <w:color w:val="111111"/>
          <w:sz w:val="28"/>
          <w:sz w:val="28"/>
          <w:szCs w:val="28"/>
          <w:rtl w:val="true"/>
          <w:lang w:bidi="ar-SA"/>
        </w:rPr>
        <w:t>و فتوى، كما أنّ ظاهر الخطاب في غير واحد من الأخبار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كذا</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بلا استفصال عن كونه وليا أو وارثا، عدم خصوصية لوجوبه على أحد بعينه، بل يكون كفائيا على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دليل الأولوية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بالميراث</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يوجب تقييد مثل هذه الإطلاقات بنحو الإجمال المردد بين تقييد الهيئة أو المادة، و مع الدوران المزبور كانت أصالة الإطلاق في الهيئة محكمة، و لازمة عدم قدرة الناس على العمل بلا اذن من الولي، بل يجب عليه الاقدام أو الاذن الموجب لإقدام الغير، الرافع لوجوبه عليه تعيينا، لا أن الاذن أحد طرفي التخيير في الواجب، فليس لأحد إلزامه بأحد الأمرين، بل غاية الأمر يلزموه بالتغسيل في ظرف عدم الإذن، إلّا أن يأذن، فيسقط عنه الوجوب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اقدامه على العمل أو الاذن، ففي سقوط الاذن عن الشرطية لقاعدة الميسور و الاضطرار، على ما أشرنا إليها سابقا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 أولياء الميت فسيأتي في ذيل كلام المصنف في الصلاة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تغسيله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بماء السدر، و الثانية بماء الكافور إذا لم يكن محرما، و إلّا فلا يقرب منه طيب بلا اشكال نصا </w:t>
      </w:r>
      <w:r>
        <w:rPr>
          <w:rStyle w:val="FootnoteAnchor"/>
          <w:rtl w:val="true"/>
        </w:rPr>
        <w:footnoteReference w:id="958"/>
      </w:r>
      <w:r>
        <w:rPr>
          <w:rFonts w:ascii="Amiri" w:hAnsi="Amiri" w:eastAsia="Amiri" w:cs="Amiri"/>
          <w:color w:val="111111"/>
          <w:sz w:val="28"/>
          <w:sz w:val="28"/>
          <w:szCs w:val="28"/>
          <w:rtl w:val="true"/>
          <w:lang w:bidi="ar-SA"/>
        </w:rPr>
        <w:t xml:space="preserve">و فتوى، كما يظهر من مراجعة كلماتهم في المقام و في باب الإحرام، و الثالثة بماء القراح بلا إشكال في هذه الجهة أيضا نصا </w:t>
      </w:r>
      <w:r>
        <w:rPr>
          <w:rStyle w:val="FootnoteAnchor"/>
          <w:rtl w:val="true"/>
        </w:rPr>
        <w:footnoteReference w:id="959"/>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الترتيب بالنحو المذكور بين الأغسال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رواية معاوية من تقديم الغسل بالقراح على الغسل بالسدر</w:t>
      </w:r>
    </w:p>
    <w:p>
      <w:pPr>
        <w:pStyle w:val="BookText"/>
        <w:rPr/>
      </w:pPr>
      <w:r>
        <w:rPr>
          <w:rFonts w:ascii="Amiri" w:hAnsi="Amiri" w:eastAsia="Amiri" w:cs="Amiri"/>
          <w:color w:val="111111"/>
          <w:sz w:val="28"/>
          <w:sz w:val="28"/>
          <w:szCs w:val="28"/>
          <w:rtl w:val="true"/>
          <w:lang w:bidi="ar-SA"/>
        </w:rPr>
        <w:t xml:space="preserve">و الكافور </w:t>
      </w:r>
      <w:r>
        <w:rPr>
          <w:rStyle w:val="FootnoteAnchor"/>
          <w:rtl w:val="true"/>
        </w:rPr>
        <w:footnoteReference w:id="961"/>
      </w:r>
      <w:r>
        <w:rPr>
          <w:rFonts w:ascii="Amiri" w:hAnsi="Amiri" w:eastAsia="Amiri" w:cs="Amiri"/>
          <w:color w:val="111111"/>
          <w:sz w:val="28"/>
          <w:sz w:val="28"/>
          <w:szCs w:val="28"/>
          <w:rtl w:val="true"/>
          <w:lang w:bidi="ar-SA"/>
        </w:rPr>
        <w:t xml:space="preserve">، و في آخر إطلاق الأمر بثلاث أغسال ثم بجعل شي‌ء من السدر و شي‌ء من الكافور </w:t>
      </w:r>
      <w:r>
        <w:rPr>
          <w:rStyle w:val="FootnoteAnchor"/>
          <w:rtl w:val="true"/>
        </w:rPr>
        <w:footnoteReference w:id="962"/>
      </w:r>
      <w:r>
        <w:rPr>
          <w:rFonts w:ascii="Amiri" w:hAnsi="Amiri" w:eastAsia="Amiri" w:cs="Amiri"/>
          <w:color w:val="111111"/>
          <w:sz w:val="28"/>
          <w:sz w:val="28"/>
          <w:szCs w:val="28"/>
          <w:rtl w:val="true"/>
          <w:lang w:bidi="ar-SA"/>
        </w:rPr>
        <w:t xml:space="preserve">، مطروح، أو مؤوّل بالتغسيل لرفع رغوة السدر مقدمة لغسله في الأول </w:t>
      </w:r>
      <w:r>
        <w:rPr>
          <w:rStyle w:val="FootnoteAnchor"/>
          <w:rtl w:val="true"/>
        </w:rPr>
        <w:footnoteReference w:id="963"/>
      </w:r>
      <w:r>
        <w:rPr>
          <w:rFonts w:ascii="Amiri" w:hAnsi="Amiri" w:eastAsia="Amiri" w:cs="Amiri"/>
          <w:color w:val="111111"/>
          <w:sz w:val="28"/>
          <w:sz w:val="28"/>
          <w:szCs w:val="28"/>
          <w:rtl w:val="true"/>
          <w:lang w:bidi="ar-SA"/>
        </w:rPr>
        <w:t xml:space="preserve">، و منع الإطلاق من تلك الجهة في الثاني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صحيحة ابن مسكان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بماء و سدر</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لزوم حفظ الجهتين </w:t>
      </w:r>
      <w:r>
        <w:rPr>
          <w:rStyle w:val="FootnoteAnchor"/>
          <w:rtl w:val="true"/>
        </w:rPr>
        <w:footnoteReference w:id="966"/>
      </w:r>
      <w:r>
        <w:rPr>
          <w:rFonts w:ascii="Amiri" w:hAnsi="Amiri" w:eastAsia="Amiri" w:cs="Amiri"/>
          <w:color w:val="111111"/>
          <w:sz w:val="28"/>
          <w:sz w:val="28"/>
          <w:szCs w:val="28"/>
          <w:rtl w:val="true"/>
          <w:lang w:bidi="ar-SA"/>
        </w:rPr>
        <w:t>فيه، و يؤيده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سبع ورقات من السدر</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ظاهر في كونه أول مرتبة من صدق مسمّاه، كما أنّ إضافة الماء إلى السدر أيضا لا بد أن تكون ببعض مراتبها غير المنافية للإطلاق المستفاد من الصحيحة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فتوهم بعضهم كفاية التغسيل بالماء الخليط بالسدر و لو كان بمقدار يسلبه الإطلاق،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السدر يجب أن يكون بمقدار يصح اضافة الماء إليه عرفا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السدر، فلو كان قليلا جدا لا يبلغ هذا الحد فلا يكفي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يعتبر في الإضافة المزبورة كونه بنحو يمتزج بالماء بنحو لا يرى أجنبيا عنه، و ما في الخبر المشتمل على سبع ورقات </w:t>
      </w:r>
      <w:r>
        <w:rPr>
          <w:rStyle w:val="FootnoteAnchor"/>
          <w:rtl w:val="true"/>
        </w:rPr>
        <w:footnoteReference w:id="968"/>
      </w:r>
      <w:r>
        <w:rPr>
          <w:rFonts w:ascii="Amiri" w:hAnsi="Amiri" w:eastAsia="Amiri" w:cs="Amiri"/>
          <w:color w:val="111111"/>
          <w:sz w:val="28"/>
          <w:sz w:val="28"/>
          <w:szCs w:val="28"/>
          <w:rtl w:val="true"/>
          <w:lang w:bidi="ar-SA"/>
        </w:rPr>
        <w:t>، ربما يوهم كفاية وقوعه فيه، و لو بنحو غير المزج، بل كان ممتازا عن الماء و أجنبيا</w:t>
      </w:r>
    </w:p>
    <w:p>
      <w:pPr>
        <w:pStyle w:val="BookText"/>
        <w:rPr/>
      </w:pPr>
      <w:r>
        <w:rPr>
          <w:rFonts w:ascii="Amiri" w:hAnsi="Amiri" w:eastAsia="Amiri" w:cs="Amiri"/>
          <w:color w:val="111111"/>
          <w:sz w:val="28"/>
          <w:sz w:val="28"/>
          <w:szCs w:val="28"/>
          <w:rtl w:val="true"/>
          <w:lang w:bidi="ar-SA"/>
        </w:rPr>
        <w:t>عنه، و لكن يمكن حمله على بيان التحديد و الكم، لا لبيان كيفية وقوعه في الماء، و لا أقل من الشك، فيجب تحصيل ما هو المتيقن، بناء على الطهورية،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كيفية غسل الميت في أغساله الثلاثة كغسل الجنابة على ما في النص من التعبير بأنه مثله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ظاهر المماثلة المزبورة تقتضي أن يكون غسل الميت كغسل الجنابة عباديا، يعتبر فيه ما اعتبر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كون الثلاثة صادرة من شخص واحد تردد، إذ المماثلة المزبورة منصرفة عن هذه الجهة، بل الإطلاقات تقتضي خلافها، لو لا دعوى إهمالها من تلك الجهة، فينتهي الأمر إلى أصالة الاشتغال، بناء على الرافعية، لو لا دعوى السيرة على خلافه،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مقتضى مماثلة غسل الميت لغسل الجنابة وحدة كيفيتهما، و لازمة عدم تعيّن الترتيبي بخصوصه، بل لما كان غسل الجنابة ذا نوعين، فطبع المماثلة في المقام يقتضي أن يصح في غسل الميت أيضا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المجعول في حق الجنب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الترتيبي، و أنّ الارتماس بدل عن الترتيب و مسقطا له، فإذا لم يكن لدليل البدلية إطلاق يشمل الأموات، فطبع المماثلة في المقام أيضا لا يقتضي أزيد من المماثلة بحسب الجعل الأولي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كل غسل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970"/>
      </w:r>
      <w:bookmarkStart w:id="298" w:name="pg19729_212793"/>
    </w:p>
    <w:p>
      <w:pPr>
        <w:pStyle w:val="BookText"/>
        <w:rPr/>
      </w:pPr>
      <w:bookmarkEnd w:id="298"/>
      <w:r>
        <w:rPr>
          <w:rFonts w:ascii="Amiri" w:hAnsi="Amiri" w:eastAsia="Amiri" w:cs="Amiri"/>
          <w:color w:val="111111"/>
          <w:sz w:val="28"/>
          <w:sz w:val="28"/>
          <w:szCs w:val="28"/>
          <w:rtl w:val="true"/>
          <w:lang w:bidi="ar-SA"/>
        </w:rPr>
        <w:t xml:space="preserve">ثبوت الوضوء في المقام، و يؤيده أيضا بعض النصوص المشتملة على الوضوء أمام الغسل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ظاهر خلو جملة من الأخبار عن ذلك، مع كونها في مقام بيان الوظيفة الفعلية، خصوصا مثل خبر ابن يقطين المشتمل على تعرض السائل للوضوء </w:t>
      </w:r>
      <w:r>
        <w:rPr>
          <w:rStyle w:val="FootnoteAnchor"/>
          <w:rtl w:val="true"/>
        </w:rPr>
        <w:footnoteReference w:id="972"/>
      </w:r>
      <w:r>
        <w:rPr>
          <w:rFonts w:ascii="Amiri" w:hAnsi="Amiri" w:eastAsia="Amiri" w:cs="Amiri"/>
          <w:color w:val="111111"/>
          <w:sz w:val="28"/>
          <w:sz w:val="28"/>
          <w:szCs w:val="28"/>
          <w:rtl w:val="true"/>
          <w:lang w:bidi="ar-SA"/>
        </w:rPr>
        <w:t>، يكشف عن عدم وجوبه، فيخصص العموم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احتمال كون هذا الغسل أيضا غسل الجنابة، كما يستفاد من مضامين بعض الروايات </w:t>
      </w:r>
      <w:r>
        <w:rPr>
          <w:rStyle w:val="FootnoteAnchor"/>
          <w:rtl w:val="true"/>
        </w:rPr>
        <w:footnoteReference w:id="973"/>
      </w:r>
      <w:r>
        <w:rPr>
          <w:rFonts w:ascii="Amiri" w:hAnsi="Amiri" w:eastAsia="Amiri" w:cs="Amiri"/>
          <w:color w:val="111111"/>
          <w:sz w:val="28"/>
          <w:sz w:val="28"/>
          <w:szCs w:val="28"/>
          <w:rtl w:val="true"/>
          <w:lang w:bidi="ar-SA"/>
        </w:rPr>
        <w:t xml:space="preserve">، و من ثم حملت النصوص الخاصة </w:t>
      </w:r>
      <w:r>
        <w:rPr>
          <w:rStyle w:val="FootnoteAnchor"/>
          <w:rtl w:val="true"/>
        </w:rPr>
        <w:footnoteReference w:id="974"/>
      </w: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pStyle w:val="Heading6"/>
        <w:numPr>
          <w:ilvl w:val="5"/>
          <w:numId w:val="1"/>
        </w:numPr>
        <w:rPr/>
      </w:pPr>
      <w:bookmarkStart w:id="299" w:name="__RefHeading___Toc3251323_2314609296"/>
      <w:bookmarkStart w:id="300" w:name="_Toc114"/>
      <w:bookmarkEnd w:id="299"/>
      <w:r>
        <w:rPr>
          <w:rtl w:val="true"/>
        </w:rPr>
        <w:t>فروع</w:t>
      </w:r>
      <w:bookmarkEnd w:id="300"/>
    </w:p>
    <w:p>
      <w:pPr>
        <w:pStyle w:val="Heading6"/>
        <w:numPr>
          <w:ilvl w:val="5"/>
          <w:numId w:val="1"/>
        </w:numPr>
        <w:rPr/>
      </w:pPr>
      <w:bookmarkStart w:id="301" w:name="__RefHeading___Toc3251325_2314609296"/>
      <w:bookmarkStart w:id="302" w:name="_Toc115"/>
      <w:bookmarkEnd w:id="301"/>
      <w:r>
        <w:rPr>
          <w:rtl w:val="true"/>
        </w:rPr>
        <w:t>الأول</w:t>
      </w:r>
      <w:r>
        <w:rPr>
          <w:rtl w:val="true"/>
        </w:rPr>
        <w:t xml:space="preserve">: </w:t>
      </w:r>
      <w:r>
        <w:rPr>
          <w:rtl w:val="true"/>
        </w:rPr>
        <w:t>لو تعذّر الماء إلّا لغسلين، فعلى احتمال أن يكون الأمر بالقراحية لمحض دفع توهم الحصر، فلا اشكال،</w:t>
      </w:r>
      <w:bookmarkEnd w:id="302"/>
    </w:p>
    <w:p>
      <w:pPr>
        <w:pStyle w:val="BookText"/>
        <w:rPr/>
      </w:pPr>
      <w:r>
        <w:rPr>
          <w:rFonts w:ascii="Amiri" w:hAnsi="Amiri" w:eastAsia="Amiri" w:cs="Amiri"/>
          <w:color w:val="111111"/>
          <w:sz w:val="28"/>
          <w:sz w:val="28"/>
          <w:szCs w:val="28"/>
          <w:rtl w:val="true"/>
          <w:lang w:bidi="ar-SA"/>
        </w:rPr>
        <w:t>و إلّا ففي سقوطه إشكال، لأنّ القراحية و الخليطية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جهتان متباينتان عرفا، فإذا لم يتمكن المكلف من إحداهما لا بعينها سقطت كذلك، فلا وجه لتعيين جهة القراحية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متفاهم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الوجدان و الفقدان، و الواجد للخصوصية ميسور عرفا، فلا وجه لسقوطه، و للتأمل فيه مجال</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251327_2314609296"/>
      <w:bookmarkStart w:id="304" w:name="_Toc116"/>
      <w:bookmarkEnd w:id="303"/>
      <w:r>
        <w:rPr>
          <w:rtl w:val="true"/>
        </w:rPr>
        <w:t>الثاني</w:t>
      </w:r>
      <w:r>
        <w:rPr>
          <w:rtl w:val="true"/>
        </w:rPr>
        <w:t xml:space="preserve">: </w:t>
      </w:r>
      <w:r>
        <w:rPr>
          <w:rtl w:val="true"/>
        </w:rPr>
        <w:t>لو دار الأمر في سقوط أحد الخليطين،</w:t>
      </w:r>
      <w:bookmarkEnd w:id="3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مجرد أسبقية</w:t>
      </w:r>
      <w:bookmarkStart w:id="305" w:name="pg19729_212794"/>
    </w:p>
    <w:p>
      <w:pPr>
        <w:pStyle w:val="BookText"/>
        <w:rPr/>
      </w:pPr>
      <w:bookmarkEnd w:id="305"/>
      <w:r>
        <w:rPr>
          <w:rFonts w:ascii="Amiri" w:hAnsi="Amiri" w:eastAsia="Amiri" w:cs="Amiri"/>
          <w:color w:val="111111"/>
          <w:sz w:val="28"/>
          <w:sz w:val="28"/>
          <w:szCs w:val="28"/>
          <w:rtl w:val="true"/>
          <w:lang w:bidi="ar-SA"/>
        </w:rPr>
        <w:t>أحدهما مرجحا، فلذلك يكون مخيّرا بينهما، و إن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احتمل تعين اللاحق للسقوط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اللاحق، كما لا يخفى</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251329_2314609296"/>
      <w:bookmarkStart w:id="307" w:name="_Toc117"/>
      <w:bookmarkEnd w:id="306"/>
      <w:r>
        <w:rPr>
          <w:rtl w:val="true"/>
        </w:rPr>
        <w:t>الثالث</w:t>
      </w:r>
      <w:r>
        <w:rPr>
          <w:rtl w:val="true"/>
        </w:rPr>
        <w:t xml:space="preserve">: </w:t>
      </w:r>
      <w:r>
        <w:rPr>
          <w:rtl w:val="true"/>
        </w:rPr>
        <w:t>إذ تعذّر أحد الأغسال الثلاثة، ففي قيام التيمم مقامه وجه</w:t>
      </w:r>
      <w:bookmarkEnd w:id="307"/>
    </w:p>
    <w:p>
      <w:pPr>
        <w:pStyle w:val="BookText"/>
        <w:rPr/>
      </w:pPr>
      <w:r>
        <w:rPr>
          <w:rFonts w:ascii="Amiri" w:hAnsi="Amiri" w:eastAsia="Amiri" w:cs="Amiri"/>
          <w:color w:val="111111"/>
          <w:sz w:val="28"/>
          <w:sz w:val="28"/>
          <w:szCs w:val="28"/>
          <w:rtl w:val="true"/>
          <w:lang w:bidi="ar-SA"/>
        </w:rPr>
        <w:t>و إن لم نقل به في غير المقام، مما كانت قاعدة الميسورة فيه حاكمة على عدم وجدان الماء، إذ من الممكن هنا دعوى أنّ الغسل الفائت طهور مستقل يجب تحصيل بدله، بخلاف فوت بعض الأجزاء أو الشرائط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تعذّر غسل جميع الذراع في الوضوء لقطع أو لمانع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الفائت لا يكون طهورا بنفسه ليصدق في حقه عدم وجدان الماء، بل الطهور في حقه هو الوضوء أو الغسل الفاقد للجزء أو الشرط، فهو واجد للطهور المائي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خلاف ما نحن فيه، الذي يكون الفائت طهورا بنفسه، فيصدق بحقه عدم وجدان الطهورية المائية، و عليه فيتعيّن حينئذ بدل كل غسل تيمم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السقوط، أو قيام تيمم واحد مقام جميع ما تعذر من الأغسال، فضعيف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طهورية التيمم أيضا ينتهي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الاشتغال، نعم على المبيحية يرجع إلى البراءة، لكون المقام من الأقل و الأكثر، فتدبّر</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3251331_2314609296"/>
      <w:bookmarkStart w:id="309" w:name="_Toc118"/>
      <w:bookmarkEnd w:id="308"/>
      <w:r>
        <w:rPr>
          <w:rtl w:val="true"/>
        </w:rPr>
        <w:t>الرابع</w:t>
      </w:r>
      <w:r>
        <w:rPr>
          <w:rtl w:val="true"/>
        </w:rPr>
        <w:t xml:space="preserve">: </w:t>
      </w:r>
      <w:r>
        <w:rPr>
          <w:rtl w:val="true"/>
        </w:rPr>
        <w:t>لو تعذّر الخليطان أو اضطر إلى تركهما، فالواجب حينئذ هو الغسل بماء القراح ثلاثا،</w:t>
      </w:r>
      <w:bookmarkEnd w:id="309"/>
    </w:p>
    <w:p>
      <w:pPr>
        <w:pStyle w:val="BookText"/>
        <w:rPr/>
      </w:pPr>
      <w:r>
        <w:rPr>
          <w:rFonts w:ascii="Amiri" w:hAnsi="Amiri" w:eastAsia="Amiri" w:cs="Amiri"/>
          <w:color w:val="111111"/>
          <w:sz w:val="28"/>
          <w:sz w:val="28"/>
          <w:szCs w:val="28"/>
          <w:rtl w:val="true"/>
          <w:lang w:bidi="ar-SA"/>
        </w:rPr>
        <w:t>لقاعدة الميسور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مجال حينئذ لتوهم قيام التيمم و كفايته عن الأغسال، لأنه بدل الماء لا بدل الخليط</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251333_2314609296"/>
      <w:bookmarkStart w:id="311" w:name="_Toc119"/>
      <w:bookmarkEnd w:id="310"/>
      <w:r>
        <w:rPr>
          <w:rtl w:val="true"/>
        </w:rPr>
        <w:t>الخامس</w:t>
      </w:r>
      <w:r>
        <w:rPr>
          <w:rtl w:val="true"/>
        </w:rPr>
        <w:t xml:space="preserve">: </w:t>
      </w:r>
      <w:r>
        <w:rPr>
          <w:rtl w:val="true"/>
        </w:rPr>
        <w:t>لو غسل الميت بالأغسال الاضطرارية</w:t>
      </w:r>
      <w:bookmarkEnd w:id="3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تمكنت الاختيارية</w:t>
      </w:r>
    </w:p>
    <w:p>
      <w:pPr>
        <w:pStyle w:val="BookText"/>
        <w:rPr/>
      </w:pPr>
      <w:r>
        <w:rPr>
          <w:rFonts w:ascii="Amiri" w:hAnsi="Amiri" w:eastAsia="Amiri" w:cs="Amiri"/>
          <w:color w:val="111111"/>
          <w:sz w:val="28"/>
          <w:sz w:val="28"/>
          <w:szCs w:val="28"/>
          <w:rtl w:val="true"/>
          <w:lang w:bidi="ar-SA"/>
        </w:rPr>
        <w:t>قبل الدفن، فالظاهر عدم الاجزاء، بل إطلاق الدليل يقتضي وجوب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تمكنت بعد الدفن لا يجدي شيئا، على تقدير حرمة النبش،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من القبر ففي عود الوجوب بعود التمكن وجه،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من القبر ففي عود الوجوب بعود التمكن وجه، للإطلاقات، بل للاستصحاب التعليقي أو التنجيزي الثابت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الذي لم يدفن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لا معارضة الثاني </w:t>
      </w:r>
      <w:r>
        <w:rPr>
          <w:rStyle w:val="FootnoteAnchor"/>
          <w:rtl w:val="true"/>
        </w:rPr>
        <w:footnoteReference w:id="975"/>
      </w:r>
      <w:r>
        <w:rPr>
          <w:rFonts w:ascii="IRNazanin" w:hAnsi="IRNazanin" w:eastAsia="IRNazanin"/>
          <w:color w:val="111111"/>
          <w:sz w:val="28"/>
          <w:sz w:val="28"/>
          <w:szCs w:val="28"/>
          <w:rtl w:val="true"/>
          <w:lang w:bidi="fa-IR"/>
        </w:rPr>
        <w:t xml:space="preserve">باستصحاب سقوطه </w:t>
      </w:r>
      <w:r>
        <w:rPr>
          <w:rStyle w:val="FootnoteAnchor"/>
          <w:rtl w:val="true"/>
        </w:rPr>
        <w:footnoteReference w:id="976"/>
      </w:r>
      <w:r>
        <w:rPr>
          <w:rFonts w:ascii="Amiri" w:hAnsi="Amiri" w:eastAsia="Amiri" w:cs="Amiri"/>
          <w:color w:val="111111"/>
          <w:sz w:val="28"/>
          <w:sz w:val="28"/>
          <w:szCs w:val="28"/>
          <w:rtl w:val="true"/>
          <w:lang w:bidi="ar-SA"/>
        </w:rPr>
        <w:t xml:space="preserve">إلّا بدعوى محكومية الثاني </w:t>
      </w:r>
      <w:r>
        <w:rPr>
          <w:rStyle w:val="FootnoteAnchor"/>
          <w:rtl w:val="true"/>
        </w:rPr>
        <w:footnoteReference w:id="977"/>
      </w:r>
      <w:r>
        <w:rPr>
          <w:rFonts w:ascii="IRNazanin" w:hAnsi="IRNazanin" w:eastAsia="IRNazanin"/>
          <w:color w:val="111111"/>
          <w:sz w:val="28"/>
          <w:sz w:val="28"/>
          <w:szCs w:val="28"/>
          <w:rtl w:val="true"/>
          <w:lang w:bidi="fa-IR"/>
        </w:rPr>
        <w:t>بالأول،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خيف تناثر لحمه أو جلده تيمّم ثلاث مرات، حسب ما قلنا من اقتضاء كل طهور و غسل تيمما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خبر زيد المشتمل على الأمر بتيمم المجدور </w:t>
      </w:r>
      <w:r>
        <w:rPr>
          <w:rStyle w:val="FootnoteAnchor"/>
          <w:rtl w:val="true"/>
        </w:rPr>
        <w:footnoteReference w:id="978"/>
      </w:r>
      <w:r>
        <w:rPr>
          <w:rFonts w:ascii="Amiri" w:hAnsi="Amiri" w:eastAsia="Amiri" w:cs="Amiri"/>
          <w:color w:val="111111"/>
          <w:sz w:val="28"/>
          <w:sz w:val="28"/>
          <w:szCs w:val="28"/>
          <w:rtl w:val="true"/>
          <w:lang w:bidi="ar-SA"/>
        </w:rPr>
        <w:t>، لا إطلاق فيه من تلك الجهة كي يتمسك بإطلاقه، لكفاية تيمم واحد بدل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ما في بعض الأخبار من الحكم بسقوط التيمم عن الميت بسبب فقد الماء </w:t>
      </w:r>
      <w:r>
        <w:rPr>
          <w:rStyle w:val="FootnoteAnchor"/>
          <w:rtl w:val="true"/>
        </w:rPr>
        <w:footnoteReference w:id="979"/>
      </w:r>
      <w:r>
        <w:rPr>
          <w:rFonts w:ascii="Amiri" w:hAnsi="Amiri" w:eastAsia="Amiri" w:cs="Amiri"/>
          <w:color w:val="111111"/>
          <w:sz w:val="28"/>
          <w:sz w:val="28"/>
          <w:szCs w:val="28"/>
          <w:rtl w:val="true"/>
          <w:lang w:bidi="ar-SA"/>
        </w:rPr>
        <w:t xml:space="preserve">و لو لاحتياج غيره إلى غسل الجنابة، مطروح و لو لاختلال متنه، إذ في نسخة اخرى الأمر بتيمم الميت </w:t>
      </w:r>
      <w:r>
        <w:rPr>
          <w:rStyle w:val="FootnoteAnchor"/>
          <w:rtl w:val="true"/>
        </w:rPr>
        <w:footnoteReference w:id="980"/>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المعروف ضرب يدي المباشر في تيمم الميت،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p>
    <w:p>
      <w:pPr>
        <w:pStyle w:val="BookText"/>
        <w:rPr/>
      </w:pP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يدي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هو المشهور إجماعا فهو، و إلّا فالاحتياط يقضي بالجمع بينهما، لعدم الاعتماد على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خرجت منه نجاسة وجب إزالتها، سواء خرجت بعد الغسل أم قبله، و هو الظاهر من الأمر في خبر روح بن عبد الرحيم </w:t>
      </w:r>
      <w:r>
        <w:rPr>
          <w:rStyle w:val="FootnoteAnchor"/>
          <w:rtl w:val="true"/>
        </w:rPr>
        <w:footnoteReference w:id="981"/>
      </w:r>
      <w:r>
        <w:rPr>
          <w:rFonts w:ascii="Amiri" w:hAnsi="Amiri" w:eastAsia="Amiri" w:cs="Amiri"/>
          <w:color w:val="111111"/>
          <w:sz w:val="28"/>
          <w:sz w:val="28"/>
          <w:szCs w:val="28"/>
          <w:rtl w:val="true"/>
          <w:lang w:bidi="ar-SA"/>
        </w:rPr>
        <w:t xml:space="preserve">و غيره، و اختصاص مورد السؤال بخروجها بعد الغسل لا يوجب تخصيص ظاهر سوقه في وجوب إزالة النجاسة، نعم صريح النص عدم مانعية النجاسة اللاحقة للغسل حيث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يعاد الغسل</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التعدي إلى النجاسة السابقة و عدم مانعيتها، و لو في فرض عدم تنجس ماء الغسل نظر، إذ الظاهر من الأمر بالغسل في المقام، مثل الأمر به في سائر المقامات، كون الغسل واردا على محل خال عن النجاسة العرضية، و ربما يوهمه أيضا قضية مماثلته مع غسل الجنابة، و إن كان في دلالة أمثال هذه الوجوه، خصوصا مع كون غسله واردا على النجاسة لا محالة،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الشامل للخروج بعد الكفن المستلزم لتلوث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جواز الاكتفاء بإزالة النجاسة عن كفنه، بلا احتياج إلى تغيير كفنه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رواية الكاهلي </w:t>
      </w:r>
      <w:r>
        <w:rPr>
          <w:rStyle w:val="FootnoteAnchor"/>
          <w:rtl w:val="true"/>
        </w:rPr>
        <w:footnoteReference w:id="983"/>
      </w:r>
      <w:r>
        <w:rPr>
          <w:rFonts w:ascii="Amiri" w:hAnsi="Amiri" w:eastAsia="Amiri" w:cs="Amiri"/>
          <w:color w:val="111111"/>
          <w:sz w:val="28"/>
          <w:sz w:val="28"/>
          <w:szCs w:val="28"/>
          <w:rtl w:val="true"/>
          <w:lang w:bidi="ar-SA"/>
        </w:rPr>
        <w:t>و غيرها المشتملة على الأمر بقرض الكفن، و ظاهره و إن كان يوهم تعيين كيفية الإزالة به و لكن يمكن حمله على</w:t>
      </w:r>
    </w:p>
    <w:p>
      <w:pPr>
        <w:pStyle w:val="BookText"/>
        <w:rPr/>
      </w:pPr>
      <w:r>
        <w:rPr>
          <w:rFonts w:ascii="Amiri" w:hAnsi="Amiri" w:eastAsia="Amiri" w:cs="Amiri"/>
          <w:color w:val="111111"/>
          <w:sz w:val="28"/>
          <w:sz w:val="28"/>
          <w:szCs w:val="28"/>
          <w:rtl w:val="true"/>
          <w:lang w:bidi="ar-SA"/>
        </w:rPr>
        <w:t>الغالب، من عدم إمكان غسله بلا تلويث بدنه و لو بماء الغسالة النجسة، كما أنه لا بد أن يحمل على صورة عدم اقتضاء قرضه كشف مقدار معتد به من بدنه، خصوصا إذا كان ذلك أحد عورتيه، فإنه حينئذ يمكن دعوى تقديم الغسل و تعيينه، بضميمة غسل بدنه الملوث بغسالته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مع عدم اقتضاء غسل الكفن تلويث البدن أمكن دعوى التخيير بين الغسل المستفاد من فحوى الإطلاق الآمر بإزالة النجاسة عن البدن و الكفن عرفا </w:t>
      </w:r>
      <w:r>
        <w:rPr>
          <w:rStyle w:val="FootnoteAnchor"/>
          <w:rtl w:val="true"/>
        </w:rPr>
        <w:footnoteReference w:id="984"/>
      </w:r>
      <w:r>
        <w:rPr>
          <w:rFonts w:ascii="Amiri" w:hAnsi="Amiri" w:eastAsia="Amiri" w:cs="Amiri"/>
          <w:color w:val="111111"/>
          <w:sz w:val="28"/>
          <w:sz w:val="28"/>
          <w:szCs w:val="28"/>
          <w:rtl w:val="true"/>
          <w:lang w:bidi="ar-SA"/>
        </w:rPr>
        <w:t xml:space="preserve">، و القرض المستفاد من رواية الكاهلي المتقدمة </w:t>
      </w:r>
      <w:r>
        <w:rPr>
          <w:rStyle w:val="FootnoteAnchor"/>
          <w:rtl w:val="true"/>
        </w:rPr>
        <w:footnoteReference w:id="985"/>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مقتضى إطلاق الخبر الشامل لخروج كل نجاسة، شمول الحكم لكل نجاسة، سواء كانت حدثا أم غيره، أكبر أم غيره، و لازم الاكتفاء بغسله حينئذ الاجتزاء بهذا الغسل عن موجبات سائر الأحداث، و في شمول الروايات لصورة عروضها حال الغسل نظر، لإمكان كونها كالحدث الأصغر غير رافع لأثر الغسل، و لكن كان دافعا 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يفرّق بينهما بأن الوضوء رافع لمرتبة منه، فرفع مثله لجميع المراتب محتمل بخلاف سائر الأحداث، إذ قضية اقتضاء إطلاق كل حدث غسلا و اختلاف حقيقة الأحداث، عدم ارتباط بعضها ببعض، فلا يصلح شي‌ء منها لرافعية غيرها، غاية الأمر بحدوث كل سبب يجب غسله، لا أنه يفسد غسل غيره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صورة حدوثها في أثناء غسل آخر، فإنه لا يفسد هذا الغسل أيضا بالفحوى، فإذا فرض حينئذ ورود الأمر بالاكتفاء بهذا الغسل في الحدث المتجدد بعده، فيمكن</w:t>
      </w:r>
      <w:bookmarkStart w:id="312" w:name="pg19729_212798"/>
    </w:p>
    <w:p>
      <w:pPr>
        <w:pStyle w:val="BookText"/>
        <w:rPr/>
      </w:pPr>
      <w:bookmarkEnd w:id="312"/>
      <w:r>
        <w:rPr>
          <w:rFonts w:ascii="Amiri" w:hAnsi="Amiri" w:eastAsia="Amiri" w:cs="Amiri"/>
          <w:color w:val="111111"/>
          <w:sz w:val="28"/>
          <w:sz w:val="28"/>
          <w:szCs w:val="28"/>
          <w:rtl w:val="true"/>
          <w:lang w:bidi="ar-SA"/>
        </w:rPr>
        <w:t>التعدي منه إلى الطارئ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يقتضي المصير إلى عدم التعدّي، لأن الاكتفاء المزبور بلا قصد حصوله به خلاف القاعدة، فيقتصر حينئذ على مورد النص من صدور الحدث بعده لا حين الغسل، و حينئذ ففي التعدّي المزبور كمال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منه التعدّي عن غسل الميت في هذا الحكم إلى غسل المرجوم المنزّل منزلة غسل الميت </w:t>
      </w:r>
      <w:r>
        <w:rPr>
          <w:rStyle w:val="FootnoteAnchor"/>
          <w:rtl w:val="true"/>
        </w:rPr>
        <w:footnoteReference w:id="986"/>
      </w:r>
      <w:r>
        <w:rPr>
          <w:rFonts w:ascii="Amiri" w:hAnsi="Amiri" w:eastAsia="Amiri" w:cs="Amiri"/>
          <w:color w:val="111111"/>
          <w:sz w:val="28"/>
          <w:sz w:val="28"/>
          <w:szCs w:val="28"/>
          <w:rtl w:val="true"/>
          <w:lang w:bidi="ar-SA"/>
        </w:rPr>
        <w:t>، و كونه مسقطا عنه بعد قتله، نظرا إلى عموم المنزلة حتى من تلك الجهة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251335_2314609296"/>
      <w:bookmarkStart w:id="314" w:name="_Toc120"/>
      <w:bookmarkEnd w:id="313"/>
      <w:r>
        <w:rPr>
          <w:rtl w:val="true"/>
        </w:rPr>
        <w:t>مسائل</w:t>
      </w:r>
      <w:r>
        <w:rPr>
          <w:rtl w:val="true"/>
        </w:rPr>
        <w:t>:</w:t>
      </w:r>
      <w:bookmarkEnd w:id="314"/>
    </w:p>
    <w:p>
      <w:pPr>
        <w:pStyle w:val="Heading6"/>
        <w:numPr>
          <w:ilvl w:val="5"/>
          <w:numId w:val="1"/>
        </w:numPr>
        <w:rPr/>
      </w:pPr>
      <w:bookmarkStart w:id="315" w:name="__RefHeading___Toc3251337_2314609296"/>
      <w:bookmarkStart w:id="316" w:name="_Toc121"/>
      <w:bookmarkEnd w:id="315"/>
      <w:r>
        <w:rPr>
          <w:rtl w:val="true"/>
        </w:rPr>
        <w:t>إحداها</w:t>
      </w:r>
      <w:r>
        <w:rPr>
          <w:rtl w:val="true"/>
        </w:rPr>
        <w:t xml:space="preserve">: </w:t>
      </w:r>
      <w:r>
        <w:rPr>
          <w:rtl w:val="true"/>
        </w:rPr>
        <w:t>انه لا إشكال في لزوم المماثلة بين الغاسل و المغسول في الرجولية و الأنوثية،</w:t>
      </w:r>
      <w:bookmarkEnd w:id="316"/>
    </w:p>
    <w:p>
      <w:pPr>
        <w:pStyle w:val="BookText"/>
        <w:rPr/>
      </w:pPr>
      <w:r>
        <w:rPr>
          <w:rFonts w:ascii="Amiri" w:hAnsi="Amiri" w:eastAsia="Amiri" w:cs="Amiri"/>
          <w:color w:val="111111"/>
          <w:sz w:val="28"/>
          <w:sz w:val="28"/>
          <w:szCs w:val="28"/>
          <w:rtl w:val="true"/>
          <w:lang w:bidi="ar-SA"/>
        </w:rPr>
        <w:t>عدا موارد مستثنيات نشير إليها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الأخبار المستفيضة الحاكمة بالدفن بلا غسل مع فقد المماثل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غالب مواردها مما يتمكن من الغسل من وراء الثياب، فيستفاد منها عدم وجوب ذلك و سقوطه حينئذ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 النصوص من وجوب الغسل من وراء الثياب </w:t>
      </w:r>
      <w:r>
        <w:rPr>
          <w:rStyle w:val="FootnoteAnchor"/>
          <w:rtl w:val="true"/>
        </w:rPr>
        <w:footnoteReference w:id="988"/>
      </w:r>
      <w:r>
        <w:rPr>
          <w:rFonts w:ascii="Amiri" w:hAnsi="Amiri" w:eastAsia="Amiri" w:cs="Amiri"/>
          <w:color w:val="111111"/>
          <w:sz w:val="28"/>
          <w:sz w:val="28"/>
          <w:szCs w:val="28"/>
          <w:rtl w:val="true"/>
          <w:lang w:bidi="ar-SA"/>
        </w:rPr>
        <w:t>، مطروح أو محمول على الاستحباب، لو لا دعوى عدم الفصل بين السقوط و الوجوب، و لا بأس به رجاء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استثنى الأصحاب من هذه الكلية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و الصبية إلى أن يبلغوا ثلاث سنين، و نص الحارث وارد في الصبي </w:t>
      </w:r>
      <w:r>
        <w:rPr>
          <w:rStyle w:val="FootnoteAnchor"/>
          <w:rtl w:val="true"/>
        </w:rPr>
        <w:footnoteReference w:id="989"/>
      </w:r>
      <w:r>
        <w:rPr>
          <w:rFonts w:ascii="Amiri" w:hAnsi="Amiri" w:eastAsia="Amiri" w:cs="Amiri"/>
          <w:color w:val="111111"/>
          <w:sz w:val="28"/>
          <w:sz w:val="28"/>
          <w:szCs w:val="28"/>
          <w:rtl w:val="true"/>
          <w:lang w:bidi="ar-SA"/>
        </w:rPr>
        <w:t xml:space="preserve">، أما في الصبية فمرسلة مشتملة على الجواز في الأقل من خمسة </w:t>
      </w:r>
      <w:r>
        <w:rPr>
          <w:rStyle w:val="FootnoteAnchor"/>
          <w:rtl w:val="true"/>
        </w:rPr>
        <w:footnoteReference w:id="990"/>
      </w:r>
      <w:r>
        <w:rPr>
          <w:rFonts w:ascii="Amiri" w:hAnsi="Amiri" w:eastAsia="Amiri" w:cs="Amiri"/>
          <w:color w:val="111111"/>
          <w:sz w:val="28"/>
          <w:sz w:val="28"/>
          <w:szCs w:val="28"/>
          <w:rtl w:val="true"/>
          <w:lang w:bidi="ar-SA"/>
        </w:rPr>
        <w:t>، فإن قام إجماع على المسألة فيكشف عن تقييد المرسلة بالثلاثة، و إلّا فللنظر في إلحاق الصبية بالصبي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السيرة الجزمية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لدعوى انصراف إطلاقات اعتبار المماثلة عن مثل هذا المورد، و ذلك لأنّ الحكم فيما نحن فيه غير مبتن على ملاحظة الاستقباحات العرفية، كي تنتفي بشأن الأطفال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يقاس المقام بباب حرمة النظر إلى العورة، المبتنية على الاستقباح العرفي، و لذلك كانت منصرفة عن مثل عورة الصغار جزما،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المحارم بلا اشكال نصا </w:t>
      </w:r>
      <w:r>
        <w:rPr>
          <w:rStyle w:val="FootnoteAnchor"/>
          <w:rtl w:val="true"/>
        </w:rPr>
        <w:footnoteReference w:id="991"/>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يقع الإشكال في شمول نصوص الجواز لصورة وجود المماثل </w:t>
      </w:r>
      <w:r>
        <w:rPr>
          <w:rStyle w:val="FootnoteAnchor"/>
          <w:rtl w:val="true"/>
        </w:rPr>
        <w:footnoteReference w:id="992"/>
      </w:r>
      <w:r>
        <w:rPr>
          <w:rFonts w:ascii="Amiri" w:hAnsi="Amiri" w:eastAsia="Amiri" w:cs="Amiri"/>
          <w:color w:val="111111"/>
          <w:sz w:val="28"/>
          <w:sz w:val="28"/>
          <w:szCs w:val="28"/>
          <w:rtl w:val="true"/>
          <w:lang w:bidi="ar-SA"/>
        </w:rPr>
        <w:t xml:space="preserve">، فتبقى صورة وجود المماثل تحت الكلية المزبورة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قيام الرضاع مقام النسب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تعدّي الأصحاب إلى غير باب التزويج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الإطلاق جواز الغسل بأي وجه كان، بلا لزوم كونه من وراء ثياب، غاية الأمر يجب ستر عورته، لاستصحاب حرمة النظر في حال</w:t>
      </w:r>
    </w:p>
    <w:p>
      <w:pPr>
        <w:pStyle w:val="BookText"/>
        <w:rPr/>
      </w:pPr>
      <w:r>
        <w:rPr>
          <w:rFonts w:ascii="Amiri" w:hAnsi="Amiri" w:eastAsia="Amiri" w:cs="Amiri"/>
          <w:color w:val="111111"/>
          <w:sz w:val="28"/>
          <w:sz w:val="28"/>
          <w:szCs w:val="28"/>
          <w:rtl w:val="true"/>
          <w:lang w:bidi="ar-SA"/>
        </w:rPr>
        <w:t xml:space="preserve">الحياة، بل و في صحيحة حماد التصريح بالغسل مع ستر خصوص عورته </w:t>
      </w:r>
      <w:r>
        <w:rPr>
          <w:rStyle w:val="FootnoteAnchor"/>
          <w:rtl w:val="true"/>
        </w:rPr>
        <w:footnoteReference w:id="994"/>
      </w:r>
      <w:r>
        <w:rPr>
          <w:rFonts w:ascii="Amiri" w:hAnsi="Amiri" w:eastAsia="Amiri" w:cs="Amiri"/>
          <w:color w:val="111111"/>
          <w:sz w:val="28"/>
          <w:sz w:val="28"/>
          <w:szCs w:val="28"/>
          <w:rtl w:val="true"/>
          <w:lang w:bidi="ar-SA"/>
        </w:rPr>
        <w:t xml:space="preserve">، فما في بعض النصوص من غسله من وراء الثياب </w:t>
      </w:r>
      <w:r>
        <w:rPr>
          <w:rStyle w:val="FootnoteAnchor"/>
          <w:rtl w:val="true"/>
        </w:rPr>
        <w:footnoteReference w:id="995"/>
      </w:r>
      <w:r>
        <w:rPr>
          <w:rFonts w:ascii="IRNazanin" w:hAnsi="IRNazanin" w:eastAsia="IRNazanin"/>
          <w:color w:val="111111"/>
          <w:sz w:val="28"/>
          <w:sz w:val="28"/>
          <w:szCs w:val="28"/>
          <w:rtl w:val="true"/>
          <w:lang w:bidi="fa-IR"/>
        </w:rPr>
        <w:t>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الزوجان، للنصوص المستفيضة المشتملة بعضها على نفي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يفعل ذلك أهل المرأة كراهة أن ينظر زوجها إلى شي‌ء يكرهونه</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و ظاهر هذا التعليل جواز غسله مكشوفا حتى بعورته، غاية الأمر استقباح أهله و عصبيتهم باعث منعه، لا أنه ممنوع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يرفع اليد عن 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شي‌ء على العورة</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الأخبار </w:t>
      </w:r>
      <w:r>
        <w:rPr>
          <w:rStyle w:val="FootnoteAnchor"/>
          <w:rtl w:val="true"/>
        </w:rPr>
        <w:footnoteReference w:id="998"/>
      </w:r>
      <w:r>
        <w:rPr>
          <w:rFonts w:ascii="Amiri" w:hAnsi="Amiri" w:eastAsia="Amiri" w:cs="Amiri"/>
          <w:color w:val="111111"/>
          <w:sz w:val="28"/>
          <w:sz w:val="28"/>
          <w:szCs w:val="28"/>
          <w:rtl w:val="true"/>
          <w:lang w:bidi="ar-SA"/>
        </w:rPr>
        <w:t xml:space="preserve">التفصيل </w:t>
      </w:r>
      <w:r>
        <w:rPr>
          <w:rStyle w:val="FootnoteAnchor"/>
          <w:rtl w:val="true"/>
        </w:rPr>
        <w:footnoteReference w:id="999"/>
      </w:r>
      <w:r>
        <w:rPr>
          <w:rFonts w:ascii="Amiri" w:hAnsi="Amiri" w:eastAsia="Amiri" w:cs="Amiri"/>
          <w:color w:val="111111"/>
          <w:sz w:val="28"/>
          <w:sz w:val="28"/>
          <w:szCs w:val="28"/>
          <w:rtl w:val="true"/>
          <w:lang w:bidi="ar-SA"/>
        </w:rPr>
        <w:t xml:space="preserve">بين تغسيل الزوج فيجوز، و الزوجة فلا يجوز، معللا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الزوجة أخرجها عن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حمل النصوص المجوزة السابقة على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الزوجة بين الدائمة و المنقطعة، و الحرة و الأمة، و المطلقة رجعية في عدتها أيضا بحكمها، بلا إشكال، للإطلاقات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تموت في السفر في أرض ليس فيها إلّا الرجال تدفن بلا غسل، إلّا أن يكون زوجها معها</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تخصيص خصوص الزوج، فيبقى المولى تحت كلية اشتراط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يتشبث بوصية علي بن الحسين عليه السّلام في تغسيل أم ولده إياه </w:t>
      </w:r>
      <w:r>
        <w:rPr>
          <w:rStyle w:val="FootnoteAnchor"/>
          <w:rtl w:val="true"/>
        </w:rPr>
        <w:footnoteReference w:id="1001"/>
      </w:r>
      <w:r>
        <w:rPr>
          <w:rFonts w:ascii="Amiri" w:hAnsi="Amiri" w:eastAsia="Amiri" w:cs="Amiri"/>
          <w:color w:val="111111"/>
          <w:sz w:val="28"/>
          <w:sz w:val="28"/>
          <w:szCs w:val="28"/>
          <w:rtl w:val="true"/>
          <w:lang w:bidi="ar-SA"/>
        </w:rPr>
        <w:t xml:space="preserve">، و لو بحمله على بيان وظيفتها كلية، لا في خصوصه، كي ينافي عدم تغسيل غير المعصوم للمعصوم، و نلتزم بجوازه في عكسه، كما نسب إلى الحدائق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الحمل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يوهنه، فالقاعدة السابقة محكمة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في السفر و ليس معها ذو محرم و لا 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كما هي في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الرجل يموت في السفر و ليس معه ذو محرم و لا 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كما هو في ثيابه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الغسل عن رجل ليس معه رجل و لا محرم، و كذلك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استفادة كبرى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كل رجل لم يكن له مماثل، و كذلك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ذلك أن يحكم باشتراط المماثلة في الوجوب في الجملة، لا مانعية المخالفة، كي يكون مفاد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الوجوب على ما لا يكون مخالفة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يكون مفاد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الوجوب على ما لا يكون مخالفة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تقتضي ترتب السقوط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ذلك خلاف ظاهر النص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الخنثى المشكل إذا كان غاسلا، فإنّ أصالة عدم الرجل أو عدم المرأة في صورة موت الرجل فقط أو موت المرأة كذلك، تقتضي سقوط غسلهما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ابتلائه بهما، فالأصلان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نفي الطبيعة الثلاثة</w:t>
      </w:r>
    </w:p>
    <w:p>
      <w:pPr>
        <w:pStyle w:val="BookText"/>
        <w:rPr/>
      </w:pPr>
      <w:r>
        <w:rPr>
          <w:rFonts w:ascii="Amiri" w:hAnsi="Amiri" w:eastAsia="Amiri" w:cs="Amiri"/>
          <w:color w:val="111111"/>
          <w:sz w:val="28"/>
          <w:sz w:val="28"/>
          <w:szCs w:val="28"/>
          <w:rtl w:val="true"/>
          <w:lang w:bidi="ar-SA"/>
        </w:rPr>
        <w:t>في 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متعارضان، فيقتضي حينئذ وجوب غسل أحدهما عليه، و مقتضى المقدمة العلمية غسلهما، غاية الأمر وراء الثياب، لأصالة حرمة النظر بعموم الغض الباقية بالاستصحاب حتى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لو كان الخنثى غاسلا، أما لو كان مغسولا، فإن قلنا بأنّ مقتضى العموم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كون الميت رجلا في غسل الرجل، بضميمة كونه شرط الوجوب لا الواجب، فلا شبهة في أنّ أصالة عدم الرجولية بالنسبة إلى الرجل الحي، و عدم الأنوثية بالنسبة إلى المرأة الحية، سقوط الغسل عنهما، فيدفن بلا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بأنّ المقدار الثابت من الدليل المزبور، هو أنه إذا كان الميت رجلا فلا يغسله إلّا الرجل، و كذلك المرأة، فأصالة عدم كونه رجلا تقتضي وجوب غسله، بعموم وجوب الغسل في كل ميت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الأمر في طرف المرأة، على اشكال في مثل هذا الأصل، فيجب على كل منهما </w:t>
      </w:r>
      <w:r>
        <w:rPr>
          <w:rStyle w:val="FootnoteAnchor"/>
          <w:rtl w:val="true"/>
        </w:rPr>
        <w:footnoteReference w:id="1005"/>
      </w:r>
      <w:r>
        <w:rPr>
          <w:rFonts w:ascii="Amiri" w:hAnsi="Amiri" w:eastAsia="Amiri" w:cs="Amiri"/>
          <w:color w:val="111111"/>
          <w:sz w:val="28"/>
          <w:sz w:val="28"/>
          <w:szCs w:val="28"/>
          <w:rtl w:val="true"/>
          <w:lang w:bidi="ar-SA"/>
        </w:rPr>
        <w:t>الاقدام بلا اكتفاء بغسل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قلنا بأنّ المماثلة من الطرفين شرط الواجب، فيجب الاقدام أيضا من كل منهما، لأنّ المورد من صغريات الشك في القدرة، الواجب تحصيلها مهما أمكن، فلا مجال لإجراء البراءة في مثل المقام، كما هو ظاهر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انه على فرض اشتراط المماثلة من الطرفين كان مقتضى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شرطيتها للواجب لا الوجوب، فضلا عن دعوى منع استفادة اشتراط مثل هذا العنوان من الأدلة، بل غاية الأمر وجوب إحراز الرجولية للغاسل عند موت الرجل، و هكذا في المرأة</w:t>
      </w:r>
      <w:r>
        <w:rPr>
          <w:rFonts w:eastAsia="Amiri" w:cs="Amiri" w:ascii="Amiri" w:hAnsi="Amiri"/>
          <w:color w:val="111111"/>
          <w:sz w:val="28"/>
          <w:szCs w:val="28"/>
          <w:rtl w:val="true"/>
          <w:lang w:bidi="ar-SA"/>
        </w:rPr>
        <w:t>.</w:t>
      </w:r>
      <w:bookmarkStart w:id="317" w:name="pg19729_212803"/>
    </w:p>
    <w:p>
      <w:pPr>
        <w:pStyle w:val="BookText"/>
        <w:rPr/>
      </w:pPr>
      <w:bookmarkEnd w:id="317"/>
      <w:r>
        <w:rPr>
          <w:rFonts w:ascii="Amiri" w:hAnsi="Amiri" w:eastAsia="Amiri" w:cs="Amiri"/>
          <w:color w:val="111111"/>
          <w:sz w:val="28"/>
          <w:sz w:val="28"/>
          <w:szCs w:val="28"/>
          <w:rtl w:val="true"/>
          <w:lang w:bidi="ar-SA"/>
        </w:rPr>
        <w:t>و نتيجته في المقام وجوب اقدام كل منهما على الغسل بمقتضى ما ذكرنا من الإطلاقات في وجوب غسل الموتى،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منع نظر الإطلاقات إلى مثل هذه الجهات، و حينئذ فمن المحتمل اشتراط المماثلة في الوجوب من الطرفين، و لازمة في المقام أيضا سقوط الغسل من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نظر الأصحاب في اشتراطهم المماثلة من الطرفين، و إلّا ففي استفادة ذلك المقدار من الأخبار الخاصة، خصوصا استفادة كون ذلك من شرائط الوجوب لا الواجب كمال تأمل و إشكال، فتأمل غايته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251339_2314609296"/>
      <w:bookmarkStart w:id="319" w:name="_Toc122"/>
      <w:bookmarkEnd w:id="318"/>
      <w:r>
        <w:rPr>
          <w:rtl w:val="true"/>
        </w:rPr>
        <w:t>ثانيها</w:t>
      </w:r>
      <w:r>
        <w:rPr>
          <w:rtl w:val="true"/>
        </w:rPr>
        <w:t xml:space="preserve">: </w:t>
      </w:r>
      <w:r>
        <w:rPr>
          <w:rtl w:val="true"/>
        </w:rPr>
        <w:t>انه يعتبر في الغاسل كونه ممن تصح منه العبادة</w:t>
      </w:r>
      <w:r>
        <w:rPr>
          <w:rtl w:val="true"/>
        </w:rPr>
        <w:t>.</w:t>
      </w:r>
      <w:bookmarkEnd w:id="319"/>
    </w:p>
    <w:p>
      <w:pPr>
        <w:pStyle w:val="BookText"/>
        <w:rPr/>
      </w:pPr>
      <w:r>
        <w:rPr>
          <w:rFonts w:ascii="Amiri" w:hAnsi="Amiri" w:eastAsia="Amiri" w:cs="Amiri"/>
          <w:color w:val="111111"/>
          <w:sz w:val="28"/>
          <w:sz w:val="28"/>
          <w:szCs w:val="28"/>
          <w:rtl w:val="true"/>
          <w:lang w:bidi="ar-SA"/>
        </w:rPr>
        <w:t>و شرعية عبادة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من استفادته من الأمر بالأمر على فرض شموله لمثل المقام، و عدم اختصاصه بعبادات نفسه، الراجع أثرها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 في المسقطية عن الغير، كما هو الشأن في جميع الواجبات الكفائية المنوطة مسقطية عمل الصبيان فيها عن الغير بوفاء عملهم بالمصلحة الملزمة، و إلّا فأصالة عدم المسقطية و الإطلاقات المتوجهة إلى المكلفين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لازم اعتبار المقربية عدم جواز مثل هذا الغسل من الكفار، لعدم صلاحية مثل هذا العمل لمقربيتهم، لا لقصورهم عن قصد القربة، كي يشكل الأمر في بعض القاصدين لها باعتقادهم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يقتضي أن لا يصح تغسيل الكتابي للميت المسلم، مع انهم يلتزمون به و لو في صورة عدم وجود مسلم غاسل مماثل، للنص الدال على جواز تغسيل الكتابي المماثل مع وجود المخالف من المسلم </w:t>
      </w:r>
      <w:r>
        <w:rPr>
          <w:rStyle w:val="FootnoteAnchor"/>
          <w:rtl w:val="true"/>
        </w:rPr>
        <w:footnoteReference w:id="1006"/>
      </w:r>
      <w:r>
        <w:rPr>
          <w:rFonts w:ascii="Amiri" w:hAnsi="Amiri" w:eastAsia="Amiri" w:cs="Amiri"/>
          <w:color w:val="111111"/>
          <w:sz w:val="28"/>
          <w:sz w:val="28"/>
          <w:szCs w:val="28"/>
          <w:rtl w:val="true"/>
          <w:lang w:bidi="ar-SA"/>
        </w:rPr>
        <w:t>، بلا تعرّض</w:t>
      </w:r>
      <w:bookmarkStart w:id="320" w:name="pg19729_212804"/>
    </w:p>
    <w:p>
      <w:pPr>
        <w:pStyle w:val="BookText"/>
        <w:rPr/>
      </w:pPr>
      <w:bookmarkEnd w:id="320"/>
      <w:r>
        <w:rPr>
          <w:rFonts w:ascii="Amiri" w:hAnsi="Amiri" w:eastAsia="Amiri" w:cs="Amiri"/>
          <w:color w:val="111111"/>
          <w:sz w:val="28"/>
          <w:sz w:val="28"/>
          <w:szCs w:val="28"/>
          <w:rtl w:val="true"/>
          <w:lang w:bidi="ar-SA"/>
        </w:rPr>
        <w:t>في النص لكونه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w:t>
      </w:r>
      <w:r>
        <w:rPr>
          <w:rStyle w:val="FootnoteAnchor"/>
          <w:rtl w:val="true"/>
        </w:rPr>
        <w:footnoteReference w:id="1007"/>
      </w:r>
      <w:r>
        <w:rPr>
          <w:rFonts w:ascii="Amiri" w:hAnsi="Amiri" w:eastAsia="Amiri" w:cs="Amiri"/>
          <w:color w:val="111111"/>
          <w:sz w:val="28"/>
          <w:sz w:val="28"/>
          <w:szCs w:val="28"/>
          <w:rtl w:val="true"/>
          <w:lang w:bidi="ar-SA"/>
        </w:rPr>
        <w:t>التزم بعضهم أن يكون غسله بأمر المسلم، كي يصح عبادة له و لو تسبيبا، بملاحظة قصد المسلم للتقرب و لو بفعل الكتابي، و لكن عدم تعرض النص لهذا الاعتبار يخرجه عن الاعتبار، فلا محيص عن الالتزام بكفاية صورة العبادة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مورد النص إلى صورة فقد المسلم رأسا حتى المخالف اشكال، لوجوب الاقتصار عند خلاف القاعدة على مورد النص، لو لا دعوى عدم التفات العرف في أمثال هذه الأحكام إلى مثل تلك القيود، بل يفهمون مناط الجواز مجرد عدم وجود المماثل المسلم،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من الكتابي إلى المخالف بالفحوى وجه، بخلاف غيره، لعدم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كل مورد انتهى الأمر إلى الغسل الاضطراري لفقد شرط من شروطه الاختيارية، ففي اقتضائه الاجزاء و لو مع التمكن من الغسل التام قبل دفنه اشكال،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اقتضائه سقوط الغسل بمسّه بعده أيضا إشكال آخر، لانصراف الدليل إلى الغسل التام، فالاستصحاب يقتضي عدمه</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3251341_2314609296"/>
      <w:bookmarkStart w:id="322" w:name="_Toc123"/>
      <w:bookmarkEnd w:id="321"/>
      <w:r>
        <w:rPr>
          <w:rtl w:val="true"/>
        </w:rPr>
        <w:t>ثالثها</w:t>
      </w:r>
      <w:r>
        <w:rPr>
          <w:rtl w:val="true"/>
        </w:rPr>
        <w:t xml:space="preserve">: </w:t>
      </w:r>
      <w:r>
        <w:rPr>
          <w:rtl w:val="true"/>
        </w:rPr>
        <w:t>المشهور وجوب تغسيل كل مظهر للشهادتين،</w:t>
      </w:r>
      <w:bookmarkEnd w:id="3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قيّده بالمؤمن، حيث لم يجوّز تغسيل المؤمن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 الأخير اختصاص النص بالمؤمن،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غسّل مؤمنا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إلخ، بضميمة عدم عموم يقتضي تغسيل المؤمن لغيره، عدا</w:t>
      </w:r>
    </w:p>
    <w:p>
      <w:pPr>
        <w:pStyle w:val="BookText"/>
        <w:rPr/>
      </w:pPr>
      <w:r>
        <w:rPr>
          <w:rFonts w:ascii="Amiri" w:hAnsi="Amiri" w:eastAsia="Amiri" w:cs="Amiri"/>
          <w:color w:val="111111"/>
          <w:sz w:val="28"/>
          <w:sz w:val="28"/>
          <w:szCs w:val="28"/>
          <w:rtl w:val="true"/>
          <w:lang w:bidi="ar-SA"/>
        </w:rPr>
        <w:t>إطلاقات غير وافية للشمول من هذه الجهة، نظرا إلى عدم كونها في مقام البيان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ظهور قوله في باب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بضميمة أن تعميم الصلاة يستتبع تعميم الغسل، الذي هو نحو مقدمة للصلاة عليه و 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مثل هذا العموم هو المحكم في قبال المقيّد السابق، نظرا لعدم مفهوم لقيده، و لم تثبت وحدة المطلوب الموجبة للتقييد، فيكون المدار على العنوان العام لا الخاص، كما هو الشأن في كل 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ذلك فالحكم يشمل الناصب و الغلاة و غيرهم من المنتحلين للإسلام مع ثبوت كفرهم و لو حكما، و الحال انّ ظاهرهم عدم الالتزام بذلك، فإن تم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أولاد المسلمين ملحقون بهم في هذا الحكم، كما يومئ إليه نص سقوط تغسيل من كان على أقل من ثلاث سنين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أولاد الكفار أيضا ملحقون بهم للسيرة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مجانين الطائفتين أيضا مثل صبيانهم و لو للاستصحاب </w:t>
      </w:r>
      <w:r>
        <w:rPr>
          <w:rStyle w:val="FootnoteAnchor"/>
          <w:rtl w:val="true"/>
        </w:rPr>
        <w:footnoteReference w:id="1011"/>
      </w:r>
      <w:r>
        <w:rPr>
          <w:rFonts w:ascii="Amiri" w:hAnsi="Amiri" w:eastAsia="Amiri" w:cs="Amiri"/>
          <w:color w:val="111111"/>
          <w:sz w:val="28"/>
          <w:sz w:val="28"/>
          <w:szCs w:val="28"/>
          <w:rtl w:val="true"/>
          <w:lang w:bidi="ar-SA"/>
        </w:rPr>
        <w:t>، حتى في</w:t>
      </w:r>
      <w:bookmarkStart w:id="323" w:name="pg19729_212806"/>
    </w:p>
    <w:p>
      <w:pPr>
        <w:pStyle w:val="BookText"/>
        <w:rPr/>
      </w:pPr>
      <w:bookmarkEnd w:id="323"/>
      <w:r>
        <w:rPr>
          <w:rFonts w:ascii="IRNazanin" w:hAnsi="IRNazanin" w:eastAsia="IRNazanin"/>
          <w:color w:val="111111"/>
          <w:sz w:val="28"/>
          <w:sz w:val="28"/>
          <w:szCs w:val="28"/>
          <w:rtl w:val="true"/>
          <w:lang w:bidi="fa-IR"/>
        </w:rPr>
        <w:t xml:space="preserve">المنفصل عن البلوغ </w:t>
      </w:r>
      <w:r>
        <w:rPr>
          <w:rStyle w:val="FootnoteAnchor"/>
          <w:rtl w:val="true"/>
        </w:rPr>
        <w:footnoteReference w:id="1012"/>
      </w:r>
      <w:r>
        <w:rPr>
          <w:rFonts w:ascii="Amiri" w:hAnsi="Amiri" w:eastAsia="Amiri" w:cs="Amiri"/>
          <w:color w:val="111111"/>
          <w:sz w:val="28"/>
          <w:sz w:val="28"/>
          <w:szCs w:val="28"/>
          <w:rtl w:val="true"/>
          <w:lang w:bidi="ar-SA"/>
        </w:rPr>
        <w:t xml:space="preserve">، بتقريب استصحاب أحكام الشرائع السابقة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إلحاق ولد الزنا بالمسلمين اشكال، لو لا دعوى حكم العرف بالإلحاق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اليد عن حكمهم، بالمقدار الذي ثبت الردع عنه شرعا، و هو مخصوص بباب التوارث، و يبقى غيره من الطهارة و تغسيله و أمثالهما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إلحاق المسبي بالسابي في المقام إشكال، فالبراءة تقتضي عدمه، لو لا الإلحاق من جهة أخرى، لكونه في دار الإسلام، أو كونه ولد المسلم، و هكذا</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251343_2314609296"/>
      <w:bookmarkStart w:id="325" w:name="_Toc124"/>
      <w:bookmarkEnd w:id="324"/>
      <w:r>
        <w:rPr>
          <w:rtl w:val="true"/>
        </w:rPr>
        <w:t>رابعها</w:t>
      </w:r>
      <w:r>
        <w:rPr>
          <w:rtl w:val="true"/>
        </w:rPr>
        <w:t xml:space="preserve">: </w:t>
      </w:r>
      <w:r>
        <w:rPr>
          <w:rtl w:val="true"/>
        </w:rPr>
        <w:t>الشهيد لا يغسّل و لا يكفّن، و يدفن في ثيابه،</w:t>
      </w:r>
      <w:bookmarkEnd w:id="3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 بمن قتل في سبيل المحاماة عن الدين، و عليه النصوص المعتبرة بمن قتل في سبيل اللّٰه تارة </w:t>
      </w:r>
      <w:r>
        <w:rPr>
          <w:rStyle w:val="FootnoteAnchor"/>
          <w:rtl w:val="true"/>
        </w:rPr>
        <w:footnoteReference w:id="1014"/>
      </w:r>
      <w:r>
        <w:rPr>
          <w:rFonts w:ascii="Amiri" w:hAnsi="Amiri" w:eastAsia="Amiri" w:cs="Amiri"/>
          <w:color w:val="111111"/>
          <w:sz w:val="28"/>
          <w:sz w:val="28"/>
          <w:szCs w:val="28"/>
          <w:rtl w:val="true"/>
          <w:lang w:bidi="ar-SA"/>
        </w:rPr>
        <w:t xml:space="preserve">، و قتل بين الصفين اخرى </w:t>
      </w:r>
      <w:r>
        <w:rPr>
          <w:rStyle w:val="FootnoteAnchor"/>
          <w:rtl w:val="true"/>
        </w:rPr>
        <w:footnoteReference w:id="1015"/>
      </w:r>
      <w:r>
        <w:rPr>
          <w:rFonts w:ascii="Amiri" w:hAnsi="Amiri" w:eastAsia="Amiri" w:cs="Amiri"/>
          <w:color w:val="111111"/>
          <w:sz w:val="28"/>
          <w:sz w:val="28"/>
          <w:szCs w:val="28"/>
          <w:rtl w:val="true"/>
          <w:lang w:bidi="ar-SA"/>
        </w:rPr>
        <w:t xml:space="preserve">، و بالشهيد ثالثة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بقيد الأول يرفع اليد عن إطلاق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سبيل اللّٰه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حماية الدين، لمناسبة المورد، لا ما يراد به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جملة من النصوص تخصيص السقوط بصورة عدم إدراكهم و فيهم رمق </w:t>
      </w:r>
      <w:r>
        <w:rPr>
          <w:rStyle w:val="FootnoteAnchor"/>
          <w:rtl w:val="true"/>
        </w:rPr>
        <w:footnoteReference w:id="1017"/>
      </w:r>
      <w:r>
        <w:rPr>
          <w:rFonts w:ascii="Amiri" w:hAnsi="Amiri" w:eastAsia="Amiri" w:cs="Amiri"/>
          <w:color w:val="111111"/>
          <w:sz w:val="28"/>
          <w:sz w:val="28"/>
          <w:szCs w:val="28"/>
          <w:rtl w:val="true"/>
          <w:lang w:bidi="ar-SA"/>
        </w:rPr>
        <w:t xml:space="preserve">، و لكن قضية سعد بن ربيع </w:t>
      </w:r>
      <w:r>
        <w:rPr>
          <w:rStyle w:val="FootnoteAnchor"/>
          <w:rtl w:val="true"/>
        </w:rPr>
        <w:footnoteReference w:id="1018"/>
      </w:r>
      <w:r>
        <w:rPr>
          <w:rFonts w:ascii="Amiri" w:hAnsi="Amiri" w:eastAsia="Amiri" w:cs="Amiri"/>
          <w:color w:val="111111"/>
          <w:sz w:val="28"/>
          <w:sz w:val="28"/>
          <w:szCs w:val="28"/>
          <w:rtl w:val="true"/>
          <w:lang w:bidi="ar-SA"/>
        </w:rPr>
        <w:t xml:space="preserve">تدفعه، فلا بد من حمل القيد على صورة انتهاء القتال، أو خروجه عن المعركة، بضميمة حملها على كون الرمق قرينة عدم الموت في المعركة أو حين القتال، لا أن له مفهوما كي يقتضي عدم وجوب الغسل مع عدم رمقهم، حتى مع العلم بموتهم في غير حال القتال، فيختص سقوط الغسل بمن كان في حال القتال و في المعركة، و هو المنصرف إليه من الأخبار </w:t>
      </w:r>
      <w:r>
        <w:rPr>
          <w:rStyle w:val="FootnoteAnchor"/>
          <w:rtl w:val="true"/>
        </w:rPr>
        <w:footnoteReference w:id="1019"/>
      </w:r>
      <w:r>
        <w:rPr>
          <w:rFonts w:ascii="Amiri" w:hAnsi="Amiri" w:eastAsia="Amiri" w:cs="Amiri"/>
          <w:color w:val="111111"/>
          <w:sz w:val="28"/>
          <w:sz w:val="28"/>
          <w:szCs w:val="28"/>
          <w:rtl w:val="true"/>
          <w:lang w:bidi="ar-SA"/>
        </w:rPr>
        <w:t xml:space="preserve">، و في غيره يجب التفصيل، للنصوص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شك حينئذ في انه مات في المعركة، أو في غيرها، أو حال القتال أم بعده، فاستصحاب عدم اتصافه بما استثني من مطلقات وجوب الغسل وجه، نعم لو لا انصراف أخبار السقوط عما ذكر كان المرجع هو الإطلاق،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سقوط الكفن بحال وجود الثياب، لانصراف أخباره إلى ذلك، و إلّا فمع عدمها يجب التكفين، كما صنع رسول اللّٰه صلّى اللّٰه عليه و آله بحمزة، و في النص تعليله بأنه جرّد من ثيابه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يسقط عنه الغسل أيضا المرجوم أو المحدود قصاصا، كما في</w:t>
      </w:r>
      <w:bookmarkStart w:id="326" w:name="pg19729_212808"/>
    </w:p>
    <w:p>
      <w:pPr>
        <w:pStyle w:val="BookText"/>
        <w:rPr/>
      </w:pPr>
      <w:bookmarkEnd w:id="326"/>
      <w:r>
        <w:rPr>
          <w:rFonts w:ascii="IRNazanin" w:hAnsi="IRNazanin" w:eastAsia="IRNazanin"/>
          <w:color w:val="111111"/>
          <w:sz w:val="28"/>
          <w:sz w:val="28"/>
          <w:szCs w:val="28"/>
          <w:rtl w:val="true"/>
          <w:lang w:bidi="fa-IR"/>
        </w:rPr>
        <w:t xml:space="preserve">النص المختص بهما </w:t>
      </w:r>
      <w:r>
        <w:rPr>
          <w:rStyle w:val="FootnoteAnchor"/>
          <w:rtl w:val="true"/>
        </w:rPr>
        <w:footnoteReference w:id="1022"/>
      </w:r>
      <w:r>
        <w:rPr>
          <w:rFonts w:ascii="Amiri" w:hAnsi="Amiri" w:eastAsia="Amiri" w:cs="Amiri"/>
          <w:color w:val="111111"/>
          <w:sz w:val="28"/>
          <w:sz w:val="28"/>
          <w:szCs w:val="28"/>
          <w:rtl w:val="true"/>
          <w:lang w:bidi="ar-SA"/>
        </w:rPr>
        <w:t>، و بعض الأعاظم ألحق مطلق المحدود بهما،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غسله قبل الحد و الرجم، و موته بهما، و إلّا فيغسّل بعد موته، للعمومات، بعد اختصاص النص بمن ذكر، و أيضا فالظاهر من النصوص كون غسله كغسل غيره، فلا بد أن يكون مثله كما و كيفا حتى في مسقطية غسله عن غسل سائر أحداثه الطارئة بعد غسله، بلا احتياج إلى غسل آخر، إلّا بلحاظ غاية أخرى غير تطهير بدنه، لعدم اقتضاء دليل الاجزاء أزيد مما ذكر، كما لا يخفى</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251345_2314609296"/>
      <w:bookmarkStart w:id="328" w:name="_Toc125"/>
      <w:bookmarkEnd w:id="327"/>
      <w:r>
        <w:rPr>
          <w:rtl w:val="true"/>
        </w:rPr>
        <w:t>خامسها</w:t>
      </w:r>
      <w:r>
        <w:rPr>
          <w:rtl w:val="true"/>
        </w:rPr>
        <w:t xml:space="preserve">: </w:t>
      </w:r>
      <w:r>
        <w:rPr>
          <w:rtl w:val="true"/>
        </w:rPr>
        <w:t>لا اشكال ظاهرا في وجوب غسل ما يصدق عليه البدن،</w:t>
      </w:r>
      <w:bookmarkEnd w:id="328"/>
    </w:p>
    <w:p>
      <w:pPr>
        <w:pStyle w:val="BookText"/>
        <w:rPr/>
      </w:pPr>
      <w:r>
        <w:rPr>
          <w:rFonts w:ascii="Amiri" w:hAnsi="Amiri" w:eastAsia="Amiri" w:cs="Amiri"/>
          <w:color w:val="111111"/>
          <w:sz w:val="28"/>
          <w:sz w:val="28"/>
          <w:szCs w:val="28"/>
          <w:rtl w:val="true"/>
          <w:lang w:bidi="ar-SA"/>
        </w:rPr>
        <w:t xml:space="preserve">لخبر طلحة الوارد في الصلاة، الملحق بها الغسل بعد عدم القول بالفصل </w:t>
      </w:r>
      <w:r>
        <w:rPr>
          <w:rStyle w:val="FootnoteAnchor"/>
          <w:rtl w:val="true"/>
        </w:rPr>
        <w:footnoteReference w:id="1023"/>
      </w:r>
      <w:r>
        <w:rPr>
          <w:rFonts w:ascii="Amiri" w:hAnsi="Amiri" w:eastAsia="Amiri" w:cs="Amiri"/>
          <w:color w:val="111111"/>
          <w:sz w:val="28"/>
          <w:sz w:val="28"/>
          <w:szCs w:val="28"/>
          <w:rtl w:val="true"/>
          <w:lang w:bidi="ar-SA"/>
        </w:rPr>
        <w:t>، مضافا إلى كونه من لوازمها، المستفاد حكمه ثبوتا و سقوطا من فحوى ما ورد في صلاته، و في النص المزبور التصريح بعدم الغسل في غير ما يصدق عليه البدن من يد أو رجل أو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أيضا غسل مجموع عظامه الخالية عن اللحم، للنص الوارد في أكيل السبع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 في الوجوب ما اشتمل على القلب، لخبر البزنطي </w:t>
      </w:r>
      <w:r>
        <w:rPr>
          <w:rStyle w:val="FootnoteAnchor"/>
          <w:rtl w:val="true"/>
        </w:rPr>
        <w:footnoteReference w:id="1025"/>
      </w:r>
      <w:r>
        <w:rPr>
          <w:rFonts w:ascii="Amiri" w:hAnsi="Amiri" w:eastAsia="Amiri" w:cs="Amiri"/>
          <w:color w:val="111111"/>
          <w:sz w:val="28"/>
          <w:sz w:val="28"/>
          <w:szCs w:val="28"/>
          <w:rtl w:val="true"/>
          <w:lang w:bidi="ar-SA"/>
        </w:rPr>
        <w:t xml:space="preserve">، و كذلك المشتمل على الصدر و اليدين، للنص الوارد في صلاة الميت </w:t>
      </w:r>
      <w:r>
        <w:rPr>
          <w:rStyle w:val="FootnoteAnchor"/>
          <w:rtl w:val="true"/>
        </w:rPr>
        <w:footnoteReference w:id="1026"/>
      </w:r>
      <w:r>
        <w:rPr>
          <w:rFonts w:ascii="Amiri" w:hAnsi="Amiri" w:eastAsia="Amiri" w:cs="Amiri"/>
          <w:color w:val="111111"/>
          <w:sz w:val="28"/>
          <w:sz w:val="28"/>
          <w:szCs w:val="28"/>
          <w:rtl w:val="true"/>
          <w:lang w:bidi="ar-SA"/>
        </w:rPr>
        <w:t>، الملحق بها الغسل أيضا تبعا كما ذكرنا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هذه الصور ففي وجوب الغسل نظر، إذ غاية ما يدل عليه ما</w:t>
      </w:r>
      <w:bookmarkStart w:id="329" w:name="pg19729_212809"/>
    </w:p>
    <w:p>
      <w:pPr>
        <w:pStyle w:val="BookText"/>
        <w:rPr/>
      </w:pPr>
      <w:bookmarkEnd w:id="329"/>
      <w:r>
        <w:rPr>
          <w:rFonts w:ascii="IRNazanin" w:hAnsi="IRNazanin" w:eastAsia="IRNazanin"/>
          <w:color w:val="111111"/>
          <w:sz w:val="28"/>
          <w:sz w:val="28"/>
          <w:szCs w:val="28"/>
          <w:rtl w:val="true"/>
          <w:lang w:bidi="fa-IR"/>
        </w:rPr>
        <w:t xml:space="preserve">ورد من غسل المس للعظم المشتمل على اللحم </w:t>
      </w:r>
      <w:r>
        <w:rPr>
          <w:rStyle w:val="FootnoteAnchor"/>
          <w:rtl w:val="true"/>
        </w:rPr>
        <w:footnoteReference w:id="1027"/>
      </w:r>
      <w:r>
        <w:rPr>
          <w:rFonts w:ascii="Amiri" w:hAnsi="Amiri" w:eastAsia="Amiri" w:cs="Amiri"/>
          <w:color w:val="111111"/>
          <w:sz w:val="28"/>
          <w:sz w:val="28"/>
          <w:szCs w:val="28"/>
          <w:rtl w:val="true"/>
          <w:lang w:bidi="ar-SA"/>
        </w:rPr>
        <w:t>، بضميمة عدم الفصل بين غسل المس و غيره، و في الملازمة نظر، كدعوى صدق الميسور على بعض الصور، الملحق غيره أيضا به بعدم القول بالفصل، و في كلتا المقدمتين أيضا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صورة الوجوب لا إشكال في سقوط الترتيب في أجزاء الغسل لو كان عضوا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الموجود عضوين فلا بأس بالالتزام بالترتيب مع العلم باليمين و اليسار، للاستصحاب، و مع الجهل يكرر حتى يحصل العلم بالترتيب، و مع العلم بكونهما من طرف واحد يسقط، و مع احتماله يحتاط بالتكرر، بناء على الرافعية لقاعدة الاشتغال</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3251347_2314609296"/>
      <w:bookmarkStart w:id="331" w:name="_Toc126"/>
      <w:bookmarkEnd w:id="330"/>
      <w:r>
        <w:rPr>
          <w:rtl w:val="true"/>
        </w:rPr>
        <w:t>سادسها</w:t>
      </w:r>
      <w:r>
        <w:rPr>
          <w:rtl w:val="true"/>
        </w:rPr>
        <w:t xml:space="preserve">: </w:t>
      </w:r>
      <w:r>
        <w:rPr>
          <w:rtl w:val="true"/>
        </w:rPr>
        <w:t>السقط لأربعة أشهر فأزيد يغسّل و يكفّن بالقطع المخصوصة،</w:t>
      </w:r>
      <w:bookmarkEnd w:id="331"/>
    </w:p>
    <w:p>
      <w:pPr>
        <w:pStyle w:val="BookText"/>
        <w:rPr/>
      </w:pPr>
      <w:r>
        <w:rPr>
          <w:rFonts w:ascii="Amiri" w:hAnsi="Amiri" w:eastAsia="Amiri" w:cs="Amiri"/>
          <w:color w:val="111111"/>
          <w:sz w:val="28"/>
          <w:sz w:val="28"/>
          <w:szCs w:val="28"/>
          <w:rtl w:val="true"/>
          <w:lang w:bidi="ar-SA"/>
        </w:rPr>
        <w:t>و لا يصلّى عليه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الحكم المزبور ما في النص بأنه إذا تم له أربعة أشهر غسّل </w:t>
      </w:r>
      <w:r>
        <w:rPr>
          <w:rStyle w:val="FootnoteAnchor"/>
          <w:rtl w:val="true"/>
        </w:rPr>
        <w:footnoteReference w:id="1028"/>
      </w:r>
      <w:r>
        <w:rPr>
          <w:rFonts w:ascii="Amiri" w:hAnsi="Amiri" w:eastAsia="Amiri" w:cs="Amiri"/>
          <w:color w:val="111111"/>
          <w:sz w:val="28"/>
          <w:sz w:val="28"/>
          <w:szCs w:val="28"/>
          <w:rtl w:val="true"/>
          <w:lang w:bidi="ar-SA"/>
        </w:rPr>
        <w:t>، و مفهومه عدم وجوب غسله و لا كفنه في القطع إذا كان أقل من الأربعة، نعم لا بأس بوجوب ستره، لما في النص من جعله في كفن امه، الملحق به أيضا من لم يكن له كفن الام، كما لا يخفى، و اللّٰه العالم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وقوف الغاسل على جنبه، للنص </w:t>
      </w:r>
      <w:r>
        <w:rPr>
          <w:rStyle w:val="FootnoteAnchor"/>
          <w:rtl w:val="true"/>
        </w:rPr>
        <w:footnoteReference w:id="1029"/>
      </w:r>
      <w:r>
        <w:rPr>
          <w:rFonts w:ascii="Amiri" w:hAnsi="Amiri" w:eastAsia="Amiri" w:cs="Amiri"/>
          <w:color w:val="111111"/>
          <w:sz w:val="28"/>
          <w:sz w:val="28"/>
          <w:szCs w:val="28"/>
          <w:rtl w:val="true"/>
          <w:lang w:bidi="ar-SA"/>
        </w:rPr>
        <w:t xml:space="preserve">، و أن يكون على يمينه على المشهور، و غمز بطنه، لنص الكاهلي المختص بالغسلة الاولى </w:t>
      </w:r>
      <w:r>
        <w:rPr>
          <w:rStyle w:val="FootnoteAnchor"/>
          <w:rtl w:val="true"/>
        </w:rPr>
        <w:footnoteReference w:id="1030"/>
      </w:r>
      <w:r>
        <w:rPr>
          <w:rFonts w:ascii="IRNazanin" w:hAnsi="IRNazanin" w:eastAsia="IRNazanin"/>
          <w:color w:val="111111"/>
          <w:sz w:val="28"/>
          <w:sz w:val="28"/>
          <w:szCs w:val="28"/>
          <w:rtl w:val="true"/>
          <w:lang w:bidi="fa-IR"/>
        </w:rPr>
        <w:t xml:space="preserve">، و المرسل </w:t>
      </w:r>
      <w:r>
        <w:rPr>
          <w:rStyle w:val="FootnoteAnchor"/>
          <w:rtl w:val="true"/>
        </w:rPr>
        <w:footnoteReference w:id="1031"/>
      </w:r>
      <w:r>
        <w:rPr>
          <w:rFonts w:ascii="Amiri" w:hAnsi="Amiri" w:eastAsia="Amiri" w:cs="Amiri"/>
          <w:color w:val="111111"/>
          <w:sz w:val="28"/>
          <w:sz w:val="28"/>
          <w:szCs w:val="28"/>
          <w:rtl w:val="true"/>
          <w:lang w:bidi="ar-SA"/>
        </w:rPr>
        <w:t>بالثانية أيضا، بلا نص في الثالثة، و لذا خصه</w:t>
      </w:r>
    </w:p>
    <w:p>
      <w:pPr>
        <w:pStyle w:val="BookText"/>
        <w:rPr/>
      </w:pPr>
      <w:r>
        <w:rPr>
          <w:rFonts w:ascii="Amiri" w:hAnsi="Amiri" w:eastAsia="Amiri" w:cs="Amiri"/>
          <w:color w:val="111111"/>
          <w:sz w:val="28"/>
          <w:sz w:val="28"/>
          <w:szCs w:val="28"/>
          <w:rtl w:val="true"/>
          <w:lang w:bidi="ar-SA"/>
        </w:rPr>
        <w:t xml:space="preserve">المصنف في الغسلتين الأولتين، إلّا أن تكون حاملا مع موت ولدها في بطنها، للنوى المشتمل على التفصيل بين الحبلى و غيرها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الذكر و الاستغفار حال الغسل على المشهور، و إلّا فالعمومات غير وافية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إرسال الماء إلى حفيرة، للنص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 تغسيله تحت سقف، للصحيحة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استقبال القبلة به، لرواية سليمان </w:t>
      </w:r>
      <w:r>
        <w:rPr>
          <w:rStyle w:val="FootnoteAnchor"/>
          <w:rtl w:val="true"/>
        </w:rPr>
        <w:footnoteReference w:id="1035"/>
      </w:r>
      <w:r>
        <w:rPr>
          <w:rFonts w:ascii="Amiri" w:hAnsi="Amiri" w:eastAsia="Amiri" w:cs="Amiri"/>
          <w:color w:val="111111"/>
          <w:sz w:val="28"/>
          <w:sz w:val="28"/>
          <w:szCs w:val="28"/>
          <w:rtl w:val="true"/>
          <w:lang w:bidi="ar-SA"/>
        </w:rPr>
        <w:t>السابقة، المثبتة للحكم المذكور الثابت بإطلاقه، أو استصحابه إلى حين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غسل رأسه و جسده برغوة السدر، بناء على توجيه رواية معاوية السابقة في كيفية غسله </w:t>
      </w:r>
      <w:r>
        <w:rPr>
          <w:rStyle w:val="FootnoteAnchor"/>
          <w:rtl w:val="true"/>
        </w:rPr>
        <w:footnoteReference w:id="1036"/>
      </w:r>
      <w:r>
        <w:rPr>
          <w:rFonts w:ascii="Amiri" w:hAnsi="Amiri" w:eastAsia="Amiri" w:cs="Amiri"/>
          <w:color w:val="111111"/>
          <w:sz w:val="28"/>
          <w:sz w:val="28"/>
          <w:szCs w:val="28"/>
          <w:rtl w:val="true"/>
          <w:lang w:bidi="ar-SA"/>
        </w:rPr>
        <w:t xml:space="preserve">، بحمل الغسل الأول فيه على ذلك، و في النص </w:t>
      </w:r>
      <w:r>
        <w:rPr>
          <w:rStyle w:val="FootnoteAnchor"/>
          <w:rtl w:val="true"/>
        </w:rPr>
        <w:footnoteReference w:id="1037"/>
      </w:r>
      <w:r>
        <w:rPr>
          <w:rFonts w:ascii="Amiri" w:hAnsi="Amiri" w:eastAsia="Amiri" w:cs="Amiri"/>
          <w:color w:val="111111"/>
          <w:sz w:val="28"/>
          <w:sz w:val="28"/>
          <w:szCs w:val="28"/>
          <w:rtl w:val="true"/>
          <w:lang w:bidi="ar-SA"/>
        </w:rPr>
        <w:t xml:space="preserve">أيضا غسل فرجه بالأشنان، و أن يوضأ، و هنا أيضا سنن كثيرة لا بأس بالعمل بها رجاء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إقعاده، للنص </w:t>
      </w:r>
      <w:r>
        <w:rPr>
          <w:rStyle w:val="FootnoteAnchor"/>
          <w:rtl w:val="true"/>
        </w:rPr>
        <w:footnoteReference w:id="1039"/>
      </w:r>
      <w:r>
        <w:rPr>
          <w:rFonts w:ascii="Amiri" w:hAnsi="Amiri" w:eastAsia="Amiri" w:cs="Amiri"/>
          <w:color w:val="111111"/>
          <w:sz w:val="28"/>
          <w:sz w:val="28"/>
          <w:szCs w:val="28"/>
          <w:rtl w:val="true"/>
          <w:lang w:bidi="ar-SA"/>
        </w:rPr>
        <w:t xml:space="preserve">المحمول على الكراهة، و قص أظفاره، و ترجيل شعره، للنهي عنه في عدة أخبار </w:t>
      </w:r>
      <w:r>
        <w:rPr>
          <w:rStyle w:val="FootnoteAnchor"/>
          <w:rtl w:val="true"/>
        </w:rPr>
        <w:footnoteReference w:id="1040"/>
      </w:r>
      <w:r>
        <w:rPr>
          <w:rFonts w:ascii="Amiri" w:hAnsi="Amiri" w:eastAsia="Amiri" w:cs="Amiri"/>
          <w:color w:val="111111"/>
          <w:sz w:val="28"/>
          <w:sz w:val="28"/>
          <w:szCs w:val="28"/>
          <w:rtl w:val="true"/>
          <w:lang w:bidi="ar-SA"/>
        </w:rPr>
        <w:t>محمولة على الكراهة أيضا</w:t>
      </w:r>
      <w:r>
        <w:rPr>
          <w:rFonts w:eastAsia="Amiri" w:cs="Amiri" w:ascii="Amiri" w:hAnsi="Amiri"/>
          <w:color w:val="111111"/>
          <w:sz w:val="28"/>
          <w:szCs w:val="28"/>
          <w:rtl w:val="true"/>
          <w:lang w:bidi="ar-SA"/>
        </w:rPr>
        <w:t>.</w:t>
      </w:r>
      <w:bookmarkStart w:id="332" w:name="pg19729_212811"/>
    </w:p>
    <w:p>
      <w:pPr>
        <w:pStyle w:val="Heading6"/>
        <w:numPr>
          <w:ilvl w:val="5"/>
          <w:numId w:val="1"/>
        </w:numPr>
        <w:rPr/>
      </w:pPr>
      <w:bookmarkStart w:id="333" w:name="__RefHeading___Toc3251349_2314609296"/>
      <w:bookmarkStart w:id="334" w:name="_Toc127"/>
      <w:bookmarkEnd w:id="332"/>
      <w:bookmarkEnd w:id="333"/>
      <w:r>
        <w:rPr>
          <w:rtl w:val="true"/>
        </w:rPr>
        <w:t>الثالث من أحكام الميت التكفين</w:t>
      </w:r>
      <w:bookmarkEnd w:id="334"/>
    </w:p>
    <w:p>
      <w:pPr>
        <w:pStyle w:val="Heading6"/>
        <w:numPr>
          <w:ilvl w:val="5"/>
          <w:numId w:val="1"/>
        </w:numPr>
        <w:rPr/>
      </w:pPr>
      <w:bookmarkStart w:id="335" w:name="__RefHeading___Toc3251351_2314609296"/>
      <w:bookmarkStart w:id="336" w:name="_Toc128"/>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بلا اشكال فيه، و في عدم وجوبه عينا على أحد إلّا عرضا، و لا في مال الشخص المكفّن، بل يجب بذله و لو عن بدل و عوض، لأصالة حرمة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عباديته قولان، و المشهور توصليته، للأصل على المختار، بل للإطلاقات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تكفينه في ثلاثة أثواب على المشهور، خلافا لسلّار المكتفي بالواحد </w:t>
      </w:r>
      <w:r>
        <w:rPr>
          <w:rStyle w:val="FootnoteAnchor"/>
          <w:rtl w:val="true"/>
        </w:rPr>
        <w:footnoteReference w:id="1041"/>
      </w:r>
      <w:r>
        <w:rPr>
          <w:rFonts w:ascii="Amiri" w:hAnsi="Amiri" w:eastAsia="Amiri" w:cs="Amiri"/>
          <w:color w:val="111111"/>
          <w:sz w:val="28"/>
          <w:sz w:val="28"/>
          <w:szCs w:val="28"/>
          <w:rtl w:val="true"/>
          <w:lang w:bidi="ar-SA"/>
        </w:rPr>
        <w:t xml:space="preserve">، للصحيحة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أثواب، أو ثوب تام يواري جسده كله فما زاد فهو سنة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بالواو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 و مع هذا الاختلال لا حجية فيها قبال النصوص المستفيضة المشتملة على الثلاثة سوى العمامة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انّ الثلاثة المزبورة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إزار، و المراد من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الإزار، لما في رواية عمار من تحديد الإزار بما يغطّي الصدر و الرجلين </w:t>
      </w:r>
      <w:r>
        <w:rPr>
          <w:rStyle w:val="FootnoteAnchor"/>
          <w:rtl w:val="true"/>
        </w:rPr>
        <w:footnoteReference w:id="1045"/>
      </w:r>
      <w:r>
        <w:rPr>
          <w:rFonts w:ascii="Amiri" w:hAnsi="Amiri" w:eastAsia="Amiri" w:cs="Amiri"/>
          <w:color w:val="111111"/>
          <w:sz w:val="28"/>
          <w:sz w:val="28"/>
          <w:szCs w:val="28"/>
          <w:rtl w:val="true"/>
          <w:lang w:bidi="ar-SA"/>
        </w:rPr>
        <w:t xml:space="preserve">، و هو غير القميص و غير اللفافة، فلا بد أن يكون شيئا في قبالهما المعبّر عنه بالإزار تارة </w:t>
      </w:r>
      <w:r>
        <w:rPr>
          <w:rStyle w:val="FootnoteAnchor"/>
          <w:rtl w:val="true"/>
        </w:rPr>
        <w:footnoteReference w:id="1046"/>
      </w:r>
      <w:r>
        <w:rPr>
          <w:rFonts w:ascii="IRNazanin" w:hAnsi="IRNazanin" w:eastAsia="IRNazanin"/>
          <w:color w:val="111111"/>
          <w:sz w:val="28"/>
          <w:sz w:val="28"/>
          <w:szCs w:val="28"/>
          <w:rtl w:val="true"/>
          <w:lang w:bidi="fa-IR"/>
        </w:rPr>
        <w:t xml:space="preserve">، و بالمئزر </w:t>
      </w:r>
      <w:r>
        <w:rPr>
          <w:rStyle w:val="FootnoteAnchor"/>
          <w:rtl w:val="true"/>
        </w:rPr>
        <w:footnoteReference w:id="1047"/>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 و إزار و برد يلف فيه</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الظاهر في كون الإزار</w:t>
      </w:r>
    </w:p>
    <w:p>
      <w:pPr>
        <w:pStyle w:val="BookText"/>
        <w:rPr/>
      </w:pPr>
      <w:r>
        <w:rPr>
          <w:rFonts w:ascii="Amiri" w:hAnsi="Amiri" w:eastAsia="Amiri" w:cs="Amiri"/>
          <w:color w:val="111111"/>
          <w:sz w:val="28"/>
          <w:sz w:val="28"/>
          <w:szCs w:val="28"/>
          <w:rtl w:val="true"/>
          <w:lang w:bidi="ar-SA"/>
        </w:rPr>
        <w:t>لا يلف فيه فيكون هو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يبقى مجال لاحتمال صاحب المدارك من القميص و اللفافتين </w:t>
      </w:r>
      <w:r>
        <w:rPr>
          <w:rStyle w:val="FootnoteAnchor"/>
          <w:rtl w:val="true"/>
        </w:rPr>
        <w:footnoteReference w:id="1049"/>
      </w:r>
      <w:r>
        <w:rPr>
          <w:rFonts w:ascii="Amiri" w:hAnsi="Amiri" w:eastAsia="Amiri" w:cs="Amiri"/>
          <w:color w:val="111111"/>
          <w:sz w:val="28"/>
          <w:sz w:val="28"/>
          <w:szCs w:val="28"/>
          <w:rtl w:val="true"/>
          <w:lang w:bidi="ar-SA"/>
        </w:rPr>
        <w:t xml:space="preserve">، إذ هو مبني على حمل الإزار أيضا على اللفافة الساترة لجميع البدن، كما يومئ إليه خبر آخر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 و لفافة و برد</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إذ رفع اليد عن اللفافة في هذه الرواية و حمله على الإزار أولى من العكس، و عدم وجوب هذا التحديد في الإزار أيضا غير ضائر بأصل وجوبه، فلا وجه لحمل الإزار بالمعنى الأول على الاستحباب، و إبقاء اللفافة على ظاهرها من الستر لجميع البدن، لإمكان دعوى الجزم بعدم استحباب أصل الإزار بالمعنى السابق، بل المستحب تحديده بما ذكر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القميص ما كان بهيئة الثوب المتعارف سابقا، الواصل من الطرفين إلى نصف الساق أو أقصر، و يكفي لوجوبه النصوص السابقة، نعم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أثواب بلا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القميص أحب</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و لكنه بإعراض الأصحاب عنه مطروح أو محمول على ثوب صلاته، بشهادة رواية ابن سهيل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الثوب الشامل لجميع البدن، و هو المعبّر عنه في بعض النصوص بالبرد </w:t>
      </w:r>
      <w:r>
        <w:rPr>
          <w:rStyle w:val="FootnoteAnchor"/>
          <w:rtl w:val="true"/>
        </w:rPr>
        <w:footnoteReference w:id="1053"/>
      </w:r>
      <w:r>
        <w:rPr>
          <w:rFonts w:ascii="Amiri" w:hAnsi="Amiri" w:eastAsia="Amiri" w:cs="Amiri"/>
          <w:color w:val="111111"/>
          <w:sz w:val="28"/>
          <w:sz w:val="28"/>
          <w:szCs w:val="28"/>
          <w:rtl w:val="true"/>
          <w:lang w:bidi="ar-SA"/>
        </w:rPr>
        <w:t>، و لا بد أن يكون أزيد من قامة الميت عرضا و طولا بمقدار قابل لشد طرفيه الموجب لستر بدن الميت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المنساق من الإطلاقات كون الإزار ساترا، و أما اعتبار ساترية</w:t>
      </w:r>
    </w:p>
    <w:p>
      <w:pPr>
        <w:pStyle w:val="BookText"/>
        <w:rPr/>
      </w:pPr>
      <w:r>
        <w:rPr>
          <w:rFonts w:ascii="Amiri" w:hAnsi="Amiri" w:eastAsia="Amiri" w:cs="Amiri"/>
          <w:color w:val="111111"/>
          <w:sz w:val="28"/>
          <w:sz w:val="28"/>
          <w:szCs w:val="28"/>
          <w:rtl w:val="true"/>
          <w:lang w:bidi="ar-SA"/>
        </w:rPr>
        <w:t>البقية ففيه إشكال، فالأصل البراءة فإنها جهة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راشد </w:t>
      </w:r>
      <w:r>
        <w:rPr>
          <w:rStyle w:val="FootnoteAnchor"/>
          <w:rtl w:val="true"/>
        </w:rPr>
        <w:footnoteReference w:id="1054"/>
      </w:r>
      <w:r>
        <w:rPr>
          <w:rFonts w:ascii="Amiri" w:hAnsi="Amiri" w:eastAsia="Amiri" w:cs="Amiri"/>
          <w:color w:val="111111"/>
          <w:sz w:val="28"/>
          <w:sz w:val="28"/>
          <w:szCs w:val="28"/>
          <w:rtl w:val="true"/>
          <w:lang w:bidi="ar-SA"/>
        </w:rPr>
        <w:t xml:space="preserve">ما يستفاد منه عدم جواز كفن الميت بالحرير، و يمكن استفادة جوازه للنساء مما دل على تنزيل الميت بالمحرم </w:t>
      </w:r>
      <w:r>
        <w:rPr>
          <w:rStyle w:val="FootnoteAnchor"/>
          <w:rtl w:val="true"/>
        </w:rPr>
        <w:footnoteReference w:id="1055"/>
      </w:r>
      <w:r>
        <w:rPr>
          <w:rFonts w:ascii="Amiri" w:hAnsi="Amiri" w:eastAsia="Amiri" w:cs="Amiri"/>
          <w:color w:val="111111"/>
          <w:sz w:val="28"/>
          <w:sz w:val="28"/>
          <w:szCs w:val="28"/>
          <w:rtl w:val="true"/>
          <w:lang w:bidi="ar-SA"/>
        </w:rPr>
        <w:t xml:space="preserve">، بضميمة ما دل على أنّ كل ثوب يصلّى فيه فلا بأس بأن يحرم به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مثل هذه الاستفادة نظر، إذ التنزيل المزبور غير ناظر إلى أزيد من منع الطيب منه غير الكافور، كما صرح به في النص </w:t>
      </w:r>
      <w:r>
        <w:rPr>
          <w:rStyle w:val="FootnoteAnchor"/>
          <w:rtl w:val="true"/>
        </w:rPr>
        <w:footnoteReference w:id="1057"/>
      </w:r>
      <w:r>
        <w:rPr>
          <w:rFonts w:ascii="Amiri" w:hAnsi="Amiri" w:eastAsia="Amiri" w:cs="Amiri"/>
          <w:color w:val="111111"/>
          <w:sz w:val="28"/>
          <w:sz w:val="28"/>
          <w:szCs w:val="28"/>
          <w:rtl w:val="true"/>
          <w:lang w:bidi="ar-SA"/>
        </w:rPr>
        <w:t xml:space="preserve">أيضا، و في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عن تكفين الرجال في الحرير</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و في مفهومه أيضا نظر، فلا وجه لرفع اليد عن الإطلاق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عن بعض الإجماع على عدم جواز التكفين في الحرير حتى في النساء، جريا على الإطلاق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جملة من الأخبار كونه من جنس الثياب </w:t>
      </w:r>
      <w:r>
        <w:rPr>
          <w:rStyle w:val="FootnoteAnchor"/>
          <w:rtl w:val="true"/>
        </w:rPr>
        <w:footnoteReference w:id="1059"/>
      </w:r>
      <w:r>
        <w:rPr>
          <w:rFonts w:ascii="Amiri" w:hAnsi="Amiri" w:eastAsia="Amiri" w:cs="Amiri"/>
          <w:color w:val="111111"/>
          <w:sz w:val="28"/>
          <w:sz w:val="28"/>
          <w:szCs w:val="28"/>
          <w:rtl w:val="true"/>
          <w:lang w:bidi="ar-SA"/>
        </w:rPr>
        <w:t>، فلا يصح فيما يكون من الجلود أو غيره، و لا أقل من نفي الإطلاق، لكون مطلقات الكفن في بيان أصل تشريعه، فترجع المسألة إلى التعيين و التخيير، و الأصل التعيين لقاعدة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كونه من جنس ما يصلّى فيه بخصوصياته، ففيه اشكال، لعدم استفادته من أخبار الباب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التنزيل السابق بالتقريب المتقدم أمكن إثباته، و إلّا فالمسألة</w:t>
      </w:r>
      <w:bookmarkStart w:id="337" w:name="pg19729_212814"/>
    </w:p>
    <w:p>
      <w:pPr>
        <w:pStyle w:val="BookText"/>
        <w:rPr/>
      </w:pPr>
      <w:bookmarkEnd w:id="337"/>
      <w:r>
        <w:rPr>
          <w:rFonts w:ascii="Amiri" w:hAnsi="Amiri" w:eastAsia="Amiri" w:cs="Amiri"/>
          <w:color w:val="111111"/>
          <w:sz w:val="28"/>
          <w:sz w:val="28"/>
          <w:szCs w:val="28"/>
          <w:rtl w:val="true"/>
          <w:lang w:bidi="ar-SA"/>
        </w:rPr>
        <w:t xml:space="preserve">تابعة لتمامية الإجماعات التي ادعيت في المقام، و قد تعرّض في الجواهر لشطر منها </w:t>
      </w:r>
      <w:r>
        <w:rPr>
          <w:rStyle w:val="FootnoteAnchor"/>
          <w:rtl w:val="true"/>
        </w:rPr>
        <w:footnoteReference w:id="1060"/>
      </w:r>
      <w:r>
        <w:rPr>
          <w:rFonts w:ascii="Amiri" w:hAnsi="Amiri" w:eastAsia="Amiri" w:cs="Amiri"/>
          <w:color w:val="111111"/>
          <w:sz w:val="28"/>
          <w:sz w:val="28"/>
          <w:szCs w:val="28"/>
          <w:rtl w:val="true"/>
          <w:lang w:bidi="ar-SA"/>
        </w:rPr>
        <w:t>، فراجع و 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إجماع فهو، و إلّا فللنظر فيه مجال، لو لا رجوع كثير من الخصوصيات المشكوكة إلى التعيين و التخيير، فالمرجع فيها قاعدة الاشتغال،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تعذرت القطع الثلاث فيكتفي بما هو أشمل سترا، و مع الدوران بين القميص و الإزار، ففي تقديم أي واحد إشكال، فينتهي الأمر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أيضا كون القميص فوق الإزار و تحت اللفافة، و في بعض النصوص التصريح بعكس ذلك </w:t>
      </w:r>
      <w:r>
        <w:rPr>
          <w:rStyle w:val="FootnoteAnchor"/>
          <w:rtl w:val="true"/>
        </w:rPr>
        <w:footnoteReference w:id="1061"/>
      </w:r>
      <w:r>
        <w:rPr>
          <w:rFonts w:ascii="Amiri" w:hAnsi="Amiri" w:eastAsia="Amiri" w:cs="Amiri"/>
          <w:color w:val="111111"/>
          <w:sz w:val="28"/>
          <w:sz w:val="28"/>
          <w:szCs w:val="28"/>
          <w:rtl w:val="true"/>
          <w:lang w:bidi="ar-SA"/>
        </w:rPr>
        <w:t>، و يمكن حمله على دفع توهم إيجاب عكسه، كما هو المتعارف في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إن تم سند هذا فترتفع شبهة تعيين المشهور، و إلّا فلا يبعد التعيين المذكور، حملا للإطلاقات على ما هو المتعارف في الأحياء، فتدبّر</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251353_2314609296"/>
      <w:bookmarkStart w:id="339" w:name="_Toc129"/>
      <w:bookmarkEnd w:id="338"/>
      <w:r>
        <w:rPr>
          <w:rtl w:val="true"/>
        </w:rPr>
        <w:t>فرع</w:t>
      </w:r>
      <w:r>
        <w:rPr>
          <w:rtl w:val="true"/>
        </w:rPr>
        <w:t xml:space="preserve">: </w:t>
      </w:r>
      <w:r>
        <w:rPr>
          <w:rtl w:val="true"/>
        </w:rPr>
        <w:t>لا اشكال عندهم في انّ كفن المرأة على زوجها،</w:t>
      </w:r>
      <w:bookmarkEnd w:id="339"/>
    </w:p>
    <w:p>
      <w:pPr>
        <w:pStyle w:val="BookText"/>
        <w:rPr/>
      </w:pPr>
      <w:r>
        <w:rPr>
          <w:rFonts w:ascii="Amiri" w:hAnsi="Amiri" w:eastAsia="Amiri" w:cs="Amiri"/>
          <w:color w:val="111111"/>
          <w:sz w:val="28"/>
          <w:sz w:val="28"/>
          <w:szCs w:val="28"/>
          <w:rtl w:val="true"/>
          <w:lang w:bidi="ar-SA"/>
        </w:rPr>
        <w:t>و يدل عليه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الزوج كفن المرأة</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وضع، و إطلاقه يشمل حال إعساره، فلا يثبت في تركة الميت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الإجماع على ذلك لأمكن منع وجوبه، أو كونه من بيت المال المعد لمصالح المسلمين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هذا البيان، كون الكفن من الديون المقدّم عليها كفن</w:t>
      </w:r>
    </w:p>
    <w:p>
      <w:pPr>
        <w:pStyle w:val="BookText"/>
        <w:rPr/>
      </w:pPr>
      <w:r>
        <w:rPr>
          <w:rFonts w:ascii="Amiri" w:hAnsi="Amiri" w:eastAsia="Amiri" w:cs="Amiri"/>
          <w:color w:val="111111"/>
          <w:sz w:val="28"/>
          <w:sz w:val="28"/>
          <w:szCs w:val="28"/>
          <w:rtl w:val="true"/>
          <w:lang w:bidi="ar-SA"/>
        </w:rPr>
        <w:t>المديون،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من المال الكفن</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فلو تركت المرأة مقدار كفنها، و لم يترك الرجل شيئا، فلازمه تكفين الرجل به دون المرأة، لأنّ الكفن ينتقل إلى الرجل بالإرث، لعدم كون كفنها في تركتها كما أشرنا، غاية الأمر يصير ذلك دينا على الرجل المقدّم عليه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إلحاق باقي مؤن التجهيز بالكفن في كونها على الزوج إشكال، فإن تمّ إجماع على ذلك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حكم الزوج المولى إجماعا، من دون فرق بين أنحاء العبودية، كما لا إشكال في عدم إلحاق باقي الأقارب بالزوجة، لعدم الدليل، حتى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و ماله لأبيه</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مسوق لبيان سلطنة الأب على التصرف في مال الولد زمان حياته، و لا يشمل مثل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أيضا الحنوط، و هو إمساس مساجده بالكافور على المشهور، خلافا للمحكي عن الإسكافي، و الأصل فيه ما في صحيح زرارة للأمر فيه بمسح آثار السجود بالكافور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كفاية مسمّاه، و الاكتفاء بمسح آثار السجود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جملة من النصوص من التحديد بأزيد من المسمّى أو أزيد من المساجد </w:t>
      </w:r>
      <w:r>
        <w:rPr>
          <w:rStyle w:val="FootnoteAnchor"/>
          <w:rtl w:val="true"/>
        </w:rPr>
        <w:footnoteReference w:id="1067"/>
      </w:r>
      <w:r>
        <w:rPr>
          <w:rFonts w:ascii="IRNazanin" w:hAnsi="IRNazanin" w:eastAsia="IRNazanin"/>
          <w:color w:val="111111"/>
          <w:sz w:val="28"/>
          <w:sz w:val="28"/>
          <w:szCs w:val="28"/>
          <w:rtl w:val="true"/>
          <w:lang w:bidi="fa-IR"/>
        </w:rPr>
        <w:t>، 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في الكفن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يزاد للرجل حبرة غير مطرّزة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برد يماني معروف،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زائدا على الثلاثة الأثواب، و 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عن الخمس بدعة</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فلا ينافي مشروعيته، فما عن المدارك من عدم الاستحباب </w:t>
      </w:r>
      <w:r>
        <w:rPr>
          <w:rStyle w:val="FootnoteAnchor"/>
          <w:rtl w:val="true"/>
        </w:rPr>
        <w:footnoteReference w:id="1070"/>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كونها غير مطرّزة بالذهب و الفضة فهو المفتي به من الأصحاب، و لم أر نصا فيه، و لا بأس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لفخذيه يلفهما بها، للأخبار المستفيضة </w:t>
      </w:r>
      <w:r>
        <w:rPr>
          <w:rStyle w:val="FootnoteAnchor"/>
          <w:rtl w:val="true"/>
        </w:rPr>
        <w:footnoteReference w:id="1071"/>
      </w:r>
      <w:r>
        <w:rPr>
          <w:rFonts w:ascii="Amiri" w:hAnsi="Amiri" w:eastAsia="Amiri" w:cs="Amiri"/>
          <w:color w:val="111111"/>
          <w:sz w:val="28"/>
          <w:sz w:val="28"/>
          <w:szCs w:val="28"/>
          <w:rtl w:val="true"/>
          <w:lang w:bidi="ar-SA"/>
        </w:rPr>
        <w:t xml:space="preserve">، و جعلها من الخمسة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عمامة يعمم بها محنكا، للنصوص المستفيضة </w:t>
      </w:r>
      <w:r>
        <w:rPr>
          <w:rStyle w:val="FootnoteAnchor"/>
          <w:rtl w:val="true"/>
        </w:rPr>
        <w:footnoteReference w:id="1073"/>
      </w:r>
      <w:r>
        <w:rPr>
          <w:rFonts w:ascii="Amiri" w:hAnsi="Amiri" w:eastAsia="Amiri" w:cs="Amiri"/>
          <w:color w:val="111111"/>
          <w:sz w:val="28"/>
          <w:sz w:val="28"/>
          <w:szCs w:val="28"/>
          <w:rtl w:val="true"/>
          <w:lang w:bidi="ar-SA"/>
        </w:rPr>
        <w:t xml:space="preserve">، و يزاد للمرأة لفافة أخرى لثدييها، لمرسلة سهل </w:t>
      </w:r>
      <w:r>
        <w:rPr>
          <w:rStyle w:val="FootnoteAnchor"/>
          <w:rtl w:val="true"/>
        </w:rPr>
        <w:footnoteReference w:id="1074"/>
      </w:r>
      <w:r>
        <w:rPr>
          <w:rFonts w:ascii="Amiri" w:hAnsi="Amiri" w:eastAsia="Amiri" w:cs="Amiri"/>
          <w:color w:val="111111"/>
          <w:sz w:val="28"/>
          <w:sz w:val="28"/>
          <w:szCs w:val="28"/>
          <w:rtl w:val="true"/>
          <w:lang w:bidi="ar-SA"/>
        </w:rPr>
        <w:t xml:space="preserve">، و نمطا و هو ثوب خاص له خيوط، و في سند الاستحباب نظر، لعدم استفادة الخصوصية من أخبار الباب، كما لا يخفى، و تعوّض المرأة عن العمامة بقناع، لنص ابن مسلم </w:t>
      </w:r>
      <w:r>
        <w:rPr>
          <w:rStyle w:val="FootnoteAnchor"/>
          <w:rtl w:val="true"/>
        </w:rPr>
        <w:footnoteReference w:id="107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بالقطن، لنص أبي خديجة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تطييبه بالذريرة، لنص سماعة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جريدتان من النخل، للنصوص المتواترة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النصوص الترتيب بين النخل و السدر و الخلاف و مطلق الشجر الرطب </w:t>
      </w:r>
      <w:r>
        <w:rPr>
          <w:rStyle w:val="FootnoteAnchor"/>
          <w:rtl w:val="true"/>
        </w:rPr>
        <w:footnoteReference w:id="1079"/>
      </w:r>
      <w:r>
        <w:rPr>
          <w:rFonts w:ascii="Amiri" w:hAnsi="Amiri" w:eastAsia="Amiri" w:cs="Amiri"/>
          <w:color w:val="111111"/>
          <w:sz w:val="28"/>
          <w:sz w:val="28"/>
          <w:szCs w:val="28"/>
          <w:rtl w:val="true"/>
          <w:lang w:bidi="ar-SA"/>
        </w:rPr>
        <w:t>، و يمكن الحمل على الأهم فالأهم في مراتب الفضيلة، لا التعبّد في الاجتزاء اختيارا 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اللفافة و القميص و الإزار و الجريدتين اسمه، أي اسم الميت، و انه يشهد الشهادتين، لرواية أبي كهمس </w:t>
      </w:r>
      <w:r>
        <w:rPr>
          <w:rStyle w:val="FootnoteAnchor"/>
          <w:rtl w:val="true"/>
        </w:rPr>
        <w:footnoteReference w:id="1080"/>
      </w:r>
      <w:r>
        <w:rPr>
          <w:rFonts w:ascii="Amiri" w:hAnsi="Amiri" w:eastAsia="Amiri" w:cs="Amiri"/>
          <w:color w:val="111111"/>
          <w:sz w:val="28"/>
          <w:sz w:val="28"/>
          <w:szCs w:val="28"/>
          <w:rtl w:val="true"/>
          <w:lang w:bidi="ar-SA"/>
        </w:rPr>
        <w:t>، و هي غير وافية بتمام الخصوصيات المذكورة، بل و ليس فيها الشهادة بالرسالة، نعم لا بأس بما ذكروه رجاء، لاشتهاره بين الأصحاب، و من ذلك يظهر ضعف إضافة أسماء الأئمة عليهم السّلام إليهما و إن اشتهر الفتوى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الكافور ثلاثة عشر درهما و ثلثا، لبعض النصوص المستفاد منها ذلك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التكفين في السواد، للنهي عنه </w:t>
      </w:r>
      <w:r>
        <w:rPr>
          <w:rStyle w:val="FootnoteAnchor"/>
          <w:rtl w:val="true"/>
        </w:rPr>
        <w:footnoteReference w:id="1082"/>
      </w:r>
      <w:r>
        <w:rPr>
          <w:rFonts w:ascii="Amiri" w:hAnsi="Amiri" w:eastAsia="Amiri" w:cs="Amiri"/>
          <w:color w:val="111111"/>
          <w:sz w:val="28"/>
          <w:sz w:val="28"/>
          <w:szCs w:val="28"/>
          <w:rtl w:val="true"/>
          <w:lang w:bidi="ar-SA"/>
        </w:rPr>
        <w:t xml:space="preserve">، المحمول على الكراهة قبال المطلقات، و جعل الكافور في سمعه و بصره، لما في خبر يونس </w:t>
      </w:r>
      <w:r>
        <w:rPr>
          <w:rStyle w:val="FootnoteAnchor"/>
          <w:rtl w:val="true"/>
        </w:rPr>
        <w:footnoteReference w:id="1083"/>
      </w:r>
      <w:r>
        <w:rPr>
          <w:rFonts w:ascii="Amiri" w:hAnsi="Amiri" w:eastAsia="Amiri" w:cs="Amiri"/>
          <w:color w:val="111111"/>
          <w:sz w:val="28"/>
          <w:sz w:val="28"/>
          <w:szCs w:val="28"/>
          <w:rtl w:val="true"/>
          <w:lang w:bidi="ar-SA"/>
        </w:rPr>
        <w:t>المشتمل على النهي عنه، و تجمير الأكفان، للنص</w:t>
      </w:r>
      <w:bookmarkStart w:id="340" w:name="pg19729_212818"/>
    </w:p>
    <w:p>
      <w:pPr>
        <w:pStyle w:val="BookText"/>
        <w:rPr/>
      </w:pPr>
      <w:bookmarkEnd w:id="340"/>
      <w:r>
        <w:rPr>
          <w:rFonts w:ascii="Amiri" w:hAnsi="Amiri" w:eastAsia="Amiri" w:cs="Amiri"/>
          <w:color w:val="111111"/>
          <w:sz w:val="28"/>
          <w:sz w:val="28"/>
          <w:szCs w:val="28"/>
          <w:rtl w:val="true"/>
          <w:lang w:bidi="ar-SA"/>
        </w:rPr>
        <w:t xml:space="preserve">الناهي عنه </w:t>
      </w:r>
      <w:r>
        <w:rPr>
          <w:rStyle w:val="FootnoteAnchor"/>
          <w:rtl w:val="true"/>
        </w:rPr>
        <w:footnoteReference w:id="1084"/>
      </w:r>
      <w:r>
        <w:rPr>
          <w:rFonts w:ascii="Amiri" w:hAnsi="Amiri" w:eastAsia="Amiri" w:cs="Amiri"/>
          <w:color w:val="111111"/>
          <w:sz w:val="28"/>
          <w:sz w:val="28"/>
          <w:szCs w:val="28"/>
          <w:rtl w:val="true"/>
          <w:lang w:bidi="ar-SA"/>
        </w:rPr>
        <w:t>، المحمول عندهم على الكراهة إجماعا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251355_2314609296"/>
      <w:bookmarkStart w:id="342" w:name="_Toc130"/>
      <w:bookmarkEnd w:id="341"/>
      <w:r>
        <w:rPr>
          <w:rtl w:val="true"/>
        </w:rPr>
        <w:t>الرابع</w:t>
      </w:r>
      <w:r>
        <w:rPr>
          <w:rtl w:val="true"/>
        </w:rPr>
        <w:t xml:space="preserve">: </w:t>
      </w:r>
      <w:r>
        <w:rPr>
          <w:rtl w:val="true"/>
        </w:rPr>
        <w:t>الصلاة عليه</w:t>
      </w:r>
      <w:bookmarkEnd w:id="342"/>
    </w:p>
    <w:p>
      <w:pPr>
        <w:pStyle w:val="Heading6"/>
        <w:numPr>
          <w:ilvl w:val="5"/>
          <w:numId w:val="1"/>
        </w:numPr>
        <w:rPr/>
      </w:pPr>
      <w:bookmarkStart w:id="343" w:name="__RefHeading___Toc3251357_2314609296"/>
      <w:bookmarkStart w:id="344" w:name="_Toc13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بلا اشكال فيه في الجملة، و النصوص به وافية </w:t>
      </w:r>
      <w:r>
        <w:rPr>
          <w:rStyle w:val="FootnoteAnchor"/>
          <w:rtl w:val="true"/>
        </w:rPr>
        <w:footnoteReference w:id="1085"/>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من قال لا إله إلّا اللّٰه</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و ظاهر الخطاب وجوبه على جميع المسلمين، غاية الأمر كفائيا إجماعا و 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يشرط إذن الاولى بالميت بالتقريب السابق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العموم في المصلّى عليه شمول الحكم لكل موحّد، و الظاهر اختصاصه بالمسلم، بقرينة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القبلة</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في نص آخر، بل الظاهر وجوب الصلاة على ميت الأطفال إذا بلغ الست، لنص ابن مسلم </w:t>
      </w:r>
      <w:r>
        <w:rPr>
          <w:rStyle w:val="FootnoteAnchor"/>
          <w:rtl w:val="true"/>
        </w:rPr>
        <w:footnoteReference w:id="1088"/>
      </w:r>
      <w:r>
        <w:rPr>
          <w:rFonts w:ascii="Amiri" w:hAnsi="Amiri" w:eastAsia="Amiri" w:cs="Amiri"/>
          <w:color w:val="111111"/>
          <w:sz w:val="28"/>
          <w:sz w:val="28"/>
          <w:szCs w:val="28"/>
          <w:rtl w:val="true"/>
          <w:lang w:bidi="ar-SA"/>
        </w:rPr>
        <w:t xml:space="preserve">، المقيّد لإطلاق الخبر النافي عمن لم يبلغ مطلقا </w:t>
      </w:r>
      <w:r>
        <w:rPr>
          <w:rStyle w:val="FootnoteAnchor"/>
          <w:rtl w:val="true"/>
        </w:rPr>
        <w:footnoteReference w:id="1089"/>
      </w:r>
      <w:r>
        <w:rPr>
          <w:rFonts w:ascii="Amiri" w:hAnsi="Amiri" w:eastAsia="Amiri" w:cs="Amiri"/>
          <w:color w:val="111111"/>
          <w:sz w:val="28"/>
          <w:sz w:val="28"/>
          <w:szCs w:val="28"/>
          <w:rtl w:val="true"/>
          <w:lang w:bidi="ar-SA"/>
        </w:rPr>
        <w:t>، لو لا احتمال حمل المقيّد على الفضيلة، و المشهور اختاروا الجمع الأول،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تحديد سن من تجب عليه الصلاة، بعد الفراغ عن أصل وجوبها، فلا إطلاق له كي يشمل ولد الكافر، و لا المشكوك كونه من المسلم، فأصالة عدم الوجوب هو المرجع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على مسلك صاحب الجواهر، من قوله بإطلاق النص، و خروج ولد الكافر بالإجماع </w:t>
      </w:r>
      <w:r>
        <w:rPr>
          <w:rStyle w:val="FootnoteAnchor"/>
          <w:rtl w:val="true"/>
        </w:rPr>
        <w:footnoteReference w:id="1090"/>
      </w:r>
      <w:r>
        <w:rPr>
          <w:rFonts w:ascii="Amiri" w:hAnsi="Amiri" w:eastAsia="Amiri" w:cs="Amiri"/>
          <w:color w:val="111111"/>
          <w:sz w:val="28"/>
          <w:sz w:val="28"/>
          <w:szCs w:val="28"/>
          <w:rtl w:val="true"/>
          <w:lang w:bidi="ar-SA"/>
        </w:rPr>
        <w:t>، أن 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الشبهة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التي هي مصداقية للمخصص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تجب على كل ميت مسلم، أو بحكمه، ممن بلغ ست سنين من أولادهم، ذكرا كان أو أنثى، حرا كان أو عبدا، و تستحب على من نقص سنة عن ذلك، لنص ابن يقطين المشتمل على استثناء السقط غير التام </w:t>
      </w:r>
      <w:r>
        <w:rPr>
          <w:rStyle w:val="FootnoteAnchor"/>
          <w:rtl w:val="true"/>
        </w:rPr>
        <w:footnoteReference w:id="1092"/>
      </w:r>
      <w:r>
        <w:rPr>
          <w:rFonts w:ascii="Amiri" w:hAnsi="Amiri" w:eastAsia="Amiri" w:cs="Amiri"/>
          <w:color w:val="111111"/>
          <w:sz w:val="28"/>
          <w:sz w:val="28"/>
          <w:szCs w:val="28"/>
          <w:rtl w:val="true"/>
          <w:lang w:bidi="ar-SA"/>
        </w:rPr>
        <w:t xml:space="preserve">، بضميمة الجمع بينه و بين الرواية السابقة </w:t>
      </w:r>
      <w:r>
        <w:rPr>
          <w:rStyle w:val="FootnoteAnchor"/>
          <w:rtl w:val="true"/>
        </w:rPr>
        <w:footnoteReference w:id="1093"/>
      </w:r>
      <w:r>
        <w:rPr>
          <w:rFonts w:ascii="IRNazanin" w:hAnsi="IRNazanin" w:eastAsia="IRNazanin"/>
          <w:color w:val="111111"/>
          <w:sz w:val="28"/>
          <w:sz w:val="28"/>
          <w:szCs w:val="28"/>
          <w:rtl w:val="true"/>
          <w:lang w:bidi="fa-IR"/>
        </w:rPr>
        <w:t>بالاستحباب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شموله للتام المتولد و لو ميتا، و عن بعض المحشين تقييده بالمتولد حيا، و لا وجه له مع إطلاق النص،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ترك النبي صلّى الهّٰت عليه و آله و سلم الصلاة على ولده إبراهيم، لإمكان انطباق عنوان على الترك جعله أرجح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يستشعر من اعتذار الإمام لصلاته على ابن ثلاث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الناس صنعوا ذلك</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انّ الأمر بالصلاة كان تقية، فلو لا التسامح في أدلة السنن لأشكل الفتوى بالاستحباب، و لكن الذي يسهّل الخطب أنه لا بأس بإتيانها رجاء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أولاهم بالصلاة عليه أولاهم بالميراث بلا اشكال فيه في الجملة فتوى و نصا </w:t>
      </w:r>
      <w:r>
        <w:rPr>
          <w:rStyle w:val="FootnoteAnchor"/>
          <w:rtl w:val="true"/>
        </w:rPr>
        <w:footnoteReference w:id="1095"/>
      </w:r>
      <w:r>
        <w:rPr>
          <w:rFonts w:ascii="Amiri" w:hAnsi="Amiri" w:eastAsia="Amiri" w:cs="Amiri"/>
          <w:color w:val="111111"/>
          <w:sz w:val="28"/>
          <w:sz w:val="28"/>
          <w:szCs w:val="28"/>
          <w:rtl w:val="true"/>
          <w:lang w:bidi="ar-SA"/>
        </w:rPr>
        <w:t xml:space="preserve">، 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بالميت</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الأرحام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و ما ورد في باب القضاء عن</w:t>
      </w:r>
    </w:p>
    <w:p>
      <w:pPr>
        <w:pStyle w:val="BookText"/>
        <w:rPr/>
      </w:pPr>
      <w:r>
        <w:rPr>
          <w:rFonts w:ascii="Amiri" w:hAnsi="Amiri" w:eastAsia="Amiri" w:cs="Amiri"/>
          <w:color w:val="111111"/>
          <w:sz w:val="28"/>
          <w:sz w:val="28"/>
          <w:szCs w:val="28"/>
          <w:rtl w:val="true"/>
          <w:lang w:bidi="ar-SA"/>
        </w:rPr>
        <w:t xml:space="preserve">الميت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حينئذ مجال لاحتمال صاحب المدارك </w:t>
      </w:r>
      <w:r>
        <w:rPr>
          <w:rStyle w:val="FootnoteAnchor"/>
          <w:rtl w:val="true"/>
        </w:rPr>
        <w:footnoteReference w:id="1099"/>
      </w:r>
      <w:r>
        <w:rPr>
          <w:rFonts w:ascii="Amiri" w:hAnsi="Amiri" w:eastAsia="Amiri" w:cs="Amiri"/>
          <w:color w:val="111111"/>
          <w:sz w:val="28"/>
          <w:sz w:val="28"/>
          <w:szCs w:val="28"/>
          <w:rtl w:val="true"/>
          <w:lang w:bidi="ar-SA"/>
        </w:rPr>
        <w:t>من إمكان حمله على الأولوية إرفاقا، لأنه خلاف المعهود من مثل هذا اللفظ المستعمل في الموارد المختلفة بمعنى الأولوية إرثا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تقريب حمله على الأولوية إرثا بإطلاق الأولوية، إذ لو حمل على الإطلاق لوجب الأخذ بالأولوية من جميع الجهات، و إلّا فالأشفق غير الوارث أو العكس لا يكون له مثل هذه الأولوية المطلقة، فلو أريد منه مطلقها يلزم الأخذ بالأولوية شفقة أيضا فقط،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الأولوية ميراثا تساوي أهل طبقة واحدة، لكن الأصحاب قدّموا الأب على الولد، و هكذا كل متقرّب بالأب على المتقرّب بالأم، بل 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 للأب أولى من الأخ للأبوين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الأول ليس إلّا التسالم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الثاني ربما يستفاد من رواية الكناسي الطويلة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 فوجهه غير معلوم عدا توهم أشفقيته على الميت من غيره، بضميمة انّ المراد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المطلقة حتى الأشفقية، بل ربما يكون ذلك أيضا وجه الأول على اشكال فيه، للزوم المحذور في مورد التفكيك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الولي صغيرا، ففي قيام الولي مقامه وجه مبتن على شمول دليل الولاية للأحكام مضافة إلى الحقوق، و هو لا يخلو عن اشكال، و عليه</w:t>
      </w:r>
    </w:p>
    <w:p>
      <w:pPr>
        <w:pStyle w:val="BookText"/>
        <w:rPr/>
      </w:pPr>
      <w:r>
        <w:rPr>
          <w:rFonts w:ascii="Amiri" w:hAnsi="Amiri" w:eastAsia="Amiri" w:cs="Amiri"/>
          <w:color w:val="111111"/>
          <w:sz w:val="28"/>
          <w:sz w:val="28"/>
          <w:szCs w:val="28"/>
          <w:rtl w:val="true"/>
          <w:lang w:bidi="ar-SA"/>
        </w:rPr>
        <w:t>ففي سقوط ولاية الصلاة أو ثبوتها في الطبقة الثانية المحجوبة اشكال آخر، مبني على فرض قيام الدليل على عدم سقوطها، كي يلاحظ سائر الطبقات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قريبا حينئذ إجراء حكم من لا ولي له عليه، لأن المدار في الأولية ميراثا على الميراث فعلا لا اقتضاء، و المفروض أنه غير صالح للإذن و لا للعمل، كما أنّ الطبقة المحجوبة لا ترث فعلا بل اقتضاء، فينتهي الأمر إلى الحكام، و الأحوط الجمع بين اذن الولي و الطبقة المحجوبة التالية و الحكام في الصلاة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الاستظهار في الإرث الفعلي أيضا ظهر عدم انتهاء الأمر إلى من فيه أحد موانع الإرث، بل المرجع من هو وارث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الزوج أولى من غيره حتى من أقربائه الوارثين، بلا إشكال أيضا نصا </w:t>
      </w:r>
      <w:r>
        <w:rPr>
          <w:rStyle w:val="FootnoteAnchor"/>
          <w:rtl w:val="true"/>
        </w:rPr>
        <w:footnoteReference w:id="1102"/>
      </w:r>
      <w:r>
        <w:rPr>
          <w:rFonts w:ascii="Amiri" w:hAnsi="Amiri" w:eastAsia="Amiri" w:cs="Amiri"/>
          <w:color w:val="111111"/>
          <w:sz w:val="28"/>
          <w:sz w:val="28"/>
          <w:szCs w:val="28"/>
          <w:rtl w:val="true"/>
          <w:lang w:bidi="ar-SA"/>
        </w:rPr>
        <w:t xml:space="preserve">و فتوى، و في بعض النصوص التصريح بتقدّم الزوج على الأب و الولد و الأخ </w:t>
      </w:r>
      <w:r>
        <w:rPr>
          <w:rStyle w:val="FootnoteAnchor"/>
          <w:rtl w:val="true"/>
        </w:rPr>
        <w:footnoteReference w:id="1103"/>
      </w:r>
      <w:r>
        <w:rPr>
          <w:rFonts w:ascii="Amiri" w:hAnsi="Amiri" w:eastAsia="Amiri" w:cs="Amiri"/>
          <w:color w:val="111111"/>
          <w:sz w:val="28"/>
          <w:sz w:val="28"/>
          <w:szCs w:val="28"/>
          <w:rtl w:val="true"/>
          <w:lang w:bidi="ar-SA"/>
        </w:rPr>
        <w:t xml:space="preserve">، و ما في بعض الأخبار من تقديم الأخ على الزوج </w:t>
      </w:r>
      <w:r>
        <w:rPr>
          <w:rStyle w:val="FootnoteAnchor"/>
          <w:rtl w:val="true"/>
        </w:rPr>
        <w:footnoteReference w:id="1104"/>
      </w:r>
      <w:r>
        <w:rPr>
          <w:rFonts w:ascii="IRNazanin" w:hAnsi="IRNazanin" w:eastAsia="IRNazanin"/>
          <w:color w:val="111111"/>
          <w:sz w:val="28"/>
          <w:sz w:val="28"/>
          <w:szCs w:val="28"/>
          <w:rtl w:val="true"/>
          <w:lang w:bidi="fa-IR"/>
        </w:rPr>
        <w:t>مطروح أو مؤوّل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الحكم المزبور بين الدائمة و المنقطعة، و لا بين الحرة و الأمة، بل المطلقة رجعيا ما دامت العدة باقية تكون بحكم الزوجة أيضا، و أما المملوكة غير المزوجة فالأولى بها مولاها كالمملوك، لظهور تسالمهم على قيام الإجماع على ذلك، بل لأنه هو الأولى بها إرثا، بناء على ملكيتها، للنص </w:t>
      </w:r>
      <w:r>
        <w:rPr>
          <w:rStyle w:val="FootnoteAnchor"/>
          <w:rtl w:val="true"/>
        </w:rPr>
        <w:footnoteReference w:id="1105"/>
      </w:r>
      <w:r>
        <w:rPr>
          <w:rFonts w:ascii="Amiri" w:hAnsi="Amiri" w:eastAsia="Amiri" w:cs="Amiri"/>
          <w:color w:val="111111"/>
          <w:sz w:val="28"/>
          <w:sz w:val="28"/>
          <w:szCs w:val="28"/>
          <w:rtl w:val="true"/>
          <w:lang w:bidi="ar-SA"/>
        </w:rPr>
        <w:t>، و الإجماع على انتقال ما بيدها إلى مولاها، مضافا إلى</w:t>
      </w:r>
    </w:p>
    <w:p>
      <w:pPr>
        <w:pStyle w:val="BookText"/>
        <w:rPr/>
      </w:pPr>
      <w:r>
        <w:rPr>
          <w:rFonts w:ascii="Amiri" w:hAnsi="Amiri" w:eastAsia="Amiri" w:cs="Amiri"/>
          <w:color w:val="111111"/>
          <w:sz w:val="28"/>
          <w:sz w:val="28"/>
          <w:szCs w:val="28"/>
          <w:rtl w:val="true"/>
          <w:lang w:bidi="ar-SA"/>
        </w:rPr>
        <w:t>استصحاب ولايته في جميع أمور مملوكه حال الحياة، الشامل عموم هذا الحكم بقاء لما بعد الموت في مثل هذه الأمور، نظير شمول الحكم الثابت للعناوين الكلية للفرد الحادث حين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 انّ الهاشمي أحق إذا قدّمه الولي و ذلك ظاهر و لا تخصيص لهذه الجهة بالهاشمي، إذ بعد شرطية اذن الولي في صحة عمل الغير، فكل من اختاره الولي كان أحق بالعمل من غيره هاشميا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يستحب له أي للولي تقديمه مع الشرائط تجليلا لشأنهم، و لأولويته في باب صلاة الجماعة الجاري مناطه في المقام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تعين من عيّنه الميت بوصيته اشكال، لقصور شمول دليل الوصية لمثل هذه الأمور غير الثابتة له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مع عدم من ذكر، بل مع وجودهم أيضا أولى من غيره، لأنه أولى بالمؤمن من نفسه، و به نصوص أيضا </w:t>
      </w:r>
      <w:r>
        <w:rPr>
          <w:rStyle w:val="FootnoteAnchor"/>
          <w:rtl w:val="true"/>
        </w:rPr>
        <w:footnoteReference w:id="1107"/>
      </w:r>
      <w:r>
        <w:rPr>
          <w:rFonts w:ascii="Amiri" w:hAnsi="Amiri" w:eastAsia="Amiri" w:cs="Amiri"/>
          <w:color w:val="111111"/>
          <w:sz w:val="28"/>
          <w:sz w:val="28"/>
          <w:szCs w:val="28"/>
          <w:rtl w:val="true"/>
          <w:lang w:bidi="ar-SA"/>
        </w:rPr>
        <w:t xml:space="preserve">، و لا اشكال فيه نصا و فتوى، و إنما الإشكال في قيام الحاكم مقامه، و لا دليل عليه بهذا الإطلاق بعد عدم ثبوت الولاية العامة، نعم مع فقد الأولياء بطبقاتهم ينتهي الأمر إلى الحكام، بمناط الحسبية، أو بملاحظة كونه حينئذ من وظائف قضاة الجور، الثابت لقضاتنا بفحوى المقبولة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الصلاة ثبت وجوبها على الكفاية إجماعا، فهي فرض على كل أحد كفاية، و لا تختص بصنف دون صنف، نظرا إلى إطلاق</w:t>
      </w:r>
      <w:bookmarkStart w:id="345" w:name="pg19729_212823"/>
    </w:p>
    <w:p>
      <w:pPr>
        <w:pStyle w:val="BookText"/>
        <w:rPr/>
      </w:pPr>
      <w:bookmarkEnd w:id="345"/>
      <w:r>
        <w:rPr>
          <w:rFonts w:ascii="IRNazanin" w:hAnsi="IRNazanin" w:eastAsia="IRNazanin"/>
          <w:color w:val="111111"/>
          <w:sz w:val="28"/>
          <w:sz w:val="28"/>
          <w:szCs w:val="28"/>
          <w:rtl w:val="true"/>
          <w:lang w:bidi="fa-IR"/>
        </w:rPr>
        <w:t xml:space="preserve">أوامرها </w:t>
      </w:r>
      <w:r>
        <w:rPr>
          <w:rStyle w:val="FootnoteAnchor"/>
          <w:rtl w:val="true"/>
        </w:rPr>
        <w:footnoteReference w:id="1109"/>
      </w:r>
      <w:r>
        <w:rPr>
          <w:rFonts w:ascii="Amiri" w:hAnsi="Amiri" w:eastAsia="Amiri" w:cs="Amiri"/>
          <w:color w:val="111111"/>
          <w:sz w:val="28"/>
          <w:sz w:val="28"/>
          <w:szCs w:val="28"/>
          <w:rtl w:val="true"/>
          <w:lang w:bidi="ar-SA"/>
        </w:rPr>
        <w:t>، نعم اشترطت صحتها من غير الولي بإذنه كما تقدّم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251359_2314609296"/>
      <w:bookmarkStart w:id="347" w:name="_Toc132"/>
      <w:bookmarkEnd w:id="346"/>
      <w:r>
        <w:rPr>
          <w:rtl w:val="true"/>
        </w:rPr>
        <w:t>و كيفيتها</w:t>
      </w:r>
      <w:r>
        <w:rPr>
          <w:rtl w:val="true"/>
        </w:rPr>
        <w:t xml:space="preserve">: </w:t>
      </w:r>
      <w:r>
        <w:rPr>
          <w:rtl w:val="true"/>
        </w:rPr>
        <w:t>أن يكبّر بعد النية المتعلّقة بالميت الخاص و لو بالتعيين الإجمالي،</w:t>
      </w:r>
      <w:bookmarkEnd w:id="347"/>
    </w:p>
    <w:p>
      <w:pPr>
        <w:pStyle w:val="BookText"/>
        <w:rPr/>
      </w:pPr>
      <w:r>
        <w:rPr>
          <w:rFonts w:ascii="Amiri" w:hAnsi="Amiri" w:eastAsia="Amiri" w:cs="Amiri"/>
          <w:color w:val="111111"/>
          <w:sz w:val="28"/>
          <w:sz w:val="28"/>
          <w:szCs w:val="28"/>
          <w:rtl w:val="true"/>
          <w:lang w:bidi="ar-SA"/>
        </w:rPr>
        <w:t>بضميمة اعتبار ما يعتبر في نية غيرها من سائر العبادات جزما، خمسا بينها أربعة أدعية،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و يتشهد الشهادتين، ثم يصلّي على النبي و آله عليهم السّلام بعد الثانية، ثم يدعو للمؤمنين بعد الثالثة، ثم يدعو للميت إن كان مؤمنا، و عليه إن كان منافقا، و بدعاء المستضعفين إن كان منهم في الرابعة، ثم يكبّر إن كان مؤمنا أو مستضعفا، و إلّا فينصرف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للمنافق أربعا و لغيره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مطلقات الخمس </w:t>
      </w:r>
      <w:r>
        <w:rPr>
          <w:rStyle w:val="FootnoteAnchor"/>
          <w:rtl w:val="true"/>
        </w:rPr>
        <w:footnoteReference w:id="1110"/>
      </w:r>
      <w:r>
        <w:rPr>
          <w:rFonts w:ascii="Amiri" w:hAnsi="Amiri" w:eastAsia="Amiri" w:cs="Amiri"/>
          <w:color w:val="111111"/>
          <w:sz w:val="28"/>
          <w:sz w:val="28"/>
          <w:szCs w:val="28"/>
          <w:rtl w:val="true"/>
          <w:lang w:bidi="ar-SA"/>
        </w:rPr>
        <w:t xml:space="preserve">، و بين صحيح ابن مهاجر المصرّح بالأربع في المنافق </w:t>
      </w:r>
      <w:r>
        <w:rPr>
          <w:rStyle w:val="FootnoteAnchor"/>
          <w:rtl w:val="true"/>
        </w:rPr>
        <w:footnoteReference w:id="1111"/>
      </w:r>
      <w:r>
        <w:rPr>
          <w:rFonts w:ascii="Amiri" w:hAnsi="Amiri" w:eastAsia="Amiri" w:cs="Amiri"/>
          <w:color w:val="111111"/>
          <w:sz w:val="28"/>
          <w:sz w:val="28"/>
          <w:szCs w:val="28"/>
          <w:rtl w:val="true"/>
          <w:lang w:bidi="ar-SA"/>
        </w:rPr>
        <w:t>، و لازمة دخول المستضعفين في مطلقات الخمس، كما أن في صورة الشك في كونه منافقا يلحق المشكوك بغيره بأصالة عدم الاتصاف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ليس في التكبيرات شي‌ء موقت، كبّر رسول اللّٰه أحد عشر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إلخ،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كبّرت سبعين تكبيرة لكان أهلا</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فضعيف مطروح أو مؤوّل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يكبّر و ينصرف</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و ظاهره عدم احتياج</w:t>
      </w:r>
    </w:p>
    <w:p>
      <w:pPr>
        <w:pStyle w:val="BookText"/>
        <w:rPr/>
      </w:pPr>
      <w:r>
        <w:rPr>
          <w:rFonts w:ascii="Amiri" w:hAnsi="Amiri" w:eastAsia="Amiri" w:cs="Amiri"/>
          <w:color w:val="111111"/>
          <w:sz w:val="28"/>
          <w:sz w:val="28"/>
          <w:szCs w:val="28"/>
          <w:rtl w:val="true"/>
          <w:lang w:bidi="ar-SA"/>
        </w:rPr>
        <w:t>الانصراف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قصد زيادة تكبيرة جزء ففيها اشكال، نظير ما ذكرناه في باب الطواف من كتاب الحج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انّ الواجب في الصلاة المزبورة أربعة أدعية، و أن الترتيب المزبور من باب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نسبة هذا الترتيب و الخصوصية إلى المشهور </w:t>
      </w:r>
      <w:r>
        <w:rPr>
          <w:rStyle w:val="FootnoteAnchor"/>
          <w:rtl w:val="true"/>
        </w:rPr>
        <w:footnoteReference w:id="1115"/>
      </w:r>
      <w:r>
        <w:rPr>
          <w:rFonts w:ascii="Amiri" w:hAnsi="Amiri" w:eastAsia="Amiri" w:cs="Amiri"/>
          <w:color w:val="111111"/>
          <w:sz w:val="28"/>
          <w:sz w:val="28"/>
          <w:szCs w:val="28"/>
          <w:rtl w:val="true"/>
          <w:lang w:bidi="ar-SA"/>
        </w:rPr>
        <w:t xml:space="preserve">، و الأخبار بهذا المضمون مستفيضة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قبالها أخبار أخر كثيرة على خلافها </w:t>
      </w:r>
      <w:r>
        <w:rPr>
          <w:rStyle w:val="FootnoteAnchor"/>
          <w:rtl w:val="true"/>
        </w:rPr>
        <w:footnoteReference w:id="1117"/>
      </w:r>
      <w:r>
        <w:rPr>
          <w:rFonts w:ascii="Amiri" w:hAnsi="Amiri" w:eastAsia="Amiri" w:cs="Amiri"/>
          <w:color w:val="111111"/>
          <w:sz w:val="28"/>
          <w:sz w:val="28"/>
          <w:szCs w:val="28"/>
          <w:rtl w:val="true"/>
          <w:lang w:bidi="ar-SA"/>
        </w:rPr>
        <w:t>، إذ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بينهن أربع صلوات</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الأول فاتحة، و في الثاني الصلاة على النبي</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يكبّر ثم يصلّي على النبي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الشهادة و الصلاة في الاولى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المسجّى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اللهم إنّا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اللهم إن كان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يكبّر الثانية و يفعل ذلك في كل تكبيرة</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 بعد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مقتضى الجمع بين هذه الأخبار هو الحمل على وجوب</w:t>
      </w:r>
    </w:p>
    <w:p>
      <w:pPr>
        <w:pStyle w:val="BookText"/>
        <w:rPr/>
      </w:pPr>
      <w:r>
        <w:rPr>
          <w:rFonts w:ascii="Amiri" w:hAnsi="Amiri" w:eastAsia="Amiri" w:cs="Amiri"/>
          <w:color w:val="111111"/>
          <w:sz w:val="28"/>
          <w:sz w:val="28"/>
          <w:szCs w:val="28"/>
          <w:rtl w:val="true"/>
          <w:lang w:bidi="ar-SA"/>
        </w:rPr>
        <w:t>جامع بين هذه الأدعية، و حمل خصوصياتها على الفضيلة، كما هو ظاهر المصنف، أو الأخذ بما اشتملت على المذكورات بالترتيب المزبور، و طرح البقية الخالية عنها، أو حملها على بيان زيادة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الخصوصيات طرا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وجوب الجامع بينها، إذ لا ظهور في واحد منها في طلب الجامع كي يؤخذ به و يطرح ظاهر البواقي، بل الطلب في كل واحد متعلّق بحصة مخصوصة موجودة في ضمن فرد خاص معلوم استحبابه، فلا يبقى في البين جهة ظهور طلب في الجامع، كي يؤخذ بوجوبه، لعدم القرينة، و الحكم بانتزاع العقل من المجموع طلبا للجامع، و هو صالح البقاء على ظهوره في الجامع، كلام ظاهري لا 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فالأمر يدور بين حمل أصل الدعاء بين التكبيرات على الفضيلة، و أن الواجب هو نفسها، أو الأخذ بمذهب المشهور من طرح الفاقد، أو تأويله بالتقييد بوجود الذكر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على بيان الفضيلة محضا، و إيكال بيان الواجب إلى 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بعد في مثل هذه التأويلات، لو لا دعوى عدم صلاحية إعراض المشهور في مثل المقام لوهن السند، و عدم الاعتبار في إعراضهم عن الكيفية التي يساعد العرف عليها في الجمع الدلالي، خصوصا مع عدم اقتضاء القرائن المنفصلة لكسر صولة الظهور، و إنما يرفع بها اليد عن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بأس بأخذ ظهور الجمع، و رفع اليد عن حجيتها في الخصوصيات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لا بلوغ الشهرة المزبورة حد الإجماع، لم يكن بأس بحمل كثرة الاختلاف على مراتب الفضيلة، نظير كثرة الاختلاف في منزوحات البئر المحمولة على مراتب الفضيلة، فيكون القدر الواجب هي التكبيرات</w:t>
      </w:r>
    </w:p>
    <w:p>
      <w:pPr>
        <w:pStyle w:val="BookText"/>
        <w:rPr/>
      </w:pPr>
      <w:r>
        <w:rPr>
          <w:rFonts w:ascii="Amiri" w:hAnsi="Amiri" w:eastAsia="Amiri" w:cs="Amiri"/>
          <w:color w:val="111111"/>
          <w:sz w:val="28"/>
          <w:sz w:val="28"/>
          <w:szCs w:val="28"/>
          <w:rtl w:val="true"/>
          <w:lang w:bidi="ar-SA"/>
        </w:rPr>
        <w:t xml:space="preserve">محضا، كما عن المحقق في شرائعه </w:t>
      </w:r>
      <w:r>
        <w:rPr>
          <w:rStyle w:val="FootnoteAnchor"/>
          <w:rtl w:val="true"/>
        </w:rPr>
        <w:footnoteReference w:id="1123"/>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الدعاء على المنافق أيضا منصوص عليه، و كذلك الدعاء للمستضعف، كما في رواية زرارة و ابن مسلم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الميت طفلا سأل اللّٰه تعالى أن يجعله لأبويه فرطا، كما في بعض النصوص </w:t>
      </w:r>
      <w:r>
        <w:rPr>
          <w:rStyle w:val="FootnoteAnchor"/>
          <w:rtl w:val="true"/>
        </w:rPr>
        <w:footnoteReference w:id="1125"/>
      </w:r>
      <w:r>
        <w:rPr>
          <w:rFonts w:ascii="IRNazanin" w:hAnsi="IRNazanin" w:eastAsia="IRNazanin"/>
          <w:color w:val="111111"/>
          <w:sz w:val="28"/>
          <w:sz w:val="28"/>
          <w:szCs w:val="28"/>
          <w:rtl w:val="true"/>
          <w:lang w:bidi="fa-IR"/>
        </w:rPr>
        <w:t>المحمول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لم يعرفه سأل اللّٰه تعالى أن يحشره مع من كان يتولاه، كما في بعض النصوص </w:t>
      </w:r>
      <w:r>
        <w:rPr>
          <w:rStyle w:val="FootnoteAnchor"/>
          <w:rtl w:val="true"/>
        </w:rPr>
        <w:footnoteReference w:id="112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الخامسة و ينصرف بعد رفع الجنازة، لما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يبرح عن مصلاه حتى يراها على أيدي الرجال</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و ظاهره كراهة الانصراف قبله، لا بقاؤه في مكانه إلى أن ترفع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قراءة فيها و لا تسليم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قراءة و لا دعاء موقت</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 و يجمع بينه و بين ما دل على القراءة في بعض التكبيرات </w:t>
      </w:r>
      <w:r>
        <w:rPr>
          <w:rStyle w:val="FootnoteAnchor"/>
          <w:rtl w:val="true"/>
        </w:rPr>
        <w:footnoteReference w:id="1129"/>
      </w:r>
      <w:r>
        <w:rPr>
          <w:rFonts w:ascii="Amiri" w:hAnsi="Amiri" w:eastAsia="Amiri" w:cs="Amiri"/>
          <w:color w:val="111111"/>
          <w:sz w:val="28"/>
          <w:sz w:val="28"/>
          <w:szCs w:val="28"/>
          <w:rtl w:val="true"/>
          <w:lang w:bidi="ar-SA"/>
        </w:rPr>
        <w:t>، بحمل النفي على نفي الوجوب أو نفي الاستحباب الأكيد، لا نفي أصل المشروعية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الحلبي أيضا نفي التسليم </w:t>
      </w:r>
      <w:r>
        <w:rPr>
          <w:rStyle w:val="FootnoteAnchor"/>
          <w:rtl w:val="true"/>
        </w:rPr>
        <w:footnoteReference w:id="1130"/>
      </w:r>
      <w:r>
        <w:rPr>
          <w:rFonts w:ascii="Amiri" w:hAnsi="Amiri" w:eastAsia="Amiri" w:cs="Amiri"/>
          <w:color w:val="111111"/>
          <w:sz w:val="28"/>
          <w:sz w:val="28"/>
          <w:szCs w:val="28"/>
          <w:rtl w:val="true"/>
          <w:lang w:bidi="ar-SA"/>
        </w:rPr>
        <w:t>، و لا يبعد حمله على نفي المشروعية، لو لا دعوى وقوعه أيضا في مقام نفي توهم الوجوب، كما ربما</w:t>
      </w:r>
      <w:bookmarkStart w:id="348" w:name="pg19729_212827"/>
    </w:p>
    <w:p>
      <w:pPr>
        <w:pStyle w:val="BookText"/>
        <w:rPr/>
      </w:pPr>
      <w:bookmarkEnd w:id="348"/>
      <w:r>
        <w:rPr>
          <w:rFonts w:ascii="Amiri" w:hAnsi="Amiri" w:eastAsia="Amiri" w:cs="Amiri"/>
          <w:color w:val="111111"/>
          <w:sz w:val="28"/>
          <w:sz w:val="28"/>
          <w:szCs w:val="28"/>
          <w:rtl w:val="true"/>
          <w:lang w:bidi="ar-SA"/>
        </w:rPr>
        <w:t>يتوهم ذلك قياسا على سائر الصلوات، و مؤيدة تلك الدعوى برواية سماعة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فرغت سلّمت عن يمينك</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الأصحاب عدم مشروعيته، حيث لم يتعرّضوا له في كلماتهم أصلا، بل حكموا بالانصراف بالخامسة، فإن تم الإجماع فالرواية تطرح، و إلّا فللنظر فيه مجال، فضلا عن احتمال تسامحهم 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فيها الطهارة و ليست شرطا، للأصل، مضافا إلى تعبير النص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الحدثية، و أما الخبثية فلم أر بها نصا سوى عمومات استحباب النظافة، و أنها من الإيمان </w:t>
      </w:r>
      <w:r>
        <w:rPr>
          <w:rStyle w:val="FootnoteAnchor"/>
          <w:rtl w:val="true"/>
        </w:rPr>
        <w:footnoteReference w:id="1133"/>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251361_2314609296"/>
      <w:bookmarkStart w:id="350" w:name="_Toc133"/>
      <w:bookmarkEnd w:id="349"/>
      <w:r>
        <w:rPr>
          <w:rtl w:val="true"/>
        </w:rPr>
        <w:t>بقي في المقام شي‌ء،</w:t>
      </w:r>
      <w:bookmarkEnd w:id="350"/>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بعض النصوص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المصلّي يقوم وسط الموتى</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اعتبار القيام فيها، كما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الصلاة خلف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أيضا شرطية الاستقبال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الأحكام الأخر المختصة بعنوان الصلاة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و غير ذلك، مما لم يرد نص على إثباته و نفيه في المقام، ففي جريانها في المقام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انصراف عنوان الصلاة إلى ما هو المعهود،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 طهور، و ثلثه سجود، و ثلثه 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يشمل مثل هذه الصلاة و إن</w:t>
      </w:r>
    </w:p>
    <w:p>
      <w:pPr>
        <w:pStyle w:val="BookText"/>
        <w:rPr/>
      </w:pPr>
      <w:r>
        <w:rPr>
          <w:rFonts w:ascii="Amiri" w:hAnsi="Amiri" w:eastAsia="Amiri" w:cs="Amiri"/>
          <w:color w:val="111111"/>
          <w:sz w:val="28"/>
          <w:sz w:val="28"/>
          <w:szCs w:val="28"/>
          <w:rtl w:val="true"/>
          <w:lang w:bidi="ar-SA"/>
        </w:rPr>
        <w:t>قلنا بفرديته لها، فضلا عن القول بخروجها عنها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بجريان الأحكام الثابتة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عدالة الامام و عدم تقدم المأموم في الأفعال، بل و التكبيرة التي في المقام بمنزلة الأفعال و الركعات، للسيرة، و رواية قرب الاسناد </w:t>
      </w:r>
      <w:r>
        <w:rPr>
          <w:rStyle w:val="FootnoteAnchor"/>
          <w:rtl w:val="true"/>
        </w:rPr>
        <w:footnoteReference w:id="1137"/>
      </w:r>
      <w:r>
        <w:rPr>
          <w:rFonts w:ascii="Amiri" w:hAnsi="Amiri" w:eastAsia="Amiri" w:cs="Amiri"/>
          <w:color w:val="111111"/>
          <w:sz w:val="28"/>
          <w:sz w:val="28"/>
          <w:szCs w:val="28"/>
          <w:rtl w:val="true"/>
          <w:lang w:bidi="ar-SA"/>
        </w:rPr>
        <w:t>، الشاملة لمطلق تكبيراتها لا لخصوص الأولى منها، التي هي بمنزلة تكبيرة الإحرام، و إن لم يبعد احتماله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عدم الحائل، و عدم علو الإمام، و عدم إمامة المقيّد للمطلق، المفسر بالناقص، الموجب لنقص في صلاته بالنسبة إلى التام الكامل، بل و عدم امامة النساء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جهة إطلاقات أدلة أحكام الائتمام للمقام بعد تشريع الائتمام في المقام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حينئذ بامامتها لهن في المقام، للنص </w:t>
      </w:r>
      <w:r>
        <w:rPr>
          <w:rStyle w:val="FootnoteAnchor"/>
          <w:rtl w:val="true"/>
        </w:rPr>
        <w:footnoteReference w:id="1138"/>
      </w:r>
      <w:r>
        <w:rPr>
          <w:rFonts w:ascii="Amiri" w:hAnsi="Amiri" w:eastAsia="Amiri" w:cs="Amiri"/>
          <w:color w:val="111111"/>
          <w:sz w:val="28"/>
          <w:sz w:val="28"/>
          <w:szCs w:val="28"/>
          <w:rtl w:val="true"/>
          <w:lang w:bidi="ar-SA"/>
        </w:rPr>
        <w:t>المشتمل على استثناء الصلاة على الميت من نفي الجواز، و صدره و إن لم يكن معمولا به، لكن لا يضر بذيله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يقمن جميعا في صف واحد</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سقوط شرطية التقدّم في إمامة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يسقط ذلك في جماعة العراة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الجلوس عليهم أو عدمه وجهان، من جريان مناط الصلاتية في المقام، و من انصراف أدلة أحكام الصلاة عن مثل صلاة الميت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لا دعوى الإجماع على شرطية الستر فيها، لأمكن التشكيك فيها أيضا، فاللازم حينئذ وجوب ستر العورة عن الناظر المحترم</w:t>
      </w:r>
      <w:r>
        <w:rPr>
          <w:rFonts w:eastAsia="Amiri" w:cs="Amiri" w:ascii="Amiri" w:hAnsi="Amiri"/>
          <w:color w:val="111111"/>
          <w:sz w:val="28"/>
          <w:szCs w:val="28"/>
          <w:rtl w:val="true"/>
          <w:lang w:bidi="ar-SA"/>
        </w:rPr>
        <w:t>.</w:t>
      </w:r>
      <w:bookmarkStart w:id="351" w:name="pg19729_212829"/>
    </w:p>
    <w:p>
      <w:pPr>
        <w:pStyle w:val="BookText"/>
        <w:rPr/>
      </w:pPr>
      <w:bookmarkEnd w:id="351"/>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عدم خلافهم في عدم بروز الإمام العاري، استفادة شرطية الستر، و إلّا فلا بد من حمل الأمر على النفسية، أو لمحض التعبد، و كلاهما بعيد عن مصب كلمات الأصحاب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في المقام أيضا بدعوى كون الصلاة على الميت مشتملة على هيئة ارتكازية عند المتشرعة، على وجه يضادها بعض الأفعال الماحية لصورتها، بل و يعتبر فيها أشرافها على الميت، و أن لا يكون بينهما حائل من جدار أو غيره، نعم لا بأس بما يغطي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للسيرة، و انصراف الإطلاقات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اعتبار عدم التباعد عن الميت، المانع لصدق اشراف المصلّي عليه، و لا بأس بحيلولة الصفوف، و لا بعد المأمومين في مورد الائتمام، لأنّ هيئة الجماعة بمنزلة صلاة واحدة، يكفي في أشرافها عليه اشراف امامهم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251363_2314609296"/>
      <w:bookmarkStart w:id="353" w:name="_Toc134"/>
      <w:bookmarkEnd w:id="352"/>
      <w:r>
        <w:rPr>
          <w:rtl w:val="true"/>
        </w:rPr>
        <w:t>مسائل</w:t>
      </w:r>
      <w:r>
        <w:rPr>
          <w:rtl w:val="true"/>
        </w:rPr>
        <w:t>:</w:t>
      </w:r>
      <w:bookmarkEnd w:id="353"/>
    </w:p>
    <w:p>
      <w:pPr>
        <w:pStyle w:val="Heading6"/>
        <w:numPr>
          <w:ilvl w:val="5"/>
          <w:numId w:val="1"/>
        </w:numPr>
        <w:rPr/>
      </w:pPr>
      <w:bookmarkStart w:id="354" w:name="__RefHeading___Toc3251365_2314609296"/>
      <w:bookmarkStart w:id="355" w:name="_Toc135"/>
      <w:bookmarkEnd w:id="354"/>
      <w:r>
        <w:rPr>
          <w:rtl w:val="true"/>
        </w:rPr>
        <w:t>الاولى</w:t>
      </w:r>
      <w:r>
        <w:rPr>
          <w:rtl w:val="true"/>
        </w:rPr>
        <w:t xml:space="preserve">: </w:t>
      </w:r>
      <w:r>
        <w:rPr>
          <w:rtl w:val="true"/>
        </w:rPr>
        <w:t>لا يصلى عليه إلّا بعد تغسيله و تكفينه</w:t>
      </w:r>
      <w:bookmarkEnd w:id="35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للسيرة، مضافا إلى ظهور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يصلّى عليه ثم يدفن</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في كون الصلاة ملحوقة بالدفن، المستلزم ذلك لسبق غسله و كفنه، بل و 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العريان</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المعلوم كون الغرض منه بيان لزوم ستره بما هو المعهود من كفنه، لا مطلق ستره كما توهم</w:t>
      </w:r>
      <w:r>
        <w:rPr>
          <w:rFonts w:eastAsia="Amiri" w:cs="Amiri" w:ascii="Amiri" w:hAnsi="Amiri"/>
          <w:color w:val="111111"/>
          <w:sz w:val="28"/>
          <w:szCs w:val="28"/>
          <w:rtl w:val="true"/>
          <w:lang w:bidi="ar-SA"/>
        </w:rPr>
        <w:t>.</w:t>
      </w:r>
      <w:bookmarkStart w:id="356" w:name="pg19729_212830"/>
    </w:p>
    <w:p>
      <w:pPr>
        <w:pStyle w:val="BookText"/>
        <w:rPr/>
      </w:pPr>
      <w:bookmarkEnd w:id="356"/>
      <w:r>
        <w:rPr>
          <w:rFonts w:ascii="Amiri" w:hAnsi="Amiri" w:eastAsia="Amiri" w:cs="Amiri"/>
          <w:color w:val="111111"/>
          <w:sz w:val="28"/>
          <w:sz w:val="28"/>
          <w:szCs w:val="28"/>
          <w:rtl w:val="true"/>
          <w:lang w:bidi="ar-SA"/>
        </w:rPr>
        <w:t>و ما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عليه و هو عريان حتى توارى عورته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محمول على صورة العجز عن الستر رأسا، و إنما اهتم بستر عورته، و عليه فأمكن أن يدّعى أنه مع التمكن من الستر بدون الكفن يجب الستر بما يصدق عليه الثوب، و في وجوب الستر بغير ما يسمّى ثوبا اشكال، و إن كانت القاعدة مقتضية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الاشكال ظهور النص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معهم فضل ثوب يكفونه،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يحفر له و يوضع في لحده و يوضع اللبن على عورته ثم يصلّى عليه ثم يدفن</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في أنّ الستر بغير الثوب مشروط بعدم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اعتبار كون وضعه في القبر مستلقيا حين الصلاة، و مع عدم التمكن من القبر لا يبعد وجوب الستر بغير الثوب إلى أن ينتهي إلى الحشيش، لو لا دعوى استفادة سقوطه من نص الوضع في القبر </w:t>
      </w:r>
      <w:r>
        <w:rPr>
          <w:rStyle w:val="FootnoteAnchor"/>
          <w:rtl w:val="true"/>
        </w:rPr>
        <w:footnoteReference w:id="1144"/>
      </w:r>
      <w:r>
        <w:rPr>
          <w:rFonts w:ascii="Amiri" w:hAnsi="Amiri" w:eastAsia="Amiri" w:cs="Amiri"/>
          <w:color w:val="111111"/>
          <w:sz w:val="28"/>
          <w:sz w:val="28"/>
          <w:szCs w:val="28"/>
          <w:rtl w:val="true"/>
          <w:lang w:bidi="ar-SA"/>
        </w:rPr>
        <w:t>، الشامل إطلاقه حال التمكن من الستر المزبور رأسا،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 يجوز وضع التراب عليه لحرمة هتكه، و بذلك يخصص قاعدة الميسور</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251367_2314609296"/>
      <w:bookmarkStart w:id="358" w:name="_Toc136"/>
      <w:bookmarkEnd w:id="357"/>
      <w:r>
        <w:rPr>
          <w:rtl w:val="true"/>
        </w:rPr>
        <w:t>الثانية</w:t>
      </w:r>
      <w:r>
        <w:rPr>
          <w:rtl w:val="true"/>
        </w:rPr>
        <w:t xml:space="preserve">: </w:t>
      </w:r>
      <w:r>
        <w:rPr>
          <w:rtl w:val="true"/>
        </w:rPr>
        <w:t>تكره الصلاة على الجنائز مرتين</w:t>
      </w:r>
      <w:bookmarkEnd w:id="3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جمعا بين النص الناهي عنه </w:t>
      </w:r>
      <w:r>
        <w:rPr>
          <w:rStyle w:val="FootnoteAnchor"/>
          <w:rtl w:val="true"/>
        </w:rPr>
        <w:footnoteReference w:id="1145"/>
      </w:r>
      <w:r>
        <w:rPr>
          <w:rFonts w:ascii="IRNazanin" w:hAnsi="IRNazanin" w:eastAsia="IRNazanin"/>
          <w:color w:val="111111"/>
          <w:sz w:val="28"/>
          <w:sz w:val="28"/>
          <w:szCs w:val="28"/>
          <w:rtl w:val="true"/>
          <w:lang w:bidi="fa-IR"/>
        </w:rPr>
        <w:t xml:space="preserve">، و النص الآمر به </w:t>
      </w:r>
      <w:r>
        <w:rPr>
          <w:rStyle w:val="FootnoteAnchor"/>
          <w:rtl w:val="true"/>
        </w:rPr>
        <w:footnoteReference w:id="1146"/>
      </w:r>
      <w:r>
        <w:rPr>
          <w:rFonts w:ascii="Amiri" w:hAnsi="Amiri" w:eastAsia="Amiri" w:cs="Amiri"/>
          <w:color w:val="111111"/>
          <w:sz w:val="28"/>
          <w:sz w:val="28"/>
          <w:szCs w:val="28"/>
          <w:rtl w:val="true"/>
          <w:lang w:bidi="ar-SA"/>
        </w:rPr>
        <w:t xml:space="preserve">، و تحمل الكراهية على معنى أقلية الثواب في أمثال المقام، الذي لا يكون للمنهي عنه بدل </w:t>
      </w:r>
      <w:r>
        <w:rPr>
          <w:rStyle w:val="FootnoteAnchor"/>
          <w:rtl w:val="true"/>
        </w:rPr>
        <w:footnoteReference w:id="1147"/>
      </w:r>
      <w:r>
        <w:rPr>
          <w:rFonts w:ascii="Amiri" w:hAnsi="Amiri" w:eastAsia="Amiri" w:cs="Amiri"/>
          <w:color w:val="111111"/>
          <w:sz w:val="28"/>
          <w:sz w:val="28"/>
          <w:szCs w:val="28"/>
          <w:rtl w:val="true"/>
          <w:lang w:bidi="ar-SA"/>
        </w:rPr>
        <w:t>، و مرجع أقلية ثوابها إنما</w:t>
      </w:r>
    </w:p>
    <w:p>
      <w:pPr>
        <w:pStyle w:val="BookText"/>
        <w:rPr/>
      </w:pPr>
      <w:r>
        <w:rPr>
          <w:rFonts w:ascii="Amiri" w:hAnsi="Amiri" w:eastAsia="Amiri" w:cs="Amiri"/>
          <w:color w:val="111111"/>
          <w:sz w:val="28"/>
          <w:sz w:val="28"/>
          <w:szCs w:val="28"/>
          <w:rtl w:val="true"/>
          <w:lang w:bidi="ar-SA"/>
        </w:rPr>
        <w:t xml:space="preserve">هو بالإضافة إلى سائر أفرادها </w:t>
      </w:r>
      <w:r>
        <w:rPr>
          <w:rStyle w:val="FootnoteAnchor"/>
          <w:rtl w:val="true"/>
        </w:rPr>
        <w:footnoteReference w:id="1148"/>
      </w:r>
      <w:r>
        <w:rPr>
          <w:rFonts w:ascii="Amiri" w:hAnsi="Amiri" w:eastAsia="Amiri" w:cs="Amiri"/>
          <w:color w:val="111111"/>
          <w:sz w:val="28"/>
          <w:sz w:val="28"/>
          <w:szCs w:val="28"/>
          <w:rtl w:val="true"/>
          <w:lang w:bidi="ar-SA"/>
        </w:rPr>
        <w:t>، كما هو ظاهر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في المقام </w:t>
      </w:r>
      <w:r>
        <w:rPr>
          <w:rStyle w:val="FootnoteAnchor"/>
          <w:rtl w:val="true"/>
        </w:rPr>
        <w:footnoteReference w:id="1149"/>
      </w:r>
      <w:r>
        <w:rPr>
          <w:rFonts w:ascii="Amiri" w:hAnsi="Amiri" w:eastAsia="Amiri" w:cs="Amiri"/>
          <w:color w:val="111111"/>
          <w:sz w:val="28"/>
          <w:sz w:val="28"/>
          <w:szCs w:val="28"/>
          <w:rtl w:val="true"/>
          <w:lang w:bidi="ar-SA"/>
        </w:rPr>
        <w:t xml:space="preserve">أيضا صرف النهي إلى الخصوصية </w:t>
      </w:r>
      <w:r>
        <w:rPr>
          <w:rStyle w:val="FootnoteAnchor"/>
          <w:rtl w:val="true"/>
        </w:rPr>
        <w:footnoteReference w:id="1150"/>
      </w:r>
      <w:r>
        <w:rPr>
          <w:rFonts w:ascii="Amiri" w:hAnsi="Amiri" w:eastAsia="Amiri" w:cs="Amiri"/>
          <w:color w:val="111111"/>
          <w:sz w:val="28"/>
          <w:sz w:val="28"/>
          <w:szCs w:val="28"/>
          <w:rtl w:val="true"/>
          <w:lang w:bidi="ar-SA"/>
        </w:rPr>
        <w:t xml:space="preserve">، كي لا ينافي الكراهة المصطلحة، إذ لا مجال للنهي بالنسبة إلى مثل هذه الحصة الصلاتية </w:t>
      </w:r>
      <w:r>
        <w:rPr>
          <w:rStyle w:val="FootnoteAnchor"/>
          <w:rtl w:val="true"/>
        </w:rPr>
        <w:footnoteReference w:id="1151"/>
      </w:r>
      <w:r>
        <w:rPr>
          <w:rFonts w:ascii="Amiri" w:hAnsi="Amiri" w:eastAsia="Amiri" w:cs="Amiri"/>
          <w:color w:val="111111"/>
          <w:sz w:val="28"/>
          <w:sz w:val="28"/>
          <w:szCs w:val="28"/>
          <w:rtl w:val="true"/>
          <w:lang w:bidi="ar-SA"/>
        </w:rPr>
        <w:t xml:space="preserve">، لمنافاته مع الأمر بها بنحو الطبيعة السارية </w:t>
      </w:r>
      <w:r>
        <w:rPr>
          <w:rStyle w:val="FootnoteAnchor"/>
          <w:rtl w:val="true"/>
        </w:rPr>
        <w:footnoteReference w:id="1152"/>
      </w:r>
      <w:r>
        <w:rPr>
          <w:rFonts w:ascii="Amiri" w:hAnsi="Amiri" w:eastAsia="Amiri" w:cs="Amiri"/>
          <w:color w:val="111111"/>
          <w:sz w:val="28"/>
          <w:sz w:val="28"/>
          <w:szCs w:val="28"/>
          <w:rtl w:val="true"/>
          <w:lang w:bidi="ar-SA"/>
        </w:rPr>
        <w:t xml:space="preserve">، و بذلك يمتاز المقام عن موارد الأمر بصرف الوجود </w:t>
      </w:r>
      <w:r>
        <w:rPr>
          <w:rStyle w:val="FootnoteAnchor"/>
          <w:rtl w:val="true"/>
        </w:rPr>
        <w:footnoteReference w:id="1153"/>
      </w:r>
      <w:r>
        <w:rPr>
          <w:rFonts w:ascii="Amiri" w:hAnsi="Amiri" w:eastAsia="Amiri" w:cs="Amiri"/>
          <w:color w:val="111111"/>
          <w:sz w:val="28"/>
          <w:sz w:val="28"/>
          <w:szCs w:val="28"/>
          <w:rtl w:val="true"/>
          <w:lang w:bidi="ar-SA"/>
        </w:rPr>
        <w:t xml:space="preserve">، إذ لا بأس بالالتزام بالكراهة المصطلحة، حتى بالإضافة إلى الحصة الصلاتية، فضلا عن الخصوصيات الخارجة عنها، غاية الأمر ينتهي الأمر فيها إلى نحو ترتب، كما لا يخفى على من راجع مسلكنا في اجتماع الأمر و النهي و تأمل فيه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bookmarkStart w:id="359" w:name="pg19729_212832"/>
    </w:p>
    <w:p>
      <w:pPr>
        <w:pStyle w:val="Heading6"/>
        <w:numPr>
          <w:ilvl w:val="5"/>
          <w:numId w:val="1"/>
        </w:numPr>
        <w:rPr/>
      </w:pPr>
      <w:bookmarkStart w:id="360" w:name="__RefHeading___Toc3251369_2314609296"/>
      <w:bookmarkStart w:id="361" w:name="_Toc137"/>
      <w:bookmarkEnd w:id="359"/>
      <w:bookmarkEnd w:id="360"/>
      <w:r>
        <w:rPr>
          <w:rtl w:val="true"/>
        </w:rPr>
        <w:t>الثالثة</w:t>
      </w:r>
      <w:r>
        <w:rPr>
          <w:rtl w:val="true"/>
        </w:rPr>
        <w:t xml:space="preserve">: </w:t>
      </w:r>
      <w:r>
        <w:rPr>
          <w:rtl w:val="true"/>
        </w:rPr>
        <w:t>لو لم يصلّ على الميت صلّى على قبره</w:t>
      </w:r>
      <w:bookmarkEnd w:id="361"/>
    </w:p>
    <w:p>
      <w:pPr>
        <w:pStyle w:val="BookText"/>
        <w:rPr/>
      </w:pPr>
      <w:r>
        <w:rPr>
          <w:rFonts w:ascii="Amiri" w:hAnsi="Amiri" w:eastAsia="Amiri" w:cs="Amiri"/>
          <w:color w:val="111111"/>
          <w:sz w:val="28"/>
          <w:sz w:val="28"/>
          <w:szCs w:val="28"/>
          <w:rtl w:val="true"/>
          <w:lang w:bidi="ar-SA"/>
        </w:rPr>
        <w:t xml:space="preserve">على المشهور، و يدل عليه جملة من النصوص الدالة على نفي البأس عن الصلاة بعد دفنه </w:t>
      </w:r>
      <w:r>
        <w:rPr>
          <w:rStyle w:val="FootnoteAnchor"/>
          <w:rtl w:val="true"/>
        </w:rPr>
        <w:footnoteReference w:id="1155"/>
      </w:r>
      <w:r>
        <w:rPr>
          <w:rFonts w:ascii="Amiri" w:hAnsi="Amiri" w:eastAsia="Amiri" w:cs="Amiri"/>
          <w:color w:val="111111"/>
          <w:sz w:val="28"/>
          <w:sz w:val="28"/>
          <w:szCs w:val="28"/>
          <w:rtl w:val="true"/>
          <w:lang w:bidi="ar-SA"/>
        </w:rPr>
        <w:t xml:space="preserve">، و في بعضها التصريح بصورة فوت الصلاة من مريد الصلاة عليه </w:t>
      </w:r>
      <w:r>
        <w:rPr>
          <w:rStyle w:val="FootnoteAnchor"/>
          <w:rtl w:val="true"/>
        </w:rPr>
        <w:footnoteReference w:id="1156"/>
      </w:r>
      <w:r>
        <w:rPr>
          <w:rFonts w:ascii="Amiri" w:hAnsi="Amiri" w:eastAsia="Amiri" w:cs="Amiri"/>
          <w:color w:val="111111"/>
          <w:sz w:val="28"/>
          <w:sz w:val="28"/>
          <w:szCs w:val="28"/>
          <w:rtl w:val="true"/>
          <w:lang w:bidi="ar-SA"/>
        </w:rPr>
        <w:t xml:space="preserve">، الظاهر بل الصريح في إطلاق الحكم للحالين </w:t>
      </w:r>
      <w:r>
        <w:rPr>
          <w:rStyle w:val="FootnoteAnchor"/>
          <w:rtl w:val="true"/>
        </w:rPr>
        <w:footnoteReference w:id="1157"/>
      </w:r>
      <w:r>
        <w:rPr>
          <w:rFonts w:ascii="Amiri" w:hAnsi="Amiri" w:eastAsia="Amiri" w:cs="Amiri"/>
          <w:color w:val="111111"/>
          <w:sz w:val="28"/>
          <w:sz w:val="28"/>
          <w:szCs w:val="28"/>
          <w:rtl w:val="true"/>
          <w:lang w:bidi="ar-SA"/>
        </w:rPr>
        <w:t>، و على فيمكن استفادة وجوبها على من لم يصلّ عليه، بدعوى عدم القول بالفصل بين مشروعيتها و وجوبها حينئذ، مضافا إلى استصحاب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النهي عنه </w:t>
      </w:r>
      <w:r>
        <w:rPr>
          <w:rStyle w:val="FootnoteAnchor"/>
          <w:rtl w:val="true"/>
        </w:rPr>
        <w:footnoteReference w:id="1158"/>
      </w:r>
      <w:r>
        <w:rPr>
          <w:rFonts w:ascii="Amiri" w:hAnsi="Amiri" w:eastAsia="Amiri" w:cs="Amiri"/>
          <w:color w:val="111111"/>
          <w:sz w:val="28"/>
          <w:sz w:val="28"/>
          <w:szCs w:val="28"/>
          <w:rtl w:val="true"/>
          <w:lang w:bidi="ar-SA"/>
        </w:rPr>
        <w:t>الشامل بإطلاقه صورة ما إذا لم يكن صلى عليه أيضا، و مقتضى الجمع بين الطائفتين هو الحمل على أقلية الثواب، الملازم لعدم الوجوب أيضا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المشهور غير ملتزمين به، و حيث إنّ النصوص الناهية مستفيضة فلا يكشف اعراضهم عن وهنها سندا، بل لا بد أن يكون ذلك من جهة الدلالة، و عليه فلا غرو في اتباع دلالتها بالمقدار الخارج عن دائرة الوهن،</w:t>
      </w:r>
      <w:bookmarkStart w:id="362" w:name="pg19729_212833"/>
    </w:p>
    <w:p>
      <w:pPr>
        <w:pStyle w:val="BookText"/>
        <w:rPr/>
      </w:pPr>
      <w:bookmarkEnd w:id="362"/>
      <w:r>
        <w:rPr>
          <w:rFonts w:ascii="Amiri" w:hAnsi="Amiri" w:eastAsia="Amiri" w:cs="Amiri"/>
          <w:color w:val="111111"/>
          <w:sz w:val="28"/>
          <w:sz w:val="28"/>
          <w:szCs w:val="28"/>
          <w:rtl w:val="true"/>
          <w:lang w:bidi="ar-SA"/>
        </w:rPr>
        <w:t>و هو صورة بقائها إلى يوم و ليلة، فيؤخذ بظاهر النواهي في الزائد، و يؤخذ بأدلة المشروعية في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ذلك نحو جمع تبرعي، من غير أن تصلح فتوى المشهور للكشف عن قرينة شاهدة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استثناء ثلاثة أيام </w:t>
      </w:r>
      <w:r>
        <w:rPr>
          <w:rStyle w:val="FootnoteAnchor"/>
          <w:rtl w:val="true"/>
        </w:rPr>
        <w:footnoteReference w:id="1159"/>
      </w:r>
      <w:r>
        <w:rPr>
          <w:rFonts w:ascii="Amiri" w:hAnsi="Amiri" w:eastAsia="Amiri" w:cs="Amiri"/>
          <w:color w:val="111111"/>
          <w:sz w:val="28"/>
          <w:sz w:val="28"/>
          <w:szCs w:val="28"/>
          <w:rtl w:val="true"/>
          <w:lang w:bidi="ar-SA"/>
        </w:rPr>
        <w:t>، و لكنه غير معمول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حينئذ الاقتصار في من 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ليلة، و في من لم يصل عليه إلى أن يخرج عن صدق الجنازة عليه، خصوصا مع مساعدة الاستصحاب له بعد تساقط الطائفتين، كما لا يخفى</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251371_2314609296"/>
      <w:bookmarkStart w:id="364" w:name="_Toc138"/>
      <w:bookmarkEnd w:id="363"/>
      <w:r>
        <w:rPr>
          <w:rtl w:val="true"/>
        </w:rPr>
        <w:t>الرابعة</w:t>
      </w:r>
      <w:r>
        <w:rPr>
          <w:rtl w:val="true"/>
        </w:rPr>
        <w:t xml:space="preserve">: </w:t>
      </w:r>
      <w:r>
        <w:rPr>
          <w:rtl w:val="true"/>
        </w:rPr>
        <w:t>يستحب أن يقف الإمام عند وسط الرجل و صدر المرأة،</w:t>
      </w:r>
      <w:bookmarkEnd w:id="364"/>
    </w:p>
    <w:p>
      <w:pPr>
        <w:pStyle w:val="BookText"/>
        <w:rPr/>
      </w:pPr>
      <w:r>
        <w:rPr>
          <w:rFonts w:ascii="Amiri" w:hAnsi="Amiri" w:eastAsia="Amiri" w:cs="Amiri"/>
          <w:color w:val="111111"/>
          <w:sz w:val="28"/>
          <w:sz w:val="28"/>
          <w:szCs w:val="28"/>
          <w:rtl w:val="true"/>
          <w:lang w:bidi="ar-SA"/>
        </w:rPr>
        <w:t xml:space="preserve">و الأصل في ذلك المرسلة المنجبرة </w:t>
      </w:r>
      <w:r>
        <w:rPr>
          <w:rStyle w:val="FootnoteAnchor"/>
          <w:rtl w:val="true"/>
        </w:rPr>
        <w:footnoteReference w:id="1160"/>
      </w:r>
      <w:r>
        <w:rPr>
          <w:rFonts w:ascii="Amiri" w:hAnsi="Amiri" w:eastAsia="Amiri" w:cs="Amiri"/>
          <w:color w:val="111111"/>
          <w:sz w:val="28"/>
          <w:sz w:val="28"/>
          <w:szCs w:val="28"/>
          <w:rtl w:val="true"/>
          <w:lang w:bidi="ar-SA"/>
        </w:rPr>
        <w:t xml:space="preserve">، لو لا دعوى بنائهم على التسامح في أدلة السنن، 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عند رأس المرأة و صدر الرجل</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و ذلك شاهد على عدم تعيينه لزوما، و إن كان في استحبابه شرعا أيضا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اتفقا جعل الرجل مما يليه و المرأة مما يلي القبلة، لدلالة بعض النصوص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الرجل وراء المرأة، و يكون الرجل مما يلي الإمام</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 و لازمة وقوعها مما يلي القبلة، و في بعض آخر نفي البأس عن عكس ذلك </w:t>
      </w:r>
      <w:r>
        <w:rPr>
          <w:rStyle w:val="FootnoteAnchor"/>
          <w:rtl w:val="true"/>
        </w:rPr>
        <w:footnoteReference w:id="1163"/>
      </w:r>
      <w:r>
        <w:rPr>
          <w:rFonts w:ascii="IRNazanin" w:hAnsi="IRNazanin" w:eastAsia="IRNazanin"/>
          <w:color w:val="111111"/>
          <w:sz w:val="28"/>
          <w:sz w:val="28"/>
          <w:szCs w:val="28"/>
          <w:rtl w:val="true"/>
          <w:lang w:bidi="fa-IR"/>
        </w:rPr>
        <w:t>، و هو شاهد الاستحباب</w:t>
      </w:r>
      <w:r>
        <w:rPr>
          <w:rFonts w:eastAsia="IRNazanin" w:cs="IRNazanin"/>
          <w:color w:val="111111"/>
          <w:sz w:val="28"/>
          <w:szCs w:val="28"/>
          <w:rtl w:val="true"/>
          <w:lang w:bidi="fa-IR"/>
        </w:rPr>
        <w:t>.</w:t>
      </w:r>
    </w:p>
    <w:p>
      <w:pPr>
        <w:pStyle w:val="Heading6"/>
        <w:numPr>
          <w:ilvl w:val="5"/>
          <w:numId w:val="1"/>
        </w:numPr>
        <w:rPr/>
      </w:pPr>
      <w:bookmarkStart w:id="365" w:name="__RefHeading___Toc3251373_2314609296"/>
      <w:bookmarkStart w:id="366" w:name="_Toc139"/>
      <w:bookmarkEnd w:id="365"/>
      <w:r>
        <w:rPr>
          <w:rtl w:val="true"/>
        </w:rPr>
        <w:t>الخامسة</w:t>
      </w:r>
      <w:r>
        <w:rPr>
          <w:rtl w:val="true"/>
        </w:rPr>
        <w:t xml:space="preserve">: </w:t>
      </w:r>
      <w:r>
        <w:rPr>
          <w:rtl w:val="true"/>
        </w:rPr>
        <w:t>يجب أن يجعل رأس الميت عن يمين المصلي</w:t>
      </w:r>
      <w:bookmarkEnd w:id="36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w:t>
      </w:r>
      <w:bookmarkStart w:id="367" w:name="pg19729_212834"/>
    </w:p>
    <w:p>
      <w:pPr>
        <w:pStyle w:val="BookText"/>
        <w:rPr/>
      </w:pPr>
      <w:bookmarkEnd w:id="367"/>
      <w:r>
        <w:rPr>
          <w:rFonts w:ascii="Amiri" w:hAnsi="Amiri" w:eastAsia="Amiri" w:cs="Amiri"/>
          <w:color w:val="111111"/>
          <w:sz w:val="28"/>
          <w:sz w:val="28"/>
          <w:szCs w:val="28"/>
          <w:rtl w:val="true"/>
          <w:lang w:bidi="ar-SA"/>
        </w:rPr>
        <w:t xml:space="preserve">خلاف، بل الإجماع قائم بقسميه، مضافا إلى استشعار موثق عمار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3251375_2314609296"/>
      <w:bookmarkStart w:id="369" w:name="_Toc140"/>
      <w:bookmarkEnd w:id="368"/>
      <w:r>
        <w:rPr>
          <w:rtl w:val="true"/>
        </w:rPr>
        <w:t>السادسة</w:t>
      </w:r>
      <w:r>
        <w:rPr>
          <w:rtl w:val="true"/>
        </w:rPr>
        <w:t xml:space="preserve">: </w:t>
      </w:r>
      <w:r>
        <w:rPr>
          <w:rtl w:val="true"/>
        </w:rPr>
        <w:t>انّ الأوقات بأجمعها صالحة لصلاة الجنازة،</w:t>
      </w:r>
      <w:bookmarkEnd w:id="369"/>
    </w:p>
    <w:p>
      <w:pPr>
        <w:pStyle w:val="BookText"/>
        <w:rPr/>
      </w:pP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و في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حين تصفر الشمس و حين تطلع</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و لا بأس بالجمع بين ذيل الرواية السابقة و هذه بالحمل على الكراهة الضعيفة، غير البالغة حد كراهة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التزاحم بينها و بين الفريضة تقدّم الأضيق وقتا، و مع ضيقهما لا يبعد تقديم المكتوبة، لأنها لا تترك بحال، لو لا دعوى عدم اقتضائها حفظ بقية أجزائها، إذ ربما ينتهي إلى الاكتفاء بالإشارة غير المنافية مع غيرها كصلاة الغرقى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عدم مشروعية مثل هذه الصلاة إلّا لأمثال الغرقى، أما بالنسبة إلى غيرهم فلا محيص من تقديم المكتوبة باجزائها، نعم لو أغمض النظر عن العموم المزبور كان مقتضى القاعدة التخيير، لاحتمال الأهمية في كلتيهما،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251377_2314609296"/>
      <w:bookmarkStart w:id="371" w:name="_Toc141"/>
      <w:bookmarkEnd w:id="370"/>
      <w:r>
        <w:rPr>
          <w:rtl w:val="true"/>
        </w:rPr>
        <w:t>السابعة</w:t>
      </w:r>
      <w:r>
        <w:rPr>
          <w:rtl w:val="true"/>
        </w:rPr>
        <w:t xml:space="preserve">: </w:t>
      </w:r>
      <w:r>
        <w:rPr>
          <w:rtl w:val="true"/>
        </w:rPr>
        <w:t>انه في كل مورد صلّي على الميت صلاة ناقصة من جهة الاضطرار لقاعدة الميسور أو غيره، فمقتضى القاعدة عدم الاجزاء</w:t>
      </w:r>
      <w:bookmarkEnd w:id="3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في الأوامر الاضطرارية، لعدم إطلاق في أدلتها على وجه يستكشف البدلية التامة، أو الناقصة المفوتة على وجه لا يبقى مجال للتدارك، كما عرفت نظيره في الغسل أيضا</w:t>
      </w:r>
      <w:r>
        <w:rPr>
          <w:rFonts w:eastAsia="Amiri" w:cs="Amiri" w:ascii="Amiri" w:hAnsi="Amiri"/>
          <w:color w:val="111111"/>
          <w:sz w:val="28"/>
          <w:szCs w:val="28"/>
          <w:rtl w:val="true"/>
          <w:lang w:bidi="ar-SA"/>
        </w:rPr>
        <w:t>.</w:t>
      </w:r>
      <w:bookmarkStart w:id="372" w:name="pg19729_212835"/>
    </w:p>
    <w:p>
      <w:pPr>
        <w:pStyle w:val="Heading6"/>
        <w:numPr>
          <w:ilvl w:val="5"/>
          <w:numId w:val="1"/>
        </w:numPr>
        <w:rPr/>
      </w:pPr>
      <w:bookmarkStart w:id="373" w:name="__RefHeading___Toc3251379_2314609296"/>
      <w:bookmarkStart w:id="374" w:name="_Toc142"/>
      <w:bookmarkEnd w:id="372"/>
      <w:bookmarkEnd w:id="373"/>
      <w:r>
        <w:rPr>
          <w:rtl w:val="true"/>
        </w:rPr>
        <w:t>الثامنة</w:t>
      </w:r>
      <w:r>
        <w:rPr>
          <w:rtl w:val="true"/>
        </w:rPr>
        <w:t xml:space="preserve">: </w:t>
      </w:r>
      <w:r>
        <w:rPr>
          <w:rtl w:val="true"/>
        </w:rPr>
        <w:t>إذا صلّى على جنازة بعض الصلاة، فمقتضى القاعدة</w:t>
      </w:r>
      <w:r>
        <w:rPr>
          <w:rtl w:val="true"/>
        </w:rPr>
        <w:t xml:space="preserve">- </w:t>
      </w:r>
      <w:r>
        <w:rPr>
          <w:rtl w:val="true"/>
        </w:rPr>
        <w:t>بعد عدم دليل على حرمة قطع صلاة الجنازة</w:t>
      </w:r>
      <w:r>
        <w:rPr>
          <w:rtl w:val="true"/>
        </w:rPr>
        <w:t xml:space="preserve">- </w:t>
      </w:r>
      <w:r>
        <w:rPr>
          <w:rtl w:val="true"/>
        </w:rPr>
        <w:t>التخيير</w:t>
      </w:r>
      <w:bookmarkEnd w:id="374"/>
    </w:p>
    <w:p>
      <w:pPr>
        <w:pStyle w:val="BookText"/>
        <w:rPr/>
      </w:pPr>
      <w:r>
        <w:rPr>
          <w:rFonts w:ascii="Amiri" w:hAnsi="Amiri" w:eastAsia="Amiri" w:cs="Amiri"/>
          <w:color w:val="111111"/>
          <w:sz w:val="28"/>
          <w:sz w:val="28"/>
          <w:szCs w:val="28"/>
          <w:rtl w:val="true"/>
          <w:lang w:bidi="ar-SA"/>
        </w:rPr>
        <w:t>بين إتمام الاولى و استئناف صلاة ثانية للثانية، و بين قطعها و الشروع لهما، أو التشريك بينهما فيما بقي من التكبيرات و تتميم الثانية بما بقي لها، للإطلاقات، خصوصا مع كون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التكبيرات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صغريات تداخل المسبب لا السبب،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شاءوا تركوا الاولى حتى يفرغوا من التكبيرات على الأخيرة، و ان شاءوا رفعوا الاولى و أتموا ما بقي</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و لا دلالة فيه على خلاف ما احتملناه أيضا، كما هو ظاهر</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251381_2314609296"/>
      <w:bookmarkStart w:id="376" w:name="_Toc143"/>
      <w:bookmarkEnd w:id="375"/>
      <w:r>
        <w:rPr>
          <w:rtl w:val="true"/>
        </w:rPr>
        <w:t>الخامس</w:t>
      </w:r>
      <w:r>
        <w:rPr>
          <w:rtl w:val="true"/>
        </w:rPr>
        <w:t xml:space="preserve">: </w:t>
      </w:r>
      <w:r>
        <w:rPr>
          <w:rtl w:val="true"/>
        </w:rPr>
        <w:t>الدفن</w:t>
      </w:r>
      <w:bookmarkEnd w:id="376"/>
    </w:p>
    <w:p>
      <w:pPr>
        <w:pStyle w:val="Heading6"/>
        <w:numPr>
          <w:ilvl w:val="5"/>
          <w:numId w:val="1"/>
        </w:numPr>
        <w:rPr/>
      </w:pPr>
      <w:bookmarkStart w:id="377" w:name="__RefHeading___Toc3251383_2314609296"/>
      <w:bookmarkStart w:id="378" w:name="_Toc14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بلا اشكال فيه في الجملة فتوى و نصا </w:t>
      </w:r>
      <w:r>
        <w:rPr>
          <w:rStyle w:val="FootnoteAnchor"/>
          <w:rtl w:val="true"/>
        </w:rPr>
        <w:footnoteReference w:id="1168"/>
      </w:r>
      <w:r>
        <w:rPr>
          <w:rFonts w:ascii="Amiri" w:hAnsi="Amiri" w:eastAsia="Amiri" w:cs="Amiri"/>
          <w:color w:val="111111"/>
          <w:sz w:val="28"/>
          <w:sz w:val="28"/>
          <w:szCs w:val="28"/>
          <w:rtl w:val="true"/>
          <w:lang w:bidi="ar-SA"/>
        </w:rPr>
        <w:t>، و لا إشكال أيضا بأن حاله حال سائر التجهيزات الواجبة على الناس كفاية مشروطة بإذن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المقدار الواجب منه، من ستره في الأرض عن الهوام و السباع، و كتم رائحته عن الناس مطلقا، أو مطلق ما يسمّى دفنا، أو الواجب الستر الواجد للقيدين مع عدم الأمن عنهما، و إلّا فمطلق الستر،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ظهور العلة في رواية العلل </w:t>
      </w:r>
      <w:r>
        <w:rPr>
          <w:rStyle w:val="FootnoteAnchor"/>
          <w:rtl w:val="true"/>
        </w:rPr>
        <w:footnoteReference w:id="1169"/>
      </w:r>
      <w:r>
        <w:rPr>
          <w:rFonts w:ascii="Amiri" w:hAnsi="Amiri" w:eastAsia="Amiri" w:cs="Amiri"/>
          <w:color w:val="111111"/>
          <w:sz w:val="28"/>
          <w:sz w:val="28"/>
          <w:szCs w:val="28"/>
          <w:rtl w:val="true"/>
          <w:lang w:bidi="ar-SA"/>
        </w:rPr>
        <w:t>هو الأخير، كما 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التعيين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البراءة و الإطلاقات تقتضي الوسط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هو الأخير، لإمكان كون ما في رواية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و المسألة أيضا من صغريات الأقل و الأكثر، لا التعيين و التخيير،</w:t>
      </w:r>
    </w:p>
    <w:p>
      <w:pPr>
        <w:pStyle w:val="BookText"/>
        <w:rPr/>
      </w:pPr>
      <w:r>
        <w:rPr>
          <w:rFonts w:ascii="Amiri" w:hAnsi="Amiri" w:eastAsia="Amiri" w:cs="Amiri"/>
          <w:color w:val="111111"/>
          <w:sz w:val="28"/>
          <w:sz w:val="28"/>
          <w:szCs w:val="28"/>
          <w:rtl w:val="true"/>
          <w:lang w:bidi="ar-SA"/>
        </w:rPr>
        <w:t>لأنه من باب دوران الأمر بين وجوب شي‌ء و وجوب ما زاد عنه، من باب الدوران بين وجوب فرد و وجوب الجامع بينه و بين ما يباينه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يوضع الميت في قبره على جانبه الأيمن موجها إلى القبلة، و يدل عليه خبر الدعائم </w:t>
      </w:r>
      <w:r>
        <w:rPr>
          <w:rStyle w:val="FootnoteAnchor"/>
          <w:rtl w:val="true"/>
        </w:rPr>
        <w:footnoteReference w:id="1170"/>
      </w:r>
      <w:r>
        <w:rPr>
          <w:rFonts w:ascii="Amiri" w:hAnsi="Amiri" w:eastAsia="Amiri" w:cs="Amiri"/>
          <w:color w:val="111111"/>
          <w:sz w:val="28"/>
          <w:sz w:val="28"/>
          <w:szCs w:val="28"/>
          <w:rtl w:val="true"/>
          <w:lang w:bidi="ar-SA"/>
        </w:rPr>
        <w:t>المنجبر بالشهرة، بعد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Style w:val="FootnoteAnchor"/>
          <w:rtl w:val="true"/>
        </w:rPr>
        <w:footnoteReference w:id="1171"/>
      </w:r>
      <w:r>
        <w:rPr>
          <w:rFonts w:ascii="Amiri" w:hAnsi="Amiri" w:eastAsia="Amiri" w:cs="Amiri"/>
          <w:color w:val="111111"/>
          <w:sz w:val="28"/>
          <w:sz w:val="28"/>
          <w:szCs w:val="28"/>
          <w:rtl w:val="true"/>
          <w:lang w:bidi="ar-SA"/>
        </w:rPr>
        <w:t>على معنى الطريقة الثابتة، 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بقية الأجزاء المبانة بالبدن في وجوب استقبالها على فرض وجود يمين لها اشكال، نعم لا بأس بإلحاق الرأس، لخبر ابن سيابة </w:t>
      </w:r>
      <w:r>
        <w:rPr>
          <w:rStyle w:val="FootnoteAnchor"/>
          <w:rtl w:val="true"/>
        </w:rPr>
        <w:footnoteReference w:id="1172"/>
      </w:r>
      <w:r>
        <w:rPr>
          <w:rFonts w:ascii="Amiri" w:hAnsi="Amiri" w:eastAsia="Amiri" w:cs="Amiri"/>
          <w:color w:val="111111"/>
          <w:sz w:val="28"/>
          <w:sz w:val="28"/>
          <w:szCs w:val="28"/>
          <w:rtl w:val="true"/>
          <w:lang w:bidi="ar-SA"/>
        </w:rPr>
        <w:t>، بل و يستفاد منه وجوب الاستقبال في البدن المبان رأسه، و في إلحاق ما اشتمل على الصدر بالبدن اشكال، و إن كانت قاعدة الميسور تساعده، لو لا دعوى دخل التمامية في وجوبه شرعا، فلا مجال حينئذ لقاعدة الميسور، إذ هي إنما تشمل موردا يستند السقوط إلى تعذره و عسره، لا فقد شرط وجوبه، و إن لم يكن عسرا،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الفتاوى اختصاص الدفن المزبور بأهل القبلة، و يوهمه ما في خبر يونس </w:t>
      </w:r>
      <w:r>
        <w:rPr>
          <w:rStyle w:val="FootnoteAnchor"/>
          <w:rtl w:val="true"/>
        </w:rPr>
        <w:footnoteReference w:id="1173"/>
      </w:r>
      <w:r>
        <w:rPr>
          <w:rFonts w:ascii="Amiri" w:hAnsi="Amiri" w:eastAsia="Amiri" w:cs="Amiri"/>
          <w:color w:val="111111"/>
          <w:sz w:val="28"/>
          <w:sz w:val="28"/>
          <w:szCs w:val="28"/>
          <w:rtl w:val="true"/>
          <w:lang w:bidi="ar-SA"/>
        </w:rPr>
        <w:t xml:space="preserve">، المستفاد منه مغايرة كيفية دفن المسلم عن النصارى، بعد عدم الفرق بين أنحاء الكفر، لأنّ الكفر ملة واحدة، و بمثله يرفع اليد أيضا عن إطلاق المرسلة </w:t>
      </w:r>
      <w:r>
        <w:rPr>
          <w:rStyle w:val="FootnoteAnchor"/>
          <w:rtl w:val="true"/>
        </w:rPr>
        <w:footnoteReference w:id="1174"/>
      </w:r>
      <w:r>
        <w:rPr>
          <w:rFonts w:ascii="Amiri" w:hAnsi="Amiri" w:eastAsia="Amiri" w:cs="Amiri"/>
          <w:color w:val="111111"/>
          <w:sz w:val="28"/>
          <w:sz w:val="28"/>
          <w:szCs w:val="28"/>
          <w:rtl w:val="true"/>
          <w:lang w:bidi="ar-SA"/>
        </w:rPr>
        <w:t>، على فرض تسليم إطلاقها، كما لا يخفى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اتباع الجنازة، و تشييعها بالمشي خلفها أو مع أحد جانبيها، للموثقة </w:t>
      </w:r>
      <w:r>
        <w:rPr>
          <w:rStyle w:val="FootnoteAnchor"/>
          <w:rtl w:val="true"/>
        </w:rPr>
        <w:footnoteReference w:id="1175"/>
      </w:r>
      <w:r>
        <w:rPr>
          <w:rFonts w:ascii="Amiri" w:hAnsi="Amiri" w:eastAsia="Amiri" w:cs="Amiri"/>
          <w:color w:val="111111"/>
          <w:sz w:val="28"/>
          <w:sz w:val="28"/>
          <w:szCs w:val="28"/>
          <w:rtl w:val="true"/>
          <w:lang w:bidi="ar-SA"/>
        </w:rPr>
        <w:t xml:space="preserve">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يكفي في رجحان</w:t>
      </w:r>
    </w:p>
    <w:p>
      <w:pPr>
        <w:pStyle w:val="BookText"/>
        <w:rPr/>
      </w:pPr>
      <w:r>
        <w:rPr>
          <w:rFonts w:ascii="Amiri" w:hAnsi="Amiri" w:eastAsia="Amiri" w:cs="Amiri"/>
          <w:color w:val="111111"/>
          <w:sz w:val="28"/>
          <w:sz w:val="28"/>
          <w:szCs w:val="28"/>
          <w:rtl w:val="true"/>
          <w:lang w:bidi="ar-SA"/>
        </w:rPr>
        <w:t xml:space="preserve">الثاني أيضا، علاوة على نص آخر </w:t>
      </w:r>
      <w:r>
        <w:rPr>
          <w:rStyle w:val="FootnoteAnchor"/>
          <w:rtl w:val="true"/>
        </w:rPr>
        <w:footnoteReference w:id="1176"/>
      </w:r>
      <w:r>
        <w:rPr>
          <w:rFonts w:ascii="Amiri" w:hAnsi="Amiri" w:eastAsia="Amiri" w:cs="Amiri"/>
          <w:color w:val="111111"/>
          <w:sz w:val="28"/>
          <w:sz w:val="28"/>
          <w:szCs w:val="28"/>
          <w:rtl w:val="true"/>
          <w:lang w:bidi="ar-SA"/>
        </w:rPr>
        <w:t xml:space="preserve">مصرّح به، و ظاهر الموثقة تخصيص الحكم بالمشي، بل و في بعض النصوص كراهة الركوب </w:t>
      </w:r>
      <w:r>
        <w:rPr>
          <w:rStyle w:val="FootnoteAnchor"/>
          <w:rtl w:val="true"/>
        </w:rPr>
        <w:footnoteReference w:id="1177"/>
      </w:r>
      <w:r>
        <w:rPr>
          <w:rFonts w:ascii="Amiri" w:hAnsi="Amiri" w:eastAsia="Amiri" w:cs="Amiri"/>
          <w:color w:val="111111"/>
          <w:sz w:val="28"/>
          <w:sz w:val="28"/>
          <w:szCs w:val="28"/>
          <w:rtl w:val="true"/>
          <w:lang w:bidi="ar-SA"/>
        </w:rPr>
        <w:t>، و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العذر، بل 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كراهة الركوب إذا رجع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المصنف يأبى هذا التفصيل، لدعوى الإهمال من هذه الجهات، كما هو الشأن في مطلقات نصوص الباب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التقدّم عليها ففي بعض النصوص النهي عنه </w:t>
      </w:r>
      <w:r>
        <w:rPr>
          <w:rStyle w:val="FootnoteAnchor"/>
          <w:rtl w:val="true"/>
        </w:rPr>
        <w:footnoteReference w:id="1179"/>
      </w:r>
      <w:r>
        <w:rPr>
          <w:rFonts w:ascii="Amiri" w:hAnsi="Amiri" w:eastAsia="Amiri" w:cs="Amiri"/>
          <w:color w:val="111111"/>
          <w:sz w:val="28"/>
          <w:sz w:val="28"/>
          <w:szCs w:val="28"/>
          <w:rtl w:val="true"/>
          <w:lang w:bidi="ar-SA"/>
        </w:rPr>
        <w:t xml:space="preserve">، و في آخر الأمر به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فقد تقع المعارضة بينهما، لو لا احتمال حمل أحد الحكمين على ثبوته للمورد عرضا، و إلّا فيستحيل وجه الجمع بالاستحباب المعروف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تربيعها، أي حمل الجنازة من الجوانب الأربع،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محيت عنه أربعون كبيرة</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وضعها عند رجل القبر إن كان رجلا، لرواية الساباطي </w:t>
      </w:r>
      <w:r>
        <w:rPr>
          <w:rStyle w:val="FootnoteAnchor"/>
          <w:rtl w:val="true"/>
        </w:rPr>
        <w:footnoteReference w:id="1182"/>
      </w:r>
      <w:r>
        <w:rPr>
          <w:rFonts w:ascii="Amiri" w:hAnsi="Amiri" w:eastAsia="Amiri" w:cs="Amiri"/>
          <w:color w:val="111111"/>
          <w:sz w:val="28"/>
          <w:sz w:val="28"/>
          <w:szCs w:val="28"/>
          <w:rtl w:val="true"/>
          <w:lang w:bidi="ar-SA"/>
        </w:rPr>
        <w:t>، و هي مطلقة تشتمل الذكر و الأنثى، و لكن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لإجماع الغنية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خصّوه بالرجل، و التزموا أيضا باستحباب وضع الجنازة قدامه مما يلي القبلة إن كانت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 كيفية الدفن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الرجل من قبل رأسه، و المرأة عرضا،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رجلا يسل سلا، و المرأة تؤخذ عرضا</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و استفادة الحكم الأول من النص مشكل، فعمدة المدرك إجماع الغنية،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القبر بقدر قامة أو إلى الترقوة، للجمع بين رواية القامة </w:t>
      </w:r>
      <w:r>
        <w:rPr>
          <w:rStyle w:val="FootnoteAnchor"/>
          <w:rtl w:val="true"/>
        </w:rPr>
        <w:footnoteReference w:id="1185"/>
      </w:r>
      <w:r>
        <w:rPr>
          <w:rFonts w:ascii="Amiri" w:hAnsi="Amiri" w:eastAsia="Amiri" w:cs="Amiri"/>
          <w:color w:val="111111"/>
          <w:sz w:val="28"/>
          <w:sz w:val="28"/>
          <w:szCs w:val="28"/>
          <w:rtl w:val="true"/>
          <w:lang w:bidi="ar-SA"/>
        </w:rPr>
        <w:t xml:space="preserve">، و نص الترقوة </w:t>
      </w:r>
      <w:r>
        <w:rPr>
          <w:rStyle w:val="FootnoteAnchor"/>
          <w:rtl w:val="true"/>
        </w:rPr>
        <w:footnoteReference w:id="1186"/>
      </w:r>
      <w:r>
        <w:rPr>
          <w:rFonts w:ascii="Amiri" w:hAnsi="Amiri" w:eastAsia="Amiri" w:cs="Amiri"/>
          <w:color w:val="111111"/>
          <w:sz w:val="28"/>
          <w:sz w:val="28"/>
          <w:szCs w:val="28"/>
          <w:rtl w:val="true"/>
          <w:lang w:bidi="ar-SA"/>
        </w:rPr>
        <w:t xml:space="preserve">بالحمل على مراتب الفضيلة، و أقل من الترقوة أيضا الثدي، كما في نص آخر </w:t>
      </w:r>
      <w:r>
        <w:rPr>
          <w:rStyle w:val="FootnoteAnchor"/>
          <w:rtl w:val="true"/>
        </w:rPr>
        <w:footnoteReference w:id="1187"/>
      </w:r>
      <w:r>
        <w:rPr>
          <w:rFonts w:ascii="IRNazanin" w:hAnsi="IRNazanin" w:eastAsia="IRNazanin"/>
          <w:color w:val="111111"/>
          <w:sz w:val="28"/>
          <w:sz w:val="28"/>
          <w:szCs w:val="28"/>
          <w:rtl w:val="true"/>
          <w:lang w:bidi="fa-IR"/>
        </w:rPr>
        <w:t>، 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و هو أفضل من الشق، للجمع بين نص اللحد و الشق تارة بأنّه لغيرنا </w:t>
      </w:r>
      <w:r>
        <w:rPr>
          <w:rStyle w:val="FootnoteAnchor"/>
          <w:rtl w:val="true"/>
        </w:rPr>
        <w:footnoteReference w:id="1188"/>
      </w:r>
      <w:r>
        <w:rPr>
          <w:rFonts w:ascii="Amiri" w:hAnsi="Amiri" w:eastAsia="Amiri" w:cs="Amiri"/>
          <w:color w:val="111111"/>
          <w:sz w:val="28"/>
          <w:sz w:val="28"/>
          <w:szCs w:val="28"/>
          <w:rtl w:val="true"/>
          <w:lang w:bidi="ar-SA"/>
        </w:rPr>
        <w:t xml:space="preserve">، و اخرى بأمر الرضا عليه السّلام به </w:t>
      </w:r>
      <w:r>
        <w:rPr>
          <w:rStyle w:val="FootnoteAnchor"/>
          <w:rtl w:val="true"/>
        </w:rPr>
        <w:footnoteReference w:id="1189"/>
      </w:r>
      <w:r>
        <w:rPr>
          <w:rFonts w:ascii="Amiri" w:hAnsi="Amiri" w:eastAsia="Amiri" w:cs="Amiri"/>
          <w:color w:val="111111"/>
          <w:sz w:val="28"/>
          <w:sz w:val="28"/>
          <w:szCs w:val="28"/>
          <w:rtl w:val="true"/>
          <w:lang w:bidi="ar-SA"/>
        </w:rPr>
        <w:t xml:space="preserve">، و يشرحهما خبر الحلبي </w:t>
      </w:r>
      <w:r>
        <w:rPr>
          <w:rStyle w:val="FootnoteAnchor"/>
          <w:rtl w:val="true"/>
        </w:rPr>
        <w:footnoteReference w:id="1190"/>
      </w:r>
      <w:r>
        <w:rPr>
          <w:rFonts w:ascii="Amiri" w:hAnsi="Amiri" w:eastAsia="Amiri" w:cs="Amiri"/>
          <w:color w:val="111111"/>
          <w:sz w:val="28"/>
          <w:sz w:val="28"/>
          <w:szCs w:val="28"/>
          <w:rtl w:val="true"/>
          <w:lang w:bidi="ar-SA"/>
        </w:rPr>
        <w:t xml:space="preserve">المشتمل لوجه أمر الرضا به، و أن يكون اللحد بقدر ما يجلس فيه الجالس، لمرسل ابن أبي عمير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عند تناوله و عند وضعه في اللحد بالمأثور المنصوص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التحفّي لمن أدخل الميت في القبر، و حل الأزرار،</w:t>
      </w:r>
    </w:p>
    <w:p>
      <w:pPr>
        <w:pStyle w:val="BookText"/>
        <w:rPr/>
      </w:pPr>
      <w:r>
        <w:rPr>
          <w:rFonts w:ascii="Amiri" w:hAnsi="Amiri" w:eastAsia="Amiri" w:cs="Amiri"/>
          <w:color w:val="111111"/>
          <w:sz w:val="28"/>
          <w:sz w:val="28"/>
          <w:szCs w:val="28"/>
          <w:rtl w:val="true"/>
          <w:lang w:bidi="ar-SA"/>
        </w:rPr>
        <w:t xml:space="preserve">و كشف الرأس، و خلع الرداء و الطيلسان </w:t>
      </w:r>
      <w:r>
        <w:rPr>
          <w:rStyle w:val="FootnoteAnchor"/>
          <w:rtl w:val="true"/>
        </w:rPr>
        <w:footnoteReference w:id="1193"/>
      </w:r>
      <w:r>
        <w:rPr>
          <w:rFonts w:ascii="Amiri" w:hAnsi="Amiri" w:eastAsia="Amiri" w:cs="Amiri"/>
          <w:color w:val="111111"/>
          <w:sz w:val="28"/>
          <w:sz w:val="28"/>
          <w:szCs w:val="28"/>
          <w:rtl w:val="true"/>
          <w:lang w:bidi="ar-SA"/>
        </w:rPr>
        <w:t xml:space="preserve">، لنص ابن يقطين </w:t>
      </w:r>
      <w:r>
        <w:rPr>
          <w:rStyle w:val="FootnoteAnchor"/>
          <w:rtl w:val="true"/>
        </w:rPr>
        <w:footnoteReference w:id="1194"/>
      </w:r>
      <w:r>
        <w:rPr>
          <w:rFonts w:ascii="Amiri" w:hAnsi="Amiri" w:eastAsia="Amiri" w:cs="Amiri"/>
          <w:color w:val="111111"/>
          <w:sz w:val="28"/>
          <w:sz w:val="28"/>
          <w:szCs w:val="28"/>
          <w:rtl w:val="true"/>
          <w:lang w:bidi="ar-SA"/>
        </w:rPr>
        <w:t xml:space="preserve">المشتمل على النهي عن النزول في القبر و عليه العمامة و الطيلسان و القلنسوة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الغرض من النهي المزبور محبوبية الخشوع، فيكون عرضيا، و إلّا فالرواية صريحة في كراهة ضدها، نعم في بعض النصوص الأمر بحل الأزرار </w:t>
      </w:r>
      <w:r>
        <w:rPr>
          <w:rStyle w:val="FootnoteAnchor"/>
          <w:rtl w:val="true"/>
        </w:rPr>
        <w:footnoteReference w:id="1195"/>
      </w:r>
      <w:r>
        <w:rPr>
          <w:rFonts w:ascii="IRNazanin" w:hAnsi="IRNazanin" w:eastAsia="IRNazanin"/>
          <w:color w:val="111111"/>
          <w:sz w:val="28"/>
          <w:sz w:val="28"/>
          <w:szCs w:val="28"/>
          <w:rtl w:val="true"/>
          <w:lang w:bidi="fa-IR"/>
        </w:rPr>
        <w:t>، المحمول لدى الأصحاب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عقد الأكفان، للنص </w:t>
      </w:r>
      <w:r>
        <w:rPr>
          <w:rStyle w:val="FootnoteAnchor"/>
          <w:rtl w:val="true"/>
        </w:rPr>
        <w:footnoteReference w:id="1196"/>
      </w:r>
      <w:r>
        <w:rPr>
          <w:rFonts w:ascii="Amiri" w:hAnsi="Amiri" w:eastAsia="Amiri" w:cs="Amiri"/>
          <w:color w:val="111111"/>
          <w:sz w:val="28"/>
          <w:sz w:val="28"/>
          <w:szCs w:val="28"/>
          <w:rtl w:val="true"/>
          <w:lang w:bidi="ar-SA"/>
        </w:rPr>
        <w:t xml:space="preserve">، و في بعض النصوص الأمر بشق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97"/>
      </w:r>
      <w:r>
        <w:rPr>
          <w:rFonts w:ascii="Amiri" w:hAnsi="Amiri" w:eastAsia="Amiri" w:cs="Amiri"/>
          <w:color w:val="111111"/>
          <w:sz w:val="28"/>
          <w:sz w:val="28"/>
          <w:szCs w:val="28"/>
          <w:rtl w:val="true"/>
          <w:lang w:bidi="ar-SA"/>
        </w:rPr>
        <w:t xml:space="preserve">، و هو غير معمول به، و وضع خده على التراب، للأمر به في النص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من التربة الحسينية عليه السّلام معه، لمكاتبة الحميري إلى الفقيه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الشهادتين، و الإقرار بالأئمة عليهم السّلام، للسيرة، و نصوص كثيرة </w:t>
      </w:r>
      <w:r>
        <w:rPr>
          <w:rStyle w:val="FootnoteAnchor"/>
          <w:rtl w:val="true"/>
        </w:rPr>
        <w:footnoteReference w:id="1200"/>
      </w:r>
      <w:r>
        <w:rPr>
          <w:rFonts w:ascii="IRNazanin" w:hAnsi="IRNazanin" w:eastAsia="IRNazanin"/>
          <w:color w:val="111111"/>
          <w:sz w:val="28"/>
          <w:sz w:val="28"/>
          <w:szCs w:val="28"/>
          <w:rtl w:val="true"/>
          <w:lang w:bidi="fa-IR"/>
        </w:rPr>
        <w:t xml:space="preserve">، و شرج اللّبن </w:t>
      </w:r>
      <w:r>
        <w:rPr>
          <w:rStyle w:val="FootnoteAnchor"/>
          <w:rtl w:val="true"/>
        </w:rPr>
        <w:footnoteReference w:id="1201"/>
      </w:r>
      <w:r>
        <w:rPr>
          <w:rFonts w:ascii="Amiri" w:hAnsi="Amiri" w:eastAsia="Amiri" w:cs="Amiri"/>
          <w:color w:val="111111"/>
          <w:sz w:val="28"/>
          <w:sz w:val="28"/>
          <w:szCs w:val="28"/>
          <w:rtl w:val="true"/>
          <w:lang w:bidi="ar-SA"/>
        </w:rPr>
        <w:t xml:space="preserve">، للصحيح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قبل رجليه، لخبر السكوني </w:t>
      </w:r>
      <w:r>
        <w:rPr>
          <w:rStyle w:val="FootnoteAnchor"/>
          <w:rtl w:val="true"/>
        </w:rPr>
        <w:footnoteReference w:id="1203"/>
      </w:r>
      <w:r>
        <w:rPr>
          <w:rFonts w:ascii="Amiri" w:hAnsi="Amiri" w:eastAsia="Amiri" w:cs="Amiri"/>
          <w:color w:val="111111"/>
          <w:sz w:val="28"/>
          <w:sz w:val="28"/>
          <w:szCs w:val="28"/>
          <w:rtl w:val="true"/>
          <w:lang w:bidi="ar-SA"/>
        </w:rPr>
        <w:t>المناسب لكونه باب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إهالة الحاضرين التراب بظهور الأكف، للمرسل </w:t>
      </w:r>
      <w:r>
        <w:rPr>
          <w:rStyle w:val="FootnoteAnchor"/>
          <w:rtl w:val="true"/>
        </w:rPr>
        <w:footnoteReference w:id="1204"/>
      </w:r>
      <w:r>
        <w:rPr>
          <w:rFonts w:ascii="IRNazanin" w:hAnsi="IRNazanin" w:eastAsia="IRNazanin"/>
          <w:color w:val="111111"/>
          <w:sz w:val="28"/>
          <w:sz w:val="28"/>
          <w:szCs w:val="28"/>
          <w:rtl w:val="true"/>
          <w:lang w:bidi="fa-IR"/>
        </w:rPr>
        <w:t>المنجبر بالفتوى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 القبر و تربيعه، للسيرة، و بعض النصوص في التربيع </w:t>
      </w:r>
      <w:r>
        <w:rPr>
          <w:rStyle w:val="FootnoteAnchor"/>
          <w:rtl w:val="true"/>
        </w:rPr>
        <w:footnoteReference w:id="1205"/>
      </w:r>
      <w:r>
        <w:rPr>
          <w:rFonts w:ascii="Amiri" w:hAnsi="Amiri" w:eastAsia="Amiri" w:cs="Amiri"/>
          <w:color w:val="111111"/>
          <w:sz w:val="28"/>
          <w:sz w:val="28"/>
          <w:szCs w:val="28"/>
          <w:rtl w:val="true"/>
          <w:lang w:bidi="ar-SA"/>
        </w:rPr>
        <w:t xml:space="preserve">، وصب الماء عليه دورا، للنص </w:t>
      </w:r>
      <w:r>
        <w:rPr>
          <w:rStyle w:val="FootnoteAnchor"/>
          <w:rtl w:val="true"/>
        </w:rPr>
        <w:footnoteReference w:id="1206"/>
      </w:r>
      <w:r>
        <w:rPr>
          <w:rFonts w:ascii="Amiri" w:hAnsi="Amiri" w:eastAsia="Amiri" w:cs="Amiri"/>
          <w:color w:val="111111"/>
          <w:sz w:val="28"/>
          <w:sz w:val="28"/>
          <w:szCs w:val="28"/>
          <w:rtl w:val="true"/>
          <w:lang w:bidi="ar-SA"/>
        </w:rPr>
        <w:t xml:space="preserve">المعاضد بالسيرة، و وضع اليد عليه بعد رشه، لصحيح زرارة </w:t>
      </w:r>
      <w:r>
        <w:rPr>
          <w:rStyle w:val="FootnoteAnchor"/>
          <w:rtl w:val="true"/>
        </w:rPr>
        <w:footnoteReference w:id="1207"/>
      </w:r>
      <w:r>
        <w:rPr>
          <w:rFonts w:ascii="Amiri" w:hAnsi="Amiri" w:eastAsia="Amiri" w:cs="Amiri"/>
          <w:color w:val="111111"/>
          <w:sz w:val="28"/>
          <w:sz w:val="28"/>
          <w:szCs w:val="28"/>
          <w:rtl w:val="true"/>
          <w:lang w:bidi="ar-SA"/>
        </w:rPr>
        <w:t xml:space="preserve">، و الترحم عليه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 الولي أو من يأمره بعد انصراف الناس، لخبر جابر </w:t>
      </w:r>
      <w:r>
        <w:rPr>
          <w:rStyle w:val="FootnoteAnchor"/>
          <w:rtl w:val="true"/>
        </w:rPr>
        <w:footnoteReference w:id="1209"/>
      </w:r>
      <w:r>
        <w:rPr>
          <w:rFonts w:ascii="Amiri" w:hAnsi="Amiri" w:eastAsia="Amiri" w:cs="Amiri"/>
          <w:color w:val="111111"/>
          <w:sz w:val="28"/>
          <w:sz w:val="28"/>
          <w:szCs w:val="28"/>
          <w:rtl w:val="true"/>
          <w:lang w:bidi="ar-SA"/>
        </w:rPr>
        <w:t xml:space="preserve">، و لا اختصاص في النص بولي الميت </w:t>
      </w:r>
      <w:r>
        <w:rPr>
          <w:rStyle w:val="FootnoteAnchor"/>
          <w:rtl w:val="true"/>
        </w:rPr>
        <w:footnoteReference w:id="1210"/>
      </w:r>
      <w:r>
        <w:rPr>
          <w:rFonts w:ascii="Amiri" w:hAnsi="Amiri" w:eastAsia="Amiri" w:cs="Amiri"/>
          <w:color w:val="111111"/>
          <w:sz w:val="28"/>
          <w:sz w:val="28"/>
          <w:szCs w:val="28"/>
          <w:rtl w:val="true"/>
          <w:lang w:bidi="ar-SA"/>
        </w:rPr>
        <w:t>، كما لا يستفاد من مثله التسبيب، اللهم إلّا أن يكون الغرض منه التسلية الحاصلة بذلك 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نزول ذوي الرحم إلّا في المرأة و إهالة التراب من ذي الرحم، و النص وارد في خصوص الأخير </w:t>
      </w:r>
      <w:r>
        <w:rPr>
          <w:rStyle w:val="FootnoteAnchor"/>
          <w:rtl w:val="true"/>
        </w:rPr>
        <w:footnoteReference w:id="1211"/>
      </w:r>
      <w:r>
        <w:rPr>
          <w:rFonts w:ascii="Amiri" w:hAnsi="Amiri" w:eastAsia="Amiri" w:cs="Amiri"/>
          <w:color w:val="111111"/>
          <w:sz w:val="28"/>
          <w:sz w:val="28"/>
          <w:szCs w:val="28"/>
          <w:rtl w:val="true"/>
          <w:lang w:bidi="ar-SA"/>
        </w:rPr>
        <w:t>، لكن التعليل بأنها تورث قسوة القلب يشمل الحكم الأول أيضا، فيصلح مدركا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النص في خصوص الوالد أيضا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أيضا فرش القبر بالساج من غير حاجة، و كذا بغيره كذلك، و في مستنده تأمل، لعدم استفادته من المكاتبة </w:t>
      </w:r>
      <w:r>
        <w:rPr>
          <w:rStyle w:val="FootnoteAnchor"/>
          <w:rtl w:val="true"/>
        </w:rPr>
        <w:footnoteReference w:id="1213"/>
      </w:r>
      <w:r>
        <w:rPr>
          <w:rFonts w:ascii="Amiri" w:hAnsi="Amiri" w:eastAsia="Amiri" w:cs="Amiri"/>
          <w:color w:val="111111"/>
          <w:sz w:val="28"/>
          <w:sz w:val="28"/>
          <w:szCs w:val="28"/>
          <w:rtl w:val="true"/>
          <w:lang w:bidi="ar-SA"/>
        </w:rPr>
        <w:t>و إن كانت مشعرة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أيضا تجصيصه، للنهي في بعض النصوص </w:t>
      </w:r>
      <w:r>
        <w:rPr>
          <w:rStyle w:val="FootnoteAnchor"/>
          <w:rtl w:val="true"/>
        </w:rPr>
        <w:footnoteReference w:id="1214"/>
      </w:r>
      <w:r>
        <w:rPr>
          <w:rFonts w:ascii="Amiri" w:hAnsi="Amiri" w:eastAsia="Amiri" w:cs="Amiri"/>
          <w:color w:val="111111"/>
          <w:sz w:val="28"/>
          <w:sz w:val="28"/>
          <w:szCs w:val="28"/>
          <w:rtl w:val="true"/>
          <w:lang w:bidi="ar-SA"/>
        </w:rPr>
        <w:t xml:space="preserve">، و في بعضها الأمر به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مورد الحاجة جمعا،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قبور الأئمة، لرواية أبي عامر الآمرة بتعمير تربة علي عليه السّلام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الحمل على بناء القبة و أمثالها تعظيما لشعائر اللّٰه، لا تجصيص نفس القبر، جمعا بينه و بين إطلاق النهي عن التجصيص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أيضا تجديده بعد اندراسه، و مستنده الخبر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قبرا</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و هو بسبب اختلاف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معجمة و مهملة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يكره أيضا دفن ميتين في قبر واحد معا أو متعاقبين، للمرسلة الشاملة للصورتين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حرمة التعاقب لمزاحمة الثاني لحق الأول، مدفوع لمنع كونه ذا حق مانع عن دفن غيره فيه، غاية الأمر يحرم نبشه و حركته من مكانه، و هما غير ما نحن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أيضا نقله إلى غير المشاهد، للنهي عنه، و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فعل اليهود بنقل موتاهم إلى بيت المقدس</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و ذيله يؤيد إطلاق الكراهة حتى إلى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جملة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يوسف جنازة يعقوب</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موسى عظام يوسف إلى بيت المقدس</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عظام آدم</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شهادة في الأخيرين في نقل الجنازة، و في الأول كفاية، لو لا دعوى اختصاص ذلك بالأنبياء، فلا مجال لاستصحاب أحكام الشرائع السابقة بالنسبة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يبقى في البين إلّا سيرة الصالحين سلفا و خلفا، و هي كافية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مراعاة عدم استلزامه هتكا أزيد مما هو من لوازم السفر عادة، كما لا يخفى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الميت في البحر يثقّل و يرمى فيه مع عدم التمكن من الشاطئ، كما في رواية مرفوعة عن سهل،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تقدروا على الشط</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 بل الإطلاقات المجوزة للبحر منصرفة عن فرض التمكن </w:t>
      </w:r>
      <w:r>
        <w:rPr>
          <w:rStyle w:val="FootnoteAnchor"/>
          <w:rtl w:val="true"/>
        </w:rPr>
        <w:footnoteReference w:id="1225"/>
      </w:r>
      <w:r>
        <w:rPr>
          <w:rFonts w:ascii="Amiri" w:hAnsi="Amiri" w:eastAsia="Amiri" w:cs="Amiri"/>
          <w:color w:val="111111"/>
          <w:sz w:val="28"/>
          <w:sz w:val="28"/>
          <w:szCs w:val="28"/>
          <w:rtl w:val="true"/>
          <w:lang w:bidi="ar-SA"/>
        </w:rPr>
        <w:t xml:space="preserve">، و في بعض النصوص الأمر بالتثقيل المزبور </w:t>
      </w:r>
      <w:r>
        <w:rPr>
          <w:rStyle w:val="FootnoteAnchor"/>
          <w:rtl w:val="true"/>
        </w:rPr>
        <w:footnoteReference w:id="1226"/>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بوضعها في خابية و يرسب في الماء</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بينهما برفع اليد عن ظهور كل منهما</w:t>
      </w:r>
      <w:bookmarkStart w:id="379" w:name="pg19729_212843"/>
    </w:p>
    <w:p>
      <w:pPr>
        <w:pStyle w:val="BookText"/>
        <w:rPr/>
      </w:pPr>
      <w:bookmarkEnd w:id="379"/>
      <w:r>
        <w:rPr>
          <w:rFonts w:ascii="Amiri" w:hAnsi="Amiri" w:eastAsia="Amiri" w:cs="Amiri"/>
          <w:color w:val="111111"/>
          <w:sz w:val="28"/>
          <w:sz w:val="28"/>
          <w:szCs w:val="28"/>
          <w:rtl w:val="true"/>
          <w:lang w:bidi="ar-SA"/>
        </w:rPr>
        <w:t>في التعيين، فيتخيّر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كونه أول مواراته مستقبل القبلة وجه يساعده الاعتبار على خلاف إطلاق النصين، و إن كان في صلاحيته لرفع اليد عن الإطلاق المزبور نظر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يدفن في مقبرة المسلمين غيرهم، إلّا الذمية الحاملة من المسلم فيستدبر بها القبلة، ليقع وجه الطفل إلى القبلة، و لم أر نصا في الأول، إلّا ما في كلماتهم من عدم تأذي غيره بعذابه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يوهم ذلك كونه مضمون نص واصل إليهم، كما أنّ في الاستثناء المزبور أيضا لم أر إلّا التسالم في الكلمات، و مناسبة الاهتمام بحق الطفل الملحق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الكيفية المخصوصة من استدبار امّه، فلما قيل بأن بطن امه بمنزلة التابوت، فيوجه فيه إلى القبلة، و في التعليل المزبور نظر، لإمكان منعه، فتدبّر</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251385_2314609296"/>
      <w:bookmarkStart w:id="381" w:name="_Toc145"/>
      <w:bookmarkEnd w:id="380"/>
      <w:r>
        <w:rPr>
          <w:rtl w:val="true"/>
        </w:rPr>
        <w:t>مسائل</w:t>
      </w:r>
      <w:bookmarkEnd w:id="381"/>
    </w:p>
    <w:p>
      <w:pPr>
        <w:pStyle w:val="Heading6"/>
        <w:numPr>
          <w:ilvl w:val="5"/>
          <w:numId w:val="1"/>
        </w:numPr>
        <w:rPr/>
      </w:pPr>
      <w:bookmarkStart w:id="382" w:name="__RefHeading___Toc3251387_2314609296"/>
      <w:bookmarkStart w:id="383" w:name="_Toc146"/>
      <w:bookmarkEnd w:id="382"/>
      <w:r>
        <w:rPr>
          <w:rtl w:val="true"/>
        </w:rPr>
        <w:t>الأولى</w:t>
      </w:r>
      <w:r>
        <w:rPr>
          <w:rtl w:val="true"/>
        </w:rPr>
        <w:t xml:space="preserve">: </w:t>
      </w:r>
      <w:r>
        <w:rPr>
          <w:rtl w:val="true"/>
        </w:rPr>
        <w:t>الشهيد لا يغسّل و لا يكفّن، بل يصلّى عليه و يدفن بثيابه</w:t>
      </w:r>
      <w:bookmarkEnd w:id="383"/>
    </w:p>
    <w:p>
      <w:pPr>
        <w:pStyle w:val="BookText"/>
        <w:rPr/>
      </w:pPr>
      <w:r>
        <w:rPr>
          <w:rFonts w:ascii="Amiri" w:hAnsi="Amiri" w:eastAsia="Amiri" w:cs="Amiri"/>
          <w:color w:val="111111"/>
          <w:sz w:val="28"/>
          <w:sz w:val="28"/>
          <w:szCs w:val="28"/>
          <w:rtl w:val="true"/>
          <w:lang w:bidi="ar-SA"/>
        </w:rPr>
        <w:t>، و قد تقدّم مستند المسألة مفصلا</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251389_2314609296"/>
      <w:bookmarkStart w:id="385" w:name="_Toc147"/>
      <w:bookmarkEnd w:id="384"/>
      <w:r>
        <w:rPr>
          <w:rtl w:val="true"/>
        </w:rPr>
        <w:t>الثانية</w:t>
      </w:r>
      <w:r>
        <w:rPr>
          <w:rtl w:val="true"/>
        </w:rPr>
        <w:t xml:space="preserve">: </w:t>
      </w:r>
      <w:r>
        <w:rPr>
          <w:rtl w:val="true"/>
        </w:rPr>
        <w:t>صدر الميت كالميت في أحكامه</w:t>
      </w:r>
      <w:bookmarkEnd w:id="385"/>
    </w:p>
    <w:p>
      <w:pPr>
        <w:pStyle w:val="BookText"/>
        <w:rPr/>
      </w:pPr>
      <w:r>
        <w:rPr>
          <w:rFonts w:ascii="Amiri" w:hAnsi="Amiri" w:eastAsia="Amiri" w:cs="Amiri"/>
          <w:color w:val="111111"/>
          <w:sz w:val="28"/>
          <w:sz w:val="28"/>
          <w:szCs w:val="28"/>
          <w:rtl w:val="true"/>
          <w:lang w:bidi="ar-SA"/>
        </w:rPr>
        <w:t>إذا كان مع البدن كما هو الغالب، و إلّا فيجري حكم غيره من أنه إن كان فيه عظم غسّل و كفّن و دفن بلا صلاة و كذا السقط لأربعة أشهر، و إلّا دفن بعد لفّه في خرقة، للنص في الأول، و فحوى لزوم المستورية من النص الدال على جعل العضو في كفنه الجاري في المقام أيضا، و كذلك السقط لدون أربعة أشهر، لما تقدّم</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251391_2314609296"/>
      <w:bookmarkStart w:id="387" w:name="_Toc148"/>
      <w:bookmarkEnd w:id="386"/>
      <w:r>
        <w:rPr>
          <w:rtl w:val="true"/>
        </w:rPr>
        <w:t>الثالثة</w:t>
      </w:r>
      <w:r>
        <w:rPr>
          <w:rtl w:val="true"/>
        </w:rPr>
        <w:t xml:space="preserve">: </w:t>
      </w:r>
      <w:r>
        <w:rPr>
          <w:rtl w:val="true"/>
        </w:rPr>
        <w:t>يؤخذ الكفن من أصل التركة</w:t>
      </w:r>
      <w:bookmarkEnd w:id="3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w:t>
      </w:r>
      <w:bookmarkStart w:id="388" w:name="pg19729_212844"/>
    </w:p>
    <w:p>
      <w:pPr>
        <w:pStyle w:val="BookText"/>
        <w:rPr/>
      </w:pPr>
      <w:bookmarkEnd w:id="388"/>
      <w:r>
        <w:rPr>
          <w:rFonts w:ascii="Amiri" w:hAnsi="Amiri" w:eastAsia="Amiri" w:cs="Amiri"/>
          <w:color w:val="111111"/>
          <w:sz w:val="28"/>
          <w:sz w:val="28"/>
          <w:szCs w:val="28"/>
          <w:rtl w:val="true"/>
          <w:lang w:bidi="ar-SA"/>
        </w:rPr>
        <w:t>من المال الكفن</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و قد أشرنا إليه سابقا، و لازمة كون الكفن قبل الديون و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أنّ كفن المرأة على زوجها بنحو الوضع لا التكليف المحض و إن كانت موسرة، بل و إن كان معسرا فلا يكون حينئذ في تركة الميت، على ما فصّل سابقا</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3251393_2314609296"/>
      <w:bookmarkStart w:id="390" w:name="_Toc149"/>
      <w:bookmarkEnd w:id="389"/>
      <w:r>
        <w:rPr>
          <w:rtl w:val="true"/>
        </w:rPr>
        <w:t>الرابعة</w:t>
      </w:r>
      <w:r>
        <w:rPr>
          <w:rtl w:val="true"/>
        </w:rPr>
        <w:t xml:space="preserve">: </w:t>
      </w:r>
      <w:r>
        <w:rPr>
          <w:rtl w:val="true"/>
        </w:rPr>
        <w:t>الحرام كالحلال إلّا في الكافور فلا يقربه</w:t>
      </w:r>
      <w:bookmarkEnd w:id="39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كالحلال </w:t>
      </w:r>
      <w:r>
        <w:rPr>
          <w:rStyle w:val="FootnoteAnchor"/>
          <w:rtl w:val="true"/>
        </w:rPr>
        <w:footnoteReference w:id="1229"/>
      </w:r>
      <w:r>
        <w:rPr>
          <w:rFonts w:ascii="Amiri" w:hAnsi="Amiri" w:eastAsia="Amiri" w:cs="Amiri"/>
          <w:color w:val="111111"/>
          <w:sz w:val="28"/>
          <w:sz w:val="28"/>
          <w:szCs w:val="28"/>
          <w:rtl w:val="true"/>
          <w:lang w:bidi="ar-SA"/>
        </w:rPr>
        <w:t>إلّا في الكافور فلا يقربه</w:t>
      </w:r>
    </w:p>
    <w:p>
      <w:pPr>
        <w:pStyle w:val="BookText"/>
        <w:rPr/>
      </w:pPr>
      <w:r>
        <w:rPr>
          <w:rFonts w:ascii="Amiri" w:hAnsi="Amiri" w:eastAsia="Amiri" w:cs="Amiri"/>
          <w:color w:val="111111"/>
          <w:sz w:val="28"/>
          <w:sz w:val="28"/>
          <w:szCs w:val="28"/>
          <w:rtl w:val="true"/>
          <w:lang w:bidi="ar-SA"/>
        </w:rPr>
        <w:t>، و قد تقدّم ذلك أيضا في مبحث الغسل</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251395_2314609296"/>
      <w:bookmarkStart w:id="392" w:name="_Toc150"/>
      <w:bookmarkEnd w:id="391"/>
      <w:r>
        <w:rPr>
          <w:rtl w:val="true"/>
        </w:rPr>
        <w:t>الخامسة</w:t>
      </w:r>
      <w:r>
        <w:rPr>
          <w:rtl w:val="true"/>
        </w:rPr>
        <w:t xml:space="preserve">: </w:t>
      </w:r>
      <w:r>
        <w:rPr>
          <w:rtl w:val="true"/>
        </w:rPr>
        <w:t>من مسّ ميتا من الناس بعد برده بالموت و قبل تطهيره بالغسل</w:t>
      </w:r>
      <w:bookmarkEnd w:id="392"/>
    </w:p>
    <w:p>
      <w:pPr>
        <w:pStyle w:val="BookText"/>
        <w:rPr/>
      </w:pPr>
      <w:r>
        <w:rPr>
          <w:rFonts w:ascii="Amiri" w:hAnsi="Amiri" w:eastAsia="Amiri" w:cs="Amiri"/>
          <w:color w:val="111111"/>
          <w:sz w:val="28"/>
          <w:sz w:val="28"/>
          <w:szCs w:val="28"/>
          <w:rtl w:val="true"/>
          <w:lang w:bidi="ar-SA"/>
        </w:rPr>
        <w:t xml:space="preserve">وجب عليه الغسل بلا اشكال، للنصوص المفصلة لما ذكر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اشتمل على انه سنة </w:t>
      </w:r>
      <w:r>
        <w:rPr>
          <w:rStyle w:val="FootnoteAnchor"/>
          <w:rtl w:val="true"/>
        </w:rPr>
        <w:footnoteReference w:id="1231"/>
      </w:r>
      <w:r>
        <w:rPr>
          <w:rFonts w:ascii="Amiri" w:hAnsi="Amiri" w:eastAsia="Amiri" w:cs="Amiri"/>
          <w:color w:val="111111"/>
          <w:sz w:val="28"/>
          <w:sz w:val="28"/>
          <w:szCs w:val="28"/>
          <w:rtl w:val="true"/>
          <w:lang w:bidi="ar-SA"/>
        </w:rPr>
        <w:t xml:space="preserve">محمولة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يعارض الأوامر الظاهرة في الوجوب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سقوط غسل المس بعد الغسل التام للميت، و في سقوطه بالأغسال الناقصة، بل بالتيمم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يغسّل</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التراب بدل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السقوط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ظهور انصراف إطلاق الغاية إلى الغسل التام، بضم عدم وفاء التيمم بتمام غرض المائية، و إلّا يستلزم عدم حرمة تفويت الماء اختيارا، فلا يقوم مقام الغاية التي هي الغسل التام في الثبوت، و يؤيده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ذكيّ لا يموت</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الشعر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 أمثالها خارجة عن موضوع الحكم، لأنه ليس بميت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طرف الماسح لا دليل على إخراجه بعد شمول الإطلاقات، إلّا مع بلوغها حدا موجبا لانصراف الإطلاق عنه، كما في صورة مسّه بأطراف شعره الطويل المحسوب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 قطعة فيها عظم قطعت من حي أو ميت، وجب عليه الغسل على المشهور، للمرسلة </w:t>
      </w:r>
      <w:r>
        <w:rPr>
          <w:rStyle w:val="FootnoteAnchor"/>
          <w:rtl w:val="true"/>
        </w:rPr>
        <w:footnoteReference w:id="1235"/>
      </w:r>
      <w:r>
        <w:rPr>
          <w:rFonts w:ascii="Amiri" w:hAnsi="Amiri" w:eastAsia="Amiri" w:cs="Amiri"/>
          <w:color w:val="111111"/>
          <w:sz w:val="28"/>
          <w:sz w:val="28"/>
          <w:szCs w:val="28"/>
          <w:rtl w:val="true"/>
          <w:lang w:bidi="ar-SA"/>
        </w:rPr>
        <w:t>المنجبرة بالعمل، و فيها التفصيل بين ما كان فيه عظم و ما لم يكن فيه عظم، بالوجوب في الأول، و نفيه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العظم تمام المناط كي يجب الغسل بمس العظم المجرد اشكال،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 السبع</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محمولة على المتعارف من بقاء مقدار من اللحم معه، فالأصل في مورد الشك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كمفهوم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الغسل فيما لا عظم فيه، بل يغسل يده الملاقية لموضع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شموله للضرس المبانة من الحي اشكال، لبنائهم على اجراء حكم الشعر عليه، و يفصح عن ذلك كلام شيخنا العلّامة قدّس سرّه </w:t>
      </w:r>
      <w:r>
        <w:rPr>
          <w:rStyle w:val="FootnoteAnchor"/>
          <w:rtl w:val="true"/>
        </w:rPr>
        <w:footnoteReference w:id="123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اعتبار الرطوبة في وجوب الغسل، وجه ستجي‌ء الإشارة إليه في بحث النجاسات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خلت القطعة من</w:t>
      </w:r>
      <w:bookmarkStart w:id="393" w:name="pg19729_212846"/>
    </w:p>
    <w:p>
      <w:pPr>
        <w:pStyle w:val="BookText"/>
        <w:rPr/>
      </w:pPr>
      <w:bookmarkEnd w:id="393"/>
      <w:r>
        <w:rPr>
          <w:rFonts w:ascii="Amiri" w:hAnsi="Amiri" w:eastAsia="Amiri" w:cs="Amiri"/>
          <w:color w:val="111111"/>
          <w:sz w:val="28"/>
          <w:sz w:val="28"/>
          <w:szCs w:val="28"/>
          <w:rtl w:val="true"/>
          <w:lang w:bidi="ar-SA"/>
        </w:rPr>
        <w:t>عظم، أو كان الميت من غير الناس ممن له نفس سائلة غسل يده خاصة،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3251397_2314609296"/>
      <w:bookmarkStart w:id="395" w:name="_Toc151"/>
      <w:bookmarkEnd w:id="394"/>
      <w:r>
        <w:rPr>
          <w:rtl w:val="true"/>
        </w:rPr>
        <w:t>بقي في المقام شي‌ء،</w:t>
      </w:r>
      <w:bookmarkEnd w:id="395"/>
    </w:p>
    <w:p>
      <w:pPr>
        <w:pStyle w:val="BookText"/>
        <w:rPr/>
      </w:pPr>
      <w:r>
        <w:rPr>
          <w:rFonts w:ascii="Amiri" w:hAnsi="Amiri" w:eastAsia="Amiri" w:cs="Amiri"/>
          <w:color w:val="111111"/>
          <w:sz w:val="28"/>
          <w:sz w:val="28"/>
          <w:szCs w:val="28"/>
          <w:rtl w:val="true"/>
          <w:lang w:bidi="ar-SA"/>
        </w:rPr>
        <w:t>و هو أنه لا خلاف بينهم في حرمة نبش قبر المسلم، و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حرمة الميت كحرمة الحي، تقطع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لنبشه و سلبه الثياب</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اختصاص الحرمة بمن يحرم هتكه حيا، فلا يشمل الكافر، بل و لا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حرمة دمه و ماله لا توجب حرمة هتكه من سائر الجهات، نعم لا بأس بشموله للمنافق، لحرمة هتكه بشرافة الإسلام، عدا الناصبي منهم، فإنهم محكومين بحكم الكفار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مختص بعنوان الميت، فلو صار رميما خرج عن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العظام البالية تردد، للشك في جريان الاستصحاب مع هذا المقدار من التغيّر، لو لا لزوم الاحترام من جهة أخرى، مثل قبور العلماء و من كان تعظيم قبره من شعائر اللّٰه، فإنه يحرم نبشه و إن بلغ في القدم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كونه مسلما أو كافرا، فأصالة عدم كونه محترما تجوّز النبش، فيلحق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إطلاق لحرمة النبش على وجه يقتضي تفويت حق الغير، أو كان في النبش امتنان في حق نفس الميت، كغسله أو كفنه أو وضع شي‌ء من أجزائه المتخلفة في قبره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الحكم معدود من الأحكام الامتنانية في حق الميت، و من المعلوم انّ مثل هذه الأحكام لا إطلاق لأدلتها كي تشمل</w:t>
      </w:r>
      <w:bookmarkStart w:id="396" w:name="pg19729_212847"/>
    </w:p>
    <w:p>
      <w:pPr>
        <w:pStyle w:val="BookText"/>
        <w:rPr/>
      </w:pPr>
      <w:bookmarkEnd w:id="396"/>
      <w:r>
        <w:rPr>
          <w:rFonts w:ascii="Amiri" w:hAnsi="Amiri" w:eastAsia="Amiri" w:cs="Amiri"/>
          <w:color w:val="111111"/>
          <w:sz w:val="28"/>
          <w:sz w:val="28"/>
          <w:szCs w:val="28"/>
          <w:rtl w:val="true"/>
          <w:lang w:bidi="ar-SA"/>
        </w:rPr>
        <w:t>صورة مزاحمة حق الغير، أو نفس الميت من جهة أخرى لا امتنان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التذكرة من الفرق بين حقوق الغير و حقوق نفسه من جهة غسله أو كفنه </w:t>
      </w:r>
      <w:r>
        <w:rPr>
          <w:rStyle w:val="FootnoteAnchor"/>
          <w:rtl w:val="true"/>
        </w:rPr>
        <w:footnoteReference w:id="1239"/>
      </w:r>
      <w:r>
        <w:rPr>
          <w:rFonts w:ascii="Amiri" w:hAnsi="Amiri" w:eastAsia="Amiri" w:cs="Amiri"/>
          <w:color w:val="111111"/>
          <w:sz w:val="28"/>
          <w:sz w:val="28"/>
          <w:szCs w:val="28"/>
          <w:rtl w:val="true"/>
          <w:lang w:bidi="ar-SA"/>
        </w:rPr>
        <w:t>ضعيف، لو لا توهم إجماع في البين، نعم لا بأس بالصلاة عليه بعد دفنه فلا ينبش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الميمّم كغير المغسّل في جواز نبشه تأمل</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251399_2314609296"/>
      <w:bookmarkStart w:id="398" w:name="_Toc152"/>
      <w:bookmarkEnd w:id="397"/>
      <w:r>
        <w:rPr>
          <w:rtl w:val="true"/>
        </w:rPr>
        <w:t>فرع</w:t>
      </w:r>
      <w:r>
        <w:rPr>
          <w:rtl w:val="true"/>
        </w:rPr>
        <w:t xml:space="preserve">: </w:t>
      </w:r>
      <w:r>
        <w:rPr>
          <w:rtl w:val="true"/>
        </w:rPr>
        <w:t>لو ماتت الحامل و في بطنها ولد حي، فلا شبهة في وجوب حفظ الولد بشق جنبها و إخراجه</w:t>
      </w:r>
      <w:bookmarkEnd w:id="398"/>
    </w:p>
    <w:p>
      <w:pPr>
        <w:pStyle w:val="BookText"/>
        <w:rPr/>
      </w:pPr>
      <w:r>
        <w:rPr>
          <w:rFonts w:ascii="IRNazanin" w:hAnsi="IRNazanin" w:eastAsia="IRNazanin"/>
          <w:color w:val="111111"/>
          <w:sz w:val="28"/>
          <w:sz w:val="28"/>
          <w:szCs w:val="28"/>
          <w:rtl w:val="true"/>
          <w:lang w:bidi="fa-IR"/>
        </w:rPr>
        <w:t xml:space="preserve">، و به ورد النص </w:t>
      </w:r>
      <w:r>
        <w:rPr>
          <w:rStyle w:val="FootnoteAnchor"/>
          <w:rtl w:val="true"/>
        </w:rPr>
        <w:footnoteReference w:id="1240"/>
      </w:r>
      <w:r>
        <w:rPr>
          <w:rFonts w:ascii="Amiri" w:hAnsi="Amiri" w:eastAsia="Amiri" w:cs="Amiri"/>
          <w:color w:val="111111"/>
          <w:sz w:val="28"/>
          <w:sz w:val="28"/>
          <w:szCs w:val="28"/>
          <w:rtl w:val="true"/>
          <w:lang w:bidi="ar-SA"/>
        </w:rPr>
        <w:t>أيضا، المشتمل على خياطته بعد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الأمر لو كان الأمر بالعكس، فإنه يجب حفظ الام و لو بإخراج الطفل مقطّعا، و هو أيضا منصوص عليه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تكفّل النساء للإخراج مهما أمكن، لما في النص من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ترفق به النساء</w:t>
      </w:r>
      <w:r>
        <w:rPr>
          <w:rFonts w:eastAsia="IRNazanin" w:cs="IRNazanin"/>
          <w:color w:val="111111"/>
          <w:sz w:val="28"/>
          <w:szCs w:val="28"/>
          <w:rtl w:val="true"/>
          <w:lang w:bidi="fa-IR"/>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 و به يقيّد إطلاق باقي النصوص </w:t>
      </w:r>
      <w:r>
        <w:rPr>
          <w:rStyle w:val="FootnoteAnchor"/>
          <w:rtl w:val="true"/>
        </w:rPr>
        <w:footnoteReference w:id="1243"/>
      </w:r>
      <w:r>
        <w:rPr>
          <w:rFonts w:ascii="Amiri" w:hAnsi="Amiri" w:eastAsia="Amiri" w:cs="Amiri"/>
          <w:color w:val="111111"/>
          <w:sz w:val="28"/>
          <w:sz w:val="28"/>
          <w:szCs w:val="28"/>
          <w:rtl w:val="true"/>
          <w:lang w:bidi="ar-SA"/>
        </w:rPr>
        <w:t>إن كان لها إطلاق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بلع الحي جوهرة لغيره، فلو أمكن إخراجها بشرب مسهل وجب مع المطالبة، و إلّا فلو احتاج إلى شق البطن مع بقاء حياته، ففيه إشكال، إذ احترام النفس و الدم مقدّم على المال،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بيده أو مع صدق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الحيلولة، و من هنا ظهر الحال في الضمان في فرض أداء الشق</w:t>
      </w:r>
      <w:bookmarkStart w:id="399" w:name="pg19729_212848"/>
    </w:p>
    <w:p>
      <w:pPr>
        <w:pStyle w:val="BookText"/>
        <w:rPr/>
      </w:pPr>
      <w:bookmarkEnd w:id="399"/>
      <w:r>
        <w:rPr>
          <w:rFonts w:ascii="Amiri" w:hAnsi="Amiri" w:eastAsia="Amiri" w:cs="Amiri"/>
          <w:color w:val="111111"/>
          <w:sz w:val="28"/>
          <w:sz w:val="28"/>
          <w:szCs w:val="28"/>
          <w:rtl w:val="true"/>
          <w:lang w:bidi="ar-SA"/>
        </w:rPr>
        <w:t>إلى الهلاك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بعد موته فيمكن منع احترامه المزاحم لسلطنة الناس على أموالهم، إذ قضية حرمة الهتك لا تزاحم حرمة مال الغير، لأنه خلاف المنة في حق غيره، و لا يقاس موته بحياته، إذ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حرمة الدم التي لا يزاحمها شي‌ء من التكاليف، بخلاف حرمة الميت فإنها ليست سوى مجرد حرمة هتكه، و وجوب احترام جسده، و هذا المقدار لا يزاحم حرمة مال الغير، نظير حرمة نبش قبره، لأنه أيضا نحو هتك عن الميت غير المزاحم لما ذكر، كما مر</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251401_2314609296"/>
      <w:bookmarkStart w:id="401" w:name="_Toc153"/>
      <w:bookmarkEnd w:id="400"/>
      <w:r>
        <w:rPr>
          <w:rtl w:val="true"/>
        </w:rPr>
        <w:t>الفصل السادس</w:t>
      </w:r>
      <w:r>
        <w:rPr>
          <w:rtl w:val="true"/>
        </w:rPr>
        <w:t xml:space="preserve">: </w:t>
      </w:r>
      <w:r>
        <w:rPr>
          <w:rtl w:val="true"/>
        </w:rPr>
        <w:t>في الأغسال المسنونة</w:t>
      </w:r>
      <w:bookmarkEnd w:id="401"/>
    </w:p>
    <w:p>
      <w:pPr>
        <w:pStyle w:val="BookText"/>
        <w:rPr/>
      </w:pPr>
      <w:r>
        <w:rPr>
          <w:rFonts w:ascii="Amiri" w:hAnsi="Amiri" w:eastAsia="Amiri" w:cs="Amiri"/>
          <w:color w:val="111111"/>
          <w:sz w:val="28"/>
          <w:sz w:val="28"/>
          <w:szCs w:val="28"/>
          <w:rtl w:val="true"/>
          <w:lang w:bidi="ar-SA"/>
        </w:rPr>
        <w:t>و هي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بلا اشكال عندنا نصا </w:t>
      </w:r>
      <w:r>
        <w:rPr>
          <w:rStyle w:val="FootnoteAnchor"/>
          <w:rtl w:val="true"/>
        </w:rPr>
        <w:footnoteReference w:id="1244"/>
      </w:r>
      <w:r>
        <w:rPr>
          <w:rFonts w:ascii="Amiri" w:hAnsi="Amiri" w:eastAsia="Amiri" w:cs="Amiri"/>
          <w:color w:val="111111"/>
          <w:sz w:val="28"/>
          <w:sz w:val="28"/>
          <w:szCs w:val="28"/>
          <w:rtl w:val="true"/>
          <w:lang w:bidi="ar-SA"/>
        </w:rPr>
        <w:t>و فتوى، 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جواب السؤال عن وجوبه </w:t>
      </w:r>
      <w:r>
        <w:rPr>
          <w:rStyle w:val="FootnoteAnchor"/>
          <w:rtl w:val="true"/>
        </w:rPr>
        <w:footnoteReference w:id="1245"/>
      </w:r>
      <w:r>
        <w:rPr>
          <w:rFonts w:ascii="Amiri" w:hAnsi="Amiri" w:eastAsia="Amiri" w:cs="Amiri"/>
          <w:color w:val="111111"/>
          <w:sz w:val="28"/>
          <w:sz w:val="28"/>
          <w:szCs w:val="28"/>
          <w:rtl w:val="true"/>
          <w:lang w:bidi="ar-SA"/>
        </w:rPr>
        <w:t>، و هو كالصريح في الاستحباب، فلا يتوهم كونه بمعنى المأخوذ من السنة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وقته من طلوع الفجر إلى الزوال، للنص المخصوص </w:t>
      </w:r>
      <w:r>
        <w:rPr>
          <w:rStyle w:val="FootnoteAnchor"/>
          <w:rtl w:val="true"/>
        </w:rPr>
        <w:footnoteReference w:id="1246"/>
      </w:r>
      <w:r>
        <w:rPr>
          <w:rFonts w:ascii="Amiri" w:hAnsi="Amiri" w:eastAsia="Amiri" w:cs="Amiri"/>
          <w:color w:val="111111"/>
          <w:sz w:val="28"/>
          <w:sz w:val="28"/>
          <w:szCs w:val="28"/>
          <w:rtl w:val="true"/>
          <w:lang w:bidi="ar-SA"/>
        </w:rPr>
        <w:t xml:space="preserve">، نعم يجوز إتيانه يوم الخميس لعذر بدلا، للمصححة </w:t>
      </w:r>
      <w:r>
        <w:rPr>
          <w:rStyle w:val="FootnoteAnchor"/>
          <w:rtl w:val="true"/>
        </w:rPr>
        <w:footnoteReference w:id="1247"/>
      </w:r>
      <w:r>
        <w:rPr>
          <w:rFonts w:ascii="Amiri" w:hAnsi="Amiri" w:eastAsia="Amiri" w:cs="Amiri"/>
          <w:color w:val="111111"/>
          <w:sz w:val="28"/>
          <w:sz w:val="28"/>
          <w:szCs w:val="28"/>
          <w:rtl w:val="true"/>
          <w:lang w:bidi="ar-SA"/>
        </w:rPr>
        <w:t xml:space="preserve">، و في النصوص أيضا قضاؤه بعد الزوال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فوت الوقت في الجملة ظاهرة، لكن</w:t>
      </w:r>
    </w:p>
    <w:p>
      <w:pPr>
        <w:pStyle w:val="BookText"/>
        <w:rPr/>
      </w:pPr>
      <w:r>
        <w:rPr>
          <w:rFonts w:ascii="Amiri" w:hAnsi="Amiri" w:eastAsia="Amiri" w:cs="Amiri"/>
          <w:color w:val="111111"/>
          <w:sz w:val="28"/>
          <w:sz w:val="28"/>
          <w:szCs w:val="28"/>
          <w:rtl w:val="true"/>
          <w:lang w:bidi="ar-SA"/>
        </w:rPr>
        <w:t>تحمل في المستحبات على مراتب الفضيلة في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غسل أول ليلة من رمضان، للأخبار المستفيضة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ليلة النصف منه، لمرسلة المقنعة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عشرة، و تسع عشرة، و احدى و عشرين، و ليلة الفطر، لصحيحة ابن مسلم </w:t>
      </w:r>
      <w:r>
        <w:rPr>
          <w:rStyle w:val="FootnoteAnchor"/>
          <w:rtl w:val="true"/>
        </w:rPr>
        <w:footnoteReference w:id="1251"/>
      </w:r>
      <w:r>
        <w:rPr>
          <w:rFonts w:ascii="Amiri" w:hAnsi="Amiri" w:eastAsia="Amiri" w:cs="Amiri"/>
          <w:color w:val="111111"/>
          <w:sz w:val="28"/>
          <w:sz w:val="28"/>
          <w:szCs w:val="28"/>
          <w:rtl w:val="true"/>
          <w:lang w:bidi="ar-SA"/>
        </w:rPr>
        <w:t xml:space="preserve">المشتملة على جميعها عدا ليلة الفطر، فبضميمة خبر ابن راشد </w:t>
      </w:r>
      <w:r>
        <w:rPr>
          <w:rStyle w:val="FootnoteAnchor"/>
          <w:rtl w:val="true"/>
        </w:rPr>
        <w:footnoteReference w:id="1252"/>
      </w:r>
      <w:r>
        <w:rPr>
          <w:rFonts w:ascii="Amiri" w:hAnsi="Amiri" w:eastAsia="Amiri" w:cs="Amiri"/>
          <w:color w:val="111111"/>
          <w:sz w:val="28"/>
          <w:sz w:val="28"/>
          <w:szCs w:val="28"/>
          <w:rtl w:val="true"/>
          <w:lang w:bidi="ar-SA"/>
        </w:rPr>
        <w:t>يتم مدرك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لموثقة سماعة </w:t>
      </w:r>
      <w:r>
        <w:rPr>
          <w:rStyle w:val="FootnoteAnchor"/>
          <w:rtl w:val="true"/>
        </w:rPr>
        <w:footnoteReference w:id="1253"/>
      </w:r>
      <w:r>
        <w:rPr>
          <w:rFonts w:ascii="IRNazanin" w:hAnsi="IRNazanin" w:eastAsia="IRNazanin"/>
          <w:color w:val="111111"/>
          <w:sz w:val="28"/>
          <w:sz w:val="28"/>
          <w:szCs w:val="28"/>
          <w:rtl w:val="true"/>
          <w:lang w:bidi="fa-IR"/>
        </w:rPr>
        <w:t xml:space="preserve">، و مقتضى إطلاق بعض نصوصه </w:t>
      </w:r>
      <w:r>
        <w:rPr>
          <w:rStyle w:val="FootnoteAnchor"/>
          <w:rtl w:val="true"/>
        </w:rPr>
        <w:footnoteReference w:id="1254"/>
      </w:r>
      <w:r>
        <w:rPr>
          <w:rFonts w:ascii="Amiri" w:hAnsi="Amiri" w:eastAsia="Amiri" w:cs="Amiri"/>
          <w:color w:val="111111"/>
          <w:sz w:val="28"/>
          <w:sz w:val="28"/>
          <w:szCs w:val="28"/>
          <w:rtl w:val="true"/>
          <w:lang w:bidi="ar-SA"/>
        </w:rPr>
        <w:t>بقاء وقته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ليلة نصف رجب، و استند في ذلك إلى الروايات، و لم يرد فيه نص بالخصوص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ليلة نصف شعبان، لرواية </w:t>
      </w:r>
      <w:r>
        <w:rPr>
          <w:rStyle w:val="FootnoteAnchor"/>
          <w:rtl w:val="true"/>
        </w:rPr>
        <w:footnoteReference w:id="1255"/>
      </w:r>
      <w:r>
        <w:rPr>
          <w:rFonts w:ascii="Amiri" w:hAnsi="Amiri" w:eastAsia="Amiri" w:cs="Amiri"/>
          <w:color w:val="111111"/>
          <w:sz w:val="28"/>
          <w:sz w:val="28"/>
          <w:szCs w:val="28"/>
          <w:rtl w:val="true"/>
          <w:lang w:bidi="ar-SA"/>
        </w:rPr>
        <w:t xml:space="preserve">أبي بصير، مضافا إلى إجماع الوسيلة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المبعث، لمرسلة المنتهى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الغدير، لرواية العبدي </w:t>
      </w:r>
      <w:r>
        <w:rPr>
          <w:rStyle w:val="FootnoteAnchor"/>
          <w:rtl w:val="true"/>
        </w:rPr>
        <w:footnoteReference w:id="1258"/>
      </w:r>
      <w:r>
        <w:rPr>
          <w:rFonts w:ascii="Amiri" w:hAnsi="Amiri" w:eastAsia="Amiri" w:cs="Amiri"/>
          <w:color w:val="111111"/>
          <w:sz w:val="28"/>
          <w:sz w:val="28"/>
          <w:szCs w:val="28"/>
          <w:rtl w:val="true"/>
          <w:lang w:bidi="ar-SA"/>
        </w:rPr>
        <w:t xml:space="preserve">، و إجماع الغنية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وقته إلى نصف ساعة بعد الزوال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لنص ابن صدقة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الإحرام لحج أو غيره، لأخبار مستفيضة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زيارة النبي و الأئمة صلّى اللّٰه عليه و آله و سلم،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زيارة النبي و الأمير و أبي عبد اللّٰه و أبي الحسن الرضا </w:t>
      </w:r>
      <w:r>
        <w:rPr>
          <w:rStyle w:val="FootnoteAnchor"/>
          <w:rtl w:val="true"/>
        </w:rPr>
        <w:footnoteReference w:id="1263"/>
      </w:r>
      <w:r>
        <w:rPr>
          <w:rFonts w:ascii="Amiri" w:hAnsi="Amiri" w:eastAsia="Amiri" w:cs="Amiri"/>
          <w:color w:val="111111"/>
          <w:sz w:val="28"/>
          <w:sz w:val="28"/>
          <w:szCs w:val="28"/>
          <w:rtl w:val="true"/>
          <w:lang w:bidi="ar-SA"/>
        </w:rPr>
        <w:t>، و الأصحاب ألحقوا البقية خصوصا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كل امام</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بعد عدم الفرق بين حياتهم و موتهم 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الكسوف مع الترك عمدا و احتراق القرص كله،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احترق كله فاستعقب و لم يصل</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التوبة، لمرسلة الصدوق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الحاجة و الاستخارة، للنص </w:t>
      </w:r>
      <w:r>
        <w:rPr>
          <w:rStyle w:val="FootnoteAnchor"/>
          <w:rtl w:val="true"/>
        </w:rPr>
        <w:footnoteReference w:id="1267"/>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دخول الحرم، و المسجد الحرام، و الكعبة، و المدينة، و مسجد النبي، لصحيحة ابن مسلم المشتملة على دخول الحرمين، و يوم دخول البيت </w:t>
      </w:r>
      <w:r>
        <w:rPr>
          <w:rStyle w:val="FootnoteAnchor"/>
          <w:rtl w:val="true"/>
        </w:rPr>
        <w:footnoteReference w:id="1268"/>
      </w:r>
      <w:r>
        <w:rPr>
          <w:rFonts w:ascii="Amiri" w:hAnsi="Amiri" w:eastAsia="Amiri" w:cs="Amiri"/>
          <w:color w:val="111111"/>
          <w:sz w:val="28"/>
          <w:sz w:val="28"/>
          <w:szCs w:val="28"/>
          <w:rtl w:val="true"/>
          <w:lang w:bidi="ar-SA"/>
        </w:rPr>
        <w:t xml:space="preserve">، 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لمسجد الرسول</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و في استفادة الجميع من المذكورات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للمولود، لنص سماعة </w:t>
      </w:r>
      <w:r>
        <w:rPr>
          <w:rStyle w:val="FootnoteAnchor"/>
          <w:rtl w:val="true"/>
        </w:rPr>
        <w:footnoteReference w:id="1270"/>
      </w:r>
      <w:r>
        <w:rPr>
          <w:rFonts w:ascii="Amiri" w:hAnsi="Amiri" w:eastAsia="Amiri" w:cs="Amiri"/>
          <w:color w:val="111111"/>
          <w:sz w:val="28"/>
          <w:sz w:val="28"/>
          <w:szCs w:val="28"/>
          <w:rtl w:val="true"/>
          <w:lang w:bidi="ar-SA"/>
        </w:rPr>
        <w:t xml:space="preserve">، و أبي بصير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أغسال أخر لم يتعرّض لها المصنف، و في ثبوت الاستحباب الشرعي في كثير منها اشكال، و قد أشرنا سابقا أنه لا بأس بإتيانها رجاء</w:t>
      </w:r>
      <w:r>
        <w:rPr>
          <w:rFonts w:eastAsia="Amiri" w:cs="Amiri" w:ascii="Amiri" w:hAnsi="Amiri"/>
          <w:color w:val="111111"/>
          <w:sz w:val="28"/>
          <w:szCs w:val="28"/>
          <w:rtl w:val="true"/>
          <w:lang w:bidi="ar-SA"/>
        </w:rPr>
        <w:t>.</w:t>
      </w:r>
      <w:bookmarkStart w:id="402" w:name="pg19729_212851"/>
    </w:p>
    <w:p>
      <w:pPr>
        <w:pStyle w:val="Heading4"/>
        <w:numPr>
          <w:ilvl w:val="3"/>
          <w:numId w:val="1"/>
        </w:numPr>
        <w:rPr/>
      </w:pPr>
      <w:bookmarkStart w:id="403" w:name="__RefHeading___Toc3251403_2314609296"/>
      <w:bookmarkStart w:id="404" w:name="_Toc154"/>
      <w:bookmarkEnd w:id="402"/>
      <w:bookmarkEnd w:id="403"/>
      <w:r>
        <w:rPr>
          <w:rtl w:val="true"/>
        </w:rPr>
        <w:t>الباب الرابع في التيمم</w:t>
      </w:r>
      <w:bookmarkEnd w:id="404"/>
    </w:p>
    <w:p>
      <w:pPr>
        <w:pStyle w:val="Heading5"/>
        <w:numPr>
          <w:ilvl w:val="4"/>
          <w:numId w:val="1"/>
        </w:numPr>
        <w:rPr/>
      </w:pPr>
      <w:bookmarkStart w:id="405" w:name="__RefHeading___Toc3251405_2314609296"/>
      <w:bookmarkStart w:id="406" w:name="_Toc155"/>
      <w:bookmarkEnd w:id="405"/>
      <w:r>
        <w:rPr>
          <w:rtl w:val="true"/>
        </w:rPr>
        <w:t>و يجب سفرا و حضرا عند فقد الماء</w:t>
      </w:r>
      <w:bookmarkEnd w:id="406"/>
    </w:p>
    <w:p>
      <w:pPr>
        <w:pStyle w:val="BookText"/>
        <w:rPr/>
      </w:pPr>
      <w:r>
        <w:rPr>
          <w:rFonts w:ascii="Amiri" w:hAnsi="Amiri" w:eastAsia="Amiri" w:cs="Amiri"/>
          <w:color w:val="111111"/>
          <w:sz w:val="28"/>
          <w:sz w:val="28"/>
          <w:szCs w:val="28"/>
          <w:rtl w:val="true"/>
          <w:lang w:bidi="ar-SA"/>
        </w:rPr>
        <w:t xml:space="preserve">رأسا، بلا اشكال نصا كتابا </w:t>
      </w:r>
      <w:r>
        <w:rPr>
          <w:rStyle w:val="FootnoteAnchor"/>
          <w:rtl w:val="true"/>
        </w:rPr>
        <w:footnoteReference w:id="1272"/>
      </w:r>
      <w:r>
        <w:rPr>
          <w:rFonts w:ascii="Amiri" w:hAnsi="Amiri" w:eastAsia="Amiri" w:cs="Amiri"/>
          <w:color w:val="111111"/>
          <w:sz w:val="28"/>
          <w:sz w:val="28"/>
          <w:szCs w:val="28"/>
          <w:rtl w:val="true"/>
          <w:lang w:bidi="ar-SA"/>
        </w:rPr>
        <w:t xml:space="preserve">، و سنة </w:t>
      </w:r>
      <w:r>
        <w:rPr>
          <w:rStyle w:val="FootnoteAnchor"/>
          <w:rtl w:val="true"/>
        </w:rPr>
        <w:footnoteReference w:id="1273"/>
      </w:r>
      <w:r>
        <w:rPr>
          <w:rFonts w:ascii="IRNazanin" w:hAnsi="IRNazanin" w:eastAsia="IRNazanin"/>
          <w:color w:val="111111"/>
          <w:sz w:val="28"/>
          <w:sz w:val="28"/>
          <w:szCs w:val="28"/>
          <w:rtl w:val="true"/>
          <w:lang w:bidi="fa-IR"/>
        </w:rPr>
        <w:t>، 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بالصعيد لمن لم يجد الماء</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و ظاهره عدم الوجدان لتمام الوضوء أو الغسل و إن وجد لبعضه، و في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به للمجنب و إن وجد الماء بمقدار الوضوء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الإطلاق لمن يعلم بالوجدان آخر الوقت اشكال، للشك في اندراجه تحت الإطلاق، فلا يجوز له البدار في مثله، كما هو الشأن في كل مورد ثبت الحكم لمن اضطر عن التكليف بقول مطلق، إذ هو منصرف إلى الاضطرار في تمام الوقت، نعم مع العلم ببقاء الاضطرار إلى آخر الوقت فلا قصور لشمول الإطلاقات المزبورة لمثله، و بهذا المعنى يجوز البدار لاولي الأعذار لا مطلقا، و في المقام تتمة كلام سيأتي في محله إن شاء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التيمم أيضا عند تعذّر استعماله لمرض يحدث بسبب</w:t>
      </w:r>
    </w:p>
    <w:p>
      <w:pPr>
        <w:pStyle w:val="BookText"/>
        <w:rPr/>
      </w:pPr>
      <w:r>
        <w:rPr>
          <w:rFonts w:ascii="Amiri" w:hAnsi="Amiri" w:eastAsia="Amiri" w:cs="Amiri"/>
          <w:color w:val="111111"/>
          <w:sz w:val="28"/>
          <w:sz w:val="28"/>
          <w:szCs w:val="28"/>
          <w:rtl w:val="true"/>
          <w:lang w:bidi="ar-SA"/>
        </w:rPr>
        <w:t>استعمال الماء، أو يطول برؤه، أو يصعب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في ذلك، نظرا لحرمة الإضرار بالنفس، كما تشير إليها آية التهلكة </w:t>
      </w:r>
      <w:r>
        <w:rPr>
          <w:rStyle w:val="FootnoteAnchor"/>
          <w:rtl w:val="true"/>
        </w:rPr>
        <w:footnoteReference w:id="1276"/>
      </w:r>
      <w:r>
        <w:rPr>
          <w:rFonts w:ascii="Amiri" w:hAnsi="Amiri" w:eastAsia="Amiri" w:cs="Amiri"/>
          <w:color w:val="111111"/>
          <w:sz w:val="28"/>
          <w:sz w:val="28"/>
          <w:szCs w:val="28"/>
          <w:rtl w:val="true"/>
          <w:lang w:bidi="ar-SA"/>
        </w:rPr>
        <w:t xml:space="preserve">، و رواية الدعائم </w:t>
      </w:r>
      <w:r>
        <w:rPr>
          <w:rStyle w:val="FootnoteAnchor"/>
          <w:rtl w:val="true"/>
        </w:rPr>
        <w:footnoteReference w:id="1277"/>
      </w:r>
      <w:r>
        <w:rPr>
          <w:rFonts w:ascii="IRNazanin" w:hAnsi="IRNazanin" w:eastAsia="IRNazanin"/>
          <w:color w:val="111111"/>
          <w:sz w:val="28"/>
          <w:sz w:val="28"/>
          <w:szCs w:val="28"/>
          <w:rtl w:val="true"/>
          <w:lang w:bidi="fa-IR"/>
        </w:rPr>
        <w:t xml:space="preserve">، و خبر تحف العقول </w:t>
      </w:r>
      <w:r>
        <w:rPr>
          <w:rStyle w:val="FootnoteAnchor"/>
          <w:rtl w:val="true"/>
        </w:rPr>
        <w:footnoteReference w:id="1278"/>
      </w:r>
      <w:r>
        <w:rPr>
          <w:rFonts w:ascii="Amiri" w:hAnsi="Amiri" w:eastAsia="Amiri" w:cs="Amiri"/>
          <w:color w:val="111111"/>
          <w:sz w:val="28"/>
          <w:sz w:val="28"/>
          <w:szCs w:val="28"/>
          <w:rtl w:val="true"/>
          <w:lang w:bidi="ar-SA"/>
        </w:rPr>
        <w:t>، و غير ذلك، مضافا إلى تحقق الإجماع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فالوضوء يقع باطلا، كما هو الشأن في كل عبادة وقعت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باب الإضرار في مورد التكاليف من باب التزاحم، الموجب لسلب القدرة شرعا بسبب تنجيز النهي، فيقتصر في بطلان الوضوء على صورة قيام الطريق إليه، فإنه حينئذ يبطل الوضوء و إن تخلّف الطريق عن الواقع، لقبح التجري المانع عن مقربية العمل، و مع عدم الطريق فلا بأس بصحة العبادة و إن كانت في الواقع ضررية، و بذلك يمتاز باب التزاحم عن التخصيص،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أيضا لخوف الضرر المزبور، للمستفيضة الواردة في الجريح و الكسير و المجدور و المبطون و الخائف على نفسه من البرد </w:t>
      </w:r>
      <w:r>
        <w:rPr>
          <w:rStyle w:val="FootnoteAnchor"/>
          <w:rtl w:val="true"/>
        </w:rPr>
        <w:footnoteReference w:id="1279"/>
      </w:r>
      <w:r>
        <w:rPr>
          <w:rFonts w:ascii="Amiri" w:hAnsi="Amiri" w:eastAsia="Amiri" w:cs="Amiri"/>
          <w:color w:val="111111"/>
          <w:sz w:val="28"/>
          <w:sz w:val="28"/>
          <w:szCs w:val="28"/>
          <w:rtl w:val="true"/>
          <w:lang w:bidi="ar-SA"/>
        </w:rPr>
        <w:t>، الجاري في غيره بالفحوى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قتلهم اللّٰه</w:t>
      </w:r>
      <w:r>
        <w:rPr>
          <w:rFonts w:eastAsia="IRNazanin" w:cs="IRNazanin"/>
          <w:color w:val="111111"/>
          <w:sz w:val="28"/>
          <w:szCs w:val="28"/>
          <w:rtl w:val="true"/>
          <w:lang w:bidi="fa-IR"/>
        </w:rPr>
        <w:t xml:space="preserve">»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الاقدام في ظرف احتمال الضرر طريقي، لا نفسي و لا غيري، و لازمة كونه منجزا للواقع، المستتبع لفساد العبادة، حتى مع عدم المصادفة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التيمم أيضا عند وجوب إتلاف الماء و لو لحفظ نفس محترمة و غير ذلك، من جهة اقتضاء الوجوب المزبور عجز المكلّف شرعا عن استعماله، و لازم ذلك فقد الوضوء في ظرف العجز المزبور، للمصلحة، و لو من جهة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يقدر عليه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دخل القدرة المطلقة في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شرطا لوجوب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الجهة لا يصلح جريان قاعدة الترتب في المقام أيضا، و من هنا نقول ببطلان الوضوء عند ابتلاء أمره بكل تكليف أهم منه، و لو لم نقل باقتضاء الأمر بالشي‌ء للنهي عن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يكفي لاستكشاف أهمية الغير مجرد إطلاق أمره، لأن قضية اشتراط الوضوء بالقدرة توجب تأخر دليله رتبه في مقام التطبيق، لأن المقام من باب دوران الأمر بين التخصيص و التخصص، و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النكتة يشرع التيمم في ضيق الوقت، و يحرز بإطلاق دليل الوقت أهميته عن الطهارة المائية، لا من جهة مجرد دوران الأمر بين ماله بدل و ما لا بدل له، لعدم مدرك صحيح له في فرض عدم قيام البدل في الوفاء بتمام المصلحة، كما هو الشأن في التكاليف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أيضا تقدّم الطهارة الخبثية على الحدثية عند الدوران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صغريات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المنوط بالاغتراف من الآنية المغصوبة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صاحب الفصول من إمكان إعمال قاعدة الترتب في هذه المسألة، منظور فيه</w:t>
      </w:r>
      <w:r>
        <w:rPr>
          <w:rFonts w:eastAsia="Amiri" w:cs="Amiri" w:ascii="Amiri" w:hAnsi="Amiri"/>
          <w:color w:val="111111"/>
          <w:sz w:val="28"/>
          <w:szCs w:val="28"/>
          <w:rtl w:val="true"/>
          <w:lang w:bidi="ar-SA"/>
        </w:rPr>
        <w:t>.</w:t>
      </w:r>
      <w:bookmarkStart w:id="407" w:name="pg19729_212854"/>
    </w:p>
    <w:p>
      <w:pPr>
        <w:pStyle w:val="BookText"/>
        <w:rPr/>
      </w:pPr>
      <w:bookmarkEnd w:id="407"/>
      <w:r>
        <w:rPr>
          <w:rFonts w:ascii="Amiri" w:hAnsi="Amiri" w:eastAsia="Amiri" w:cs="Amiri"/>
          <w:color w:val="111111"/>
          <w:sz w:val="28"/>
          <w:sz w:val="28"/>
          <w:szCs w:val="28"/>
          <w:rtl w:val="true"/>
          <w:lang w:bidi="ar-SA"/>
        </w:rPr>
        <w:t>نعم لو اغترف الماء مرة لتمام الوضوء لا بأس به حينئذ، كما لا يخفى</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251407_2314609296"/>
      <w:bookmarkStart w:id="409" w:name="_Toc156"/>
      <w:bookmarkEnd w:id="408"/>
      <w:r>
        <w:rPr>
          <w:rtl w:val="true"/>
        </w:rPr>
        <w:t>و يسقط أيضا وجوب الوضوء للحرج من جهة استعمال الماء،</w:t>
      </w:r>
      <w:bookmarkEnd w:id="409"/>
    </w:p>
    <w:p>
      <w:pPr>
        <w:pStyle w:val="BookText"/>
        <w:rPr/>
      </w:pPr>
      <w:r>
        <w:rPr>
          <w:rFonts w:ascii="Amiri" w:hAnsi="Amiri" w:eastAsia="Amiri" w:cs="Amiri"/>
          <w:color w:val="111111"/>
          <w:sz w:val="28"/>
          <w:sz w:val="28"/>
          <w:szCs w:val="28"/>
          <w:rtl w:val="true"/>
          <w:lang w:bidi="ar-SA"/>
        </w:rPr>
        <w:t>أو للتأذي من برد أو خوف عطش، لعموم الحرج، و لما ورد في روايات عدم القدرة عليه، الشامل للحرجيات عرفا، كما هو الغالب في مواردها من الزحام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الدليل الثاني إدخال المورد فيما لا يقدر، الموجب لفقدان الوضوء، للمصلحة الملزمة، بخلاف الأول فإنه لا يقتضي إلّا الترخيص، و لو للتسهيل غير المنافي لوفاء الوضوء بالمصلحة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تظهر الثمرة بين التقريبين في وجوب التيمم و عدمه، غاية الأمر يكون مشروعا لا واجبا، لإمكانه الإقدام على وضوء حرجي فيسقط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مشروعية التيمم لوجوبه، و مقتضاه عدم صحة الوضوء الحرجي و فقده للمصلحة، المستتبع لكون القدرة المأخوذة في موضوعه ما يشمل عدم الحرج أيضا، و يومئ إليه ما في الجواهر من إرجاع جميع الفروع المتشتتة إلى موضوع واحد، من عدم القدرة العرفية على تحصيل المائية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Style w:val="FootnoteAnchor"/>
          <w:rtl w:val="true"/>
        </w:rPr>
        <w:footnoteReference w:id="1283"/>
      </w:r>
      <w:r>
        <w:rPr>
          <w:rFonts w:ascii="Amiri" w:hAnsi="Amiri" w:eastAsia="Amiri" w:cs="Amiri"/>
          <w:color w:val="111111"/>
          <w:sz w:val="28"/>
          <w:sz w:val="28"/>
          <w:szCs w:val="28"/>
          <w:rtl w:val="true"/>
          <w:lang w:bidi="ar-SA"/>
        </w:rPr>
        <w:t>في عدم الوجدان بالنحو المتعارف، الخارج عنه وجدانه بمشقة عظيمة، فيتعدّى عنه إلى المشقة في استعماله، و هكذا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حينئذ أن ظهور الأمر التعييني بالتيمم كاشف عن</w:t>
      </w:r>
      <w:bookmarkStart w:id="410" w:name="pg19729_212855"/>
    </w:p>
    <w:p>
      <w:pPr>
        <w:pStyle w:val="BookText"/>
        <w:rPr/>
      </w:pPr>
      <w:bookmarkEnd w:id="410"/>
      <w:r>
        <w:rPr>
          <w:rFonts w:ascii="Amiri" w:hAnsi="Amiri" w:eastAsia="Amiri" w:cs="Amiri"/>
          <w:color w:val="111111"/>
          <w:sz w:val="28"/>
          <w:sz w:val="28"/>
          <w:szCs w:val="28"/>
          <w:rtl w:val="true"/>
          <w:lang w:bidi="ar-SA"/>
        </w:rPr>
        <w:t>انحصار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ملازم لعدم وفاء الوضوء حينئذ بالمصلحة،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للنفس في مثل هذه الاستظهارات شي‌ء، و العمدة في البين إثبات الملازمة بين مشروعية التيمم و بين وجوبه عندهم، فإن تم فهو، و إلّا فللنظر في استفادته من الأدلة نظر جدا، فتأمل</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251409_2314609296"/>
      <w:bookmarkStart w:id="412" w:name="_Toc157"/>
      <w:bookmarkEnd w:id="411"/>
      <w:r>
        <w:rPr>
          <w:rtl w:val="true"/>
        </w:rPr>
        <w:t>و أيضا تنتقل الوظيفة إلى التيمم عند عدم التمكن من الوصول إلى الماء الموجود،</w:t>
      </w:r>
      <w:bookmarkEnd w:id="412"/>
    </w:p>
    <w:p>
      <w:pPr>
        <w:pStyle w:val="BookText"/>
        <w:rPr/>
      </w:pPr>
      <w:r>
        <w:rPr>
          <w:rFonts w:ascii="Amiri" w:hAnsi="Amiri" w:eastAsia="Amiri" w:cs="Amiri"/>
          <w:color w:val="111111"/>
          <w:sz w:val="28"/>
          <w:sz w:val="28"/>
          <w:szCs w:val="28"/>
          <w:rtl w:val="true"/>
          <w:lang w:bidi="ar-SA"/>
        </w:rPr>
        <w:t>لكونه مال الغير، مع عدم اقدامه على بيعه بوجه، أو عدم آلة يتوصل بها إليه، أو كان و لكن بثمن يضره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الصورة الأولى، لحرمة استعمال مال الغير بدون رضاه، و عدم قدرته حينئذ على استعماله أيضا، كما لا شبهة في نفي الوجوب في صورة كون الشراء ضرريا مجحفا بحاله، المستتبع تحمله للحرج المنافي لوجوب الوضوء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عدم اجحافه يجب الشراء مقدّمة للواجب، من جهة النص المخصوص بالباب </w:t>
      </w:r>
      <w:r>
        <w:rPr>
          <w:rStyle w:val="FootnoteAnchor"/>
          <w:rtl w:val="true"/>
        </w:rPr>
        <w:footnoteReference w:id="1284"/>
      </w:r>
      <w:r>
        <w:rPr>
          <w:rFonts w:ascii="Amiri" w:hAnsi="Amiri" w:eastAsia="Amiri" w:cs="Amiri"/>
          <w:color w:val="111111"/>
          <w:sz w:val="28"/>
          <w:sz w:val="28"/>
          <w:szCs w:val="28"/>
          <w:rtl w:val="true"/>
          <w:lang w:bidi="ar-SA"/>
        </w:rPr>
        <w:t>، الحاكم بوجوب الشراء و لو بأضعاف قيمته، و مقتضى التعليل جبر ضرره بخير كثير، المستلزم للتعدي إلى عدم الاعتناء بمطلق الضرر المالي في باب الوضوء، الملحق به باب الغسل أيضا، لعدم الفصل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يشهد له عدم الظن ببنائهم على مجوّزية مطلق الضرر المالي للمحرمات أو ترك الواجبات، كما لو أكرهه على شرب الخمر أو الزنا بمحض التوعيد بضرر مالي غير موجب لإلجائه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غير ذلك،</w:t>
      </w:r>
    </w:p>
    <w:p>
      <w:pPr>
        <w:pStyle w:val="BookText"/>
        <w:rPr/>
      </w:pPr>
      <w:r>
        <w:rPr>
          <w:rFonts w:ascii="Amiri" w:hAnsi="Amiri" w:eastAsia="Amiri" w:cs="Amiri"/>
          <w:color w:val="111111"/>
          <w:sz w:val="28"/>
          <w:sz w:val="28"/>
          <w:szCs w:val="28"/>
          <w:rtl w:val="true"/>
          <w:lang w:bidi="ar-SA"/>
        </w:rPr>
        <w:t>و جعلوا المدار فيها على صدق الإلجاء الحاصل باجحاف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فإنّ كلماتهم في المقام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جهة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الضرر المالي، كما يشهد له إطلاق عدم وجوب الوضوء من جهة لص أو فرار دابة أو غير ذلك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إطلاقهم أيضا في جواز الرجوع إلى حكام الجور لاستيفاء الحق، و عدم وجوب الأمر بالمعروف لمطلق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ذلك كله على الضرر المجحف بعيد جدا، و رفع اليد عن فحوى تعليل النص، و الالتزام بنفي مطلق الضرر في باب التكاليف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قيل بأنّ عموم نفي الضرر </w:t>
      </w:r>
      <w:r>
        <w:rPr>
          <w:rStyle w:val="FootnoteAnchor"/>
          <w:rtl w:val="true"/>
        </w:rPr>
        <w:footnoteReference w:id="1286"/>
      </w:r>
      <w:r>
        <w:rPr>
          <w:rFonts w:ascii="Amiri" w:hAnsi="Amiri" w:eastAsia="Amiri" w:cs="Amiri"/>
          <w:color w:val="111111"/>
          <w:sz w:val="28"/>
          <w:sz w:val="28"/>
          <w:szCs w:val="28"/>
          <w:rtl w:val="true"/>
          <w:lang w:bidi="ar-SA"/>
        </w:rPr>
        <w:t>هو المرجع إلّا ما خرج، فليس بأولى من القول بعموم مرجعية التعليل في باب الوضوء، الحاكم على العموم المزبور و لو بوجه سوى ما خرج، و على أي حال فلا يمكن جمع مثل هذه الشتات تحت قاعدة سيالة في الجميع، كما لا يخفى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يضره الشراء على وجه يوجب الإجحاف بحسب حاله وجب الشراء و إن كثر و كان بأضعاف قيمته كما أشرنا إليه، و يجب الطلب و الفحص عند فقد الماء فعلا بلا اشكال، بمقدار غلوة سهم في الحزنة، و غلوة سهمين في السهلة من جوانبه الأربعة، و الأصل في ذلك رواية السكوني </w:t>
      </w:r>
      <w:r>
        <w:rPr>
          <w:rStyle w:val="FootnoteAnchor"/>
          <w:rtl w:val="true"/>
        </w:rPr>
        <w:footnoteReference w:id="1287"/>
      </w:r>
      <w:r>
        <w:rPr>
          <w:rFonts w:ascii="Amiri" w:hAnsi="Amiri" w:eastAsia="Amiri" w:cs="Amiri"/>
          <w:color w:val="111111"/>
          <w:sz w:val="28"/>
          <w:sz w:val="28"/>
          <w:szCs w:val="28"/>
          <w:rtl w:val="true"/>
          <w:lang w:bidi="ar-SA"/>
        </w:rPr>
        <w:t xml:space="preserve">المشتملة على التفصيل المزبور، المصرّحة أيضا بعدم الطلب بأزيد من ذلك، بعد طرح ما في رواية أخرى نافية لوجوب الطلب مطلقا </w:t>
      </w:r>
      <w:r>
        <w:rPr>
          <w:rStyle w:val="FootnoteAnchor"/>
          <w:rtl w:val="true"/>
        </w:rPr>
        <w:footnoteReference w:id="1288"/>
      </w:r>
      <w:r>
        <w:rPr>
          <w:rFonts w:ascii="Amiri" w:hAnsi="Amiri" w:eastAsia="Amiri" w:cs="Amiri"/>
          <w:color w:val="111111"/>
          <w:sz w:val="28"/>
          <w:sz w:val="28"/>
          <w:szCs w:val="28"/>
          <w:rtl w:val="true"/>
          <w:lang w:bidi="ar-SA"/>
        </w:rPr>
        <w:t>، أو تأويله و حمله على صورة خوف</w:t>
      </w:r>
    </w:p>
    <w:p>
      <w:pPr>
        <w:pStyle w:val="BookText"/>
        <w:rPr/>
      </w:pPr>
      <w:r>
        <w:rPr>
          <w:rFonts w:ascii="Amiri" w:hAnsi="Amiri" w:eastAsia="Amiri" w:cs="Amiri"/>
          <w:color w:val="111111"/>
          <w:sz w:val="28"/>
          <w:sz w:val="28"/>
          <w:szCs w:val="28"/>
          <w:rtl w:val="true"/>
          <w:lang w:bidi="ar-SA"/>
        </w:rPr>
        <w:t xml:space="preserve">الضرر، كما في نص آخر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الأمر بالفحص كونه كسائر الموارد طريقيا لا نفسيا و لا مقدميا، فلا يشمل صورة القطع بعدم الماء في هذا الحد، كما لا يشمل صورة الجزم بوجوده في الزائد، و لازم ذلك جعل حكم ظاهري، إيجابا في المقدار المحدود، و نفيا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الأول نفي صحة التيمم ظاهرا، لعدم إحراز موضوعه بمثل هذا الإيجاب الوارد على الاستصحاب، و مقتضى الثاني صحته كذلك ما دام الشك في وجود الزائد، و لو لم يكن في البين أصل موضوعي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فليس مثل هذا الحكم في طرفي إثباته و نفيه، إلّا من الأحكام الظاهرية التي هي في طول الواقعيات، و ليس شأنها تغييرها عما هي عليها، و لازمة انتهاء الأمر في صورة كشف الخلاف من الطرفين إلى مسألة اقتضاء الأوامر الظاهرية للاجزاء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عدمه وجوب الإعادة على من صلّى بالتيمم مع الفحص، في صورة كشف وجوده و لو في خارج الحد، فضلا عما لو وجد في داخله، و ذلك من جهة إطلاق أدلة الوجدان واقعا، بشهادة أنه مع العلم به لا يكتفي بهذا المقدار من الطلب في عدم وجدانه كذلك جزما، و لا أظن التزامهم بالاكتفاء بالتيمم المزبور مع كشف الخلاف قبل الصلاة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بالاجتزاء به بعد الصلاة بفحوى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الإعادة لمن صلّى بتيمم و وجد الماء بعد الصلاة</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المحمولة على صورة الدخول في الصلاة مع الغفلة عن انه يجده أو علمه بعدمه، بناء على جريانه</w:t>
      </w:r>
      <w:bookmarkStart w:id="413" w:name="pg19729_212858"/>
    </w:p>
    <w:p>
      <w:pPr>
        <w:pStyle w:val="BookText"/>
        <w:rPr/>
      </w:pPr>
      <w:bookmarkEnd w:id="413"/>
      <w:r>
        <w:rPr>
          <w:rFonts w:ascii="Amiri" w:hAnsi="Amiri" w:eastAsia="Amiri" w:cs="Amiri"/>
          <w:color w:val="111111"/>
          <w:sz w:val="28"/>
          <w:sz w:val="28"/>
          <w:szCs w:val="28"/>
          <w:rtl w:val="true"/>
          <w:lang w:bidi="ar-SA"/>
        </w:rPr>
        <w:t>في المقام أيضا،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عدم اقتضاء الأمر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الاجتزاء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التأمل في ما ذكرنا يظهر لك النظر في جملة من كلمات الجواهر، بتقييد المطلقات الواقعية بهذا التحديد الوارد في المرسلة، ثم التزم بخروج صورة العلم بوجود الماء في خارج الحد بالإجماع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انّ ذلك كله بمعزل عن التحقيق،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المرسلة غير متعرضة للجوانب، و إطلاقه يقتضي وجوب الفحص في كل نقطة يحتمل وجود الماء فيه، غاية الأمر حدّه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للاكتفاء بجانب دون جانب، بل المدار على تحصيل الاطمئنان بعدم الماء في المحوطة المزبورة، لا أنّ الاطمئنان بجهات مخصوصة كافية،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جوانبه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نجاسة و لا يفضل الماء عن إزالتها تيمم و أزالها به بلا اشكال، لما عرفت وجهه في طي الكلمات المتقدمة</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251411_2314609296"/>
      <w:bookmarkStart w:id="415" w:name="_Toc158"/>
      <w:bookmarkEnd w:id="414"/>
      <w:r>
        <w:rPr>
          <w:rtl w:val="true"/>
        </w:rPr>
        <w:t>و لا يصح التيمم إلّا بالتراب الخالص</w:t>
      </w:r>
      <w:bookmarkEnd w:id="415"/>
    </w:p>
    <w:p>
      <w:pPr>
        <w:pStyle w:val="BookText"/>
        <w:rPr/>
      </w:pPr>
      <w:r>
        <w:rPr>
          <w:rFonts w:ascii="Amiri" w:hAnsi="Amiri" w:eastAsia="Amiri" w:cs="Amiri"/>
          <w:color w:val="111111"/>
          <w:sz w:val="28"/>
          <w:sz w:val="28"/>
          <w:szCs w:val="28"/>
          <w:rtl w:val="true"/>
          <w:lang w:bidi="ar-SA"/>
        </w:rPr>
        <w:t>قبال المخلوط بشي‌ء آخر من غير سنخ الأرض، لا في قبال غير التراب من سائر وجه الأرض، بقرينة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بأرض النورة و الحجر و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فمذهب المصنف هو الجواز لمطلق وجه الأرض، لا خصوص التراب، كما توهمه بعض المحشين، نعم في قباله من لا يرى إلّا بالتراب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أخبار الباب، من اشتمال بعضها على</w:t>
      </w:r>
    </w:p>
    <w:p>
      <w:pPr>
        <w:pStyle w:val="BookText"/>
        <w:rPr/>
      </w:pPr>
      <w:r>
        <w:rPr>
          <w:rFonts w:ascii="IRNazanin" w:hAnsi="IRNazanin" w:eastAsia="IRNazanin"/>
          <w:color w:val="111111"/>
          <w:sz w:val="28"/>
          <w:sz w:val="28"/>
          <w:szCs w:val="28"/>
          <w:rtl w:val="true"/>
          <w:lang w:bidi="fa-IR"/>
        </w:rPr>
        <w:t xml:space="preserve">مطلق الأرض </w:t>
      </w:r>
      <w:r>
        <w:rPr>
          <w:rStyle w:val="FootnoteAnchor"/>
          <w:rtl w:val="true"/>
        </w:rPr>
        <w:footnoteReference w:id="1292"/>
      </w:r>
      <w:r>
        <w:rPr>
          <w:rFonts w:ascii="IRNazanin" w:hAnsi="IRNazanin" w:eastAsia="IRNazanin"/>
          <w:color w:val="111111"/>
          <w:sz w:val="28"/>
          <w:sz w:val="28"/>
          <w:szCs w:val="28"/>
          <w:rtl w:val="true"/>
          <w:lang w:bidi="fa-IR"/>
        </w:rPr>
        <w:t xml:space="preserve">، و بعضها على التراب </w:t>
      </w:r>
      <w:r>
        <w:rPr>
          <w:rStyle w:val="FootnoteAnchor"/>
          <w:rtl w:val="true"/>
        </w:rPr>
        <w:footnoteReference w:id="1293"/>
      </w:r>
      <w:r>
        <w:rPr>
          <w:rFonts w:ascii="Amiri" w:hAnsi="Amiri" w:eastAsia="Amiri" w:cs="Amiri"/>
          <w:color w:val="111111"/>
          <w:sz w:val="28"/>
          <w:sz w:val="28"/>
          <w:szCs w:val="28"/>
          <w:rtl w:val="true"/>
          <w:lang w:bidi="ar-SA"/>
        </w:rPr>
        <w:t xml:space="preserve">، بل في صحيحة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التيمم بالأرض على فقد التراب</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مضافا إلى تفسير الصعيد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الأمر يدور بين تقييد مطلقات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 أو رفع اليد عن ظهور الأمر بالتراب بالحمل على الفضيلة، و لا يبعد قوة المطلقات، لو لا دعوى أقووية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في اختصاص الطهور به، و مع الشك فمرجع المسألة إلى التعيين و التخيير، فيحتاط حتى على المبيحية، فضلا عن الطهورية،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فالأحوط عدم التيمم بغير التراب مع التمكن منه، نعم مع عدم التمكن منه فمقتضى الصحيحة </w:t>
      </w:r>
      <w:r>
        <w:rPr>
          <w:rStyle w:val="FootnoteAnchor"/>
          <w:rtl w:val="true"/>
        </w:rPr>
        <w:footnoteReference w:id="1296"/>
      </w:r>
      <w:r>
        <w:rPr>
          <w:rFonts w:ascii="IRNazanin" w:hAnsi="IRNazanin" w:eastAsia="IRNazanin"/>
          <w:color w:val="111111"/>
          <w:sz w:val="28"/>
          <w:sz w:val="28"/>
          <w:szCs w:val="28"/>
          <w:rtl w:val="true"/>
          <w:lang w:bidi="fa-IR"/>
        </w:rPr>
        <w:t>انتقال الأمر إلى مطلق المسمّى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المصنف أنه يكره بالسبخة و الرمل، الظاهر في جوازه بها أيضا على مختاره، بل و على المختار عند انتقال الأمر إلى مطلق وجه الأرض، لصدقه عليهما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لم يتمكن من وجه الأرض أيضا، فإن كان له غبار تيمّم به مقدما على الوحل، و لم يجد إلّا الوحل تيمم به، و الأصل في هذا الترتيب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 الثلج فلينظر في لبده فيتيمم من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حال لا يجد الطين فلا بأس</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و في 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به</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الخبر الأول 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الغبار على الوحل، لأن ظاهر تعليقه على عدم وجدان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تأخره عن جميع ما يصلح للتيمم، و لازم صلاحية الغبار له تقديمه عليه، بل و في نص أبي بصير </w:t>
      </w:r>
      <w:r>
        <w:rPr>
          <w:rStyle w:val="FootnoteAnchor"/>
          <w:rtl w:val="true"/>
        </w:rPr>
        <w:footnoteReference w:id="1299"/>
      </w:r>
      <w:r>
        <w:rPr>
          <w:rFonts w:ascii="Amiri" w:hAnsi="Amiri" w:eastAsia="Amiri" w:cs="Amiri"/>
          <w:color w:val="111111"/>
          <w:sz w:val="28"/>
          <w:sz w:val="28"/>
          <w:szCs w:val="28"/>
          <w:rtl w:val="true"/>
          <w:lang w:bidi="ar-SA"/>
        </w:rPr>
        <w:t>التصريح بالترتيب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ظاهر كون الغبار في ظرف وجود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إطلاق يشمل حال التمكن من وجه الأرض،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الغبار القائم على الجسم من سنخ التراب فيجوز التيمم به في عرض التيمم بالتراب، منظور فيه، إذ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ضعف الأجزاء الترابية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حكم الرطوبة القائمة على المحل محسوبا من الأعراض كالألوان، و ليس شيئا موجودا بنظرهم، و لذلك يؤخّر التيمم به عن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خبر أبي بصير </w:t>
      </w:r>
      <w:r>
        <w:rPr>
          <w:rStyle w:val="FootnoteAnchor"/>
          <w:rtl w:val="true"/>
        </w:rPr>
        <w:footnoteReference w:id="1300"/>
      </w:r>
      <w:r>
        <w:rPr>
          <w:rFonts w:ascii="Amiri" w:hAnsi="Amiri" w:eastAsia="Amiri" w:cs="Amiri"/>
          <w:color w:val="111111"/>
          <w:sz w:val="28"/>
          <w:sz w:val="28"/>
          <w:szCs w:val="28"/>
          <w:rtl w:val="true"/>
          <w:lang w:bidi="ar-SA"/>
        </w:rPr>
        <w:t xml:space="preserve">وجوب الضرب للنفض مقدمة للتيمم على الغبار الثابت على وجه اللبد، و في نص آخر إطلاق الضرب على اللبد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رفع اليد عن الأول، و لو بحمله على كون الضرب التيممي كاف لحصول النفض، فلا يجب مقدمة، كما لا يخفى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يتوهم وجود مرتبة اخرى بعد الوحل و هو التيمم بالثلج، و ربما يتمسك بحسنة ابن مسلم </w:t>
      </w:r>
      <w:r>
        <w:rPr>
          <w:rStyle w:val="FootnoteAnchor"/>
          <w:rtl w:val="true"/>
        </w:rPr>
        <w:footnoteReference w:id="1302"/>
      </w:r>
      <w:r>
        <w:rPr>
          <w:rFonts w:ascii="Amiri" w:hAnsi="Amiri" w:eastAsia="Amiri" w:cs="Amiri"/>
          <w:color w:val="111111"/>
          <w:sz w:val="28"/>
          <w:sz w:val="28"/>
          <w:szCs w:val="28"/>
          <w:rtl w:val="true"/>
          <w:lang w:bidi="ar-SA"/>
        </w:rPr>
        <w:t>، و في دلالته على المطلوب نظر، لاحتمال كون الفرض عدم تمكنه من الماء، فينتقل إلى التيمم لا التيمم بالثلج بعد</w:t>
      </w:r>
      <w:bookmarkStart w:id="416" w:name="pg19729_212861"/>
    </w:p>
    <w:p>
      <w:pPr>
        <w:pStyle w:val="BookText"/>
        <w:rPr/>
      </w:pPr>
      <w:bookmarkEnd w:id="416"/>
      <w:r>
        <w:rPr>
          <w:rFonts w:ascii="Amiri" w:hAnsi="Amiri" w:eastAsia="Amiri" w:cs="Amiri"/>
          <w:color w:val="111111"/>
          <w:sz w:val="28"/>
          <w:sz w:val="28"/>
          <w:szCs w:val="28"/>
          <w:rtl w:val="true"/>
          <w:lang w:bidi="ar-SA"/>
        </w:rPr>
        <w:t>فقد المراتب السابقة، فتدبّر</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251413_2314609296"/>
      <w:bookmarkStart w:id="418" w:name="_Toc159"/>
      <w:bookmarkEnd w:id="417"/>
      <w:r>
        <w:rPr>
          <w:rtl w:val="true"/>
        </w:rPr>
        <w:t>و أما كيفيته فهي</w:t>
      </w:r>
      <w:bookmarkEnd w:id="418"/>
    </w:p>
    <w:p>
      <w:pPr>
        <w:pStyle w:val="BookText"/>
        <w:rPr/>
      </w:pPr>
      <w:r>
        <w:rPr>
          <w:rFonts w:ascii="Amiri" w:hAnsi="Amiri" w:eastAsia="Amiri" w:cs="Amiri"/>
          <w:color w:val="111111"/>
          <w:sz w:val="28"/>
          <w:sz w:val="28"/>
          <w:szCs w:val="28"/>
          <w:rtl w:val="true"/>
          <w:lang w:bidi="ar-SA"/>
        </w:rPr>
        <w:t xml:space="preserve">أن يضرب بيديه على الأرض، للنص </w:t>
      </w:r>
      <w:r>
        <w:rPr>
          <w:rStyle w:val="FootnoteAnchor"/>
          <w:rtl w:val="true"/>
        </w:rPr>
        <w:footnoteReference w:id="1303"/>
      </w:r>
      <w:r>
        <w:rPr>
          <w:rFonts w:ascii="Amiri" w:hAnsi="Amiri" w:eastAsia="Amiri" w:cs="Amiri"/>
          <w:color w:val="111111"/>
          <w:sz w:val="28"/>
          <w:sz w:val="28"/>
          <w:szCs w:val="28"/>
          <w:rtl w:val="true"/>
          <w:lang w:bidi="ar-SA"/>
        </w:rPr>
        <w:t xml:space="preserve">، و في آخر الاكتفاء بالوضع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غالب أفراده الملازم للضرب، و في الحمل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اعراض المشهور عنه لأمكن المصير إلى التخيير بينهما، و ليس العنوان من قبيل الإطلاق و التقيد، بل هما متباينان مجتمعان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دخول الضرب أيضا في التيمم، و لكن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و يتيمم</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و ظاهره خروجه، لو لا ظهور بقية الأوامر في كون الضرب في سياق المسح، بضميمة حمل الخبر السابق أيضا على تتميم التيمم بعد الضرب، لا شروعه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أيضا أجروا على تتميم التيمم بعد الضرب، لا شروعه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أيضا أجروا عليه حكم الجزئية من جهة اشتراطهم الضرب و عدم كفاية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الشروع في التيمم المتحقق بأول جزء 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بنحو ما تقدّم في الوضوء و الغسل، بعد كونه حقيقة واحدة حتى في البدل عن الغسل، لإطلاق ما ورد في شرح حقيقته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ينفضهما استحبابا، للنص </w:t>
      </w:r>
      <w:r>
        <w:rPr>
          <w:rStyle w:val="FootnoteAnchor"/>
          <w:rtl w:val="true"/>
        </w:rPr>
        <w:footnoteReference w:id="1307"/>
      </w:r>
      <w:r>
        <w:rPr>
          <w:rFonts w:ascii="Amiri" w:hAnsi="Amiri" w:eastAsia="Amiri" w:cs="Amiri"/>
          <w:color w:val="111111"/>
          <w:sz w:val="28"/>
          <w:sz w:val="28"/>
          <w:szCs w:val="28"/>
          <w:rtl w:val="true"/>
          <w:lang w:bidi="ar-SA"/>
        </w:rPr>
        <w:t xml:space="preserve">، و مقدمة لإزالة ما على يديه من أجزاء ترابية عند الضرب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يمسح بهما وجهه من قصاص الشعر إلى طرف الأنف، ثم يمسح ظهر كفه الأيمن ببطن كفه الأيسر، ثم ظهر كفه الأيسر ببطن كفه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إشكال في هذا المقدار في الجملة نصا و فتوى، و يكفي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وجهه و كفيه و لم يمسح الذراعين بشي‌ء</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 و به ترفع اليد عما ورد من مسحهما </w:t>
      </w:r>
      <w:r>
        <w:rPr>
          <w:rStyle w:val="FootnoteAnchor"/>
          <w:rtl w:val="true"/>
        </w:rPr>
        <w:footnoteReference w:id="1310"/>
      </w:r>
      <w:r>
        <w:rPr>
          <w:rFonts w:ascii="Amiri" w:hAnsi="Amiri" w:eastAsia="Amiri" w:cs="Amiri"/>
          <w:color w:val="111111"/>
          <w:sz w:val="28"/>
          <w:sz w:val="28"/>
          <w:szCs w:val="28"/>
          <w:rtl w:val="true"/>
          <w:lang w:bidi="ar-SA"/>
        </w:rPr>
        <w:t>، و يحمل على الفضيلة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المسح على الكف مسح تمامه </w:t>
      </w:r>
      <w:r>
        <w:rPr>
          <w:rStyle w:val="FootnoteAnchor"/>
          <w:rtl w:val="true"/>
        </w:rPr>
        <w:footnoteReference w:id="1311"/>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موضع القطع</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و هو خلاف المشهور، و لولاه لأمكن الحمل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مسح ظهر الأيمن بالأيسر و بالعكس، فلما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كفيه كل واحد على ظهر الآخر</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بانضمام نص آخر مشتمل على الترتيب المزبور،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صنع بشماله كما صنع بيمينه</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كون المسح بالباطن فلانصراف الإطلاقات، و مع عدم التمكن فينتقل إلى الظاهر، لعين ما قلنا به في مسح الوضوء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النص السابق مسح تمام الوجه، و لكن يحدد بخصوص</w:t>
      </w:r>
    </w:p>
    <w:p>
      <w:pPr>
        <w:pStyle w:val="BookText"/>
        <w:rPr/>
      </w:pPr>
      <w:r>
        <w:rPr>
          <w:rFonts w:ascii="Amiri" w:hAnsi="Amiri" w:eastAsia="Amiri" w:cs="Amiri"/>
          <w:color w:val="111111"/>
          <w:sz w:val="28"/>
          <w:sz w:val="28"/>
          <w:szCs w:val="28"/>
          <w:rtl w:val="true"/>
          <w:lang w:bidi="ar-SA"/>
        </w:rPr>
        <w:t xml:space="preserve">الجبهة المحدودة من قصاص الشعر إلى طرف الأنف، بانضمام الجبينين بنص آخر مقتصر عليهما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انصراف الإطلاقات إلى المسح من الأعلى وجه، بعين ما ذكرناه في الوضوء، و يؤيده ما في الفقه الرضوي </w:t>
      </w:r>
      <w:r>
        <w:rPr>
          <w:rStyle w:val="FootnoteAnchor"/>
          <w:rtl w:val="true"/>
        </w:rPr>
        <w:footnoteReference w:id="1316"/>
      </w:r>
      <w:r>
        <w:rPr>
          <w:rFonts w:ascii="Amiri" w:hAnsi="Amiri" w:eastAsia="Amiri" w:cs="Amiri"/>
          <w:color w:val="111111"/>
          <w:sz w:val="28"/>
          <w:sz w:val="28"/>
          <w:szCs w:val="28"/>
          <w:rtl w:val="true"/>
          <w:lang w:bidi="ar-SA"/>
        </w:rPr>
        <w:t>، و ظاهر المصنف كفاية مطلقه،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كيفية التيمم اختلافا كثيرا، و ظاهر المصنف انّ الواجب في بدل الوضوء هي ضربة واحدة للوجه و اليدين، كما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بدلا من الغسل ضرب ضربتين، ضربة للوجه و اخرى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نظره إلى ما في النص المفصّل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الغسل فضربتين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للوجه، و ضربة لليدين، و في الوضوء الوجه و اليدين إلى المرفقين</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 و في قباله مطلقات 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واحدة للوجه و اليدين</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مطلقا، و مطلقات اخرى 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الضربتين، مرّة للوجه و مرّة لليدين</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 و في جملة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للوجه و مرّة لليدين</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 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الجمع بين الروايات إما بالأخذ بمطلقات المرة، و حمل البقية على مراتب الفضيلة، كما هو الشأن في كل مورد كثر الاختلاف في</w:t>
      </w:r>
    </w:p>
    <w:p>
      <w:pPr>
        <w:pStyle w:val="BookText"/>
        <w:rPr/>
      </w:pPr>
      <w:r>
        <w:rPr>
          <w:rFonts w:ascii="Amiri" w:hAnsi="Amiri" w:eastAsia="Amiri" w:cs="Amiri"/>
          <w:color w:val="111111"/>
          <w:sz w:val="28"/>
          <w:sz w:val="28"/>
          <w:szCs w:val="28"/>
          <w:rtl w:val="true"/>
          <w:lang w:bidi="ar-SA"/>
        </w:rPr>
        <w:t>التحديد، نظير منزوحات البئر، و أدعية صلاة الميت، أو برفع اليد عن الإطلاق من الجانبين، و تقييده بالخبر المفصّل، كما صنعه جماعة مثل المصنّف، و لا يبعد قوة المطلقات المرجّحة للجمع الأول على الثاني، و إن كان الأحوط الأخذ بمضمون الجميع، بضربتين مقدّما على مسح الوجه، و ضربتين لليدين، برجاء الواقع، بقصد ما في الذمة،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الترتيب بين مسح الوجه و اليدين، لظهور النصوص </w:t>
      </w:r>
      <w:r>
        <w:rPr>
          <w:rStyle w:val="FootnoteAnchor"/>
          <w:rtl w:val="true"/>
        </w:rPr>
        <w:footnoteReference w:id="1322"/>
      </w:r>
      <w:r>
        <w:rPr>
          <w:rFonts w:ascii="Amiri" w:hAnsi="Amiri" w:eastAsia="Amiri" w:cs="Amiri"/>
          <w:color w:val="111111"/>
          <w:sz w:val="28"/>
          <w:sz w:val="28"/>
          <w:szCs w:val="28"/>
          <w:rtl w:val="true"/>
          <w:lang w:bidi="ar-SA"/>
        </w:rPr>
        <w:t>في ذلك، و قد أشرنا أيضا إلى وجوب الترتيب بين اليدين أيضا، بعد ضعف المطلقات من تلك الجهة، لسوقها لبيان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ينقضه أي التيمم كل نواقض الطهارة، و يزيد عليه </w:t>
      </w:r>
      <w:r>
        <w:rPr>
          <w:rStyle w:val="FootnoteAnchor"/>
          <w:rtl w:val="true"/>
        </w:rPr>
        <w:footnoteReference w:id="1323"/>
      </w:r>
      <w:r>
        <w:rPr>
          <w:rFonts w:ascii="Amiri" w:hAnsi="Amiri" w:eastAsia="Amiri" w:cs="Amiri"/>
          <w:color w:val="111111"/>
          <w:sz w:val="28"/>
          <w:sz w:val="28"/>
          <w:szCs w:val="28"/>
          <w:rtl w:val="true"/>
          <w:lang w:bidi="ar-SA"/>
        </w:rPr>
        <w:t>وجود الماء بلا اشكال فيه في الجملة، للنص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يحدث أو يصيب الماء</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 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الماء و كان يقدر عليه انتقض التيمم</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و 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استعماله، و قد أشرنا أيضا إلى ما يتفرع على أخذ مثل هذا القيد في موضوع الوضوء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ظاهر الحدث 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الأكبر و الأصغر، حتى في بدل الغسل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وجدان الماء بمقدار الوضوء في بدل الغسل لا يجدي شيئا،</w:t>
      </w:r>
    </w:p>
    <w:p>
      <w:pPr>
        <w:pStyle w:val="BookText"/>
        <w:rPr/>
      </w:pPr>
      <w:r>
        <w:rPr>
          <w:rFonts w:ascii="IRNazanin" w:hAnsi="IRNazanin" w:eastAsia="IRNazanin"/>
          <w:color w:val="111111"/>
          <w:sz w:val="28"/>
          <w:sz w:val="28"/>
          <w:szCs w:val="28"/>
          <w:rtl w:val="true"/>
          <w:lang w:bidi="fa-IR"/>
        </w:rPr>
        <w:t xml:space="preserve">للنص </w:t>
      </w:r>
      <w:r>
        <w:rPr>
          <w:rStyle w:val="FootnoteAnchor"/>
          <w:rtl w:val="true"/>
        </w:rPr>
        <w:footnoteReference w:id="1326"/>
      </w:r>
      <w:r>
        <w:rPr>
          <w:rFonts w:ascii="Amiri" w:hAnsi="Amiri" w:eastAsia="Amiri" w:cs="Amiri"/>
          <w:color w:val="111111"/>
          <w:sz w:val="28"/>
          <w:sz w:val="28"/>
          <w:szCs w:val="28"/>
          <w:rtl w:val="true"/>
          <w:lang w:bidi="ar-SA"/>
        </w:rPr>
        <w:t>، و لأن الظاهر انّ الماء الناقض هو الماء الوافي بالمبدل الذي هو وظيفته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وجده أي الماء قبل الشروع في الصلاة تطهّر </w:t>
      </w:r>
      <w:r>
        <w:rPr>
          <w:rStyle w:val="FootnoteAnchor"/>
          <w:rtl w:val="true"/>
        </w:rPr>
        <w:footnoteReference w:id="1327"/>
      </w:r>
      <w:r>
        <w:rPr>
          <w:rFonts w:ascii="Amiri" w:hAnsi="Amiri" w:eastAsia="Amiri" w:cs="Amiri"/>
          <w:color w:val="111111"/>
          <w:sz w:val="28"/>
          <w:sz w:val="28"/>
          <w:szCs w:val="28"/>
          <w:rtl w:val="true"/>
          <w:lang w:bidi="ar-SA"/>
        </w:rPr>
        <w:t>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من الماء إلّا لركعة واحدة، فقضية أهمية الوقت هو وجوب التيمم، و لا يبقى معه مجال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 إذ هو في ظرف الاضطرار بفوت البقية </w:t>
      </w:r>
      <w:r>
        <w:rPr>
          <w:rStyle w:val="FootnoteAnchor"/>
          <w:rtl w:val="true"/>
        </w:rPr>
        <w:footnoteReference w:id="1329"/>
      </w:r>
      <w:r>
        <w:rPr>
          <w:rFonts w:ascii="Amiri" w:hAnsi="Amiri" w:eastAsia="Amiri" w:cs="Amiri"/>
          <w:color w:val="111111"/>
          <w:sz w:val="28"/>
          <w:sz w:val="28"/>
          <w:szCs w:val="28"/>
          <w:rtl w:val="true"/>
          <w:lang w:bidi="ar-SA"/>
        </w:rPr>
        <w:t>، و الكلام بعد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وجده في أثناء الصلاة بأن كان قبل الوصول إلى الركوع فينتقض التيمم و يستأنف الصلاة بوضوء، لنص زرارة </w:t>
      </w:r>
      <w:r>
        <w:rPr>
          <w:rStyle w:val="FootnoteAnchor"/>
          <w:rtl w:val="true"/>
        </w:rPr>
        <w:footnoteReference w:id="1330"/>
      </w:r>
      <w:r>
        <w:rPr>
          <w:rFonts w:ascii="IRNazanin" w:hAnsi="IRNazanin" w:eastAsia="IRNazanin"/>
          <w:color w:val="111111"/>
          <w:sz w:val="28"/>
          <w:sz w:val="28"/>
          <w:szCs w:val="28"/>
          <w:rtl w:val="true"/>
          <w:lang w:bidi="fa-IR"/>
        </w:rPr>
        <w:t xml:space="preserve">، و ابن عاصم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بهما ترفع اليد عن إطلاق قوله في خبر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بالماء حين يدخل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 و نظيره خبر آخر </w:t>
      </w:r>
      <w:r>
        <w:rPr>
          <w:rStyle w:val="FootnoteAnchor"/>
          <w:rtl w:val="true"/>
        </w:rPr>
        <w:footnoteReference w:id="1333"/>
      </w:r>
      <w:r>
        <w:rPr>
          <w:rFonts w:ascii="Amiri" w:hAnsi="Amiri" w:eastAsia="Amiri" w:cs="Amiri"/>
          <w:color w:val="111111"/>
          <w:sz w:val="28"/>
          <w:sz w:val="28"/>
          <w:szCs w:val="28"/>
          <w:rtl w:val="true"/>
          <w:lang w:bidi="ar-SA"/>
        </w:rPr>
        <w:t>، و يقيّدان بصورة الدخول في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الأمر في المقام الاجتزاء بمثل هذه الصلاة، و يتعدّى منه إلى صورة الوجدان بعدها أيضا، لكن مع الغفلة عنه قبل دخولها أو العلم بالعدم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أيضا يحمل ما ورد من نصوص عدم إعادة الصلاة بوجدان الماء</w:t>
      </w:r>
    </w:p>
    <w:p>
      <w:pPr>
        <w:pStyle w:val="BookText"/>
        <w:rPr/>
      </w:pPr>
      <w:r>
        <w:rPr>
          <w:rFonts w:ascii="IRNazanin" w:hAnsi="IRNazanin" w:eastAsia="IRNazanin"/>
          <w:color w:val="111111"/>
          <w:sz w:val="28"/>
          <w:sz w:val="28"/>
          <w:szCs w:val="28"/>
          <w:rtl w:val="true"/>
          <w:lang w:bidi="fa-IR"/>
        </w:rPr>
        <w:t xml:space="preserve">بعدها </w:t>
      </w:r>
      <w:r>
        <w:rPr>
          <w:rStyle w:val="FootnoteAnchor"/>
          <w:rtl w:val="true"/>
        </w:rPr>
        <w:footnoteReference w:id="1334"/>
      </w:r>
      <w:r>
        <w:rPr>
          <w:rFonts w:ascii="Amiri" w:hAnsi="Amiri" w:eastAsia="Amiri" w:cs="Amiri"/>
          <w:color w:val="111111"/>
          <w:sz w:val="28"/>
          <w:sz w:val="28"/>
          <w:szCs w:val="28"/>
          <w:rtl w:val="true"/>
          <w:lang w:bidi="ar-SA"/>
        </w:rPr>
        <w:t>، و إلّا فمع احتمال وجود الماء في الوقت يجب التأخير إلى آخر الوقت، للنصوص المحمولة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الاحتمال </w:t>
      </w:r>
      <w:r>
        <w:rPr>
          <w:rStyle w:val="FootnoteAnchor"/>
          <w:rtl w:val="true"/>
        </w:rPr>
        <w:footnoteReference w:id="1335"/>
      </w:r>
      <w:r>
        <w:rPr>
          <w:rFonts w:ascii="Amiri" w:hAnsi="Amiri" w:eastAsia="Amiri" w:cs="Amiri"/>
          <w:color w:val="111111"/>
          <w:sz w:val="28"/>
          <w:sz w:val="28"/>
          <w:szCs w:val="28"/>
          <w:rtl w:val="true"/>
          <w:lang w:bidi="ar-SA"/>
        </w:rPr>
        <w:t>، و كونه حكما طريقيا لمراعاة الواقع، فلا يجري على فرض كشف الماء كما أنه لا بأس بالاجتزاء على فرض عدم الماء في الوقت، إذ هو فائدة طريقية الأمر، نعم على الشرطية تبطل الصلاة حينئذ، و هو بمعزل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مثل هذه الأوامر الواردة في صورة الاحتمال، يتعدّى إلى صورة العلم بوجوده قبل الصلاة، و يدل عليه أيضا فحوى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استظهرناه في أول المسألة، و قلنا هناك أيضا بجواز البدار لمن علم ببقاء عذره إلى آخر الوقت، بل و لازمة في ظرف الشك استصحاب بقاء الاضطرار إلى آخر الوقت، الملحق حال الشك بحال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أخبار التأخير في المقام لم يجب بمقتضى القواعد، بل يمكن حمل الأخبار المزبورة على الإرشاد إلى عدم الثمرة على فرض الوجود لا الطريقية، إذ لا ثمرة لها بعد الجزم بصحة الصلاة على فرض العدم إلى آخر الوقت، لو لا دعوى افادة الطريقية في الحكم، لعدم الصحة فعلا ظاهرا، بخلافه على جريان الاستصحاب المزبور، و الأمر سهل بعد لابدّية كشف الواقع على أي حال، كما لا يخفى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نتيجة الجمع بين الأدلة و القواعد في المقام هو جواز البدار مع العلم بعدم الوجدان إلى آخر الوقت، و كذلك مع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الصورتين يحكم بالاجزاء، و لو انكشف وجوده قبل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الاحتمال أو العلم قبل الصلاة بأنه يوجد و لو في آخر الوقت، فيجب التأخير المستلزم للحكم بفساد الصلاة في صورة البدار، إلّا مع فرض كشف عدمه إلى آخر الوقت، فإنه حينئذ يحكم بكون المأتي به مجزيا لو أتى به بوجه قربى،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التفصيل غير جار في سائر الأوامر الاضطرارية، إذ الاجزاء فيها يدور مدار الوجدان و عدمه في الوقت، فلا يجزي في الأول و يجزي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مقتضى الاستصحاب إلحاق صورة الشك ببقاء الاضطرار إلى آخر الوقت بصورة العلم بذلك، فيجوز البدار ظاهرا، مع كون الحكم الواقعي في الصحة و عدمها يدور مدار بقاء الاضطرار واقعا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العمل بالنسبة إلى انكشاف عدم الاضطرار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قضائه فلا شبهة في أن مقتضى حرمة تفويت مصلحة المختار في الوقت هو الاجزاء بالنسبة إلى الشرائط المأخوذة في المأمور به في عرض الوقت، و أما في غيرها فإطلاق دليل اعتبار الجزء أو الشرط يوجب الإعادة، و لو لتحصيل مقدار ما فات من المزية، كما هو الشأن في صورة عدم دليل على حرمة تفويت مصلحة المختار،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مقتضى القواعد، و لكن ظاهر الأصحاب في باب الصلاة الاجزاء في الاضطرارية منها طرا، و ستأتي الإشارة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 ما ذكرنا ظهر عدم تمامية إطلاق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وجده أي الماء في الأثناء أتم صلاته و لا يعيد ما صلّى بتيممه، بل لا بد أن يقيّد بما بعد الدخول في الركن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التيمم قبل دخول الوقت بلا اشكال فتوى، لو أتى بداعي الغاية الموقتة، بل يمكن أن يقال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w:t>
      </w:r>
    </w:p>
    <w:p>
      <w:pPr>
        <w:pStyle w:val="BookText"/>
        <w:rPr/>
      </w:pPr>
      <w:r>
        <w:rPr>
          <w:rFonts w:ascii="Amiri" w:hAnsi="Amiri" w:eastAsia="Amiri" w:cs="Amiri"/>
          <w:color w:val="111111"/>
          <w:sz w:val="28"/>
          <w:sz w:val="28"/>
          <w:szCs w:val="28"/>
          <w:rtl w:val="true"/>
          <w:lang w:bidi="ar-SA"/>
        </w:rPr>
        <w:t>مقتضى القواعد، لأنّ الواجب المشروط لا يدعو إلى مقدماته قبل الشرط، نعم على المختار في الواجب المشروط من فعليّة وجوبه، و محرّكيته نحو سائر المقدمات غير جهة شرط وجوبه، فلا يكون ذلك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أيضا لو لا اناطة وجوب هذه المقدمة أيضا بالوقت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وجب الطهور</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فلازمه حينئذ عدم مشروعية الطهور الذي هو مقدمة للصلاة قبل الوقت، لأنّ وجوبه في المقام مساوق لمشروعيته جزما، فالمأتي به قبله أما لا يكون طهورا بالنسبة إلى هذا الأثر، أو لا يكون مقدمة لهذه الغاية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فمنصرف الإطلاق المزبور هو صورة إتيان الطهارة بداعي الامتثال للغاية الموقتة، و أما لو أتى بها بداعي غاية أخرى فالإطلاق المزبور غير شامل له، بشهادة جواز التوضي بداعي الكون على الطهارة قبل الوقت جزما، كما أنه يمكن دعوى انصراف الكلمات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فمقتضى إطلاق طهورية التراب بانضمام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صحة التيمم المزبور لو أتى به قبل الوقت، لكن بداعي غاية أخرى، و يصلّى به بعد دخول الوقت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أجاد السيد الأستاذ في عروته في مصيره إلى الجواز لو أتى به بداع آخر، و جواز إتيان الغاية المؤقتة به أيضا </w:t>
      </w:r>
      <w:r>
        <w:rPr>
          <w:rStyle w:val="FootnoteAnchor"/>
          <w:rtl w:val="true"/>
        </w:rPr>
        <w:footnoteReference w:id="1338"/>
      </w:r>
      <w:r>
        <w:rPr>
          <w:rFonts w:ascii="Amiri" w:hAnsi="Amiri" w:eastAsia="Amiri" w:cs="Amiri"/>
          <w:color w:val="111111"/>
          <w:sz w:val="28"/>
          <w:sz w:val="28"/>
          <w:szCs w:val="28"/>
          <w:rtl w:val="true"/>
          <w:lang w:bidi="ar-SA"/>
        </w:rPr>
        <w:t>، خلافا لمن يشعر إطلاق كلامه بعدم الجواز</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فلا اشكال ظاهرا عندهم في جواز التيمم قبل الوقت لغير الغايات المؤقتة بالنسبة إليها، نظير التيمم في المؤقتات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التيمم مع الضيق إجماعا، و أما في حال السعة ففيه قولان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أنه لا اشكال عندهم في اعتبار إباحة الأرض في المقدار الذي هو مورد الضرب في التيمم، و أما اعتبار غير هذا المقدار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طهارة التراب، و محل المسح، و الماسح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اشتباه الطاهر من التراب بغيره يتيمم بهما، مع فرض جفاف محل المسح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طهورية التراب قيامه مقام الماء في جميع الغايات ما دام يصدق عدم الوجدان، و إلّا فمع فرض صدق الوجدان بالإضافة إلى أمر فلا يكون التيمم بالنسبة إليه مؤثرا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 مثل ذلك كونه بمنزلة الطهور، لا كونه طهورا حقيقة، إذ تفكيك أمر الطهورية لغاية دون أخرى شي‌ء غير معهود في مرتكزات المتشرعة، و لا بأس بالتفكيك في المستحبات كما هو ظاهر</w:t>
      </w:r>
      <w:r>
        <w:rPr>
          <w:rFonts w:eastAsia="Amiri" w:cs="Amiri" w:ascii="Amiri" w:hAnsi="Amiri"/>
          <w:color w:val="111111"/>
          <w:sz w:val="28"/>
          <w:szCs w:val="28"/>
          <w:rtl w:val="true"/>
          <w:lang w:bidi="ar-SA"/>
        </w:rPr>
        <w:t>.</w:t>
      </w:r>
      <w:bookmarkStart w:id="419" w:name="pg19729_212870"/>
    </w:p>
    <w:p>
      <w:pPr>
        <w:pStyle w:val="Heading4"/>
        <w:numPr>
          <w:ilvl w:val="3"/>
          <w:numId w:val="1"/>
        </w:numPr>
        <w:rPr/>
      </w:pPr>
      <w:bookmarkStart w:id="420" w:name="__RefHeading___Toc3251415_2314609296"/>
      <w:bookmarkStart w:id="421" w:name="_Toc160"/>
      <w:bookmarkEnd w:id="419"/>
      <w:bookmarkEnd w:id="420"/>
      <w:r>
        <w:rPr>
          <w:rtl w:val="true"/>
        </w:rPr>
        <w:t>الباب الخامس في النجاسات</w:t>
      </w:r>
      <w:bookmarkEnd w:id="421"/>
    </w:p>
    <w:p>
      <w:pPr>
        <w:pStyle w:val="Heading5"/>
        <w:numPr>
          <w:ilvl w:val="4"/>
          <w:numId w:val="1"/>
        </w:numPr>
        <w:rPr/>
      </w:pPr>
      <w:bookmarkStart w:id="422" w:name="__RefHeading___Toc3251417_2314609296"/>
      <w:bookmarkStart w:id="423" w:name="_Toc16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و هي عشرة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3251419_2314609296"/>
      <w:bookmarkStart w:id="425" w:name="_Toc162"/>
      <w:bookmarkEnd w:id="424"/>
      <w:r>
        <w:rPr>
          <w:rtl w:val="true"/>
        </w:rPr>
        <w:t>الأول، و الثاني</w:t>
      </w:r>
      <w:r>
        <w:rPr>
          <w:rtl w:val="true"/>
        </w:rPr>
        <w:t xml:space="preserve">: </w:t>
      </w:r>
      <w:r>
        <w:rPr>
          <w:rtl w:val="true"/>
        </w:rPr>
        <w:t>البول و الغائط</w:t>
      </w:r>
      <w:bookmarkEnd w:id="425"/>
    </w:p>
    <w:p>
      <w:pPr>
        <w:pStyle w:val="BookText"/>
        <w:rPr/>
      </w:pPr>
      <w:r>
        <w:rPr>
          <w:rFonts w:ascii="Amiri" w:hAnsi="Amiri" w:eastAsia="Amiri" w:cs="Amiri"/>
          <w:color w:val="111111"/>
          <w:sz w:val="28"/>
          <w:sz w:val="28"/>
          <w:szCs w:val="28"/>
          <w:rtl w:val="true"/>
          <w:lang w:bidi="ar-SA"/>
        </w:rPr>
        <w:t>مما لا يؤكل لحمه من ذي النفس السائلة، بلا اشكال نصا و فتوى، و يكفي من النص في البول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ثيابك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 و في الغائط ما اشتمل على غسل ثوبه من العذرة </w:t>
      </w:r>
      <w:r>
        <w:rPr>
          <w:rStyle w:val="FootnoteAnchor"/>
          <w:rtl w:val="true"/>
        </w:rPr>
        <w:footnoteReference w:id="1340"/>
      </w:r>
      <w:r>
        <w:rPr>
          <w:rFonts w:ascii="Amiri" w:hAnsi="Amiri" w:eastAsia="Amiri" w:cs="Amiri"/>
          <w:color w:val="111111"/>
          <w:sz w:val="28"/>
          <w:sz w:val="28"/>
          <w:szCs w:val="28"/>
          <w:rtl w:val="true"/>
          <w:lang w:bidi="ar-SA"/>
        </w:rPr>
        <w:t>، و بمفهوم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خرج منه</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بناء على كونه كناية عن بوله و غائطه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لازمة عدم الاختصاص بما له نفس، إلّا أن يشكك في هذا المفهوم، مضافا إلى الإشكال في صدق العذرة على فضلة ما لا يكون له نفس سائلة، و ذلك أيضا لو لا عدم القول بالفصل بين البول و الغائط، و حينئذ فيكفي في تسرية الحكم إلى ما لا نفس له العموم الوارد في البول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حينئذ لتخصيص المصنّف بما له نفس، إلّا أن يدّعى عدم البول له، فلا بدّ أن يستكشف منه هذه الجهة، و حينئذ فيكفي في طهارة</w:t>
      </w:r>
    </w:p>
    <w:p>
      <w:pPr>
        <w:pStyle w:val="BookText"/>
        <w:rPr/>
      </w:pPr>
      <w:r>
        <w:rPr>
          <w:rFonts w:ascii="Amiri" w:hAnsi="Amiri" w:eastAsia="Amiri" w:cs="Amiri"/>
          <w:color w:val="111111"/>
          <w:sz w:val="28"/>
          <w:sz w:val="28"/>
          <w:szCs w:val="28"/>
          <w:rtl w:val="true"/>
          <w:lang w:bidi="ar-SA"/>
        </w:rPr>
        <w:t>سائر فضلاته مجرد التشكيك في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لا لحم له لا يدخل في العموم المزبور، و تكفيه السيرة على عدم الاجتناب عن فضلاته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الرواية يشمل بول الغلام قبل أن يطعم، و كذلك الجارية، فيجب تطهير الثوب منهما، و ما في خبر السكوني من نفي الغسل في الغلام دون الجارية </w:t>
      </w:r>
      <w:r>
        <w:rPr>
          <w:rStyle w:val="FootnoteAnchor"/>
          <w:rtl w:val="true"/>
        </w:rPr>
        <w:footnoteReference w:id="1343"/>
      </w:r>
      <w:r>
        <w:rPr>
          <w:rFonts w:ascii="Amiri" w:hAnsi="Amiri" w:eastAsia="Amiri" w:cs="Amiri"/>
          <w:color w:val="111111"/>
          <w:sz w:val="28"/>
          <w:sz w:val="28"/>
          <w:szCs w:val="28"/>
          <w:rtl w:val="true"/>
          <w:lang w:bidi="ar-SA"/>
        </w:rPr>
        <w:t>،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الرواية الأخرى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كفاية صب الماء عليه على وجه لا يحتاج إلى إفراغه و لو بعصره، كما هو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العموم السابق عدم الفرق في ما لا يؤكل بين الطير و غيره، و لكن في قباله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بخرئه</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 و النسبة عموم من وجه، و في مورد المعارضة يتساقطان فيرجع إلى أصالة الطهارة، لو لا ترجيح الأول بما ورد من تعليل طهارة خرء الخطّاف بأنه مما يؤكل </w:t>
      </w:r>
      <w:r>
        <w:rPr>
          <w:rStyle w:val="FootnoteAnchor"/>
          <w:rtl w:val="true"/>
        </w:rPr>
        <w:footnoteReference w:id="1346"/>
      </w:r>
      <w:r>
        <w:rPr>
          <w:rFonts w:ascii="Amiri" w:hAnsi="Amiri" w:eastAsia="Amiri" w:cs="Amiri"/>
          <w:color w:val="111111"/>
          <w:sz w:val="28"/>
          <w:sz w:val="28"/>
          <w:szCs w:val="28"/>
          <w:rtl w:val="true"/>
          <w:lang w:bidi="ar-SA"/>
        </w:rPr>
        <w:t xml:space="preserve">، إذ مفهومه نجاسة خرء غير المأكول من الطير، فيخصص به الإطلاقات السابقة، أو تحمل على ما هو الغالب ابتلاء من مأكولات اللحم، و لازمة نجاسة خرء الخشّاف، لو لا معارضته بما دل على نفي البأس عنه </w:t>
      </w:r>
      <w:r>
        <w:rPr>
          <w:rStyle w:val="FootnoteAnchor"/>
          <w:rtl w:val="true"/>
        </w:rPr>
        <w:footnoteReference w:id="1347"/>
      </w:r>
      <w:r>
        <w:rPr>
          <w:rFonts w:ascii="Amiri" w:hAnsi="Amiri" w:eastAsia="Amiri" w:cs="Amiri"/>
          <w:color w:val="111111"/>
          <w:sz w:val="28"/>
          <w:sz w:val="28"/>
          <w:szCs w:val="28"/>
          <w:rtl w:val="true"/>
          <w:lang w:bidi="ar-SA"/>
        </w:rPr>
        <w:t>، الموجب لحمل الأول على رجحان الاجتناب، كما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مفهوم التعليل في خبر الخطّاف، و نفي البأس عما خرج مما يؤكل لحمه، يستفاد قاعدة أخرى في طرف ما يؤكل، و أنه لا بأس بخرئه و بوله، من دون فرق بين أنحائها، حتى البغال و الحمير، بل ورد النص على</w:t>
      </w:r>
      <w:bookmarkStart w:id="426" w:name="pg19729_212872"/>
    </w:p>
    <w:p>
      <w:pPr>
        <w:pStyle w:val="BookText"/>
        <w:rPr/>
      </w:pPr>
      <w:bookmarkEnd w:id="426"/>
      <w:r>
        <w:rPr>
          <w:rFonts w:ascii="Amiri" w:hAnsi="Amiri" w:eastAsia="Amiri" w:cs="Amiri"/>
          <w:color w:val="111111"/>
          <w:sz w:val="28"/>
          <w:sz w:val="28"/>
          <w:szCs w:val="28"/>
          <w:rtl w:val="true"/>
          <w:lang w:bidi="ar-SA"/>
        </w:rPr>
        <w:t xml:space="preserve">نفي البأس عن أرواثها </w:t>
      </w:r>
      <w:r>
        <w:rPr>
          <w:rStyle w:val="FootnoteAnchor"/>
          <w:rtl w:val="true"/>
        </w:rPr>
        <w:footnoteReference w:id="1348"/>
      </w:r>
      <w:r>
        <w:rPr>
          <w:rFonts w:ascii="Amiri" w:hAnsi="Amiri" w:eastAsia="Amiri" w:cs="Amiri"/>
          <w:color w:val="111111"/>
          <w:sz w:val="28"/>
          <w:sz w:val="28"/>
          <w:szCs w:val="28"/>
          <w:rtl w:val="true"/>
          <w:lang w:bidi="ar-SA"/>
        </w:rPr>
        <w:t>، فيتعدّى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أبوالها، بل و في الحمير ورد التصريح بنفي البأس عن بوله </w:t>
      </w:r>
      <w:r>
        <w:rPr>
          <w:rStyle w:val="FootnoteAnchor"/>
          <w:rtl w:val="true"/>
        </w:rPr>
        <w:footnoteReference w:id="1349"/>
      </w:r>
      <w:r>
        <w:rPr>
          <w:rFonts w:ascii="Amiri" w:hAnsi="Amiri" w:eastAsia="Amiri" w:cs="Amiri"/>
          <w:color w:val="111111"/>
          <w:sz w:val="28"/>
          <w:sz w:val="28"/>
          <w:szCs w:val="28"/>
          <w:rtl w:val="true"/>
          <w:lang w:bidi="ar-SA"/>
        </w:rPr>
        <w:t>، الملحق به غيره بعدم الفصل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هذه ترفع اليد عما ورد بالاجتناب عن أبوالها </w:t>
      </w:r>
      <w:r>
        <w:rPr>
          <w:rStyle w:val="FootnoteAnchor"/>
          <w:rtl w:val="true"/>
        </w:rPr>
        <w:footnoteReference w:id="1350"/>
      </w:r>
      <w:r>
        <w:rPr>
          <w:rFonts w:ascii="Amiri" w:hAnsi="Amiri" w:eastAsia="Amiri" w:cs="Amiri"/>
          <w:color w:val="111111"/>
          <w:sz w:val="28"/>
          <w:sz w:val="28"/>
          <w:szCs w:val="28"/>
          <w:rtl w:val="true"/>
          <w:lang w:bidi="ar-SA"/>
        </w:rPr>
        <w:t xml:space="preserve">، بل فيها ما له جهة حكومة على أخبار ما يؤكل، بحملها على ما كانت معدّة للأكل، كما أن النهي الوارد في ذرق الدجاج </w:t>
      </w:r>
      <w:r>
        <w:rPr>
          <w:rStyle w:val="FootnoteAnchor"/>
          <w:rtl w:val="true"/>
        </w:rPr>
        <w:footnoteReference w:id="1351"/>
      </w:r>
      <w:r>
        <w:rPr>
          <w:rFonts w:ascii="Amiri" w:hAnsi="Amiri" w:eastAsia="Amiri" w:cs="Amiri"/>
          <w:color w:val="111111"/>
          <w:sz w:val="28"/>
          <w:sz w:val="28"/>
          <w:szCs w:val="28"/>
          <w:rtl w:val="true"/>
          <w:lang w:bidi="ar-SA"/>
        </w:rPr>
        <w:t>أيضا محمول على الكراهة، لما تقدّم، خصوصا مع قيام السيرة على عدم الاجتناب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كذلك عرضا لجلل اشكال، و الأصل ينفيه، لو لا شمول العنوان لمثلها، كما لا يخفى، فتأمل</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251421_2314609296"/>
      <w:bookmarkStart w:id="428" w:name="_Toc163"/>
      <w:bookmarkEnd w:id="427"/>
      <w:r>
        <w:rPr>
          <w:rtl w:val="true"/>
        </w:rPr>
        <w:t>و الثالث</w:t>
      </w:r>
      <w:r>
        <w:rPr>
          <w:rtl w:val="true"/>
        </w:rPr>
        <w:t xml:space="preserve">: </w:t>
      </w:r>
      <w:r>
        <w:rPr>
          <w:rtl w:val="true"/>
        </w:rPr>
        <w:t>المني من ذي النفس السائلة</w:t>
      </w:r>
      <w:bookmarkEnd w:id="428"/>
    </w:p>
    <w:p>
      <w:pPr>
        <w:pStyle w:val="BookText"/>
        <w:rPr/>
      </w:pPr>
      <w:r>
        <w:rPr>
          <w:rFonts w:ascii="Amiri" w:hAnsi="Amiri" w:eastAsia="Amiri" w:cs="Amiri"/>
          <w:color w:val="111111"/>
          <w:sz w:val="28"/>
          <w:sz w:val="28"/>
          <w:szCs w:val="28"/>
          <w:rtl w:val="true"/>
          <w:lang w:bidi="ar-SA"/>
        </w:rPr>
        <w:t>مطلقا بلا اشكال فيه مع كونه مما لا يؤكل،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المني أشد من البول</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و لازمة عدم الاختصاص بما له نفس، إلّا بدعوى عدم البول لما لا نفس له، إذ حينئذ لا يشمل مثل هذا الإطلاق له، بل يختص بما له بول، كما أنه لا مجال للتعدّي منه إلى مني ما يؤكل لحمه، لانصراف إطلاق مثل هذا التعبير عنه، خصوصا مع كون مورد الابتلاء غالبا مني الإنسان، فتدبّر</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251423_2314609296"/>
      <w:bookmarkStart w:id="430" w:name="_Toc164"/>
      <w:bookmarkEnd w:id="429"/>
      <w:r>
        <w:rPr>
          <w:rtl w:val="true"/>
        </w:rPr>
        <w:t>و الرابع</w:t>
      </w:r>
      <w:r>
        <w:rPr>
          <w:rtl w:val="true"/>
        </w:rPr>
        <w:t xml:space="preserve">: </w:t>
      </w:r>
      <w:r>
        <w:rPr>
          <w:rtl w:val="true"/>
        </w:rPr>
        <w:t>الميتة</w:t>
      </w:r>
      <w:bookmarkEnd w:id="4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من إنسان أو غيره، و في الأول سواء حال</w:t>
      </w:r>
    </w:p>
    <w:p>
      <w:pPr>
        <w:pStyle w:val="BookText"/>
        <w:rPr/>
      </w:pPr>
      <w:r>
        <w:rPr>
          <w:rFonts w:ascii="Amiri" w:hAnsi="Amiri" w:eastAsia="Amiri" w:cs="Amiri"/>
          <w:color w:val="111111"/>
          <w:sz w:val="28"/>
          <w:sz w:val="28"/>
          <w:szCs w:val="28"/>
          <w:rtl w:val="true"/>
          <w:lang w:bidi="ar-SA"/>
        </w:rPr>
        <w:t xml:space="preserve">حرارته أو بعد برده قبل أن يغسّل، و يكفي في ميت الإنسان مطلقا ما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مسّه بحرارة غسل يده، و بعد برده فعليه الغسل</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الرواية شامل للمس بلا رطوبة، لعدم ارتكاز الذهن بدخلها في الغسل، و بقرينة المقابلة يجري الإطلاق في الغسل أيضا، فلا يرد عليه بأن ذلك خلاف المرتكز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ميت غير الإنسان فيكفي فيه النصوص الواردة في نجاسة الميتة </w:t>
      </w:r>
      <w:r>
        <w:rPr>
          <w:rStyle w:val="FootnoteAnchor"/>
          <w:rtl w:val="true"/>
        </w:rPr>
        <w:footnoteReference w:id="1354"/>
      </w:r>
      <w:r>
        <w:rPr>
          <w:rFonts w:ascii="Amiri" w:hAnsi="Amiri" w:eastAsia="Amiri" w:cs="Amiri"/>
          <w:color w:val="111111"/>
          <w:sz w:val="28"/>
          <w:sz w:val="28"/>
          <w:szCs w:val="28"/>
          <w:rtl w:val="true"/>
          <w:lang w:bidi="ar-SA"/>
        </w:rPr>
        <w:t xml:space="preserve">، و الجيفة </w:t>
      </w:r>
      <w:r>
        <w:rPr>
          <w:rStyle w:val="FootnoteAnchor"/>
          <w:rtl w:val="true"/>
        </w:rPr>
        <w:footnoteReference w:id="1355"/>
      </w:r>
      <w:r>
        <w:rPr>
          <w:rFonts w:ascii="Amiri" w:hAnsi="Amiri" w:eastAsia="Amiri" w:cs="Amiri"/>
          <w:color w:val="111111"/>
          <w:sz w:val="28"/>
          <w:sz w:val="28"/>
          <w:szCs w:val="28"/>
          <w:rtl w:val="true"/>
          <w:lang w:bidi="ar-SA"/>
        </w:rPr>
        <w:t xml:space="preserve">، و القطعة المبانة </w:t>
      </w:r>
      <w:r>
        <w:rPr>
          <w:rStyle w:val="FootnoteAnchor"/>
          <w:rtl w:val="true"/>
        </w:rPr>
        <w:footnoteReference w:id="1356"/>
      </w:r>
      <w:r>
        <w:rPr>
          <w:rFonts w:ascii="IRNazanin" w:hAnsi="IRNazanin" w:eastAsia="IRNazanin"/>
          <w:color w:val="111111"/>
          <w:sz w:val="28"/>
          <w:sz w:val="28"/>
          <w:szCs w:val="28"/>
          <w:rtl w:val="true"/>
          <w:lang w:bidi="fa-IR"/>
        </w:rPr>
        <w:t xml:space="preserve">، و مطلقاتها </w:t>
      </w:r>
      <w:r>
        <w:rPr>
          <w:rStyle w:val="FootnoteAnchor"/>
          <w:rtl w:val="true"/>
        </w:rPr>
        <w:footnoteReference w:id="1357"/>
      </w:r>
      <w:r>
        <w:rPr>
          <w:rFonts w:ascii="Amiri" w:hAnsi="Amiri" w:eastAsia="Amiri" w:cs="Amiri"/>
          <w:color w:val="111111"/>
          <w:sz w:val="28"/>
          <w:sz w:val="28"/>
          <w:szCs w:val="28"/>
          <w:rtl w:val="true"/>
          <w:lang w:bidi="ar-SA"/>
        </w:rPr>
        <w:t xml:space="preserve">و إن اقتضت نجاستها و لو من غير ذي النفس، و لكن في المقام نصوص وافية باختصاص الحكم بما له نفس </w:t>
      </w:r>
      <w:r>
        <w:rPr>
          <w:rStyle w:val="FootnoteAnchor"/>
          <w:rtl w:val="true"/>
        </w:rPr>
        <w:footnoteReference w:id="1358"/>
      </w:r>
      <w:r>
        <w:rPr>
          <w:rFonts w:ascii="Amiri" w:hAnsi="Amiri" w:eastAsia="Amiri" w:cs="Amiri"/>
          <w:color w:val="111111"/>
          <w:sz w:val="28"/>
          <w:sz w:val="28"/>
          <w:szCs w:val="28"/>
          <w:rtl w:val="true"/>
          <w:lang w:bidi="ar-SA"/>
        </w:rPr>
        <w:t>، و يكفي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 له نفس</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 في انصراف مثل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القطعة المبانة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القشور غير المعدودة من أجزاء البدن عرفا، بل كانت معدودة من الفضلات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التعليل في نفي البأس عن الصوف بأنه ليس له روح </w:t>
      </w:r>
      <w:r>
        <w:rPr>
          <w:rStyle w:val="FootnoteAnchor"/>
          <w:rtl w:val="true"/>
        </w:rPr>
        <w:footnoteReference w:id="1360"/>
      </w:r>
      <w:r>
        <w:rPr>
          <w:rFonts w:ascii="Amiri" w:hAnsi="Amiri" w:eastAsia="Amiri" w:cs="Amiri"/>
          <w:color w:val="111111"/>
          <w:sz w:val="28"/>
          <w:sz w:val="28"/>
          <w:szCs w:val="28"/>
          <w:rtl w:val="true"/>
          <w:lang w:bidi="ar-SA"/>
        </w:rPr>
        <w:t>، يستفاد</w:t>
      </w:r>
    </w:p>
    <w:p>
      <w:pPr>
        <w:pStyle w:val="BookText"/>
        <w:rPr/>
      </w:pPr>
      <w:r>
        <w:rPr>
          <w:rFonts w:ascii="Amiri" w:hAnsi="Amiri" w:eastAsia="Amiri" w:cs="Amiri"/>
          <w:color w:val="111111"/>
          <w:sz w:val="28"/>
          <w:sz w:val="28"/>
          <w:szCs w:val="28"/>
          <w:rtl w:val="true"/>
          <w:lang w:bidi="ar-SA"/>
        </w:rPr>
        <w:t xml:space="preserve">عدم نجاسة ما لا روح له من أجزائه، نعم يغسل مورد اتصاله الملاقي معه برطوبة، كما أن ما يخرج منه من رطوبات محكومة بالنجاسة، بقاعدة كلما 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اشكال عندهم في طهارة الإنفحة، و هو نفس المائع الموجود داخل الجلدة، و في النص تنظيره بالبيض الخارج من الميتة </w:t>
      </w:r>
      <w:r>
        <w:rPr>
          <w:rStyle w:val="FootnoteAnchor"/>
          <w:rtl w:val="true"/>
        </w:rPr>
        <w:footnoteReference w:id="1361"/>
      </w:r>
      <w:r>
        <w:rPr>
          <w:rFonts w:ascii="Amiri" w:hAnsi="Amiri" w:eastAsia="Amiri" w:cs="Amiri"/>
          <w:color w:val="111111"/>
          <w:sz w:val="28"/>
          <w:sz w:val="28"/>
          <w:szCs w:val="28"/>
          <w:rtl w:val="true"/>
          <w:lang w:bidi="ar-SA"/>
        </w:rPr>
        <w:t>، و لازمة طهارة الجلدة أيضا، لأنها ملاقية لما فيها من المائع، و إن كانت ميتة، و حينئذ لا يبقى مجال للنزاع المعروف، من أن الإنفحة هو نفس المائع أو هو مع جلدته، خصوصا مع عدم مساعدة دليل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بنجاسة ظاهر الجلدة من جهة ملاقاتها مع الرطوبة لسائر أجزاء الميتة، إذ الممتنع نجاستها إنما هو من حيث كونها ميتة، لا من حيث ملاقاتها مع الميتة،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تعليل طهارة الإنفحة بأنه يخرج من بين فرث و دم </w:t>
      </w:r>
      <w:r>
        <w:rPr>
          <w:rStyle w:val="FootnoteAnchor"/>
          <w:rtl w:val="true"/>
        </w:rPr>
        <w:footnoteReference w:id="1362"/>
      </w:r>
      <w:r>
        <w:rPr>
          <w:rFonts w:ascii="Amiri" w:hAnsi="Amiri" w:eastAsia="Amiri" w:cs="Amiri"/>
          <w:color w:val="111111"/>
          <w:sz w:val="28"/>
          <w:sz w:val="28"/>
          <w:szCs w:val="28"/>
          <w:rtl w:val="true"/>
          <w:lang w:bidi="ar-SA"/>
        </w:rPr>
        <w:t xml:space="preserve">التعدّي إلى مطلق الإنفحة حتى من غير المأكول، اللهم إلّا أن يتشبث لنجاسته بعموم المفهوم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من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أيضا تأمل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ظاهر ذيل الرواية </w:t>
      </w:r>
      <w:r>
        <w:rPr>
          <w:rStyle w:val="FootnoteAnchor"/>
          <w:rtl w:val="true"/>
        </w:rPr>
        <w:footnoteReference w:id="1363"/>
      </w:r>
      <w:r>
        <w:rPr>
          <w:rFonts w:ascii="Amiri" w:hAnsi="Amiri" w:eastAsia="Amiri" w:cs="Amiri"/>
          <w:color w:val="111111"/>
          <w:sz w:val="28"/>
          <w:sz w:val="28"/>
          <w:szCs w:val="28"/>
          <w:rtl w:val="true"/>
          <w:lang w:bidi="ar-SA"/>
        </w:rPr>
        <w:t>أيضا طهارة البيض الخارج من الميتة حال اكتسابه القشر الأعلى، و في التعدّي إلى بيض ما لا يؤكل لحمه وجه، تبعا للتعدي إلى أنفحته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اللبن الخارج من ميتة مأكول اللحم اختلاف، قولا و رواية، و مقتضى الجمع بين النصوص </w:t>
      </w:r>
      <w:r>
        <w:rPr>
          <w:rStyle w:val="FootnoteAnchor"/>
          <w:rtl w:val="true"/>
        </w:rPr>
        <w:footnoteReference w:id="1364"/>
      </w:r>
      <w:r>
        <w:rPr>
          <w:rFonts w:ascii="Amiri" w:hAnsi="Amiri" w:eastAsia="Amiri" w:cs="Amiri"/>
          <w:color w:val="111111"/>
          <w:sz w:val="28"/>
          <w:sz w:val="28"/>
          <w:szCs w:val="28"/>
          <w:rtl w:val="true"/>
          <w:lang w:bidi="ar-SA"/>
        </w:rPr>
        <w:t>هو الحمل على الكراهة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فرض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بتوهم صراحة نواهيه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الحرام</w:t>
      </w:r>
      <w:bookmarkStart w:id="431" w:name="pg19729_212875"/>
    </w:p>
    <w:p>
      <w:pPr>
        <w:pStyle w:val="BookText"/>
        <w:rPr/>
      </w:pPr>
      <w:bookmarkEnd w:id="431"/>
      <w:r>
        <w:rPr>
          <w:rFonts w:ascii="IRNazanin" w:hAnsi="IRNazanin" w:eastAsia="IRNazanin"/>
          <w:color w:val="111111"/>
          <w:sz w:val="28"/>
          <w:sz w:val="28"/>
          <w:szCs w:val="28"/>
          <w:rtl w:val="true"/>
          <w:lang w:bidi="fa-IR"/>
        </w:rPr>
        <w:t>محضا</w:t>
      </w:r>
      <w:r>
        <w:rPr>
          <w:rFonts w:eastAsia="IRNazanin" w:cs="IRNazanin"/>
          <w:color w:val="111111"/>
          <w:sz w:val="28"/>
          <w:szCs w:val="28"/>
          <w:rtl w:val="true"/>
          <w:lang w:bidi="fa-IR"/>
        </w:rPr>
        <w:t xml:space="preserve">»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ترجيح الأخبار الناهية، بمقتضى الموافقة للقاعدة، و لكن الانصاف عدم بلوغ الأمر إلى المعارضة لأظهرية دليل الرخصة </w:t>
      </w:r>
      <w:r>
        <w:rPr>
          <w:rStyle w:val="FootnoteAnchor"/>
          <w:rtl w:val="true"/>
        </w:rPr>
        <w:footnoteReference w:id="1366"/>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التعدي إلى لبن غير المأكول إشكال، إذ الظاهر من أخبار نفي البأس </w:t>
      </w:r>
      <w:r>
        <w:rPr>
          <w:rStyle w:val="FootnoteAnchor"/>
          <w:rtl w:val="true"/>
        </w:rPr>
        <w:footnoteReference w:id="1367"/>
      </w:r>
      <w:r>
        <w:rPr>
          <w:rFonts w:ascii="Amiri" w:hAnsi="Amiri" w:eastAsia="Amiri" w:cs="Amiri"/>
          <w:color w:val="111111"/>
          <w:sz w:val="28"/>
          <w:sz w:val="28"/>
          <w:szCs w:val="28"/>
          <w:rtl w:val="true"/>
          <w:lang w:bidi="ar-SA"/>
        </w:rPr>
        <w:t>نفيه من جهة عدم المنع عن شربه، لا بنفسه، لأنه الذي ينصرف الذهن إليه من السؤال عن الألبان،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فأرة المسك أيضا طاهرة ببعض أقسامها بلا إشكال أيضا نصا </w:t>
      </w:r>
      <w:r>
        <w:rPr>
          <w:rStyle w:val="FootnoteAnchor"/>
          <w:rtl w:val="true"/>
        </w:rPr>
        <w:footnoteReference w:id="1368"/>
      </w:r>
      <w:r>
        <w:rPr>
          <w:rFonts w:ascii="Amiri" w:hAnsi="Amiri" w:eastAsia="Amiri" w:cs="Amiri"/>
          <w:color w:val="111111"/>
          <w:sz w:val="28"/>
          <w:sz w:val="28"/>
          <w:szCs w:val="28"/>
          <w:rtl w:val="true"/>
          <w:lang w:bidi="ar-SA"/>
        </w:rPr>
        <w:t>و فتوى، و يكفي في تمييز هذا البعض ما قامت السيرة على بيعه في سوق المسلمين، بل و لازم طهارة المسك المزبور طهارة فأرته، للملازمة الارتكازية، كطهارة إناء الخمر بعد انقلابها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يتم في الفأرة المنفصلة من الحي، و أما المنفصلة من الميتة ففي قيام السيرة إشكال، و يؤيده تقيد جواز أخذ الفأرة في الصلاة بكونه من المذكى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3251425_2314609296"/>
      <w:bookmarkStart w:id="433" w:name="_Toc165"/>
      <w:bookmarkEnd w:id="432"/>
      <w:r>
        <w:rPr>
          <w:rtl w:val="true"/>
        </w:rPr>
        <w:t>و الخامس</w:t>
      </w:r>
      <w:r>
        <w:rPr>
          <w:rtl w:val="true"/>
        </w:rPr>
        <w:t xml:space="preserve">: </w:t>
      </w:r>
      <w:r>
        <w:rPr>
          <w:rtl w:val="true"/>
        </w:rPr>
        <w:t>الدم منه</w:t>
      </w:r>
      <w:bookmarkEnd w:id="43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ذي النفس، و يكفي في نجاسته في الجملة ما ورد في النصوص </w:t>
      </w:r>
      <w:r>
        <w:rPr>
          <w:rStyle w:val="FootnoteAnchor"/>
          <w:rtl w:val="true"/>
        </w:rPr>
        <w:footnoteReference w:id="1370"/>
      </w:r>
      <w:r>
        <w:rPr>
          <w:rFonts w:ascii="Amiri" w:hAnsi="Amiri" w:eastAsia="Amiri" w:cs="Amiri"/>
          <w:color w:val="111111"/>
          <w:sz w:val="28"/>
          <w:sz w:val="28"/>
          <w:szCs w:val="28"/>
          <w:rtl w:val="true"/>
          <w:lang w:bidi="ar-SA"/>
        </w:rPr>
        <w:t>بالسنة مختلفة في موارد متفرقة، و يكفي من</w:t>
      </w:r>
    </w:p>
    <w:p>
      <w:pPr>
        <w:pStyle w:val="BookText"/>
        <w:rPr/>
      </w:pPr>
      <w:r>
        <w:rPr>
          <w:rFonts w:ascii="Amiri" w:hAnsi="Amiri" w:eastAsia="Amiri" w:cs="Amiri"/>
          <w:color w:val="111111"/>
          <w:sz w:val="28"/>
          <w:sz w:val="28"/>
          <w:szCs w:val="28"/>
          <w:rtl w:val="true"/>
          <w:lang w:bidi="ar-SA"/>
        </w:rPr>
        <w:t>الإطلاقات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ترى في منقاره دما</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الثوب من المني و الدم</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نجاسة ما يصدق عليه هذه الطبيعة، لا ما تشتبه كالمتكون من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في عدها من هذه الطبيعة إشكال، و إن كان شدة شباهته به موجبة لإطلاق اسمه عليه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سلمنا دخوله في الحقيقة، فلا أقل من انصرافه إلى المتكون من الحيوان، أو ما يلحق به من المتكون في بيضه، و لا تشمل الدماء المتكونة من غيرها، بل في الحيوانات أيضا يمكن دعوى خروج دم ما لا لحم له، كالبرغوث و القمل بالسيرة، و عليه فالأصل في دم ما فيه لحم و ما يلحق به هو النجاسة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من تحت هذه الكلية الدم المتخلّف في الذبيحة بالإجماع و السيرة، بل إطلاق معاقدهم يشمل المتخلّف في الأجزاء المحرمة، و المأكول لحمه و غيره بعد ما ذكّي، و لكن ظاهر جماعة التشكيك في مثل هذا الإطلاق في معاقد الإجماعات، فلا يتعدّى عن المتخلّف في الأجزاء المحللة من المأكول، و عليه فيشكل قيام الإجماع على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ظاهرهم تخصيص النجس بدم ذي النفس، و في الرواية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بدم ما لم يذكّ</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بعد شرحه بالسمك، فإنه كناية عما لا نفس له، فيتعدّى منه إلى الحيّة و غيرها، و لازم ذلك تمامية دلالته على كون المخصص فيما لا نفس له لفظيا، و لازمة عدم جواز التمسك بالعام بالنسبة إليه، بل لا بد من إجراء أصالة عدم الاتصاف بكونه دم غير ذي النفس</w:t>
      </w:r>
      <w:r>
        <w:rPr>
          <w:rFonts w:eastAsia="Amiri" w:cs="Amiri" w:ascii="Amiri" w:hAnsi="Amiri"/>
          <w:color w:val="111111"/>
          <w:sz w:val="28"/>
          <w:szCs w:val="28"/>
          <w:rtl w:val="true"/>
          <w:lang w:bidi="ar-SA"/>
        </w:rPr>
        <w:t>.</w:t>
      </w:r>
      <w:bookmarkStart w:id="434" w:name="pg19729_212877"/>
    </w:p>
    <w:p>
      <w:pPr>
        <w:pStyle w:val="BookText"/>
        <w:rPr/>
      </w:pPr>
      <w:bookmarkEnd w:id="434"/>
      <w:r>
        <w:rPr>
          <w:rFonts w:ascii="Amiri" w:hAnsi="Amiri" w:eastAsia="Amiri" w:cs="Amiri"/>
          <w:color w:val="111111"/>
          <w:sz w:val="28"/>
          <w:sz w:val="28"/>
          <w:szCs w:val="28"/>
          <w:rtl w:val="true"/>
          <w:lang w:bidi="ar-SA"/>
        </w:rPr>
        <w:t>نعم في المتخلف في الذبيحة كان المخصص لبيّا، فيتمسك بالعموم في الشبهة المصداقية، كما لا يخفى</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251427_2314609296"/>
      <w:bookmarkStart w:id="436" w:name="_Toc166"/>
      <w:bookmarkEnd w:id="435"/>
      <w:r>
        <w:rPr>
          <w:rtl w:val="true"/>
        </w:rPr>
        <w:t>و السادس، و السابع</w:t>
      </w:r>
      <w:r>
        <w:rPr>
          <w:rtl w:val="true"/>
        </w:rPr>
        <w:t xml:space="preserve">: </w:t>
      </w:r>
      <w:r>
        <w:rPr>
          <w:rtl w:val="true"/>
        </w:rPr>
        <w:t>الكلب و الخنزير</w:t>
      </w:r>
      <w:bookmarkEnd w:id="436"/>
    </w:p>
    <w:p>
      <w:pPr>
        <w:pStyle w:val="BookText"/>
        <w:rPr/>
      </w:pPr>
      <w:r>
        <w:rPr>
          <w:rFonts w:ascii="Amiri" w:hAnsi="Amiri" w:eastAsia="Amiri" w:cs="Amiri"/>
          <w:color w:val="111111"/>
          <w:sz w:val="28"/>
          <w:sz w:val="28"/>
          <w:szCs w:val="28"/>
          <w:rtl w:val="true"/>
          <w:lang w:bidi="ar-SA"/>
        </w:rPr>
        <w:t xml:space="preserve">بلا اشكال فيهما نصا </w:t>
      </w:r>
      <w:r>
        <w:rPr>
          <w:rStyle w:val="FootnoteAnchor"/>
          <w:rtl w:val="true"/>
        </w:rPr>
        <w:footnoteReference w:id="1374"/>
      </w:r>
      <w:r>
        <w:rPr>
          <w:rFonts w:ascii="Amiri" w:hAnsi="Amiri" w:eastAsia="Amiri" w:cs="Amiri"/>
          <w:color w:val="111111"/>
          <w:sz w:val="28"/>
          <w:sz w:val="28"/>
          <w:szCs w:val="28"/>
          <w:rtl w:val="true"/>
          <w:lang w:bidi="ar-SA"/>
        </w:rPr>
        <w:t xml:space="preserve">و فتوى،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 من شعرهما</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يستفاد نجاسة جميع أجزائهما حتى ما لا تحله الحياة، كما أن في الصحيحة </w:t>
      </w:r>
      <w:r>
        <w:rPr>
          <w:rStyle w:val="FootnoteAnchor"/>
          <w:rtl w:val="true"/>
        </w:rPr>
        <w:footnoteReference w:id="1376"/>
      </w:r>
      <w:r>
        <w:rPr>
          <w:rFonts w:ascii="Amiri" w:hAnsi="Amiri" w:eastAsia="Amiri" w:cs="Amiri"/>
          <w:color w:val="111111"/>
          <w:sz w:val="28"/>
          <w:sz w:val="28"/>
          <w:szCs w:val="28"/>
          <w:rtl w:val="true"/>
          <w:lang w:bidi="ar-SA"/>
        </w:rPr>
        <w:t>نفي البأس عن الكلاب البحرية الملحق بها خنازيرها، بعدم القول بالفصل، و حينئذ يختص حكم النجاسة بالبريّين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إطلاقه يشمل المعلّم و غيره، بل في النص التصريح بنجاسة السلوقي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المتولد منهما تابع لصدق اسم أحدهما، و مع عدم صدق واحد منهما ففيه إشكال، إلّا أن يستفاد المناط من النص المشتمل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الجدي المرتضع بلبن الخنزير، حتى يشتد عظمه</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 فيحكم بجريانه في المقام</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251429_2314609296"/>
      <w:bookmarkStart w:id="438" w:name="_Toc167"/>
      <w:bookmarkEnd w:id="437"/>
      <w:r>
        <w:rPr>
          <w:rtl w:val="true"/>
        </w:rPr>
        <w:t>و الثامن</w:t>
      </w:r>
      <w:r>
        <w:rPr>
          <w:rtl w:val="true"/>
        </w:rPr>
        <w:t xml:space="preserve">: </w:t>
      </w:r>
      <w:r>
        <w:rPr>
          <w:rtl w:val="true"/>
        </w:rPr>
        <w:t>الكافر</w:t>
      </w:r>
      <w:bookmarkEnd w:id="4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إشكال في الأصلي منه فتوى و نصا </w:t>
      </w:r>
      <w:r>
        <w:rPr>
          <w:rStyle w:val="FootnoteAnchor"/>
          <w:rtl w:val="true"/>
        </w:rPr>
        <w:footnoteReference w:id="1379"/>
      </w:r>
      <w:r>
        <w:rPr>
          <w:rFonts w:ascii="Amiri" w:hAnsi="Amiri" w:eastAsia="Amiri" w:cs="Amiri"/>
          <w:color w:val="111111"/>
          <w:sz w:val="28"/>
          <w:sz w:val="28"/>
          <w:szCs w:val="28"/>
          <w:rtl w:val="true"/>
          <w:lang w:bidi="ar-SA"/>
        </w:rPr>
        <w:t xml:space="preserve">، خصوصا الآية الشريفة </w:t>
      </w:r>
      <w:r>
        <w:rPr>
          <w:rStyle w:val="FootnoteAnchor"/>
          <w:rtl w:val="true"/>
        </w:rPr>
        <w:footnoteReference w:id="1380"/>
      </w:r>
      <w:r>
        <w:rPr>
          <w:rFonts w:ascii="Amiri" w:hAnsi="Amiri" w:eastAsia="Amiri" w:cs="Amiri"/>
          <w:color w:val="111111"/>
          <w:sz w:val="28"/>
          <w:sz w:val="28"/>
          <w:szCs w:val="28"/>
          <w:rtl w:val="true"/>
          <w:lang w:bidi="ar-SA"/>
        </w:rPr>
        <w:t>، الملحق فيها غير المشرك من فرق الكفار</w:t>
      </w:r>
    </w:p>
    <w:p>
      <w:pPr>
        <w:pStyle w:val="BookText"/>
        <w:rPr/>
      </w:pPr>
      <w:r>
        <w:rPr>
          <w:rFonts w:ascii="Amiri" w:hAnsi="Amiri" w:eastAsia="Amiri" w:cs="Amiri"/>
          <w:color w:val="111111"/>
          <w:sz w:val="28"/>
          <w:sz w:val="28"/>
          <w:szCs w:val="28"/>
          <w:rtl w:val="true"/>
          <w:lang w:bidi="ar-SA"/>
        </w:rPr>
        <w:t>بالمشركين، و على المشهور فالذمي ملحق بهم، خصوصا مع كونهم مشركين، بسبب اعتقادهم في عزير أو المسيح انه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أيضا نصوص آمرة بالاجتناب عنهم </w:t>
      </w:r>
      <w:r>
        <w:rPr>
          <w:rStyle w:val="FootnoteAnchor"/>
          <w:rtl w:val="true"/>
        </w:rPr>
        <w:footnoteReference w:id="1381"/>
      </w:r>
      <w:r>
        <w:rPr>
          <w:rFonts w:ascii="Amiri" w:hAnsi="Amiri" w:eastAsia="Amiri" w:cs="Amiri"/>
          <w:color w:val="111111"/>
          <w:sz w:val="28"/>
          <w:sz w:val="28"/>
          <w:szCs w:val="28"/>
          <w:rtl w:val="true"/>
          <w:lang w:bidi="ar-SA"/>
        </w:rPr>
        <w:t xml:space="preserve">، و في قبالها نصوص صريحة في عدم نجاستهم الذاتية </w:t>
      </w:r>
      <w:r>
        <w:rPr>
          <w:rStyle w:val="FootnoteAnchor"/>
          <w:rtl w:val="true"/>
        </w:rPr>
        <w:footnoteReference w:id="1382"/>
      </w:r>
      <w:r>
        <w:rPr>
          <w:rFonts w:ascii="Amiri" w:hAnsi="Amiri" w:eastAsia="Amiri" w:cs="Amiri"/>
          <w:color w:val="111111"/>
          <w:sz w:val="28"/>
          <w:sz w:val="28"/>
          <w:szCs w:val="28"/>
          <w:rtl w:val="true"/>
          <w:lang w:bidi="ar-SA"/>
        </w:rPr>
        <w:t xml:space="preserve">، و أن حكمة التحرّز عنهم عدم توقيهم عن النجاسات العرضية، و مقتضى الجمع بينها في غاية الوضوح، بحمل الآمرة بالاجتناب على مجرد الرجحان، أو يجعل وجه الاجتناب نجاستهم العرضية، أو التفصيل بين الاختيار و الاضطرار بشهادة رواية علي بن جعفر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يضطر إليه</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مع ذلك كله فإنّ بناء المشهور على حمل أخبار الطهارة على التقية، مع ما فيه من الإشكال، لأن مثل هذا الحمل خلاف ديدنهم من تقديم الجمع الدلالي على التصرف في الجهة، و نظير هذا البناء و الاشكال جار في أخبار الماء القليل و أخبار حل ذبيحتهم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الأصحاب في جميع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بناءهم على طرح هذه الروايات في أمثال هذه الأبواب، و ذلك يكشف عن أنهم وجدوا منذ الصدر الأول خللا في جهتها، بنحو صار أصل الجهة مع قطع النظر عن شي‌ء آخر موهونا جدا، و مثل هذه الجهة غير مرتبطة بمقام تقديم التصرف الجهتي على الدلالي،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المشهور إلحاق الولد الصغير بأشرف الأبوين في الإسلام، و يكفي له نصا ما ورد من طرف الأب،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 إسلام ولده الصغار</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 و تلحق به الام بعدم القول بالفصل، و بذلك يقيّد ما في النص في أولاد المشركين بأنهم كفار </w:t>
      </w:r>
      <w:r>
        <w:rPr>
          <w:rStyle w:val="FootnoteAnchor"/>
          <w:rtl w:val="true"/>
        </w:rPr>
        <w:footnoteReference w:id="1385"/>
      </w:r>
      <w:r>
        <w:rPr>
          <w:rFonts w:ascii="Amiri" w:hAnsi="Amiri" w:eastAsia="Amiri" w:cs="Amiri"/>
          <w:color w:val="111111"/>
          <w:sz w:val="28"/>
          <w:sz w:val="28"/>
          <w:szCs w:val="28"/>
          <w:rtl w:val="true"/>
          <w:lang w:bidi="ar-SA"/>
        </w:rPr>
        <w:t>، فيحمل على صورة كفر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إطلاق الكفر و الإسلام ترتب جميع لوازمهما، حتى في مثل إعطاء الزكاة لهم كما في النص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المجنون فمع اتصال جنونه بصغره فواضح، من إجراء أحكام الصغر عليه للاستصحاب، و إنما الكلام في المنفصل عنه، و يمكن إجراء حكمه السابق للأصل، لو لا دعوى عدم الفصل بين المجنون و الصغير في الأحكام، حتى في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اللقيط، فان احتمل إسلام أحد أبويه، فيحكم بطهارته، و إلّا ففيه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المسبي فمع وجود أحد الأبوين معه يلحق به مع إسلامه، و مع كفرهما ملحق بهما، و مع عدمهما يلحق بالسابي للسيرة في خصوص الطهارة كاللقيط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إجراء سائر أحكام الإسلام عليهما نظر، بل لا بد أن يلحظ و يفصّل بين ما كان شرطه الإسلام فلا يترتب، أو كان الكفر مانعا فيترتب،</w:t>
      </w:r>
    </w:p>
    <w:p>
      <w:pPr>
        <w:pStyle w:val="BookText"/>
        <w:rPr/>
      </w:pPr>
      <w:r>
        <w:rPr>
          <w:rFonts w:ascii="Amiri" w:hAnsi="Amiri" w:eastAsia="Amiri" w:cs="Amiri"/>
          <w:color w:val="111111"/>
          <w:sz w:val="28"/>
          <w:sz w:val="28"/>
          <w:szCs w:val="28"/>
          <w:rtl w:val="true"/>
          <w:lang w:bidi="ar-SA"/>
        </w:rPr>
        <w:t>لأصالة عدم اتصافه بهما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المظهر للشهادتين، بنحو يصلح للطريقية إلى اعتقاده، للأخبار المستفيضة الواردة في شرحه، و قد عقد في أصول الكافي بابا لذلك </w:t>
      </w:r>
      <w:r>
        <w:rPr>
          <w:rStyle w:val="FootnoteAnchor"/>
          <w:rtl w:val="true"/>
        </w:rPr>
        <w:footnoteReference w:id="1387"/>
      </w:r>
      <w:r>
        <w:rPr>
          <w:rFonts w:ascii="Amiri" w:hAnsi="Amiri" w:eastAsia="Amiri" w:cs="Amiri"/>
          <w:color w:val="111111"/>
          <w:sz w:val="28"/>
          <w:sz w:val="28"/>
          <w:szCs w:val="28"/>
          <w:rtl w:val="true"/>
          <w:lang w:bidi="ar-SA"/>
        </w:rPr>
        <w:t>، فلا يكفي الاعتقاد بلا إقرار و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اجراء حكم الإسلام على المنافقين في الصدر الأول كان لمحض المصلحة، حفظا لحوزة المسلمين و تكثيرا لعددهم، لا أنهم حقيقة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فالمخالفون مسلمون حقيقة، و ما ورد من النصوص في كفرهم </w:t>
      </w:r>
      <w:r>
        <w:rPr>
          <w:rStyle w:val="FootnoteAnchor"/>
          <w:rtl w:val="true"/>
        </w:rPr>
        <w:footnoteReference w:id="1388"/>
      </w:r>
      <w:r>
        <w:rPr>
          <w:rFonts w:ascii="Amiri" w:hAnsi="Amiri" w:eastAsia="Amiri" w:cs="Amiri"/>
          <w:color w:val="111111"/>
          <w:sz w:val="28"/>
          <w:sz w:val="28"/>
          <w:szCs w:val="28"/>
          <w:rtl w:val="true"/>
          <w:lang w:bidi="ar-SA"/>
        </w:rPr>
        <w:t>، محمولة على كفرهم باطنا، بمعنى استحقاقهم دركات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غير الجاحد أيضا غير كافر بهذا المعنى، و عليه يحمل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يجحدوا لم يكفروا</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و إلّا فلا يترتب عليهم أحكام الإسلام ما لم يقرّوا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كفر الناصب، كما ورد أنهم أنجس من الكلب </w:t>
      </w:r>
      <w:r>
        <w:rPr>
          <w:rStyle w:val="FootnoteAnchor"/>
          <w:rtl w:val="true"/>
        </w:rPr>
        <w:footnoteReference w:id="1390"/>
      </w:r>
      <w:r>
        <w:rPr>
          <w:rFonts w:ascii="Amiri" w:hAnsi="Amiri" w:eastAsia="Amiri" w:cs="Amiri"/>
          <w:color w:val="111111"/>
          <w:sz w:val="28"/>
          <w:sz w:val="28"/>
          <w:szCs w:val="28"/>
          <w:rtl w:val="true"/>
          <w:lang w:bidi="ar-SA"/>
        </w:rPr>
        <w:t>، و يلحق بالنجاسة سائر أحكام الكفر بعدم القول بالفصل، كما لا يخفى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الغلاة، للنص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مساورته</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و كذلك الخوارج، للإجماع، و بقية الفرق يحكم بإسلامهم ما لم ينكروا ضروريا، مع التفاتهم بضروريته، و مع غفلتهم عنها اشكال، لعدم دليل على كفرهم عدا دعاوي</w:t>
      </w:r>
      <w:bookmarkStart w:id="439" w:name="pg19729_212881"/>
    </w:p>
    <w:p>
      <w:pPr>
        <w:pStyle w:val="BookText"/>
        <w:rPr/>
      </w:pPr>
      <w:bookmarkEnd w:id="439"/>
      <w:r>
        <w:rPr>
          <w:rFonts w:ascii="Amiri" w:hAnsi="Amiri" w:eastAsia="Amiri" w:cs="Amiri"/>
          <w:color w:val="111111"/>
          <w:sz w:val="28"/>
          <w:sz w:val="28"/>
          <w:szCs w:val="28"/>
          <w:rtl w:val="true"/>
          <w:lang w:bidi="ar-SA"/>
        </w:rPr>
        <w:t>الإجماعات على 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لإمكان حمل الإطباق على جعل ظاهر حاله طريقا إلى كون إنكاره راجعا إلى تكذيب النبي صلّى اللّٰه عليه و آله و سلّم، و لا يسمع منه دعوى الاشتباه، لا أنه موجب لكفره حتى مع الجزم باشتباهه، و المسألة لا تخلو عن اشكال جدا</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251431_2314609296"/>
      <w:bookmarkStart w:id="441" w:name="_Toc168"/>
      <w:bookmarkEnd w:id="440"/>
      <w:r>
        <w:rPr>
          <w:rtl w:val="true"/>
        </w:rPr>
        <w:t>و التاسع</w:t>
      </w:r>
      <w:r>
        <w:rPr>
          <w:rtl w:val="true"/>
        </w:rPr>
        <w:t xml:space="preserve">: </w:t>
      </w:r>
      <w:r>
        <w:rPr>
          <w:rtl w:val="true"/>
        </w:rPr>
        <w:t>المسكر</w:t>
      </w:r>
      <w:bookmarkEnd w:id="441"/>
    </w:p>
    <w:p>
      <w:pPr>
        <w:pStyle w:val="BookText"/>
        <w:rPr/>
      </w:pPr>
      <w:r>
        <w:rPr>
          <w:rFonts w:ascii="Amiri" w:hAnsi="Amiri" w:eastAsia="Amiri" w:cs="Amiri"/>
          <w:color w:val="111111"/>
          <w:sz w:val="28"/>
          <w:sz w:val="28"/>
          <w:szCs w:val="28"/>
          <w:rtl w:val="true"/>
          <w:lang w:bidi="ar-SA"/>
        </w:rPr>
        <w:t xml:space="preserve">على المشهور، و النصوص فيه مختلفة، فجملة منها دالة على النجاسة </w:t>
      </w:r>
      <w:r>
        <w:rPr>
          <w:rStyle w:val="FootnoteAnchor"/>
          <w:rtl w:val="true"/>
        </w:rPr>
        <w:footnoteReference w:id="1392"/>
      </w:r>
      <w:r>
        <w:rPr>
          <w:rFonts w:ascii="Amiri" w:hAnsi="Amiri" w:eastAsia="Amiri" w:cs="Amiri"/>
          <w:color w:val="111111"/>
          <w:sz w:val="28"/>
          <w:sz w:val="28"/>
          <w:szCs w:val="28"/>
          <w:rtl w:val="true"/>
          <w:lang w:bidi="ar-SA"/>
        </w:rPr>
        <w:t xml:space="preserve">، و أن ما يبل الميل من النبيذ ينجس حبا من الماء </w:t>
      </w:r>
      <w:r>
        <w:rPr>
          <w:rStyle w:val="FootnoteAnchor"/>
          <w:rtl w:val="true"/>
        </w:rPr>
        <w:footnoteReference w:id="1393"/>
      </w:r>
      <w:r>
        <w:rPr>
          <w:rFonts w:ascii="Amiri" w:hAnsi="Amiri" w:eastAsia="Amiri" w:cs="Amiri"/>
          <w:color w:val="111111"/>
          <w:sz w:val="28"/>
          <w:sz w:val="28"/>
          <w:szCs w:val="28"/>
          <w:rtl w:val="true"/>
          <w:lang w:bidi="ar-SA"/>
        </w:rPr>
        <w:t xml:space="preserve">، و جملة أخرى صريحة في الطهارة حيث نفى فيه البأس عن المسكر أيضا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المقام أيضا قد يوهم الجمع بالحمل على الكراهة، و لكن قوة الدلالة على النجاسة في بعض النصوص المشتملة على الحلف باللّه </w:t>
      </w:r>
      <w:r>
        <w:rPr>
          <w:rStyle w:val="FootnoteAnchor"/>
          <w:rtl w:val="true"/>
        </w:rPr>
        <w:footnoteReference w:id="1395"/>
      </w:r>
      <w:r>
        <w:rPr>
          <w:rFonts w:ascii="Amiri" w:hAnsi="Amiri" w:eastAsia="Amiri" w:cs="Amiri"/>
          <w:color w:val="111111"/>
          <w:sz w:val="28"/>
          <w:sz w:val="28"/>
          <w:szCs w:val="28"/>
          <w:rtl w:val="true"/>
          <w:lang w:bidi="ar-SA"/>
        </w:rPr>
        <w:t xml:space="preserve">، يمنع الجمع المزبور، بل و يؤيده تحيّر السائل في الجمع حتى احتاج إلى السؤال، و الإمام أيضا قرره على تحيّره، و رجّح له أخبار النجاسة </w:t>
      </w:r>
      <w:r>
        <w:rPr>
          <w:rStyle w:val="FootnoteAnchor"/>
          <w:rtl w:val="true"/>
        </w:rPr>
        <w:footnoteReference w:id="1396"/>
      </w:r>
      <w:r>
        <w:rPr>
          <w:rFonts w:ascii="Amiri" w:hAnsi="Amiri" w:eastAsia="Amiri" w:cs="Amiri"/>
          <w:color w:val="111111"/>
          <w:sz w:val="28"/>
          <w:sz w:val="28"/>
          <w:szCs w:val="28"/>
          <w:rtl w:val="true"/>
          <w:lang w:bidi="ar-SA"/>
        </w:rPr>
        <w:t>، و بذلك يخرج المورد عن قاعدة الجمع، و يدخل في طي قواعد التعارض، و الترجيح مع ترجيح الإمام عليه السّلام لأخبار النجاسة، فلا يبقى مجال لترجيح غيرها، كما لا يخفى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منصرف الأخبار، بل صريح بعضها تخصيص النجاسة بالمائع</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1397"/>
      </w:r>
      <w:r>
        <w:rPr>
          <w:rFonts w:ascii="Amiri" w:hAnsi="Amiri" w:eastAsia="Amiri" w:cs="Amiri"/>
          <w:color w:val="111111"/>
          <w:sz w:val="28"/>
          <w:sz w:val="28"/>
          <w:szCs w:val="28"/>
          <w:rtl w:val="true"/>
          <w:lang w:bidi="ar-SA"/>
        </w:rPr>
        <w:t xml:space="preserve">، و ما في بعض الروايات من إلحاق الجامد به </w:t>
      </w:r>
      <w:r>
        <w:rPr>
          <w:rStyle w:val="FootnoteAnchor"/>
          <w:rtl w:val="true"/>
        </w:rPr>
        <w:footnoteReference w:id="1398"/>
      </w:r>
      <w:r>
        <w:rPr>
          <w:rFonts w:ascii="Amiri" w:hAnsi="Amiri" w:eastAsia="Amiri" w:cs="Amiri"/>
          <w:color w:val="111111"/>
          <w:sz w:val="28"/>
          <w:sz w:val="28"/>
          <w:szCs w:val="28"/>
          <w:rtl w:val="true"/>
          <w:lang w:bidi="ar-SA"/>
        </w:rPr>
        <w:t>ضعيف دلالة و سندا، فلا يصلح حجة، و في شمول الإطلاقات للمائع بالعرض أيضا إشكال و إن كان الأحوط فيها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يلحق بالمسكر العصير العنبي، و هو المشهور بين الأصحاب حرمة و نجاسة، أما الحرمة فواضحة، للنصوص المستفيضة </w:t>
      </w:r>
      <w:r>
        <w:rPr>
          <w:rStyle w:val="FootnoteAnchor"/>
          <w:rtl w:val="true"/>
        </w:rPr>
        <w:footnoteReference w:id="1399"/>
      </w:r>
      <w:r>
        <w:rPr>
          <w:rFonts w:ascii="Amiri" w:hAnsi="Amiri" w:eastAsia="Amiri" w:cs="Amiri"/>
          <w:color w:val="111111"/>
          <w:sz w:val="28"/>
          <w:sz w:val="28"/>
          <w:szCs w:val="28"/>
          <w:rtl w:val="true"/>
          <w:lang w:bidi="ar-SA"/>
        </w:rPr>
        <w:t xml:space="preserve">، و أما النجاسة ففيها اشكال، من جهة أن غاية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خمر</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بطيّب</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اقتضاؤها النجاسة بعد كون المتيقن من التنزيل المذكور هي الحرمة،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تخصيصهم العصير بالعنب، عدم مصيرهم إلى الحرمة و النجاسة في غيره، حتى الثلاثة المعروفة من عصير الحصرم و الزبيب و التمر، فضلا عن غيرها، و عمدة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دليل على الحكمين في غير العنبي، فأصالة الحليّة و الطهارة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اقتضاء العصير حرمته مطلقا، الملازمة لنجاسته، مدفوع بمنع الإطلاق، خصوصا مع مغروسية العنبية في الأذهان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من الكرم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و شموله لعصير الحصرم</w:t>
      </w:r>
    </w:p>
    <w:p>
      <w:pPr>
        <w:pStyle w:val="BookText"/>
        <w:rPr/>
      </w:pPr>
      <w:r>
        <w:rPr>
          <w:rFonts w:ascii="Amiri" w:hAnsi="Amiri" w:eastAsia="Amiri" w:cs="Amiri"/>
          <w:color w:val="111111"/>
          <w:sz w:val="28"/>
          <w:sz w:val="28"/>
          <w:szCs w:val="28"/>
          <w:rtl w:val="true"/>
          <w:lang w:bidi="ar-SA"/>
        </w:rPr>
        <w:t>و الزبيب و إن كان يوهم إلحاق خصوصهما، إلّا أن مثله منصرف إلى ماء نفسه لا المياه الخارجية الممزوجة مع أجزاء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فالاطلاقات منصرفة عن الزبيبي أيضا، و بذلك لا يجري الاستصحاب التعليقي المعروف أيضا، لاختلاف الماءين بنحو لا يساعد العرف على 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بشمول الإطلاقات للحصرمي، لو لا دعوى أن فهم العنبي منها قرينة عدم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في الحصرم من نفي البأس بجعله في الطعام 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يجعل في القدر من العصير بتلك المنزلة</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بناء على حمله على العصير الحصرمي و إلّا فلا 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تمامية مثل هذه الوجوه لرفع اليد عن الإطلاقات، خصوصا الأخير، لدوران الأمر بين طرح سنده أو إطلاقه، لو لا دعوى كون الحصرم قدرا متيقنا، بملاحظة صدره المخصوص بالحصرم، فيكفي نصا في الجواز في الحصرم، بلا إطلاق فيه موجب لطرحه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 هذا الوجه ما ورد في كيفية طبخ الزبيبي حتى يشرب حلالا </w:t>
      </w:r>
      <w:r>
        <w:rPr>
          <w:rStyle w:val="FootnoteAnchor"/>
          <w:rtl w:val="true"/>
        </w:rPr>
        <w:footnoteReference w:id="1405"/>
      </w:r>
      <w:r>
        <w:rPr>
          <w:rFonts w:ascii="Amiri" w:hAnsi="Amiri" w:eastAsia="Amiri" w:cs="Amiri"/>
          <w:color w:val="111111"/>
          <w:sz w:val="28"/>
          <w:sz w:val="28"/>
          <w:szCs w:val="28"/>
          <w:rtl w:val="true"/>
          <w:lang w:bidi="ar-SA"/>
        </w:rPr>
        <w:t xml:space="preserve">، و في كيفية طبخ العصير التمري </w:t>
      </w:r>
      <w:r>
        <w:rPr>
          <w:rStyle w:val="FootnoteAnchor"/>
          <w:rtl w:val="true"/>
        </w:rPr>
        <w:footnoteReference w:id="1406"/>
      </w:r>
      <w:r>
        <w:rPr>
          <w:rFonts w:ascii="Amiri" w:hAnsi="Amiri" w:eastAsia="Amiri" w:cs="Amiri"/>
          <w:color w:val="111111"/>
          <w:sz w:val="28"/>
          <w:sz w:val="28"/>
          <w:szCs w:val="28"/>
          <w:rtl w:val="true"/>
          <w:lang w:bidi="ar-SA"/>
        </w:rPr>
        <w:t xml:space="preserve">كذلك إذ الأول ضعيف سندا، مضافا إلى إعراض المشهور عنه، و هكذا الأخير، مضافا إلى ما ورد في التمري بتقييد الحرمة بالاسكار </w:t>
      </w:r>
      <w:r>
        <w:rPr>
          <w:rStyle w:val="FootnoteAnchor"/>
          <w:rtl w:val="true"/>
        </w:rPr>
        <w:footnoteReference w:id="1407"/>
      </w:r>
      <w:r>
        <w:rPr>
          <w:rFonts w:ascii="Amiri" w:hAnsi="Amiri" w:eastAsia="Amiri" w:cs="Amiri"/>
          <w:color w:val="111111"/>
          <w:sz w:val="28"/>
          <w:sz w:val="28"/>
          <w:szCs w:val="28"/>
          <w:rtl w:val="true"/>
          <w:lang w:bidi="ar-SA"/>
        </w:rPr>
        <w:t>، و مع الغض عن جميع ذلك فغاية ما يثبت في الثلاثة المعروفة أيضا الحرمة، و أما النجاسة فلا تكاد تتم، حتى في العنبي كما عرفت، فضلا عن غيره، و اللّٰه العالم</w:t>
      </w:r>
      <w:r>
        <w:rPr>
          <w:rFonts w:eastAsia="Amiri" w:cs="Amiri" w:ascii="Amiri" w:hAnsi="Amiri"/>
          <w:color w:val="111111"/>
          <w:sz w:val="28"/>
          <w:szCs w:val="28"/>
          <w:rtl w:val="true"/>
          <w:lang w:bidi="ar-SA"/>
        </w:rPr>
        <w:t>.</w:t>
      </w:r>
      <w:bookmarkStart w:id="442" w:name="pg19729_212884"/>
    </w:p>
    <w:p>
      <w:pPr>
        <w:pStyle w:val="BookText"/>
        <w:rPr/>
      </w:pPr>
      <w:bookmarkEnd w:id="442"/>
      <w:r>
        <w:rPr>
          <w:rFonts w:ascii="Amiri" w:hAnsi="Amiri" w:eastAsia="Amiri" w:cs="Amiri"/>
          <w:color w:val="111111"/>
          <w:sz w:val="28"/>
          <w:sz w:val="28"/>
          <w:szCs w:val="28"/>
          <w:rtl w:val="true"/>
          <w:lang w:bidi="ar-SA"/>
        </w:rPr>
        <w:t xml:space="preserve">ثم انّ ظاهر جعل العصير في الرواية قبال الحصرم الواقع في الطعام </w:t>
      </w:r>
      <w:r>
        <w:rPr>
          <w:rStyle w:val="FootnoteAnchor"/>
          <w:rtl w:val="true"/>
        </w:rPr>
        <w:footnoteReference w:id="1408"/>
      </w:r>
      <w:r>
        <w:rPr>
          <w:rFonts w:ascii="Amiri" w:hAnsi="Amiri" w:eastAsia="Amiri" w:cs="Amiri"/>
          <w:color w:val="111111"/>
          <w:sz w:val="28"/>
          <w:sz w:val="28"/>
          <w:szCs w:val="28"/>
          <w:rtl w:val="true"/>
          <w:lang w:bidi="ar-SA"/>
        </w:rPr>
        <w:t>، يوهم مغايرة العصير مع ما في الحصرم من المياه، غاية الأمر جعله بمنزلته في الحليّة و ذلك لا يقتضي التنزيل حتى في مورد الحرمة بالغليان كالعنبي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وجه للتعدّي عن حكم العصير إلى ما في حبّ العنب من المياه بعد الغليان، لو لا دعوى العرف إلغاء خصوصية العصيرية فيتعدّى إلى مطلق الخارج من الحب، أو نفس ما فيه و إن لم يخرج في فرض صدق الماء على المجتمع فيه و لو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صيرورة الغليان موجبا لصدق ماء العنب عليه، بل الأجزاء المائية بعد باقية على انتشارها في الأجزاء العنبية، على وجه تخرج عن صدق كونها ماء، فلا يكاد ذلك إلّا بعصره أو بخروجه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سلّم ذلك في العنب فلا نسلّم مثله في الزبيب، إذ الغالي فيه هي المياه المجذوبة من الخارج لا ماء نفسه، و لو كان لكان مضمحلا مع المياه المجذوبة الخارجية، نعم لو بنى على حرمة عصيرة الناشئ عن الخلط بالمياه الخارجة، لأمكن التعدّي منه إلى ما في الحبّ أيضا، و لكن الإشكال في حرمة عصيرة أيضا،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3251433_2314609296"/>
      <w:bookmarkStart w:id="444" w:name="_Toc169"/>
      <w:bookmarkEnd w:id="443"/>
      <w:r>
        <w:rPr>
          <w:rtl w:val="true"/>
        </w:rPr>
        <w:t>و العاشر</w:t>
      </w:r>
      <w:r>
        <w:rPr>
          <w:rtl w:val="true"/>
        </w:rPr>
        <w:t xml:space="preserve">: </w:t>
      </w:r>
      <w:r>
        <w:rPr>
          <w:rtl w:val="true"/>
        </w:rPr>
        <w:t>الفقّاع</w:t>
      </w:r>
      <w:bookmarkEnd w:id="4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و على حرمته و نجاسته رواية أبي جميلة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خمر مجهول، فإذا أصاب ثوبك فاغسله</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و ضعف سندها منجبر بالعمل، كما لا يخفى</w:t>
      </w:r>
      <w:r>
        <w:rPr>
          <w:rFonts w:eastAsia="Amiri" w:cs="Amiri" w:ascii="Amiri" w:hAnsi="Amiri"/>
          <w:color w:val="111111"/>
          <w:sz w:val="28"/>
          <w:szCs w:val="28"/>
          <w:rtl w:val="true"/>
          <w:lang w:bidi="ar-SA"/>
        </w:rPr>
        <w:t>.</w:t>
      </w:r>
      <w:bookmarkStart w:id="445" w:name="pg19729_212885"/>
    </w:p>
    <w:p>
      <w:pPr>
        <w:pStyle w:val="BookText"/>
        <w:rPr/>
      </w:pPr>
      <w:bookmarkEnd w:id="445"/>
      <w:r>
        <w:rPr>
          <w:rFonts w:ascii="Amiri" w:hAnsi="Amiri" w:eastAsia="Amiri" w:cs="Amiri"/>
          <w:color w:val="111111"/>
          <w:sz w:val="28"/>
          <w:sz w:val="28"/>
          <w:szCs w:val="28"/>
          <w:rtl w:val="true"/>
          <w:lang w:bidi="ar-SA"/>
        </w:rPr>
        <w:t xml:space="preserve">ثم انّ في بعض النصوص الأمر بغسل الثوب عن عرق الجلّال </w:t>
      </w:r>
      <w:r>
        <w:rPr>
          <w:rStyle w:val="FootnoteAnchor"/>
          <w:rtl w:val="true"/>
        </w:rPr>
        <w:footnoteReference w:id="1410"/>
      </w:r>
      <w:r>
        <w:rPr>
          <w:rFonts w:ascii="Amiri" w:hAnsi="Amiri" w:eastAsia="Amiri" w:cs="Amiri"/>
          <w:color w:val="111111"/>
          <w:sz w:val="28"/>
          <w:sz w:val="28"/>
          <w:szCs w:val="28"/>
          <w:rtl w:val="true"/>
          <w:lang w:bidi="ar-SA"/>
        </w:rPr>
        <w:t>، و الأصحاب ملتزمون بمضمونها في الإبل و لم يتعدّوا إلى غيره، مع كون الرواية مطلقة، و ذلك ربّما يوهن أمر الرواية سندا أيضا، لو لا دعوى كون فهمهم الإبل قرينة التخصيص و طرح الدلالة،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ورد في الحديد نص بالنجاسة </w:t>
      </w:r>
      <w:r>
        <w:rPr>
          <w:rStyle w:val="FootnoteAnchor"/>
          <w:rtl w:val="true"/>
        </w:rPr>
        <w:footnoteReference w:id="1411"/>
      </w:r>
      <w:r>
        <w:rPr>
          <w:rFonts w:ascii="Amiri" w:hAnsi="Amiri" w:eastAsia="Amiri" w:cs="Amiri"/>
          <w:color w:val="111111"/>
          <w:sz w:val="28"/>
          <w:sz w:val="28"/>
          <w:szCs w:val="28"/>
          <w:rtl w:val="true"/>
          <w:lang w:bidi="ar-SA"/>
        </w:rPr>
        <w:t xml:space="preserve">، و لكنه مطروح إجماعا و سيرة، كما أن ما ورد في ولد الزنا من كونه شرا و لا يطهر إلى سبعة آباء، و جعله في عداد اليهود و النصارى في كراهة سؤرهم أيضا </w:t>
      </w:r>
      <w:r>
        <w:rPr>
          <w:rStyle w:val="FootnoteAnchor"/>
          <w:rtl w:val="true"/>
        </w:rPr>
        <w:footnoteReference w:id="1412"/>
      </w:r>
      <w:r>
        <w:rPr>
          <w:rFonts w:ascii="Amiri" w:hAnsi="Amiri" w:eastAsia="Amiri" w:cs="Amiri"/>
          <w:color w:val="111111"/>
          <w:sz w:val="28"/>
          <w:sz w:val="28"/>
          <w:szCs w:val="28"/>
          <w:rtl w:val="true"/>
          <w:lang w:bidi="ar-SA"/>
        </w:rPr>
        <w:t xml:space="preserve">لا يصلح حجة في قبال ما ورد في إسلام المقر بالشهادتين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صغيرا ففي إلحاقه بأشرف الأبوين في المقام وجه، لشمول الإطلاق له، و اختصاص نفي الإلحاق بباب الإرث، و لذا لا يتعدّى إلى باب المناكحة جزما،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251435_2314609296"/>
      <w:bookmarkStart w:id="447" w:name="_Toc170"/>
      <w:bookmarkEnd w:id="446"/>
      <w:r>
        <w:rPr>
          <w:rtl w:val="true"/>
        </w:rPr>
        <w:t>أحكام النجاسات</w:t>
      </w:r>
      <w:bookmarkEnd w:id="44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إزالتها عن الثوب و البدن، و كذا ازالة ملاقيها المتنجس، مقدمة للصلاة مطلقا، بلا اشكال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من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الصلاة في الرجس</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 بضميمة ما دل على غسل الثوب مما</w:t>
      </w:r>
    </w:p>
    <w:p>
      <w:pPr>
        <w:pStyle w:val="BookText"/>
        <w:rPr/>
      </w:pPr>
      <w:r>
        <w:rPr>
          <w:rFonts w:ascii="Amiri" w:hAnsi="Amiri" w:eastAsia="Amiri" w:cs="Amiri"/>
          <w:color w:val="111111"/>
          <w:sz w:val="28"/>
          <w:sz w:val="28"/>
          <w:szCs w:val="28"/>
          <w:rtl w:val="true"/>
          <w:lang w:bidi="ar-SA"/>
        </w:rPr>
        <w:t xml:space="preserve">أصابه من المتنجسات، كما تقدّم في بعض نصوص ماء البئر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يعتبر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مورد النهي في لسان الأخبار </w:t>
      </w:r>
      <w:r>
        <w:rPr>
          <w:rStyle w:val="FootnoteAnchor"/>
          <w:rtl w:val="true"/>
        </w:rPr>
        <w:footnoteReference w:id="1416"/>
      </w:r>
      <w:r>
        <w:rPr>
          <w:rFonts w:ascii="Amiri" w:hAnsi="Amiri" w:eastAsia="Amiri" w:cs="Amiri"/>
          <w:color w:val="111111"/>
          <w:sz w:val="28"/>
          <w:sz w:val="28"/>
          <w:szCs w:val="28"/>
          <w:rtl w:val="true"/>
          <w:lang w:bidi="ar-SA"/>
        </w:rPr>
        <w:t>، و الظاهر اعتبار نحو تلبس به و لو بوضعه في المحل المعد له، كتقليد السيف و لبس الخاتم، أما شموله لمطلق المحمول ففيه اشكال، و الأصل هي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عذرة ما لا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في نص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على الإنسان أو معه فلا بأس أن يصلّى فيه</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لمثل المحمول، منظور فيه، إذ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عن المحمول، حاكم على كفاية مجرد المعيّة،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بالصلاة الطواف ندبا أو فريضة،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النواهي كون الطهارة شرطا، أو النجاسة مانعا واقعيا، من دون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لصورة نسيانها، فضلا عن صورة الجهل بها،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عمومه للطهارة الخبثية، فيصير مجملا باتصاله بالكلام، لو لا دعوى أن الطهارة غير الطهور، و هو منصرف عن المطهرات الخبثية،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أيضا منصرف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فيكفي في تخصيصه ما ورد من النصوص الخاصة على بطلان الصلاة بنسيان التطهير </w:t>
      </w:r>
      <w:r>
        <w:rPr>
          <w:rStyle w:val="FootnoteAnchor"/>
          <w:rtl w:val="true"/>
        </w:rPr>
        <w:footnoteReference w:id="1421"/>
      </w:r>
      <w:r>
        <w:rPr>
          <w:rFonts w:ascii="Amiri" w:hAnsi="Amiri" w:eastAsia="Amiri" w:cs="Amiri"/>
          <w:color w:val="111111"/>
          <w:sz w:val="28"/>
          <w:sz w:val="28"/>
          <w:szCs w:val="28"/>
          <w:rtl w:val="true"/>
          <w:lang w:bidi="ar-SA"/>
        </w:rPr>
        <w:t xml:space="preserve">، و في قبالها أيضا أخبار أخر مصرّحة بنفي الإعادة مطلقا </w:t>
      </w:r>
      <w:r>
        <w:rPr>
          <w:rStyle w:val="FootnoteAnchor"/>
          <w:rtl w:val="true"/>
        </w:rPr>
        <w:footnoteReference w:id="1422"/>
      </w:r>
      <w:r>
        <w:rPr>
          <w:rFonts w:ascii="Amiri" w:hAnsi="Amiri" w:eastAsia="Amiri" w:cs="Amiri"/>
          <w:color w:val="111111"/>
          <w:sz w:val="28"/>
          <w:sz w:val="28"/>
          <w:szCs w:val="28"/>
          <w:rtl w:val="true"/>
          <w:lang w:bidi="ar-SA"/>
        </w:rPr>
        <w:t xml:space="preserve">، أو مفصلة بين الوقت و خارجه، كما في المكاتبة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وجه الجمع بالحمل على مراتب استحباب الإعادة تحصيلا للمزية الفائتة، و اليه أيضا ذهب الشيخ في بعض تصنيفاته </w:t>
      </w:r>
      <w:r>
        <w:rPr>
          <w:rStyle w:val="FootnoteAnchor"/>
          <w:rtl w:val="true"/>
        </w:rPr>
        <w:footnoteReference w:id="1424"/>
      </w:r>
      <w:r>
        <w:rPr>
          <w:rFonts w:ascii="Amiri" w:hAnsi="Amiri" w:eastAsia="Amiri" w:cs="Amiri"/>
          <w:color w:val="111111"/>
          <w:sz w:val="28"/>
          <w:sz w:val="28"/>
          <w:szCs w:val="28"/>
          <w:rtl w:val="true"/>
          <w:lang w:bidi="ar-SA"/>
        </w:rPr>
        <w:t>، و سيجي‌ء من المصنف التفصيل بين الوقت و خارجه، لكن الأصحاب أعرضوا عن هذه الأخبار و أخذوا بنصوص البطلان مطلقا، و مثله موجب للوهن في سند الأخبار المعارضة أو في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وردت جملة من النصوص المعمول بها على معذورية الجهل بالنجاسة </w:t>
      </w:r>
      <w:r>
        <w:rPr>
          <w:rStyle w:val="FootnoteAnchor"/>
          <w:rtl w:val="true"/>
        </w:rPr>
        <w:footnoteReference w:id="1425"/>
      </w:r>
      <w:r>
        <w:rPr>
          <w:rFonts w:ascii="Amiri" w:hAnsi="Amiri" w:eastAsia="Amiri" w:cs="Amiri"/>
          <w:color w:val="111111"/>
          <w:sz w:val="28"/>
          <w:sz w:val="28"/>
          <w:szCs w:val="28"/>
          <w:rtl w:val="true"/>
          <w:lang w:bidi="ar-SA"/>
        </w:rPr>
        <w:t xml:space="preserve">على وجه لم يعلم به إلّا بعد العمل، و يكفيك مضمرة زرارة المعروفة في باب الاستصحاب </w:t>
      </w:r>
      <w:r>
        <w:rPr>
          <w:rStyle w:val="FootnoteAnchor"/>
          <w:rtl w:val="true"/>
        </w:rPr>
        <w:footnoteReference w:id="1426"/>
      </w:r>
      <w:r>
        <w:rPr>
          <w:rFonts w:ascii="Amiri" w:hAnsi="Amiri" w:eastAsia="Amiri" w:cs="Amiri"/>
          <w:color w:val="111111"/>
          <w:sz w:val="28"/>
          <w:sz w:val="28"/>
          <w:szCs w:val="28"/>
          <w:rtl w:val="true"/>
          <w:lang w:bidi="ar-SA"/>
        </w:rPr>
        <w:t>، مضافا إلى صحاح أخر، و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قبل النظر و الفحص، و بعده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مصيرهم إلى إطلاق المعذورية، خلافا لصاحب الجواهر العامل بالتفصيل المزبور </w:t>
      </w:r>
      <w:r>
        <w:rPr>
          <w:rStyle w:val="FootnoteAnchor"/>
          <w:rtl w:val="true"/>
        </w:rPr>
        <w:footnoteReference w:id="1428"/>
      </w:r>
      <w:r>
        <w:rPr>
          <w:rFonts w:ascii="Amiri" w:hAnsi="Amiri" w:eastAsia="Amiri" w:cs="Amiri"/>
          <w:color w:val="111111"/>
          <w:sz w:val="28"/>
          <w:sz w:val="28"/>
          <w:szCs w:val="28"/>
          <w:rtl w:val="true"/>
          <w:lang w:bidi="ar-SA"/>
        </w:rPr>
        <w:t>، و هو صحيح لو لا وهنه بإعراض الأصحاب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فضلات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pStyle w:val="BookText"/>
        <w:rPr/>
      </w:pP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العذر 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مأكوليته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فيكون غير المأكولية مثل النجاسة في هذا الحكم، لبعد التفكيك بين الجهتين في 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المقام بعض أحكام تتعلق بصور كشف الخلاف، و سيجي‌ء الكلام فيها في طي كلمات المصنف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فالحكم بمانعية النجاسة، أو شرطية الطهارة في بدن المصلّي و ثيابه ثابت في جميع الموارد، عدا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عن سعة الدرهم البغلي من الدم بلا اشكال،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بمقدار الدرهم فتغسله</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و في حسنة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يزد عن الدرهم</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و يمكن حمله على الدرهم فما زاد، و إلّا فيحمل مقدار الدرهم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المدار على اجتماعه فعلا، أو يكفي الاجتماع التقديري؟ وجهان مبنيان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مجتمعا قدر الدرهم</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خبر لكان أو حال لاسمه، فعلى الأول يصير المعنى ما لم يكن الدم مجتمعا فعلا قدر الدرهم فلا يجدي المتفرق، و على الثاني يكون المعنى ما لم يكن الدم حال اجتماعه قدره و إن كان متفرقا فعلا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فقد يرجح الأول لمرجوحية الفصل بين الاسم و الخبر بالحال، و لئن أغمض عن ذلك فالكلام يصير مجملا، و المرجع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للثاني، لأقلية تخصيصه،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دليل العفو، هو العفو من حيث نجاسة الدم ذاتا، فلو كانت فيه جهة أخرى، مثل كونه من أجزاء الميتة، فلا يشمله دليل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تعدّى الدم في المقدار المذكور إلى وراء الثوب، فإن صدق عليها انهما دم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الثياب الرقاق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فمعفو أيضا، و أما إن عدّا 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الثياب الغلاظ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بلوغ مجموعهما قدر الدرهم، و إلّا فليس بمعفو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بلوغ الدم المقدار المذكور فالأصل عدم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الحكم جار في غير الدماء الثلاثة عند المصنف و عدة من الأعاظم، خلافا لصاحب الحدائق حيث استشكل في دم الاستحاضة </w:t>
      </w:r>
      <w:r>
        <w:rPr>
          <w:rStyle w:val="FootnoteAnchor"/>
          <w:rtl w:val="true"/>
        </w:rPr>
        <w:footnoteReference w:id="1432"/>
      </w:r>
      <w:r>
        <w:rPr>
          <w:rFonts w:ascii="Amiri" w:hAnsi="Amiri" w:eastAsia="Amiri" w:cs="Amiri"/>
          <w:color w:val="111111"/>
          <w:sz w:val="28"/>
          <w:sz w:val="28"/>
          <w:szCs w:val="28"/>
          <w:rtl w:val="true"/>
          <w:lang w:bidi="ar-SA"/>
        </w:rPr>
        <w:t xml:space="preserve">، لأن نص الاستثناء وارد في الحيض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ليته استشكل في النفاس أيضا، بعد عدم تمامية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 محتبس</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و أمثاله في ثبوت الاشتراك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التشكيك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نص الاستثناء بالحيض، و التعدّي إلى غيره يحتاج إلى دليل متقن، و مجرد غلظتهما </w:t>
      </w:r>
      <w:r>
        <w:rPr>
          <w:rStyle w:val="FootnoteAnchor"/>
          <w:rtl w:val="true"/>
        </w:rPr>
        <w:footnoteReference w:id="1435"/>
      </w:r>
      <w:r>
        <w:rPr>
          <w:rFonts w:ascii="Amiri" w:hAnsi="Amiri" w:eastAsia="Amiri" w:cs="Amiri"/>
          <w:color w:val="111111"/>
          <w:sz w:val="28"/>
          <w:sz w:val="28"/>
          <w:szCs w:val="28"/>
          <w:rtl w:val="true"/>
          <w:lang w:bidi="ar-SA"/>
        </w:rPr>
        <w:t>في النجاسة على فرض التسليم لا يقتضي انصراف دليل العفو عنهما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يستشكل أيضا في استثناء دم نجس العين لو لا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تنجسه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قابلية النجاسة للاشتداد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مجد، بعد كون دم الإنسان</w:t>
      </w:r>
    </w:p>
    <w:p>
      <w:pPr>
        <w:pStyle w:val="BookText"/>
        <w:rPr/>
      </w:pPr>
      <w:r>
        <w:rPr>
          <w:rFonts w:ascii="Amiri" w:hAnsi="Amiri" w:eastAsia="Amiri" w:cs="Amiri"/>
          <w:color w:val="111111"/>
          <w:sz w:val="28"/>
          <w:sz w:val="28"/>
          <w:szCs w:val="28"/>
          <w:rtl w:val="true"/>
          <w:lang w:bidi="ar-SA"/>
        </w:rPr>
        <w:t>المبتلى به أيضا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مانعية كونه من أجزاء نجس العين زائدا عن كونه دما، فلا يعفى عنه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المقامات التي عفي عنه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القروح و الجروح مع السيلان و مشقة الإزالة، و وجهه اشتمال بعض النصوص على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السيلان</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يدمى</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و في بعض آخر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استطاعة ربطها و لا حبس دمها</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بعد تقييد إطلاق كل واحد من جهة بالمقيد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 أيضا ترفع اليد عن إطلاق خبر ليث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به الدماميل و القروح، فجلده و بنانه مملوءة دما و قيحا، و ثيابه بمنزلة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ثيابه، و لا شي‌ء عليه</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إذ ظاهره كفاية وجود القرح في نفي البأس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في المقام جمع آخر، بالأخذ بإطلاق هذه الرواية، و رفع اليد عن القيدين بالحمل على رجحان الاجتناب، خصوصا مع ما في ذيل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في كل يوم مرة، إذ لم يلتزم به المشهور، فحمله على الرجحان مؤيد الجمع الأخير، كما لا يخفى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استبعاد تنزيل الإطلاق على تعسّر تبديل الثياب، لكونه نادرا، نعم يشكل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أغسل ثوبي</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فلا محيص</w:t>
      </w:r>
    </w:p>
    <w:p>
      <w:pPr>
        <w:pStyle w:val="BookText"/>
        <w:rPr/>
      </w:pPr>
      <w:r>
        <w:rPr>
          <w:rFonts w:ascii="Amiri" w:hAnsi="Amiri" w:eastAsia="Amiri" w:cs="Amiri"/>
          <w:color w:val="111111"/>
          <w:sz w:val="28"/>
          <w:sz w:val="28"/>
          <w:szCs w:val="28"/>
          <w:rtl w:val="true"/>
          <w:lang w:bidi="ar-SA"/>
        </w:rPr>
        <w:t>عن أن يكون ترك الغسل لجهة راجحة مزاحمة،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بالتأمل في ترجيح أحد الجمعين على الآخر،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الدمّل يكون بالرجل فينفجر و هو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 و يمسح يده بالحائط أو بالأرض</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العفو عن الدم مطلقا و لو لم يكن المحل الواصل إليه متعديا، بل و لازمة العفو عن تنجس المحل و لو بعد زوال العين، و أما الأمر بإزالته فلعله لمحض رجحان تنظيف يده، لا لدخله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النصوص للقروح الباطنية الخارج دمها من الباطن كالبواسير اشكال، لانصراف الأدلة إلى المتعارف من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احتساب دم العذرة من الظاهر أشكل، و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عفي عن نجاسة ما لا تتم الصلاة فيه منفردا، كالتكة و الجورب و القلنسوة و أمثالها، من جهة صغرها، لا من جهة أخرى، لانصراف الدليل إلى الجهة المزبورة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ذلك ما في النص المشتمل على الثلاثة المذكورة </w:t>
      </w:r>
      <w:r>
        <w:rPr>
          <w:rStyle w:val="FootnoteAnchor"/>
          <w:rtl w:val="true"/>
        </w:rPr>
        <w:footnoteReference w:id="1442"/>
      </w:r>
      <w:r>
        <w:rPr>
          <w:rFonts w:ascii="Amiri" w:hAnsi="Amiri" w:eastAsia="Amiri" w:cs="Amiri"/>
          <w:color w:val="111111"/>
          <w:sz w:val="28"/>
          <w:sz w:val="28"/>
          <w:szCs w:val="28"/>
          <w:rtl w:val="true"/>
          <w:lang w:bidi="ar-SA"/>
        </w:rPr>
        <w:t xml:space="preserve">، و على غيرها في غيره </w:t>
      </w:r>
      <w:r>
        <w:rPr>
          <w:rStyle w:val="FootnoteAnchor"/>
          <w:rtl w:val="true"/>
        </w:rPr>
        <w:footnoteReference w:id="1443"/>
      </w:r>
      <w:r>
        <w:rPr>
          <w:rFonts w:ascii="Amiri" w:hAnsi="Amiri" w:eastAsia="Amiri" w:cs="Amiri"/>
          <w:color w:val="111111"/>
          <w:sz w:val="28"/>
          <w:sz w:val="28"/>
          <w:szCs w:val="28"/>
          <w:rtl w:val="true"/>
          <w:lang w:bidi="ar-SA"/>
        </w:rPr>
        <w:t xml:space="preserve">،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تتم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Style w:val="FootnoteAnchor"/>
          <w:rtl w:val="true"/>
        </w:rPr>
        <w:footnoteReference w:id="14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w:t>
      </w:r>
      <w:r>
        <w:rPr>
          <w:rStyle w:val="FootnoteAnchor"/>
          <w:rtl w:val="true"/>
        </w:rPr>
        <w:footnoteReference w:id="1445"/>
      </w:r>
      <w:r>
        <w:rPr>
          <w:rFonts w:ascii="Amiri" w:hAnsi="Amiri" w:eastAsia="Amiri" w:cs="Amiri"/>
          <w:color w:val="111111"/>
          <w:sz w:val="28"/>
          <w:sz w:val="28"/>
          <w:szCs w:val="28"/>
          <w:rtl w:val="true"/>
          <w:lang w:bidi="ar-SA"/>
        </w:rPr>
        <w:t>، و هذه الروايات بأجمعها منصرفة إلى عدم التمامية من جهة الصغر كما فهمه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ما كان من شأنه أن تتم، فلا يشمل مثل السيف و الخاتم، كما أنّ المنصرف من نفي البأس من حيث نجاسته، لأنه منصرف الى ما ارتكز في ذهن السائل، فلا يشمل جهة أخرى، من كونه مما لا يؤكل أو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تمامية الصلاة فيه لذاته، لا من جهة عارضة مثل اللف و نحوه كما في العمامة على وجه لا يتم فيها فعلا،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للمرأة المربية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لها إلّا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ثوبها في اليوم و الليل مرة واحدة، و الأصل في ذلك ما في رواية 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ليس لها إلّا قميص واحد، و لها مولود، فيبول عليها كيف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القميص في كل يوم مرة</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و ظاهر اللام كفاية مطلق اختصاص القميص بها و لو لمناسبة الحكم مع موضوعه في المقام، كما أنّ الولد لا يلزم أن يكون مولودها، بل يكفي كونه تحت تربيتها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انحصار ثوبها فعلا، و إن كانت تتمكن من عارية ثوب آخر بلا مشقة، كما أنّ الظاهر صورة عدم احتياجها إلى أزيد من ثوب واحد، و إلّا فيتعدى الحكم إلى الأزيد بمقدار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الرواية للصبيّة إشكال، كما أن شموله للمتعدد أشكل، و ظاهره اختصاص الحكم بالبول و بالثوب، و في إلحاق غيرهما اشكال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إطلاقها يقتضي الاكتفاء بالغسل في اليوم و الليل مرة قبل عبادتها أي وقت كان، و ظاهره شمول الحكم لغير الصلاة اليومية أيضا، إذ</w:t>
      </w:r>
    </w:p>
    <w:p>
      <w:pPr>
        <w:pStyle w:val="BookText"/>
        <w:rPr/>
      </w:pPr>
      <w:r>
        <w:rPr>
          <w:rFonts w:ascii="Amiri" w:hAnsi="Amiri" w:eastAsia="Amiri" w:cs="Amiri"/>
          <w:color w:val="111111"/>
          <w:sz w:val="28"/>
          <w:sz w:val="28"/>
          <w:szCs w:val="28"/>
          <w:rtl w:val="true"/>
          <w:lang w:bidi="ar-SA"/>
        </w:rPr>
        <w:t>ظاهرها بيان وظيفتها في تحصيل طهارتها بالنسبة إلى أعمالها المنوطة بالطهارة،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إزالة النجاسة مع علم موضعها، كما عرفت وجهه بلا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مع العلم به إجمالا غسل جميع الثوب، إذا كان كل نقطة منه طرفا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الثوب النجس بغيره مع الانحصار فيهما صلّى في كل واحد منهما مرة مقدمة لتحصيل الفراغ، و لو لم يتمكن من غسل الثوب صلّى عريانا إذا لم يجد غيره على الأشهر، بل المشهور، لموثقة سماعة المشتملة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عريانا</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في فرض عدم تمكنه من ثوب آخر، لظاهر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قبالها خبر علي بن جعفر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يجد ماء صلّى فيه و لم يصل عريانا</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و ظاهر ذيله تمكنه من الصلاة عريانا، فتأبى مثل هذه الرواية عن الحمل على صورة الاضطرار إلى الثوب لبرد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يجمع بين الروايتين بحمل الاولى على صورة الاختيار دون الثانية، بشهادة رواية الحلبي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إذا اضطر إليه</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مجال للجمع بينهما برفع اليد عن ظهور الأمر في كلتيهما في التعيين، إذ لا يتناسب مع النهي عن الصلاة عاريا، اللهم إلّا أن يحمل النهي على دفع توهم الإيجاب، حفظا للصلاة عن وقوعها في النجس،</w:t>
      </w:r>
    </w:p>
    <w:p>
      <w:pPr>
        <w:pStyle w:val="BookText"/>
        <w:rPr/>
      </w:pPr>
      <w:r>
        <w:rPr>
          <w:rFonts w:ascii="Amiri" w:hAnsi="Amiri" w:eastAsia="Amiri" w:cs="Amiri"/>
          <w:color w:val="111111"/>
          <w:sz w:val="28"/>
          <w:sz w:val="28"/>
          <w:szCs w:val="28"/>
          <w:rtl w:val="true"/>
          <w:lang w:bidi="ar-SA"/>
        </w:rPr>
        <w:t>و حينئذ فلا يستفاد من الرواية إلّا مجرد الأمر التعييني بالصلاة فيه، فيجمع بينهما برفع اليد عن تعيين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عما ذكرنا فلا محيص عن انتهاء الأمر إلى أخبار العلاج، و مقتضاه في مثل المقام التخيير في الأخذ بأي واحد منهما، لا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لا دعوى و هن الأخيرة بمصير الشهرة إلى الخلاف، فيتعين المصير إلى مذهب المصنف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الرواية الأولى وجوب كون الصلاة جالسا و موميا، و هو خلاف ظاهر إطلاق المصنف، و لعله من جهة التشبث بمطلقات الإيماء </w:t>
      </w:r>
      <w:r>
        <w:rPr>
          <w:rStyle w:val="FootnoteAnchor"/>
          <w:rtl w:val="true"/>
        </w:rPr>
        <w:footnoteReference w:id="1450"/>
      </w:r>
      <w:r>
        <w:rPr>
          <w:rFonts w:ascii="Amiri" w:hAnsi="Amiri" w:eastAsia="Amiri" w:cs="Amiri"/>
          <w:color w:val="111111"/>
          <w:sz w:val="28"/>
          <w:sz w:val="28"/>
          <w:szCs w:val="28"/>
          <w:rtl w:val="true"/>
          <w:lang w:bidi="ar-SA"/>
        </w:rPr>
        <w:t>الواردة في من لم يتمكن من الثوب أصلا، بناء على إجرائها في المقام، في ظرف ثبوت أهمية مانعية النجاسة عن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 مضافا إلى ما ورد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مطلقات القعود إيماء </w:t>
      </w:r>
      <w:r>
        <w:rPr>
          <w:rStyle w:val="FootnoteAnchor"/>
          <w:rtl w:val="true"/>
        </w:rPr>
        <w:footnoteReference w:id="1451"/>
      </w:r>
      <w:r>
        <w:rPr>
          <w:rFonts w:ascii="Amiri" w:hAnsi="Amiri" w:eastAsia="Amiri" w:cs="Amiri"/>
          <w:color w:val="111111"/>
          <w:sz w:val="28"/>
          <w:sz w:val="28"/>
          <w:szCs w:val="28"/>
          <w:rtl w:val="true"/>
          <w:lang w:bidi="ar-SA"/>
        </w:rPr>
        <w:t xml:space="preserve">، أو التفصيل بين وجود الناظر فيومئ جالسا، و عدمه فيومئ قائما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 الجميع ما تجوز الصلاة عاريا مختارا في الحفيرة </w:t>
      </w:r>
      <w:r>
        <w:rPr>
          <w:rStyle w:val="FootnoteAnchor"/>
          <w:rtl w:val="true"/>
        </w:rPr>
        <w:footnoteReference w:id="1453"/>
      </w:r>
      <w:r>
        <w:rPr>
          <w:rFonts w:ascii="Amiri" w:hAnsi="Amiri" w:eastAsia="Amiri" w:cs="Amiri"/>
          <w:color w:val="111111"/>
          <w:sz w:val="28"/>
          <w:sz w:val="28"/>
          <w:szCs w:val="28"/>
          <w:rtl w:val="true"/>
          <w:lang w:bidi="ar-SA"/>
        </w:rPr>
        <w:t>، و به أفتى جماعة، و هي كافية لتوثيق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تخصص مطلقات الإيماء من الطرفين، و مطلقات القعود باختصاصها بغير صورة الحفيرة، كما لا يخفى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تجي‌ء الإشارة إلى هذه المسألة أيضا في كتاب الصلاة، و يمكن حمل عبارة المصنف في المقام على مقام الإهمال من تلك</w:t>
      </w:r>
    </w:p>
    <w:p>
      <w:pPr>
        <w:pStyle w:val="BookText"/>
        <w:rPr/>
      </w:pPr>
      <w:r>
        <w:rPr>
          <w:rFonts w:ascii="Amiri" w:hAnsi="Amiri" w:eastAsia="Amiri" w:cs="Amiri"/>
          <w:color w:val="111111"/>
          <w:sz w:val="28"/>
          <w:sz w:val="28"/>
          <w:szCs w:val="28"/>
          <w:rtl w:val="true"/>
          <w:lang w:bidi="ar-SA"/>
        </w:rPr>
        <w:t>الجهة،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خاف البرد إلى آخر الوقت مع عدم تمكنه من مكان آخر صلّى فيه و لا إعادة، أما الصلاة في النجس مع خوف البرد فلقاعدة الاضطرار، الصالحة لرفع مانعية النجاسة، بقرينة تطبيق الامام إياه على الأجزاء و الشرائط المضطر إليها </w:t>
      </w:r>
      <w:r>
        <w:rPr>
          <w:rStyle w:val="FootnoteAnchor"/>
          <w:rtl w:val="true"/>
        </w:rPr>
        <w:footnoteReference w:id="1454"/>
      </w:r>
      <w:r>
        <w:rPr>
          <w:rFonts w:ascii="Amiri" w:hAnsi="Amiri" w:eastAsia="Amiri" w:cs="Amiri"/>
          <w:color w:val="111111"/>
          <w:sz w:val="28"/>
          <w:sz w:val="28"/>
          <w:szCs w:val="28"/>
          <w:rtl w:val="true"/>
          <w:lang w:bidi="ar-SA"/>
        </w:rPr>
        <w:t xml:space="preserve">، و عموم ما علمت، بضميمة تطبيق الامام إياه على المسلوس </w:t>
      </w:r>
      <w:r>
        <w:rPr>
          <w:rStyle w:val="FootnoteAnchor"/>
          <w:rtl w:val="true"/>
        </w:rPr>
        <w:footnoteReference w:id="1455"/>
      </w:r>
      <w:r>
        <w:rPr>
          <w:rFonts w:ascii="Amiri" w:hAnsi="Amiri" w:eastAsia="Amiri" w:cs="Amiri"/>
          <w:color w:val="111111"/>
          <w:sz w:val="28"/>
          <w:sz w:val="28"/>
          <w:szCs w:val="28"/>
          <w:rtl w:val="true"/>
          <w:lang w:bidi="ar-SA"/>
        </w:rPr>
        <w:t>، مضافا الى استفادة القاعدة الكلية من سقوط ما اضطر إلى تركه،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هذا و أشباهه من كتاب اللّٰه امسح على المرارة</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الشرائط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صحيحة الحلبي المقيّد فيها الصلاة عاريا بعدم الاضطرار </w:t>
      </w:r>
      <w:r>
        <w:rPr>
          <w:rStyle w:val="FootnoteAnchor"/>
          <w:rtl w:val="true"/>
        </w:rPr>
        <w:footnoteReference w:id="1457"/>
      </w:r>
      <w:r>
        <w:rPr>
          <w:rFonts w:ascii="Amiri" w:hAnsi="Amiri" w:eastAsia="Amiri" w:cs="Amiri"/>
          <w:color w:val="111111"/>
          <w:sz w:val="28"/>
          <w:sz w:val="28"/>
          <w:szCs w:val="28"/>
          <w:rtl w:val="true"/>
          <w:lang w:bidi="ar-SA"/>
        </w:rPr>
        <w:t>، ثم في اقتضائه الأجزاء عن القضاء كلام سيأتي في بحث الصلاة في الحرير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في النجس مع العلم أعاد في الوقت و خارجه، بلا اشكال نصا </w:t>
      </w:r>
      <w:r>
        <w:rPr>
          <w:rStyle w:val="FootnoteAnchor"/>
          <w:rtl w:val="true"/>
        </w:rPr>
        <w:footnoteReference w:id="1458"/>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 حالة الصلاة من حين شروعه إلى ختمها أعاد لو التفت في الوقت لا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لمكاتبة ابن مهزيار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 ما صلّى مع نجاسة كفه نسيانا، تلك الصلوات التي بقي وقتهن، و أما ما فات وقتها فلا اعادة</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و لو لا اعراض المشهور عنها لكانت شاهدة جمع</w:t>
      </w:r>
    </w:p>
    <w:p>
      <w:pPr>
        <w:pStyle w:val="BookText"/>
        <w:rPr/>
      </w:pPr>
      <w:r>
        <w:rPr>
          <w:rFonts w:ascii="Amiri" w:hAnsi="Amiri" w:eastAsia="Amiri" w:cs="Amiri"/>
          <w:color w:val="111111"/>
          <w:sz w:val="28"/>
          <w:sz w:val="28"/>
          <w:szCs w:val="28"/>
          <w:rtl w:val="true"/>
          <w:lang w:bidi="ar-SA"/>
        </w:rPr>
        <w:t xml:space="preserve">بين المطلقات، الآمرة بالإعادة </w:t>
      </w:r>
      <w:r>
        <w:rPr>
          <w:rStyle w:val="FootnoteAnchor"/>
          <w:rtl w:val="true"/>
        </w:rPr>
        <w:footnoteReference w:id="1460"/>
      </w:r>
      <w:r>
        <w:rPr>
          <w:rFonts w:ascii="Amiri" w:hAnsi="Amiri" w:eastAsia="Amiri" w:cs="Amiri"/>
          <w:color w:val="111111"/>
          <w:sz w:val="28"/>
          <w:sz w:val="28"/>
          <w:szCs w:val="28"/>
          <w:rtl w:val="true"/>
          <w:lang w:bidi="ar-SA"/>
        </w:rPr>
        <w:t xml:space="preserve">، و الآمرة بعدمها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تقدّم منا جمع آخر، من الحمل على مراتب الاستحباب، لتحصيل المزية الفائتة، و يؤيده عدم قابلية تقييد رواية علي بن جعفر، المصرّحة بالقضاء عند تذكرة في الغد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اعراض المشهور عن الأخيرين موهن لسندهما، فيتعين المصير إلى ما عليه المشهور، من القضاء في الوقت و خارجه، و إليه ذهب أستاذنا العلّامة أيضا في تكملته،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يتقدّم العلم حتى فرغ فلا اعادة مطلقا، كما هو ظاهر المصنف، و قد أشرنا إلى وجهه في طي مسألة وجوب إزالة النجاسة،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الكلام في صورة انكشاف النجاسة في أثناء الصلاة، فإن كان دخوله عن نسيان، فمقتضى إطلاق مانعية النجاسة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الطهارة الخبثية، كما هو المتراءى من ظاهر الأصحاب، إذ لم يكن لتطبيقه على المقام في كلماتهم أثر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البطلان، الموجب للزوم الاستئناف، بل في بعض الأخبار التصريح بالإعادة في خصوص المورد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توهم صحيحة علي بن جعفر </w:t>
      </w:r>
      <w:r>
        <w:rPr>
          <w:rStyle w:val="FootnoteAnchor"/>
          <w:rtl w:val="true"/>
        </w:rPr>
        <w:footnoteReference w:id="1464"/>
      </w:r>
      <w:r>
        <w:rPr>
          <w:rFonts w:ascii="Amiri" w:hAnsi="Amiri" w:eastAsia="Amiri" w:cs="Amiri"/>
          <w:color w:val="111111"/>
          <w:sz w:val="28"/>
          <w:sz w:val="28"/>
          <w:szCs w:val="28"/>
          <w:rtl w:val="true"/>
          <w:lang w:bidi="ar-SA"/>
        </w:rPr>
        <w:t>جواز المضي مع الدخول نسيانا، و لكنه موهون بمصير المشهور إلى خلافها، مضافا إلى أصرحية تلك</w:t>
      </w:r>
    </w:p>
    <w:p>
      <w:pPr>
        <w:pStyle w:val="BookText"/>
        <w:rPr/>
      </w:pPr>
      <w:r>
        <w:rPr>
          <w:rFonts w:ascii="Amiri" w:hAnsi="Amiri" w:eastAsia="Amiri" w:cs="Amiri"/>
          <w:color w:val="111111"/>
          <w:sz w:val="28"/>
          <w:sz w:val="28"/>
          <w:szCs w:val="28"/>
          <w:rtl w:val="true"/>
          <w:lang w:bidi="ar-SA"/>
        </w:rPr>
        <w:t>الأخبار من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أيضا مقام الحمل على استحباب الإعادة كالمسألة السابقة، لما سيأتي وجهه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دخوله عن جهل بالموضوع، ففيه طوائف من الأخبار، فبين ما دل على لزوم الاستئناف مطلقا </w:t>
      </w:r>
      <w:r>
        <w:rPr>
          <w:rStyle w:val="FootnoteAnchor"/>
          <w:rtl w:val="true"/>
        </w:rPr>
        <w:footnoteReference w:id="1465"/>
      </w:r>
      <w:r>
        <w:rPr>
          <w:rFonts w:ascii="Amiri" w:hAnsi="Amiri" w:eastAsia="Amiri" w:cs="Amiri"/>
          <w:color w:val="111111"/>
          <w:sz w:val="28"/>
          <w:sz w:val="28"/>
          <w:szCs w:val="28"/>
          <w:rtl w:val="true"/>
          <w:lang w:bidi="ar-SA"/>
        </w:rPr>
        <w:t xml:space="preserve">، و ما دل على المضي و الإتمام مطلقا </w:t>
      </w:r>
      <w:r>
        <w:rPr>
          <w:rStyle w:val="FootnoteAnchor"/>
          <w:rtl w:val="true"/>
        </w:rPr>
        <w:footnoteReference w:id="1466"/>
      </w:r>
      <w:r>
        <w:rPr>
          <w:rFonts w:ascii="Amiri" w:hAnsi="Amiri" w:eastAsia="Amiri" w:cs="Amiri"/>
          <w:color w:val="111111"/>
          <w:sz w:val="28"/>
          <w:sz w:val="28"/>
          <w:szCs w:val="28"/>
          <w:rtl w:val="true"/>
          <w:lang w:bidi="ar-SA"/>
        </w:rPr>
        <w:t>، 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الثوب النجس إن كان معه ثوب آخر و إتمام الصلاة، و إن لم يكن غيره فليمض في صلاته و لا اعادة عليه، ما لم يزد على مقدار الدرهم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اخرى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يزد</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بزيادة كلمة واو، و عليه فالرواية دالة على عدم الإعادة في صورة عدم إمكان طرح الثوب، بل و ظاهره تقديم الستر على مانعية النجاسة في المقام، على خلاف ما دل على الصلاة عاريا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فربما يوهن ما في النسخة الثانية بالأخبار السابقة الجارية في المقام بفحواها، و لا أقل من اختلال المتن، فلا يستفاد من الرواية إلّا وجوب طرح الثوب و الإتمام مع التمكن منه، و في غير صورة التمكن فالرواية ساقطة عن الحجية، و تكون بحكم المجمل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فربما يتوافق صدر الرواية مع أخبار المضي، غاية الأمر بزيادة طرح الثوب مع التمكن الملحق به غسله بلا فعل كثير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ذلك</w:t>
      </w:r>
    </w:p>
    <w:p>
      <w:pPr>
        <w:pStyle w:val="BookText"/>
        <w:rPr/>
      </w:pPr>
      <w:r>
        <w:rPr>
          <w:rFonts w:ascii="Amiri" w:hAnsi="Amiri" w:eastAsia="Amiri" w:cs="Amiri"/>
          <w:color w:val="111111"/>
          <w:sz w:val="28"/>
          <w:sz w:val="28"/>
          <w:szCs w:val="28"/>
          <w:rtl w:val="true"/>
          <w:lang w:bidi="ar-SA"/>
        </w:rPr>
        <w:t>تقيّد مطلقات الاستئناف، كما أنه تقيّد أيضا مطلقات المضي بوجوب طرح الثوب مع تمكنه من غيره، بل هو مقتضى مانعية النجاسة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تصلح شاهدة جمع بين طائفتي المضي و الاستئناف، بحمل ما دل على المضي على مضيه بشرط طرح الثوب مع التمكن، و ما دل على الاستئناف على استئنافها مع عدم طرح الثوب حتى و لو لم يتمكن من ذلك، على إجمال ذيل الرواية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عن مثل هذا الجمع المستند إلى هذه الرواية، فلا شبهة في أن بين مطلقات المضي و الاستئناف تباينا، لصراحة كل طائفة بالنسبة إلى الأخرى من جهة، لأنّ الأمر بالمضي يقتضي حرمة القطع، و دليل الاستئناف أصرح منها من تلك الجهة، كما أنها من جهة دلالتها على عدم وجوب الإعادة أصرح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النكتة قلنا بأنه لا يكون المقام مقام الجمع بين الطائفتين، بحمل الأمر في أحدهما على الاستحباب، كما صنعناه في غير المورد، فلا جرم ينتهي الأمر إلى الترجيح، و هو مع أخبار الاستئناف، لمعاضدتها لعمومات مانعية النجاسة في الصلاة واقعا، و بعد ذلك تخصص أيضا أخبار الاستئناف برواية طرح الثوب مع التمكن من التبديل أو الغسل بلا محذور، فتكون النتيجة على وفق ما ذكرناه آنفا بالتقريب السابق، و هذا أيضا مذهب المشهور المنصور، و اللّٰه العالم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تطهّر الشمس ما تجفّفه من البول و غيره على الأرض و الأبنية على المشهور، خلافا للمحكي عن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الجامع العباسي التصريح بالمطهرية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ذلك ما في الصحيح عن البول يكون على السطح أو في مكان يصلّى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 و على وفق مضمونه أخبار أخر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قبالها نص آخر مشتمل ذيله أيضا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تطهّر من غير ماء</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و هو مستند النافين، و حمله على بيان أعلى مراتب التطهير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الدالة على مطهرية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و حينئذ فلا وجه لتخصيص الحكم المذكور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تخصيصه بالأبنية و الأرض وجه، و ربما يتعدّى إلى كل ما هو محسوب من توابعها من الأخشاب و الأبوال و أمثالها، بل و يمكن التعدّي إلى كل موضع يصلح للصلاة فيه و لو كان خشبا من سرير و أمثاله، 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يصلّى فيه في الصحيحة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 فلا قصور في شمول الرواية لمثل المراكب و الفلك و السفن، لصدق المكان المزبور عليها، بل و لا قصور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كالأبنية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الأكواخ العربية على اشكال، و محل المساجد المنصوبة في الأعتاب المقدّسة المعمولة من الخشب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عنها إلى غيرها حتى في الحصر و البواري نظر، من عدم شمول الأخبار السابقة، فالمرجع أصالة عدم التطهير، و من النص الموهم دلالته على التطهير، حيث اشتمل على جواز الصلاة على البواري</w:t>
      </w:r>
    </w:p>
    <w:p>
      <w:pPr>
        <w:pStyle w:val="BookText"/>
        <w:rPr/>
      </w:pPr>
      <w:r>
        <w:rPr>
          <w:rFonts w:ascii="IRNazanin" w:hAnsi="IRNazanin" w:eastAsia="IRNazanin"/>
          <w:color w:val="111111"/>
          <w:sz w:val="28"/>
          <w:sz w:val="28"/>
          <w:szCs w:val="28"/>
          <w:rtl w:val="true"/>
          <w:lang w:bidi="fa-IR"/>
        </w:rPr>
        <w:t xml:space="preserve">إذا جففت من البول بلا غسل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يقتضي مطهّرية التجفيف بلا شمس أيضا، و لم يلتزموا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إطلاقه بصورة تجفيف الشمس ليس بأولى من تقييد الصلاة عليها بغير السجدة، و بعد ذلك يسقط الخبر عن الدلالة على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كون التجفيف باشراقها بلا دخل شي‌ء آخر فيه، و في كفاية الإشراق بتوسيط الأجسام الصقيلة نظر، كما انّ تطهير الباطن بالإشراق على الظاهر نظر، إلّا مع صدق تجفيف الباطن أيضا بالإشراق المزبور، نعم لو تجفف طرف الجدار بمجاورته للطرف الآخر المشرقة عليها الشمس، ففي تطهيره بذلك اشكال، من جهة انصراف التجفيف بالشمس عن مثل ذلك، و لا يقاس ذلك بالباطن، فإنه محسوب من توابع الظاهر، لا كونه أجنبيا عنه،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تطهّر الأرض باطن الخف بلا اشكال نصا </w:t>
      </w:r>
      <w:r>
        <w:rPr>
          <w:rStyle w:val="FootnoteAnchor"/>
          <w:rtl w:val="true"/>
        </w:rPr>
        <w:footnoteReference w:id="1477"/>
      </w:r>
      <w:r>
        <w:rPr>
          <w:rFonts w:ascii="Amiri" w:hAnsi="Amiri" w:eastAsia="Amiri" w:cs="Amiri"/>
          <w:color w:val="111111"/>
          <w:sz w:val="28"/>
          <w:sz w:val="28"/>
          <w:szCs w:val="28"/>
          <w:rtl w:val="true"/>
          <w:lang w:bidi="ar-SA"/>
        </w:rPr>
        <w:t>و فتوى في الجملة، و الأصل في ذلك ما في الأخبار المستفيضة، المشتملة بعضها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وطأ عذرة فساخت رجله فيها، أ ينقض ذلك وضوءه؟ و هل عليه غسلها؟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يغسلها إلّا أن يقذرها، و لكنه يمسحها حتى يذهب أثرها و يصلّي</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التعبير بالوطء، بدل المسح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الخف بها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المدار على صدق الأرض، فالمنقولات الخارجة عن صدق عنوان الأرض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اتصالها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الحكم المذكور بالنعل، للإطلاق، و لاشتمال بعض الروايات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عليه حافيا</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ملازمة وقوع الرجل في العذرة لتلوث بعض أطرافها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تخصيص الحكم بالباطن محضا، بل يشمل أطرافها القريبة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إلى كعب الرمح أو خشبة الأقطع، بل إلى اليد إذا كان يمشي عليها، اشكال، نظير الإشكال في كعب القبقاب المصنوع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مسمّى الوضع، بلا احتياج إلى المسح، و أن التعبير به في الروايات كان لأجل إذهاب العين و الأثر به بالمقدار المتعارف ذهابه، لا مثل ذهابه بالماء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المكان بالنظيف يقتضي اعتبار طهارة الأرض في التطهير بها، بل هو المغروس في الأذهان، فلا مجال للتمسك بإطلاق سائر الروايات، حتى و لو فرضنا عدم فهم وحدة المطلوب، و لم نقل بمفهوم الوصف، و إلّا فعلى فرض إحراز وحدة المطلوب، أو استفادة المفهوم من القيد، فالأمر أوضح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اقتصار الأصحاب على عنوان الأرض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تعديهم</w:t>
      </w:r>
    </w:p>
    <w:p>
      <w:pPr>
        <w:pStyle w:val="BookText"/>
        <w:rPr/>
      </w:pPr>
      <w:r>
        <w:rPr>
          <w:rFonts w:ascii="Amiri" w:hAnsi="Amiri" w:eastAsia="Amiri" w:cs="Amiri"/>
          <w:color w:val="111111"/>
          <w:sz w:val="28"/>
          <w:sz w:val="28"/>
          <w:szCs w:val="28"/>
          <w:rtl w:val="true"/>
          <w:lang w:bidi="ar-SA"/>
        </w:rPr>
        <w:t>إلى ما لا يسمّى أرضا، و إن كان يعد من توابعها، مثل الأشجار و النباتات المتصلة بها لا المنفصلة المنقولة الخارجة عن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يظهر منهم في باب التطهير بالشمس، التعدّي إلى كل ما يعد من توابع الأرض من الأشجار المتصلة بها و غيرها، مع أنّ لسان الدليل في البابين واحد، و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وجه التفرقة في المقامين؟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انّ المستفاد من السطح أو المكان الذي يصلّى فيه هناك، معنى أعم من عنوان الأرضية أو المكان المطلق، مضافا إلى قيام السيرة على التعدّي هناك دون المقام، فالأرض فيما نحن فيه ما يجوز التيمم به، نظرا لمناسبة هذا المعنى مع المطهرية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نجس الإناء وجب غسله، فيغسل من ولوغ الكلب ثلاثا أولاهنّ بالتراب على المشهور، خلافا لصاحب المدارك، المكتفي بغسلة واحدة </w:t>
      </w:r>
      <w:r>
        <w:rPr>
          <w:rStyle w:val="FootnoteAnchor"/>
          <w:rtl w:val="true"/>
        </w:rPr>
        <w:footnoteReference w:id="1482"/>
      </w:r>
      <w:r>
        <w:rPr>
          <w:rFonts w:ascii="Amiri" w:hAnsi="Amiri" w:eastAsia="Amiri" w:cs="Amiri"/>
          <w:color w:val="111111"/>
          <w:sz w:val="28"/>
          <w:sz w:val="28"/>
          <w:szCs w:val="28"/>
          <w:rtl w:val="true"/>
          <w:lang w:bidi="ar-SA"/>
        </w:rPr>
        <w:t xml:space="preserve">، و للإسكافي القائل بالسبع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 المشهور النص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 أول مرة، ثم بالماء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عن المعتبر </w:t>
      </w:r>
      <w:r>
        <w:rPr>
          <w:rStyle w:val="FootnoteAnchor"/>
          <w:rtl w:val="true"/>
        </w:rPr>
        <w:footnoteReference w:id="1484"/>
      </w:r>
      <w:r>
        <w:rPr>
          <w:rFonts w:ascii="IRNazanin" w:hAnsi="IRNazanin" w:eastAsia="IRNazanin"/>
          <w:color w:val="111111"/>
          <w:sz w:val="28"/>
          <w:sz w:val="28"/>
          <w:szCs w:val="28"/>
          <w:rtl w:val="true"/>
          <w:lang w:bidi="fa-IR"/>
        </w:rPr>
        <w:t xml:space="preserve">و المنتهى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الخبر بلا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ذهب إلى كفاية المرة، كما أن نظر الإسكافي إلى إهمال الدليل، و احتمال اشتراك الكلب</w:t>
      </w:r>
    </w:p>
    <w:p>
      <w:pPr>
        <w:pStyle w:val="BookText"/>
        <w:rPr/>
      </w:pPr>
      <w:r>
        <w:rPr>
          <w:rFonts w:ascii="Amiri" w:hAnsi="Amiri" w:eastAsia="Amiri" w:cs="Amiri"/>
          <w:color w:val="111111"/>
          <w:sz w:val="28"/>
          <w:sz w:val="28"/>
          <w:szCs w:val="28"/>
          <w:rtl w:val="true"/>
          <w:lang w:bidi="ar-SA"/>
        </w:rPr>
        <w:t xml:space="preserve">مع الخنزير فذهب إلى السبع، و نظر المشهور إلى تقوية نقل المعتبر، مؤيدا برواية عامية </w:t>
      </w:r>
      <w:r>
        <w:rPr>
          <w:rStyle w:val="FootnoteAnchor"/>
          <w:rtl w:val="true"/>
        </w:rPr>
        <w:footnoteReference w:id="1486"/>
      </w:r>
      <w:r>
        <w:rPr>
          <w:rFonts w:ascii="Amiri" w:hAnsi="Amiri" w:eastAsia="Amiri" w:cs="Amiri"/>
          <w:color w:val="111111"/>
          <w:sz w:val="28"/>
          <w:sz w:val="28"/>
          <w:szCs w:val="28"/>
          <w:rtl w:val="true"/>
          <w:lang w:bidi="ar-SA"/>
        </w:rPr>
        <w:t xml:space="preserve">و بالرضوي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جبر العامي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هو أيضا محل اشكال، لعدم معلومية استنادهم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المياه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المصير إلى مذهب صاحب المدارك و إن كان الأصل مع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الغسل بالتراب هو دلكه به، لا كغسل الميت بماء السدر، لمناسبة دخله في إزالة عين النجاسة الآتية من قبل لعاب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مورد الرواية فضل الكلب و لو لم يكن ولوغا، و في التعدّي إلى مطلق ما يصل إليه لعاب فمه اشكال، كالإشكال في مطلق ملاقاة أعضائه للإناء و إن لم يكن لعاب، لعدم الجزم بالمناط، فيقتصر في غير مورد النص على مقتضى القواعد،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تعدد الولوغ هل يتعدد التعفير؟ وجهان مبنيان على اقتضاء النجاسة على النجاسة، اشتدادا أم لا، فمع عدم قابلية النجاسة المتحدة سنخا بحسب الارتكاز للاشتداد ربما يكتفي بالمرة، و ترفع اليد في مثله عن قاعدة عدم تداخل الأسباب، كما هو الشأن في الأحداث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مورد الاشتداد أيضا لا يقتضي إلّا ما هو من لوازم اشتداده بلا اقتضائه تكرار ما تقتضيه طبيعة النجاسة، فالمتنجس بالدم إذا أصابه بول فلا يقتضي إلّا الغسل مرتين، و هذا المتنجس إذا صار ولوغا للكلب فلا يقتضي إلّا زيادة التعفير، و إذا صار ولوغا للخنزير فلا يقتضي إلّا</w:t>
      </w:r>
    </w:p>
    <w:p>
      <w:pPr>
        <w:pStyle w:val="BookText"/>
        <w:rPr/>
      </w:pP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بحده حكما خاصا، فإذا ترقى من حدها إلى مرتبة اخرى فلا يقتضي إلّا ما هو من لوازم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جهة الانغراس في الأذهان، بأنّ كل نجاسة تقتضي نحوا من التطهير الذي هو من لوازم حدها، فمع الانتقال إلى حد آخر ينتقل تطهيرها إلى نحو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يغسل من الخنزير سبعا على المشهور بلا تعفير، و يدل عليه النص الصحيح </w:t>
      </w:r>
      <w:r>
        <w:rPr>
          <w:rStyle w:val="FootnoteAnchor"/>
          <w:rtl w:val="true"/>
        </w:rPr>
        <w:footnoteReference w:id="1488"/>
      </w:r>
      <w:r>
        <w:rPr>
          <w:rFonts w:ascii="Amiri" w:hAnsi="Amiri" w:eastAsia="Amiri" w:cs="Amiri"/>
          <w:color w:val="111111"/>
          <w:sz w:val="28"/>
          <w:sz w:val="28"/>
          <w:szCs w:val="28"/>
          <w:rtl w:val="true"/>
          <w:lang w:bidi="ar-SA"/>
        </w:rPr>
        <w:t>، و به تقيّد المطلقات، حتى في الغسل بالمياه العاصمة، فضلا عن غيرها، و إطلاقه ينفي التعفير أيضا فيقتصر على سبع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الخمر و الفأرة ثلاثا و السبع أفضل، بلا تعفير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الخمر واضح، للنص </w:t>
      </w:r>
      <w:r>
        <w:rPr>
          <w:rStyle w:val="FootnoteAnchor"/>
          <w:rtl w:val="true"/>
        </w:rPr>
        <w:footnoteReference w:id="1489"/>
      </w:r>
      <w:r>
        <w:rPr>
          <w:rFonts w:ascii="Amiri" w:hAnsi="Amiri" w:eastAsia="Amiri" w:cs="Amiri"/>
          <w:color w:val="111111"/>
          <w:sz w:val="28"/>
          <w:sz w:val="28"/>
          <w:szCs w:val="28"/>
          <w:rtl w:val="true"/>
          <w:lang w:bidi="ar-SA"/>
        </w:rPr>
        <w:t xml:space="preserve">المصرّح بالثلاثة، الصالح لرفع اليد به عن نص السبع </w:t>
      </w:r>
      <w:r>
        <w:rPr>
          <w:rStyle w:val="FootnoteAnchor"/>
          <w:rtl w:val="true"/>
        </w:rPr>
        <w:footnoteReference w:id="1490"/>
      </w:r>
      <w:r>
        <w:rPr>
          <w:rFonts w:ascii="Amiri" w:hAnsi="Amiri" w:eastAsia="Amiri" w:cs="Amiri"/>
          <w:color w:val="111111"/>
          <w:sz w:val="28"/>
          <w:sz w:val="28"/>
          <w:szCs w:val="28"/>
          <w:rtl w:val="true"/>
          <w:lang w:bidi="ar-SA"/>
        </w:rPr>
        <w:t>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الفأرة لا يخلو إطلاق الثلاث عن اشكال، بل غاية ما في الباب الخبر الوارد في الإناء يغسل ثلاثا عن مطلق النجاسات </w:t>
      </w:r>
      <w:r>
        <w:rPr>
          <w:rStyle w:val="FootnoteAnchor"/>
          <w:rtl w:val="true"/>
        </w:rPr>
        <w:footnoteReference w:id="1491"/>
      </w:r>
      <w:r>
        <w:rPr>
          <w:rFonts w:ascii="Amiri" w:hAnsi="Amiri" w:eastAsia="Amiri" w:cs="Amiri"/>
          <w:color w:val="111111"/>
          <w:sz w:val="28"/>
          <w:sz w:val="28"/>
          <w:szCs w:val="28"/>
          <w:rtl w:val="true"/>
          <w:lang w:bidi="ar-SA"/>
        </w:rPr>
        <w:t>، مضافا إلى اختصاصه بالمياه القليلة، فتبقى المياه العاصمة على إطلاقاتها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خصوص الجرذ ورد النص بالسبع </w:t>
      </w:r>
      <w:r>
        <w:rPr>
          <w:rStyle w:val="FootnoteAnchor"/>
          <w:rtl w:val="true"/>
        </w:rPr>
        <w:footnoteReference w:id="1492"/>
      </w:r>
      <w:r>
        <w:rPr>
          <w:rFonts w:ascii="Amiri" w:hAnsi="Amiri" w:eastAsia="Amiri" w:cs="Amiri"/>
          <w:color w:val="111111"/>
          <w:sz w:val="28"/>
          <w:sz w:val="28"/>
          <w:szCs w:val="28"/>
          <w:rtl w:val="true"/>
          <w:lang w:bidi="ar-SA"/>
        </w:rPr>
        <w:t>، فيؤخذ به فيها حتى في العاصمة، و لا يتعدّى إلى مطلق الفأرة،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أيضا ظهر ما في كلام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ذلك مرة و الثلاث أفضل، إذ قد عرفت أن رواية الثلاث في الآنية واردة في مطلق النجاسة، و لا قصور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اختصاص ذلك بالمياه القليلة، أما العاصمة فمقتضى الإطلاقات الاكتفاء بالمرة، من غير فرق بين الفأرة و غيرها، عدا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تنجس الإناء بالبول، فمقتضى إطلاق خبر الثلاث الاكتفاء به، لعدم احتمال الأزيد منه حينئذ و لو للإطلاق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الماء الجاري فإطلاق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جاريا فمرة</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الاجتزاء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الجاري، فبعد الجزم بأنّ الإناء ليس أضعف من غيره، فلا يبقى مجال للأخذ بمطلقات التطهير فيها و الاكتفاء بالمرة، بل لا بد من الأخذ بفحوى المرتين في الإناء أيضا و إن كان مورده غير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الفحوى المذكورة هو عدم أضعفية الإناء من غيره، و أما كونه مساويا له فلا، فمن المحتمل اجراء حكم القليل عليه، فتستصحب النجاسة حتى تكتمل ثلاث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فيشكل الاكتفاء بالمرة في الجاري أيضا، بل الاستصحاب يقتضي اعتبار الثلاث في الإناء من البول حتى في الجاري، فضلا عن غيره، و اللّٰه العالم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حكم الإناء، و أما غيره، فإن كان من بول، فبعد الجزم بإلغاء الخصوصية عن الثياب التي هي مورد النص </w:t>
      </w:r>
      <w:r>
        <w:rPr>
          <w:rStyle w:val="FootnoteAnchor"/>
          <w:rtl w:val="true"/>
        </w:rPr>
        <w:footnoteReference w:id="1494"/>
      </w:r>
      <w:r>
        <w:rPr>
          <w:rFonts w:ascii="Amiri" w:hAnsi="Amiri" w:eastAsia="Amiri" w:cs="Amiri"/>
          <w:color w:val="111111"/>
          <w:sz w:val="28"/>
          <w:sz w:val="28"/>
          <w:szCs w:val="28"/>
          <w:rtl w:val="true"/>
          <w:lang w:bidi="ar-SA"/>
        </w:rPr>
        <w:t>، فإن كان في الجاري</w:t>
      </w:r>
    </w:p>
    <w:p>
      <w:pPr>
        <w:pStyle w:val="BookText"/>
        <w:rPr/>
      </w:pPr>
      <w:r>
        <w:rPr>
          <w:rFonts w:ascii="Amiri" w:hAnsi="Amiri" w:eastAsia="Amiri" w:cs="Amiri"/>
          <w:color w:val="111111"/>
          <w:sz w:val="28"/>
          <w:sz w:val="28"/>
          <w:szCs w:val="28"/>
          <w:rtl w:val="true"/>
          <w:lang w:bidi="ar-SA"/>
        </w:rPr>
        <w:t xml:space="preserve">فمرة، و إلّا فإن كان في القليل فمرتين، لرواية المركن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غيرهما فمقتضى الإطلاقات الاكتفاء بالمرة الواحدة حتى في الكر، فضلا عن المطر أو غيره من المياه ذوات المادة، لو لا دعوى المفهوم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في الجاري فمرة</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و لو من جهة احتمال كون الحصر المستفاد من التعليق إضافيا، بالقياس إلى ما في المركن من الماء القليل، و لا أقل من كونه من موارد اتصال الكلام بما يصلح للقرينية، فتبقى المطلقات في البقية على حالها، و إلّا فالمفهوم موجب لتخصيص المطلقات لأظهريته، أو لا أقل من التعارض بالعموم من وجه، و يتساقطان فيرجع إلى استصحاب بقاء النجاسة، المستلزم للزوم المرتين في غير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هنا للتمسك بحديث الرفع، لأنه من الشك في المحقق على المختار، لعدم صلاحية الشك في الفراغ للترخيص إلّا بلسان إثبات الفراغ، و لو جعلا ظاهريا،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بجريانه على مشرب العلّامة الأستاذ، من كون شأن الحديث تعيين الواجب في الأقل </w:t>
      </w:r>
      <w:r>
        <w:rPr>
          <w:rStyle w:val="FootnoteAnchor"/>
          <w:rtl w:val="true"/>
        </w:rPr>
        <w:footnoteReference w:id="1497"/>
      </w:r>
      <w:r>
        <w:rPr>
          <w:rFonts w:ascii="Amiri" w:hAnsi="Amiri" w:eastAsia="Amiri" w:cs="Amiri"/>
          <w:color w:val="111111"/>
          <w:sz w:val="28"/>
          <w:sz w:val="28"/>
          <w:szCs w:val="28"/>
          <w:rtl w:val="true"/>
          <w:lang w:bidi="ar-SA"/>
        </w:rPr>
        <w:t>، و لنا في مختاره كلام ليس هنا محل ذكره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المتنجّس من غير البول، فمقتضى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 العاصمة، و هكذا في المياه القليلة، الوارد فيها إطلاق الأمر بالغسل في الموارد المختلفة، على وجه يساعد العرف على 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w:t>
      </w:r>
    </w:p>
    <w:p>
      <w:pPr>
        <w:pStyle w:val="BookText"/>
        <w:rPr/>
      </w:pPr>
      <w:r>
        <w:rPr>
          <w:rFonts w:ascii="Amiri" w:hAnsi="Amiri" w:eastAsia="Amiri" w:cs="Amiri"/>
          <w:color w:val="111111"/>
          <w:sz w:val="28"/>
          <w:sz w:val="28"/>
          <w:szCs w:val="28"/>
          <w:rtl w:val="true"/>
          <w:lang w:bidi="ar-SA"/>
        </w:rPr>
        <w:t>بالمرة، و بهذا اللسان نلتزم في جميع المتنجسات، حتى من الولوغ، الملاقية لأجسام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عدم تمامية الكلية المزبورة في المياه القليلة، فلا محيص عن المصير إلى مقتضى الأصل، فمع احتمال اقتضاء كل متنجس حكم نجسة فلا بدّ أن يجري عدده فيه، ما لم يقطع بعدم جريان حكمه، كما في التعفير، و لكن الانصاف تمامية الإطلاقات و قوة المسلك،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اعتبار العصر و الإفراغ في الغسل بالمياه القليلة كلام آخر، و قد تقدّم شطر منه في بحث الغسالة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استعمال أواني الذهب و الفضة في الأكل و غيره على المشهور، و الأصل فيه ما 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استعمال أواني الذهب و الفضة</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مؤيدا بما اشتمل على النهي عن الآنية المصنوعة منهما </w:t>
      </w:r>
      <w:r>
        <w:rPr>
          <w:rStyle w:val="FootnoteAnchor"/>
          <w:rtl w:val="true"/>
        </w:rPr>
        <w:footnoteReference w:id="1499"/>
      </w:r>
      <w:r>
        <w:rPr>
          <w:rFonts w:ascii="Amiri" w:hAnsi="Amiri" w:eastAsia="Amiri" w:cs="Amiri"/>
          <w:color w:val="111111"/>
          <w:sz w:val="28"/>
          <w:sz w:val="28"/>
          <w:szCs w:val="28"/>
          <w:rtl w:val="true"/>
          <w:lang w:bidi="ar-SA"/>
        </w:rPr>
        <w:t>، و ظاهر الأخير و إطلاق الأول حرمة مطلق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انصراف الاستعمال في كل آنية إلى ما أعدت له، غير معهود في كلماتهم، بل غاية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حمرة خصوص الأكل و الشرب في كل آنية، و لا وجه له بعد الإطلاقات المزبورة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 المطلقات لاتخاذها زينة أو ذخيرة إشكال، لعدم انتقال الذهن من استعمال الآنية إلى مثلهما، نعم في بعض النصوص ما يومئ بكراهته، لمناسبة التعبير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متاع الذين لا يوقنون</w:t>
      </w:r>
      <w:r>
        <w:rPr>
          <w:rFonts w:eastAsia="Amiri" w:cs="Amiri" w:ascii="Amiri" w:hAnsi="Amiri"/>
          <w:color w:val="111111"/>
          <w:sz w:val="28"/>
          <w:szCs w:val="28"/>
          <w:rtl w:val="true"/>
          <w:lang w:bidi="ar-SA"/>
        </w:rPr>
        <w:t xml:space="preserve">» </w:t>
      </w:r>
      <w:r>
        <w:rPr>
          <w:rStyle w:val="FootnoteAnchor"/>
          <w:rtl w:val="true"/>
        </w:rPr>
        <w:footnoteReference w:id="15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أيضا يحمل النهي عن ركوب سرج فيه الفضة، و عن المرآة المتلبسة بالفضة </w:t>
      </w:r>
      <w:r>
        <w:rPr>
          <w:rStyle w:val="FootnoteAnchor"/>
          <w:rtl w:val="true"/>
        </w:rPr>
        <w:footnoteReference w:id="1501"/>
      </w:r>
      <w:r>
        <w:rPr>
          <w:rFonts w:ascii="Amiri" w:hAnsi="Amiri" w:eastAsia="Amiri" w:cs="Amiri"/>
          <w:color w:val="111111"/>
          <w:sz w:val="28"/>
          <w:sz w:val="28"/>
          <w:szCs w:val="28"/>
          <w:rtl w:val="true"/>
          <w:lang w:bidi="ar-SA"/>
        </w:rPr>
        <w:t>، كما هو ظاهر، لعدم قائل بحرمتهما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الاستعمال في المقام معنى أوسع من التصرف في باب الغصب، و مرجعه إلى حرمة العناوين المترتبة على تصرفه و لو لم تكن متحدة مع عنوان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عليه النهي عن الأكل منه و الشرب منه </w:t>
      </w:r>
      <w:r>
        <w:rPr>
          <w:rStyle w:val="FootnoteAnchor"/>
          <w:rtl w:val="true"/>
        </w:rPr>
        <w:footnoteReference w:id="1502"/>
      </w:r>
      <w:r>
        <w:rPr>
          <w:rFonts w:ascii="Amiri" w:hAnsi="Amiri" w:eastAsia="Amiri" w:cs="Amiri"/>
          <w:color w:val="111111"/>
          <w:sz w:val="28"/>
          <w:sz w:val="28"/>
          <w:szCs w:val="28"/>
          <w:rtl w:val="true"/>
          <w:lang w:bidi="ar-SA"/>
        </w:rPr>
        <w:t>، و معلوم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تصرفا في الإناء، فبهذا المقياس ربما يحرم الوضوء منه و لو بإهراق مائه و لو دفعة، و هذا بخلاف باب الغصب، حيث لا يحرم فيه إلّا نفس التصرف، لا العناوين المترتبة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فمقتضى مرآتية الاستعمال للعناوين المخصوصة من الأكل و الشرب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العناوين المزبورة بذاتها، و لازمة كون النهي المتعلّق بالوضوء من باب النهي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الظاهر من حرمة الأكل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مفسدة بنفس الأكل، بلا سرايتها إلى المأكول، فيبقى المأكول على اقتضاء الحلية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يقتضي مثل هذا الأكل كفّارة الجمع في نهار شهر رمضان، إذ دليله منصرف إلى فرض حرمة المأكول، لا حرمة نفس الأكل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المعهود عرفا، و له مصاديق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الشك في صدق المفهوم لا في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الرجوع إلى البراءة، و لا طريق لنا إلى رفع الشك بعد تشتت كلماتهم، خصوصا أهل اللغة المعلوم من شأنهم أنهم في أمثال ذلك يشيرون إلى</w:t>
      </w:r>
    </w:p>
    <w:p>
      <w:pPr>
        <w:pStyle w:val="BookText"/>
        <w:rPr/>
      </w:pPr>
      <w:r>
        <w:rPr>
          <w:rFonts w:ascii="Amiri" w:hAnsi="Amiri" w:eastAsia="Amiri" w:cs="Amiri"/>
          <w:color w:val="111111"/>
          <w:sz w:val="28"/>
          <w:sz w:val="28"/>
          <w:szCs w:val="28"/>
          <w:rtl w:val="true"/>
          <w:lang w:bidi="ar-SA"/>
        </w:rPr>
        <w:t>مجرد سنخ المعنى، كسعدانة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كلمات العلماء أيضا لمحض استنباطهم شيئا فيشير كل واحد إلى ما استنبطه، المعلوم عدم حجية فهمه لمجتهد آخر، و إن كان حجة لمقلده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التشكيك في كثير مما جعله في نجاة العباد من الآنية، خصوصا مثل رأس القرشة، و الشطب و قاب الساعة، و أمثالها،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المفضض، للجمع بين النهي عنه في نص </w:t>
      </w:r>
      <w:r>
        <w:rPr>
          <w:rStyle w:val="FootnoteAnchor"/>
          <w:rtl w:val="true"/>
        </w:rPr>
        <w:footnoteReference w:id="1503"/>
      </w:r>
      <w:r>
        <w:rPr>
          <w:rFonts w:ascii="Amiri" w:hAnsi="Amiri" w:eastAsia="Amiri" w:cs="Amiri"/>
          <w:color w:val="111111"/>
          <w:sz w:val="28"/>
          <w:sz w:val="28"/>
          <w:szCs w:val="28"/>
          <w:rtl w:val="true"/>
          <w:lang w:bidi="ar-SA"/>
        </w:rPr>
        <w:t xml:space="preserve">، و الترخيص في نص آخر </w:t>
      </w:r>
      <w:r>
        <w:rPr>
          <w:rStyle w:val="FootnoteAnchor"/>
          <w:rtl w:val="true"/>
        </w:rPr>
        <w:footnoteReference w:id="1504"/>
      </w:r>
      <w:r>
        <w:rPr>
          <w:rFonts w:ascii="Amiri" w:hAnsi="Amiri" w:eastAsia="Amiri" w:cs="Amiri"/>
          <w:color w:val="111111"/>
          <w:sz w:val="28"/>
          <w:sz w:val="28"/>
          <w:szCs w:val="28"/>
          <w:rtl w:val="true"/>
          <w:lang w:bidi="ar-SA"/>
        </w:rPr>
        <w:t>، و إطلاق النهي يشمل جميع أنواع المفضض مما أشار إليها في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النصوص الأمر بعزل الفم عن موضع الذهب و الفضة في الآنية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المشهور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إلى مشرب الشطب و القرشة كلام و اشكال، نعم لا إشكال في عدم حرمة وضع الفم على مطلق الذهب و الفضة بلا شبهة، و اللّٰه العالم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أواني المشركين طاهرة ما لم يعلم مباشرتهم لها برطوبة بلا إشكال، لأصالة الطهارة، و في جريان مناط كراهة سؤر المتهمة وجه، و إن كان لا يخلو عن شبهة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يسهّل الخطب كفاية مجرد احتمال ذلك في رجحانه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حسبي و نعم الوكيل، و هو المعين في إتمامه و عليه التكلان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كتاب الطهارة من شرح نابغة المحققين الأذكياء، و علّامة العلماء الأتقياء، الشيخ ضياء الدين العراقي طاب رمسه الشريف، على تبصرة المتعلمين لعلّامة الدهور، و نابغة العصور جمال الملّة و الدين أبي منصور الحسن بن سديد الدين يوسف بن علي بن مطهّر الحلي قدس سرّه الشريف</w:t>
      </w:r>
      <w:r>
        <w:rPr>
          <w:rFonts w:eastAsia="Amiri" w:cs="Amiri" w:ascii="Amiri" w:hAnsi="Amiri"/>
          <w:color w:val="111111"/>
          <w:sz w:val="28"/>
          <w:szCs w:val="28"/>
          <w:rtl w:val="true"/>
          <w:lang w:bidi="ar-SA"/>
        </w:rPr>
        <w:t>.</w:t>
      </w:r>
      <w:bookmarkStart w:id="448" w:name="pg19729_212911"/>
    </w:p>
    <w:p>
      <w:pPr>
        <w:pStyle w:val="Heading2"/>
        <w:numPr>
          <w:ilvl w:val="1"/>
          <w:numId w:val="1"/>
        </w:numPr>
        <w:rPr/>
      </w:pPr>
      <w:bookmarkStart w:id="449" w:name="__RefHeading___Toc3251437_2314609296"/>
      <w:bookmarkStart w:id="450" w:name="_Toc171"/>
      <w:bookmarkEnd w:id="448"/>
      <w:bookmarkEnd w:id="449"/>
      <w:r>
        <w:rPr>
          <w:rtl w:val="true"/>
        </w:rPr>
        <w:t>كتاب الصلاة</w:t>
      </w:r>
      <w:bookmarkEnd w:id="45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3251439_2314609296"/>
      <w:bookmarkStart w:id="452" w:name="_Toc172"/>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كتاب الصلاة هي ميزان قبول الاعمال، و أهمّ الفرائض بعد الولاية، على ما نطقت به النصوص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من العناوين القصدية المنطبقة على نفس الأفعال على اختلافها، قلة و كثرة، حسب اختلاف حالات المكلفين فتكون بجامعها من التشكيكيات الصادقة على القليل و الكثير، بلا اعتبار حد مخصوص من أجزائها في ماهيتها، كي يلزم في المشتمل على الزائد أن يكون صلاة و 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من جهة 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ارتكاز أذهان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في وقوع كل فعل منها على صفة الجزئية إلى قصد جزئيتها، كما أنّ وقوع شي‌ء فيها على صفة الزيادة يحتاج الى قصد الزيادة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لا بأس بحرمتها ذاتا أحيانا عند تعلّق النهي بها، لو لا دعوى انصرافه إلى العمل بنحو صادر عن غيره، فإنه يناسب حرمة الذات المأتي بها بقصد التشريع، لا حرمة تشريعها محضا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 في كتاب الصلاة أبواب</w:t>
      </w:r>
      <w:r>
        <w:rPr>
          <w:rFonts w:eastAsia="Amiri" w:cs="Amiri" w:ascii="Amiri" w:hAnsi="Amiri"/>
          <w:color w:val="111111"/>
          <w:sz w:val="28"/>
          <w:szCs w:val="28"/>
          <w:rtl w:val="true"/>
          <w:lang w:bidi="ar-SA"/>
        </w:rPr>
        <w:t>:</w:t>
      </w:r>
      <w:bookmarkStart w:id="453" w:name="pg19729_212914"/>
    </w:p>
    <w:p>
      <w:pPr>
        <w:pStyle w:val="Heading3"/>
        <w:numPr>
          <w:ilvl w:val="2"/>
          <w:numId w:val="1"/>
        </w:numPr>
        <w:rPr/>
      </w:pPr>
      <w:bookmarkStart w:id="454" w:name="__RefHeading___Toc3251441_2314609296"/>
      <w:bookmarkStart w:id="455" w:name="_Toc173"/>
      <w:bookmarkEnd w:id="453"/>
      <w:bookmarkEnd w:id="454"/>
      <w:r>
        <w:rPr>
          <w:rtl w:val="true"/>
        </w:rPr>
        <w:t>الباب الأول في المقدمات</w:t>
      </w:r>
      <w:bookmarkEnd w:id="455"/>
    </w:p>
    <w:p>
      <w:pPr>
        <w:pStyle w:val="Heading4"/>
        <w:numPr>
          <w:ilvl w:val="3"/>
          <w:numId w:val="1"/>
        </w:numPr>
        <w:rPr/>
      </w:pPr>
      <w:bookmarkStart w:id="456" w:name="__RefHeading___Toc3251443_2314609296"/>
      <w:bookmarkStart w:id="457" w:name="_Toc174"/>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251445_2314609296"/>
      <w:bookmarkStart w:id="459" w:name="_Toc175"/>
      <w:bookmarkEnd w:id="458"/>
      <w:r>
        <w:rPr>
          <w:rtl w:val="true"/>
        </w:rPr>
        <w:t>الفصل الأول</w:t>
      </w:r>
      <w:r>
        <w:rPr>
          <w:rtl w:val="true"/>
        </w:rPr>
        <w:t xml:space="preserve">: </w:t>
      </w:r>
      <w:r>
        <w:rPr>
          <w:rtl w:val="true"/>
        </w:rPr>
        <w:t>في أعدادها</w:t>
      </w:r>
      <w:r>
        <w:rPr>
          <w:rtl w:val="true"/>
        </w:rPr>
        <w:t>.</w:t>
      </w:r>
      <w:bookmarkEnd w:id="45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إما ذاتي كاليومية، و يدخل فيها صلاة الجمعة و العيدين في زمان الحضور، و صلاة الآيات، و صلاة الطواف، و صلاة الميت في وجه قوي، و إن كان غالب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انصراف أدلتها عنها،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عرضي، مثل ما تعلّق به النذر، و الاستئجار،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أعداد الفرائض في كل يوم و ليلة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في الحضر، و في السفر ركعتان، و العصر كذلك، و المغرب ثلاث فيهما أي في الحضر و السفر، و العشاء كالظهر، و الصبح ركعتان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منصوص عليه في رواية فضيل بن يسار و غيرها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و اختلف في</w:t>
      </w:r>
    </w:p>
    <w:p>
      <w:pPr>
        <w:pStyle w:val="BookText"/>
        <w:rPr/>
      </w:pPr>
      <w:r>
        <w:rPr>
          <w:rFonts w:ascii="Amiri" w:hAnsi="Amiri" w:eastAsia="Amiri" w:cs="Amiri"/>
          <w:color w:val="111111"/>
          <w:sz w:val="28"/>
          <w:sz w:val="28"/>
          <w:szCs w:val="28"/>
          <w:rtl w:val="true"/>
          <w:lang w:bidi="ar-SA"/>
        </w:rPr>
        <w:t>تعيينها، ففي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خلافا للمرتضى، ففسرها بالعصر </w:t>
      </w:r>
      <w:r>
        <w:rPr>
          <w:rStyle w:val="FootnoteAnchor"/>
          <w:rtl w:val="true"/>
        </w:rPr>
        <w:footnoteReference w:id="1509"/>
      </w:r>
      <w:r>
        <w:rPr>
          <w:rFonts w:ascii="Amiri" w:hAnsi="Amiri" w:eastAsia="Amiri" w:cs="Amiri"/>
          <w:color w:val="111111"/>
          <w:sz w:val="28"/>
          <w:sz w:val="28"/>
          <w:szCs w:val="28"/>
          <w:rtl w:val="true"/>
          <w:lang w:bidi="ar-SA"/>
        </w:rPr>
        <w:t xml:space="preserve">، لمرسلتين </w:t>
      </w:r>
      <w:r>
        <w:rPr>
          <w:rStyle w:val="FootnoteAnchor"/>
          <w:rtl w:val="true"/>
        </w:rPr>
        <w:footnoteReference w:id="1510"/>
      </w:r>
      <w:r>
        <w:rPr>
          <w:rFonts w:ascii="Amiri" w:hAnsi="Amiri" w:eastAsia="Amiri" w:cs="Amiri"/>
          <w:color w:val="111111"/>
          <w:sz w:val="28"/>
          <w:sz w:val="28"/>
          <w:szCs w:val="28"/>
          <w:rtl w:val="true"/>
          <w:lang w:bidi="ar-SA"/>
        </w:rPr>
        <w:t xml:space="preserve">، و في بعض أخبار عامية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اسنادها، مع اعراض المشهور عنها، مانعة عن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النوافل فلا حصر لها، بل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فمن شاء استقل و من شاء استكثر</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هي في غير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 في الحضر ثمان ركعات قبل الظهر، و ثمان بعدها للعصر، و أربع بعد المغرب، و ركعتان من جلوس، بعد العشاء الآخرة، تعدّان ركعة، و 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 ركعتا الشفع، و ركعة الوتر، و ركعتا الفجر قبل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تحديد اليومية بإحدى و خمسين </w:t>
      </w:r>
      <w:r>
        <w:rPr>
          <w:rStyle w:val="FootnoteAnchor"/>
          <w:rtl w:val="true"/>
        </w:rPr>
        <w:footnoteReference w:id="1513"/>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السنة مثلي الفريضة</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بأقل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نافلة الظهرين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مراتب الفضيلة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كان لا يصلي بعد</w:t>
      </w:r>
    </w:p>
    <w:p>
      <w:pPr>
        <w:pStyle w:val="BookText"/>
        <w:rPr/>
      </w:pPr>
      <w:r>
        <w:rPr>
          <w:rFonts w:ascii="Amiri" w:hAnsi="Amiri" w:eastAsia="Amiri" w:cs="Amiri"/>
          <w:color w:val="111111"/>
          <w:sz w:val="28"/>
          <w:sz w:val="28"/>
          <w:szCs w:val="28"/>
          <w:rtl w:val="true"/>
          <w:lang w:bidi="ar-SA"/>
        </w:rPr>
        <w:t>العتمة شيئا</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بدل الوتر</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و عليه يحمل ترك النبي صلّى اللّٰه عليه و آله لها و إن كان يأمر غيره بها، لجهلهم بفوت الوتر، و لو لجهلهم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يومئ إليه بعض النصوص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المشروع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ثلاثين، فتحمل الأخبار السابقة على ما هو مشروع فعلا، و بذلك يجمع بينها و بين ما دل على تعيين العدد بالخمسين </w:t>
      </w:r>
      <w:r>
        <w:rPr>
          <w:rStyle w:val="FootnoteAnchor"/>
          <w:rtl w:val="true"/>
        </w:rPr>
        <w:footnoteReference w:id="1519"/>
      </w:r>
      <w:r>
        <w:rPr>
          <w:rFonts w:ascii="Amiri" w:hAnsi="Amiri" w:eastAsia="Amiri" w:cs="Amiri"/>
          <w:color w:val="111111"/>
          <w:sz w:val="28"/>
          <w:sz w:val="28"/>
          <w:szCs w:val="28"/>
          <w:rtl w:val="true"/>
          <w:lang w:bidi="ar-SA"/>
        </w:rPr>
        <w:t>، بإسقاط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الجمعة، فقد اختلفوا في زيادة نافلتها على اليومية بأربع ركعات أو بستة، أو عدم زيادتها، و المشهور الأول، للمستفيضة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الفقيه نصوص ضعيفة </w:t>
      </w:r>
      <w:r>
        <w:rPr>
          <w:rStyle w:val="FootnoteAnchor"/>
          <w:rtl w:val="true"/>
        </w:rPr>
        <w:footnoteReference w:id="1521"/>
      </w:r>
      <w:r>
        <w:rPr>
          <w:rFonts w:ascii="Amiri" w:hAnsi="Amiri" w:eastAsia="Amiri" w:cs="Amiri"/>
          <w:color w:val="111111"/>
          <w:sz w:val="28"/>
          <w:sz w:val="28"/>
          <w:szCs w:val="28"/>
          <w:rtl w:val="true"/>
          <w:lang w:bidi="ar-SA"/>
        </w:rPr>
        <w:t>، و لو بذهاب المشهور على خلافها، الموجب شدة الوهن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اشكالا ظاهرا في كون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الوتر، و صلاة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بتشهد و تسليم، لما في قرب الاسناد </w:t>
      </w:r>
      <w:r>
        <w:rPr>
          <w:rStyle w:val="FootnoteAnchor"/>
          <w:rtl w:val="true"/>
        </w:rPr>
        <w:footnoteReference w:id="1522"/>
      </w:r>
      <w:r>
        <w:rPr>
          <w:rFonts w:ascii="Amiri" w:hAnsi="Amiri" w:eastAsia="Amiri" w:cs="Amiri"/>
          <w:color w:val="111111"/>
          <w:sz w:val="28"/>
          <w:sz w:val="28"/>
          <w:szCs w:val="28"/>
          <w:rtl w:val="true"/>
          <w:lang w:bidi="ar-SA"/>
        </w:rPr>
        <w:t>مشتملا على التسليم، و ألحق به التشهد، بحكم الانغراس في أذهان المتشرعة بأنه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الوتر فمصرّح بكونها ركعة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صلاة الأعرابي ففي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بتسليمة، و ثمانية أخرى</w:t>
      </w:r>
    </w:p>
    <w:p>
      <w:pPr>
        <w:pStyle w:val="BookText"/>
        <w:rPr/>
      </w:pPr>
      <w:r>
        <w:rPr>
          <w:rFonts w:ascii="Amiri" w:hAnsi="Amiri" w:eastAsia="Amiri" w:cs="Amiri"/>
          <w:color w:val="111111"/>
          <w:sz w:val="28"/>
          <w:sz w:val="28"/>
          <w:szCs w:val="28"/>
          <w:rtl w:val="true"/>
          <w:lang w:bidi="ar-SA"/>
        </w:rPr>
        <w:t xml:space="preserve">بتسليمتين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مجرد الشهرة في النافلة غير صالحة للجبر، لاحتمال جريهم على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الأمر في كل نافلة كونها استقلاليا، و لولاه لأشكل إثبات ذلك بالبراءة، للجزم بعدم ترتب العقاب على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على بعض المشارب </w:t>
      </w:r>
      <w:r>
        <w:rPr>
          <w:rStyle w:val="FootnoteAnchor"/>
          <w:rtl w:val="true"/>
        </w:rPr>
        <w:footnoteReference w:id="1525"/>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شأنه رفع الجزئية و تعيين دائرة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بجريانها في المقام أيضا، و لنا في مثل هذا المعنى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البراءة على تركه من قبل ترك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غير الوتيرة لا يعتبر القيام أو الجلوس، نصا و فتوى، و في رواية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الرجل جالسا و يستطيع القيام فليضعف</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الوتيرة ففيه خلاف، من تعيين الجلوس، أو أفضليته، أو أفضلية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موثقة سليمان أفضلية القيام </w:t>
      </w:r>
      <w:r>
        <w:rPr>
          <w:rStyle w:val="FootnoteAnchor"/>
          <w:rtl w:val="true"/>
        </w:rPr>
        <w:footnoteReference w:id="1527"/>
      </w:r>
      <w:r>
        <w:rPr>
          <w:rFonts w:ascii="Amiri" w:hAnsi="Amiri" w:eastAsia="Amiri" w:cs="Amiri"/>
          <w:color w:val="111111"/>
          <w:sz w:val="28"/>
          <w:sz w:val="28"/>
          <w:szCs w:val="28"/>
          <w:rtl w:val="true"/>
          <w:lang w:bidi="ar-SA"/>
        </w:rPr>
        <w:t>، و يؤيده مداومة الصادق عليه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عدم مداومة الكاظم عليه السّلام، لسمنه و بلوغ سنه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التحديد بالواحدة و الخمسين لا يوجب تعيين الجلوس، كي يعادل بركعة لإمكان كون ركعة منها فقط متمما للنوافل دون الأخرى، و يمكن حملها على أقل عدد تنطبق النوافل عليه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شرطية القبلة فسيأتي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في النافلة كل حكم ثابت لطبيعة الصلاة، لا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مشروعية صلاة الغفيلة، و صلاة الوصية بالكيفية المخصوصة الواردة في المستفيضة </w:t>
      </w:r>
      <w:r>
        <w:rPr>
          <w:rStyle w:val="FootnoteAnchor"/>
          <w:rtl w:val="true"/>
        </w:rPr>
        <w:footnoteReference w:id="1529"/>
      </w:r>
      <w:r>
        <w:rPr>
          <w:rFonts w:ascii="Amiri" w:hAnsi="Amiri" w:eastAsia="Amiri" w:cs="Amiri"/>
          <w:color w:val="111111"/>
          <w:sz w:val="28"/>
          <w:sz w:val="28"/>
          <w:szCs w:val="28"/>
          <w:rtl w:val="true"/>
          <w:lang w:bidi="ar-SA"/>
        </w:rPr>
        <w:t>، و محلها بين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كونهما عين نافلة المغرب أو غيرها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تكرر الأمر بالطبيعة انطباق كل واحد منهما على وجود واحد غير منطبق الآخر، و من اشتمال كل منهما على حكمة غير حكمة الآخر، حيث اقتضاء كل حكمة أمرا مستقلا و وجودا مستقلا، كما هو الشأن في وجه قاعدة عدم التداخل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النصوص مشروعية عشر ركعات بعد المغرب و نوافله </w:t>
      </w:r>
      <w:r>
        <w:rPr>
          <w:rStyle w:val="FootnoteAnchor"/>
          <w:rtl w:val="true"/>
        </w:rPr>
        <w:footnoteReference w:id="1530"/>
      </w:r>
      <w:r>
        <w:rPr>
          <w:rFonts w:ascii="Amiri" w:hAnsi="Amiri" w:eastAsia="Amiri" w:cs="Amiri"/>
          <w:color w:val="111111"/>
          <w:sz w:val="28"/>
          <w:sz w:val="28"/>
          <w:szCs w:val="28"/>
          <w:rtl w:val="true"/>
          <w:lang w:bidi="ar-SA"/>
        </w:rPr>
        <w:t>، فمن المحتمل أن تكون هذه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حينئذ يشكل مشروعية أزيد من النوافل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يستند لعدم مشروعية الزائد، بعموم النهي عن النافلة وقت الفريضة </w:t>
      </w:r>
      <w:r>
        <w:rPr>
          <w:rStyle w:val="FootnoteAnchor"/>
          <w:rtl w:val="true"/>
        </w:rPr>
        <w:footnoteReference w:id="1531"/>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عدم تماميته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يسقط في السفر نوافل النهار بلا اشكال، و في مشروعية قضائها ليلا وجه، دل عليه بعض النصوص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bookmarkStart w:id="460" w:name="pg19729_212919"/>
    </w:p>
    <w:p>
      <w:pPr>
        <w:pStyle w:val="BookText"/>
        <w:rPr/>
      </w:pPr>
      <w:bookmarkEnd w:id="460"/>
      <w:r>
        <w:rPr>
          <w:rFonts w:ascii="Amiri" w:hAnsi="Amiri" w:eastAsia="Amiri" w:cs="Amiri"/>
          <w:color w:val="111111"/>
          <w:sz w:val="28"/>
          <w:sz w:val="28"/>
          <w:szCs w:val="28"/>
          <w:rtl w:val="true"/>
          <w:lang w:bidi="ar-SA"/>
        </w:rPr>
        <w:t xml:space="preserve">و في بعض الأخبار سقوط النافلة من كل ذات ركعتين </w:t>
      </w:r>
      <w:r>
        <w:rPr>
          <w:rStyle w:val="FootnoteAnchor"/>
          <w:rtl w:val="true"/>
        </w:rPr>
        <w:footnoteReference w:id="1533"/>
      </w:r>
      <w:r>
        <w:rPr>
          <w:rFonts w:ascii="Amiri" w:hAnsi="Amiri" w:eastAsia="Amiri" w:cs="Amiri"/>
          <w:color w:val="111111"/>
          <w:sz w:val="28"/>
          <w:sz w:val="28"/>
          <w:szCs w:val="28"/>
          <w:rtl w:val="true"/>
          <w:lang w:bidi="ar-SA"/>
        </w:rPr>
        <w:t xml:space="preserve">، لكن المقيّدة بالنهارية </w:t>
      </w:r>
      <w:r>
        <w:rPr>
          <w:rStyle w:val="FootnoteAnchor"/>
          <w:rtl w:val="true"/>
        </w:rPr>
        <w:footnoteReference w:id="1534"/>
      </w:r>
      <w:r>
        <w:rPr>
          <w:rFonts w:ascii="Amiri" w:hAnsi="Amiri" w:eastAsia="Amiri" w:cs="Amiri"/>
          <w:color w:val="111111"/>
          <w:sz w:val="28"/>
          <w:sz w:val="28"/>
          <w:szCs w:val="28"/>
          <w:rtl w:val="true"/>
          <w:lang w:bidi="ar-SA"/>
        </w:rPr>
        <w:t xml:space="preserve">شارحة لها، مضافا إلى التصريح في بعضها بعدم سقوط نافلة الفجر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سقوط الوتيرة خاصة زيادة على النوافل النهارية، ففيه خلاف بينهم، لاختلاف النصوص،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قبلهما و لا بعدهما شي‌ء</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يوهنه نفي النافلة قبلهما أيضا، إذ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ذلك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تترك</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لكنه ضعيف السند، و موهون بذهاب المشهور على خلافه، فليس ما يصلح للتمسك به في المقام إلّا استصحاب عدم السقوط في بعض الصور، و إلّا فأصالة عدم المشروعية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كفاية الشهرة لجبر سند الخبر السابق، بعد عدم اضطرار طرح الفقرة غير معمول بها فيها،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الصلوات الواجبة ذاتا الجمعة، و العيدان، و الكسوف، و الزلزلة، و الآيات، و الطواف، و الجنائز، و عرضا المنذور و شبهه، و ما عدا ذلك مسنون</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251447_2314609296"/>
      <w:bookmarkStart w:id="462" w:name="_Toc176"/>
      <w:bookmarkEnd w:id="461"/>
      <w:r>
        <w:rPr>
          <w:rtl w:val="true"/>
        </w:rPr>
        <w:t>الفصل الثاني</w:t>
      </w:r>
      <w:r>
        <w:rPr>
          <w:rtl w:val="true"/>
        </w:rPr>
        <w:t xml:space="preserve">: </w:t>
      </w:r>
      <w:r>
        <w:rPr>
          <w:rtl w:val="true"/>
        </w:rPr>
        <w:t>في أوقاتها</w:t>
      </w:r>
      <w:bookmarkEnd w:id="462"/>
    </w:p>
    <w:p>
      <w:pPr>
        <w:pStyle w:val="Heading5"/>
        <w:numPr>
          <w:ilvl w:val="4"/>
          <w:numId w:val="1"/>
        </w:numPr>
        <w:rPr/>
      </w:pPr>
      <w:bookmarkStart w:id="463" w:name="__RefHeading___Toc3251449_2314609296"/>
      <w:bookmarkStart w:id="464" w:name="_Toc177"/>
      <w:bookmarkEnd w:id="463"/>
      <w:r>
        <w:rPr>
          <w:rtl w:val="true"/>
        </w:rPr>
        <w:t>اشارة</w:t>
      </w:r>
      <w:bookmarkEnd w:id="46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المضروبة لها شرعا، بنحو لا يجوز تقديمها عليها، و لا تأخيرها عنها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حتى يمضي مقدار أربع ركعات للحاضر، و ركعتين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يشترك الوقت بينها و بين العصر إلى أن يبقى لغروب الشمس مقدار أربع ركعات فيختص بالعصر على المشهور، لرواية داود الفرقد </w:t>
      </w:r>
      <w:r>
        <w:rPr>
          <w:rStyle w:val="FootnoteAnchor"/>
          <w:rtl w:val="true"/>
        </w:rPr>
        <w:footnoteReference w:id="1538"/>
      </w:r>
      <w:r>
        <w:rPr>
          <w:rFonts w:ascii="Amiri" w:hAnsi="Amiri" w:eastAsia="Amiri" w:cs="Amiri"/>
          <w:color w:val="111111"/>
          <w:sz w:val="28"/>
          <w:sz w:val="28"/>
          <w:szCs w:val="28"/>
          <w:rtl w:val="true"/>
          <w:lang w:bidi="ar-SA"/>
        </w:rPr>
        <w:t>، المشتملة على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قبالها طائفة أخرى ظاهرة في اشتراكهما في تمام الوقت </w:t>
      </w:r>
      <w:r>
        <w:rPr>
          <w:rStyle w:val="FootnoteAnchor"/>
          <w:rtl w:val="true"/>
        </w:rPr>
        <w:footnoteReference w:id="1539"/>
      </w:r>
      <w:r>
        <w:rPr>
          <w:rFonts w:ascii="Amiri" w:hAnsi="Amiri" w:eastAsia="Amiri" w:cs="Amiri"/>
          <w:color w:val="111111"/>
          <w:sz w:val="28"/>
          <w:sz w:val="28"/>
          <w:szCs w:val="28"/>
          <w:rtl w:val="true"/>
          <w:lang w:bidi="ar-SA"/>
        </w:rPr>
        <w:t>، غاية الأمر يجب الترتيب بين الظهرين، و ذلك تارة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بالزوال دخل الوقتان </w:t>
      </w:r>
      <w:r>
        <w:rPr>
          <w:rStyle w:val="FootnoteAnchor"/>
          <w:rtl w:val="true"/>
        </w:rPr>
        <w:footnoteReference w:id="1540"/>
      </w:r>
      <w:r>
        <w:rPr>
          <w:rFonts w:ascii="Amiri" w:hAnsi="Amiri" w:eastAsia="Amiri" w:cs="Amiri"/>
          <w:color w:val="111111"/>
          <w:sz w:val="28"/>
          <w:sz w:val="28"/>
          <w:szCs w:val="28"/>
          <w:rtl w:val="true"/>
          <w:lang w:bidi="ar-SA"/>
        </w:rPr>
        <w:t>، و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الصلاتين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الجمع بحمل الثانية على الدخول بنحو التعاقب أولى من حمل الاختصاص في السابقة على الفعلية بلحاظ الأهمية، لأنّ هذه الجهة مشتركة في تمام الوقت، و صريح رواية داود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حمل الأخيرة على الاشتراك بينهما، بحسب اقتضاء الشرطية، كما ورد نظيره في وقت الفضيلة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ذلك لمكان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فلا تنافي رواية داود في الاختصاص في فعلية الشرطية، كما هو المختار من الاختصاص</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يشكل على المختار بأنّ مدار الاختصاص إن كان على معنى مقدار الصلاة الكاملة للمختار، فيجب الانتظار على من صلّى ناسيا في أقل من ذلك بكثير، و إن كان على مقدار وجود أول مصداق من الطبيعة، فيلزم صحة الدخول بمجرد مضي آن تسليمة الاولى و لو نسيانا، لأنّ من المصداق ما إذا</w:t>
      </w:r>
    </w:p>
    <w:p>
      <w:pPr>
        <w:pStyle w:val="BookText"/>
        <w:rPr/>
      </w:pPr>
      <w:r>
        <w:rPr>
          <w:rFonts w:ascii="Amiri" w:hAnsi="Amiri" w:eastAsia="Amiri" w:cs="Amiri"/>
          <w:color w:val="111111"/>
          <w:sz w:val="28"/>
          <w:sz w:val="28"/>
          <w:szCs w:val="28"/>
          <w:rtl w:val="true"/>
          <w:lang w:bidi="ar-SA"/>
        </w:rPr>
        <w:t>صلّى قبل الوقت، بنحو وقع سلامها فيه، و لا مجال للالتزام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مثل هذا المحذور دعا بعض الأعاظم إلى الالتزام بأنّ الاختصاص ثابت لم يأت بالفريضة،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إطلاق رواية داود، إذ سوقها في مقام تحديد أصل الوقت بقول مطلق، بلا نظر منه إلى مقام الامتثال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بأنّ المدار على مضي مقدار ما هو وظيفته الفعلية، غاية الأمر إطلاق أدلة الاجزاء و الشرائط يقتضي إثبات كون وظيفته الفعلية الصلاة التامة، فإن كان في البين اضطرار من غير جهة النسيان مثلا، فتتعين وظيفته الفعلية بأقل منه، فيدور أمر الاختصاص أيضا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جهة النسيان، فلا يقتضي دليل النسيان سقوط الجزء أو الشرط عن الاعتبار، إلّا في فرض وجودهما حال العمل، فمهما لم يعمل لم تسقط الأمور المعتبرة عن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الجهة تختلف الوظيفة في حق الفاعل و التارك، فيرتفع الإشكال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كون المراد من الاختصاص الاختصاص بالنسبة إلى شريكتها الأدائية، لا مطلقا، إذ لا نظر لها إلى أزيد من ذلك، فلا أقل من الشك، فإطلاق أدلتها أو الأصل محكم في غير الشريكة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غربت الشمس خرج وقت الظهرين، لما عرفت من نص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حدّه غيبوبة الحمرة المشرقية كما هو المشهور، خلافا للعامة </w:t>
      </w:r>
      <w:r>
        <w:rPr>
          <w:rStyle w:val="FootnoteAnchor"/>
          <w:rtl w:val="true"/>
        </w:rPr>
        <w:footnoteReference w:id="1542"/>
      </w:r>
      <w:r>
        <w:rPr>
          <w:rFonts w:ascii="Amiri" w:hAnsi="Amiri" w:eastAsia="Amiri" w:cs="Amiri"/>
          <w:color w:val="111111"/>
          <w:sz w:val="28"/>
          <w:sz w:val="28"/>
          <w:szCs w:val="28"/>
          <w:rtl w:val="true"/>
          <w:lang w:bidi="ar-SA"/>
        </w:rPr>
        <w:t xml:space="preserve">و شرذمة من الخاصة </w:t>
      </w:r>
      <w:r>
        <w:rPr>
          <w:rStyle w:val="FootnoteAnchor"/>
          <w:rtl w:val="true"/>
        </w:rPr>
        <w:footnoteReference w:id="1543"/>
      </w:r>
      <w:r>
        <w:rPr>
          <w:rFonts w:ascii="Amiri" w:hAnsi="Amiri" w:eastAsia="Amiri" w:cs="Amiri"/>
          <w:color w:val="111111"/>
          <w:sz w:val="28"/>
          <w:sz w:val="28"/>
          <w:szCs w:val="28"/>
          <w:rtl w:val="true"/>
          <w:lang w:bidi="ar-SA"/>
        </w:rPr>
        <w:t>، حيث ذهبوا إلى 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القرص عن الأفق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الخلاف، اختلاف أخبار الباب، ففي جملة من النصوص تحديده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بغياب القرص</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كرسيها</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إذا نظرت لم تره</w:t>
      </w:r>
      <w:r>
        <w:rPr>
          <w:rFonts w:eastAsia="Amiri" w:cs="Amiri" w:ascii="Amiri" w:hAnsi="Amiri"/>
          <w:color w:val="111111"/>
          <w:sz w:val="28"/>
          <w:szCs w:val="28"/>
          <w:rtl w:val="true"/>
          <w:lang w:bidi="ar-SA"/>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استتاره عن رءوس الجبال</w:t>
      </w:r>
      <w:r>
        <w:rPr>
          <w:rFonts w:eastAsia="IRNazanin" w:cs="IRNazanin"/>
          <w:color w:val="111111"/>
          <w:sz w:val="28"/>
          <w:szCs w:val="28"/>
          <w:rtl w:val="true"/>
          <w:lang w:bidi="fa-IR"/>
        </w:rPr>
        <w:t xml:space="preserve">» </w:t>
      </w:r>
      <w:r>
        <w:rPr>
          <w:rStyle w:val="FootnoteAnchor"/>
          <w:rtl w:val="true"/>
        </w:rPr>
        <w:footnoteReference w:id="1547"/>
      </w:r>
      <w:r>
        <w:rPr>
          <w:rFonts w:ascii="Amiri" w:hAnsi="Amiri" w:eastAsia="Amiri" w:cs="Amiri"/>
          <w:color w:val="111111"/>
          <w:sz w:val="28"/>
          <w:sz w:val="28"/>
          <w:szCs w:val="28"/>
          <w:rtl w:val="true"/>
          <w:lang w:bidi="ar-SA"/>
        </w:rPr>
        <w:t>و إن كان موجودا وراء الجبل، بناء على حمله على تغاير الأفقين، و إلّا فلا قائل بمضمونها حتى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الجميع ما ورد في شرح الغياب </w:t>
      </w:r>
      <w:r>
        <w:rPr>
          <w:rStyle w:val="FootnoteAnchor"/>
          <w:rtl w:val="true"/>
        </w:rPr>
        <w:footnoteReference w:id="1548"/>
      </w:r>
      <w:r>
        <w:rPr>
          <w:rFonts w:ascii="Amiri" w:hAnsi="Amiri" w:eastAsia="Amiri" w:cs="Amiri"/>
          <w:color w:val="111111"/>
          <w:sz w:val="28"/>
          <w:sz w:val="28"/>
          <w:szCs w:val="28"/>
          <w:rtl w:val="true"/>
          <w:lang w:bidi="ar-SA"/>
        </w:rPr>
        <w:t>بمرتبة تلازم ذهاب الحمرة المشرقية، إذ هو الذي يوجب الغيبوبة من شرق الأرض و غربها، إذ المراد من شرق الأرض و غربها ما هو بالإضافة إلى 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حصول الغياب لصاحب هذا الأفق، حتى بالإضافة إلى من كان في غربة، لأنّ مقتضى كروية الأرض قهرا كون غياب القرص عن مثله موجبا لازدياد الغياب بالنسبة إلى من كان في وسط أفقه، و يلازم بالإضافة إليه ذهاب الحمرة المزبورة، فجعل ذهاب الحمرة من شرقها و غربها معيارا لحصول هذه المرتبة من الغيبوبة، و ذلك هو المدار لكل أحد يفرض في وسط أفقه، و يلاحظ بالنسبة إليه حصول الغياب لمن في غربة، لا أنّ الغروب تختلف درجته بالنسبة إلى من كان في وسط الأفق أو طرف غربة،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كان لمثل هذه الرواية الشريفة نحو شرح و حكومة على روايات غياب القرص، كما هو ظاهر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فالحق ما ذهب إليه المشهور، مؤيدا أيضا بما في بعض النصوص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و تأخذ الحائطة لدينك</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 إذ مثل هذا التعبير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خلاف شأنه في مقام رفع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لمحض الإرشاد إلى واقع الأمر، بنحو لا يؤخذ على خلاف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فبوصول غياب الشمس الى هذه الدرجة يخرج وقت الظهرين، وفق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تحدّد ذلك بغير الغروب، فتارة تحدد خروج وقت الظهر بالقدمين </w:t>
      </w:r>
      <w:r>
        <w:rPr>
          <w:rStyle w:val="FootnoteAnchor"/>
          <w:rtl w:val="true"/>
        </w:rPr>
        <w:footnoteReference w:id="1550"/>
      </w:r>
      <w:r>
        <w:rPr>
          <w:rFonts w:ascii="IRNazanin" w:hAnsi="IRNazanin" w:eastAsia="IRNazanin"/>
          <w:color w:val="111111"/>
          <w:sz w:val="28"/>
          <w:sz w:val="28"/>
          <w:szCs w:val="28"/>
          <w:rtl w:val="true"/>
          <w:lang w:bidi="fa-IR"/>
        </w:rPr>
        <w:t xml:space="preserve">، و اخرى بالذراع </w:t>
      </w:r>
      <w:r>
        <w:rPr>
          <w:rStyle w:val="FootnoteAnchor"/>
          <w:rtl w:val="true"/>
        </w:rPr>
        <w:footnoteReference w:id="1551"/>
      </w:r>
      <w:r>
        <w:rPr>
          <w:rFonts w:ascii="Amiri" w:hAnsi="Amiri" w:eastAsia="Amiri" w:cs="Amiri"/>
          <w:color w:val="111111"/>
          <w:sz w:val="28"/>
          <w:sz w:val="28"/>
          <w:szCs w:val="28"/>
          <w:rtl w:val="true"/>
          <w:lang w:bidi="ar-SA"/>
        </w:rPr>
        <w:t xml:space="preserve">، و ثالثة بالقامة </w:t>
      </w:r>
      <w:r>
        <w:rPr>
          <w:rStyle w:val="FootnoteAnchor"/>
          <w:rtl w:val="true"/>
        </w:rPr>
        <w:footnoteReference w:id="1552"/>
      </w:r>
      <w:r>
        <w:rPr>
          <w:rFonts w:ascii="Amiri" w:hAnsi="Amiri" w:eastAsia="Amiri" w:cs="Amiri"/>
          <w:color w:val="111111"/>
          <w:sz w:val="28"/>
          <w:sz w:val="28"/>
          <w:szCs w:val="28"/>
          <w:rtl w:val="true"/>
          <w:lang w:bidi="ar-SA"/>
        </w:rPr>
        <w:t xml:space="preserve">، و وقت العصر بصيرورة ظل كل شي‌ء مثله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الجمع تارة بالحمل على بيان وقت الفضيلة و الاجزاء، أو التفصيل بين المختار و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المشهور المنصور، لقوة جمعه على تقييد إطلاق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بتحقق الغروب المزبور دخل وقت المغرب مختصا بها بنحو اختصاص الظهرين بوقتهما، لنص داود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وقتها إلى أن يمضي مقدار أدائها بنحو عرفت شرحه سابقا، ثم يشترك الوقت بالنص المزبور بينها و بين العشاء إلى أن يبقى لانتصاف الليل مقدار أربع ركعات للحاضر، و ركعتين للمسافر، فيختص بالعشاء على المشهور، للنص المزبور أيضا</w:t>
      </w:r>
      <w:r>
        <w:rPr>
          <w:rFonts w:eastAsia="Amiri" w:cs="Amiri" w:ascii="Amiri" w:hAnsi="Amiri"/>
          <w:color w:val="111111"/>
          <w:sz w:val="28"/>
          <w:szCs w:val="28"/>
          <w:rtl w:val="true"/>
          <w:lang w:bidi="ar-SA"/>
        </w:rPr>
        <w:t>.</w:t>
      </w:r>
      <w:bookmarkStart w:id="465" w:name="pg19729_212924"/>
    </w:p>
    <w:p>
      <w:pPr>
        <w:pStyle w:val="BookText"/>
        <w:rPr/>
      </w:pPr>
      <w:bookmarkEnd w:id="465"/>
      <w:r>
        <w:rPr>
          <w:rFonts w:ascii="Amiri" w:hAnsi="Amiri" w:eastAsia="Amiri" w:cs="Amiri"/>
          <w:color w:val="111111"/>
          <w:sz w:val="28"/>
          <w:sz w:val="28"/>
          <w:szCs w:val="28"/>
          <w:rtl w:val="true"/>
          <w:lang w:bidi="ar-SA"/>
        </w:rPr>
        <w:t xml:space="preserve">و في قباله أخبار أخر في تحديد آخر المغرب بغيبوبة الشفق </w:t>
      </w:r>
      <w:r>
        <w:rPr>
          <w:rStyle w:val="FootnoteAnchor"/>
          <w:rtl w:val="true"/>
        </w:rPr>
        <w:footnoteReference w:id="1555"/>
      </w:r>
      <w:r>
        <w:rPr>
          <w:rFonts w:ascii="IRNazanin" w:hAnsi="IRNazanin" w:eastAsia="IRNazanin"/>
          <w:color w:val="111111"/>
          <w:sz w:val="28"/>
          <w:sz w:val="28"/>
          <w:szCs w:val="28"/>
          <w:rtl w:val="true"/>
          <w:lang w:bidi="fa-IR"/>
        </w:rPr>
        <w:t xml:space="preserve">، و وقت العشاء بالفجر </w:t>
      </w:r>
      <w:r>
        <w:rPr>
          <w:rStyle w:val="FootnoteAnchor"/>
          <w:rtl w:val="true"/>
        </w:rPr>
        <w:footnoteReference w:id="1556"/>
      </w:r>
      <w:r>
        <w:rPr>
          <w:rFonts w:ascii="Amiri" w:hAnsi="Amiri" w:eastAsia="Amiri" w:cs="Amiri"/>
          <w:color w:val="111111"/>
          <w:sz w:val="28"/>
          <w:sz w:val="28"/>
          <w:szCs w:val="28"/>
          <w:rtl w:val="true"/>
          <w:lang w:bidi="ar-SA"/>
        </w:rPr>
        <w:t xml:space="preserve">تارة، و بثلث الليل اخرى </w:t>
      </w:r>
      <w:r>
        <w:rPr>
          <w:rStyle w:val="FootnoteAnchor"/>
          <w:rtl w:val="true"/>
        </w:rPr>
        <w:footnoteReference w:id="1557"/>
      </w:r>
      <w:r>
        <w:rPr>
          <w:rFonts w:ascii="Amiri" w:hAnsi="Amiri" w:eastAsia="Amiri" w:cs="Amiri"/>
          <w:color w:val="111111"/>
          <w:sz w:val="28"/>
          <w:sz w:val="28"/>
          <w:szCs w:val="28"/>
          <w:rtl w:val="true"/>
          <w:lang w:bidi="ar-SA"/>
        </w:rPr>
        <w:t>، و لا يخفى أيضا وجه الجمع من الحمل على الاجزاء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بقاء الوقت الى الفجر ضعف، فيشكل كشف وقت الاجزاء منها، فلا محيص عن تخصيص وقت الاجزاء في العشاء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الجمع أولى من الحمل على وقت الاختيار و الاضطرار، لاقتضاء ذلك تصرفا في الطائفتين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المضطر لنوم أو نسيان أو حيض، ورد النص ببقاء وقت العشاء </w:t>
      </w:r>
      <w:r>
        <w:rPr>
          <w:rStyle w:val="FootnoteAnchor"/>
          <w:rtl w:val="true"/>
        </w:rPr>
        <w:footnoteReference w:id="1558"/>
      </w:r>
      <w:r>
        <w:rPr>
          <w:rFonts w:ascii="Amiri" w:hAnsi="Amiri" w:eastAsia="Amiri" w:cs="Amiri"/>
          <w:color w:val="111111"/>
          <w:sz w:val="28"/>
          <w:sz w:val="28"/>
          <w:szCs w:val="28"/>
          <w:rtl w:val="true"/>
          <w:lang w:bidi="ar-SA"/>
        </w:rPr>
        <w:t>، و في نجاة العباد تعدّى الى مطلق الاضطرار، لكن في التعدّي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كشف الاجزاء المطلق من النص، و حمل النصف على الفضيلة مطلقا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تخصيص دليل النصف بما دل على البقاء في خصوص الأعذار الثلاثة</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3251451_2314609296"/>
      <w:bookmarkStart w:id="467" w:name="_Toc178"/>
      <w:bookmarkEnd w:id="466"/>
      <w:r>
        <w:rPr>
          <w:rtl w:val="true"/>
        </w:rPr>
        <w:t>بقي أمران</w:t>
      </w:r>
      <w:r>
        <w:rPr>
          <w:rtl w:val="true"/>
        </w:rPr>
        <w:t>:</w:t>
      </w:r>
      <w:bookmarkEnd w:id="467"/>
    </w:p>
    <w:p>
      <w:pPr>
        <w:pStyle w:val="Heading6"/>
        <w:numPr>
          <w:ilvl w:val="5"/>
          <w:numId w:val="1"/>
        </w:numPr>
        <w:rPr/>
      </w:pPr>
      <w:bookmarkStart w:id="468" w:name="__RefHeading___Toc3251453_2314609296"/>
      <w:bookmarkStart w:id="469" w:name="_Toc179"/>
      <w:bookmarkEnd w:id="468"/>
      <w:r>
        <w:rPr>
          <w:rtl w:val="true"/>
        </w:rPr>
        <w:t>أحدهما</w:t>
      </w:r>
      <w:r>
        <w:rPr>
          <w:rtl w:val="true"/>
        </w:rPr>
        <w:t xml:space="preserve">: </w:t>
      </w:r>
      <w:r>
        <w:rPr>
          <w:rtl w:val="true"/>
        </w:rPr>
        <w:t>انّ من نتائج القول بالاختصاص عدم صحة العصر</w:t>
      </w:r>
      <w:bookmarkEnd w:id="469"/>
    </w:p>
    <w:p>
      <w:pPr>
        <w:pStyle w:val="BookText"/>
        <w:rPr/>
      </w:pPr>
      <w:r>
        <w:rPr>
          <w:rFonts w:ascii="Amiri" w:hAnsi="Amiri" w:eastAsia="Amiri" w:cs="Amiri"/>
          <w:color w:val="111111"/>
          <w:sz w:val="28"/>
          <w:sz w:val="28"/>
          <w:szCs w:val="28"/>
          <w:rtl w:val="true"/>
          <w:lang w:bidi="ar-SA"/>
        </w:rPr>
        <w:t xml:space="preserve">لو أتي بها في وقت الظهر سهوا، بخلافه على الاشتراك، لأنّ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الشمول من جهة الوقت، بخلافه بالنسبة إلى الترتيب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ثمرات الاختصاص المطلق أيضا عدم صحة الظهر أداء في وقت</w:t>
      </w:r>
    </w:p>
    <w:p>
      <w:pPr>
        <w:pStyle w:val="BookText"/>
        <w:rPr/>
      </w:pPr>
      <w:r>
        <w:rPr>
          <w:rFonts w:ascii="Amiri" w:hAnsi="Amiri" w:eastAsia="Amiri" w:cs="Amiri"/>
          <w:color w:val="111111"/>
          <w:sz w:val="28"/>
          <w:sz w:val="28"/>
          <w:szCs w:val="28"/>
          <w:rtl w:val="true"/>
          <w:lang w:bidi="ar-SA"/>
        </w:rPr>
        <w:t>عصرها، حتى لمن أدى فريضة العصر سهوا في الوقت المشترك، نعم لو قيل باختصاص ذلك لمن لم يأت بالفريضة، كان لإتيان الظهر حينئذ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ثمراته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بالإتيان عند الشك في إتيان الظهر بعد الدخول في وقت العصر، و أما بناء على الاشتراك فلا مجال للحكم به إلّا بمقدار الحكم بصحة عصرها، فيجب الإتيان بها بعدها، كما هو الشأن عند الشك فيها في صلاة العصر في الوقت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أنّ من ثمراته أيضا وجوب الإتيان بالمغرب لمن لم يبق له من الوقت للحاضر إلّا أربع ركعات، إذ حينئذ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دائرة الوقت، فيجب الإتيان بهما، كما هو الشأن لو بقي خمس ركعات في الظهرين حتى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 بحال</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فوجب الإتيان بالصلاتين، بلا اعتناء لمزاحمة الاولى مقدارا من الوقت المختص بالمناسبة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 لو قيل بالاختصاص، فإنه حينئذ لا يبقى مجال لتطبيق الوقت على المغرب أصلا، كي يقتضي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إنما يتم في فرض عدم اقتضاء دليل الاشتراك أهمية هذا المقدار لحفظ العصر، و إلّا فنفس هذه الأهمية تمنع عن الإتيان بالمغرب، بنص رواية داود </w:t>
      </w:r>
      <w:r>
        <w:rPr>
          <w:rStyle w:val="FootnoteAnchor"/>
          <w:rtl w:val="true"/>
        </w:rPr>
        <w:footnoteReference w:id="1560"/>
      </w:r>
      <w:r>
        <w:rPr>
          <w:rFonts w:ascii="Amiri" w:hAnsi="Amiri" w:eastAsia="Amiri" w:cs="Amiri"/>
          <w:color w:val="111111"/>
          <w:sz w:val="28"/>
          <w:sz w:val="28"/>
          <w:szCs w:val="28"/>
          <w:rtl w:val="true"/>
          <w:lang w:bidi="ar-SA"/>
        </w:rPr>
        <w:t>، بعد فرض الجمع المزبور، بل لازم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لا يبقى مجال لجريان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يصلح</w:t>
      </w:r>
      <w:bookmarkStart w:id="470" w:name="pg19729_212926"/>
    </w:p>
    <w:p>
      <w:pPr>
        <w:pStyle w:val="BookText"/>
        <w:rPr/>
      </w:pPr>
      <w:bookmarkEnd w:id="470"/>
      <w:r>
        <w:rPr>
          <w:rFonts w:ascii="Amiri" w:hAnsi="Amiri" w:eastAsia="Amiri" w:cs="Amiri"/>
          <w:color w:val="111111"/>
          <w:sz w:val="28"/>
          <w:sz w:val="28"/>
          <w:szCs w:val="28"/>
          <w:rtl w:val="true"/>
          <w:lang w:bidi="ar-SA"/>
        </w:rPr>
        <w:t>للتوسعة اختيارا، خصوصا بعد فرض ثبوت أهمية الفريضة بالنسبة إلى وقتها المضروب لها فعلا، مع اشتراكه بينهما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جهة ذلك أمكن نسبة عدم الالتزام بوجوب الصلاتين في الفرض المزبور إلى الطرفين، بل لا أظن التزام أحد به، كما أنه لا يبقى مجال لجعل مثل هذا التالي من براهين القول بالاشتراك، كما هو ظاهر</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251455_2314609296"/>
      <w:bookmarkStart w:id="472" w:name="_Toc180"/>
      <w:bookmarkEnd w:id="471"/>
      <w:r>
        <w:rPr>
          <w:rtl w:val="true"/>
        </w:rPr>
        <w:t>ثانيهما</w:t>
      </w:r>
      <w:r>
        <w:rPr>
          <w:rtl w:val="true"/>
        </w:rPr>
        <w:t xml:space="preserve">: </w:t>
      </w:r>
      <w:r>
        <w:rPr>
          <w:rtl w:val="true"/>
        </w:rPr>
        <w:t>انّ النصف الذي هو منتهى وقت العشاء ليس له حد مخصوص،</w:t>
      </w:r>
      <w:bookmarkEnd w:id="472"/>
    </w:p>
    <w:p>
      <w:pPr>
        <w:pStyle w:val="BookText"/>
        <w:rPr/>
      </w:pPr>
      <w:r>
        <w:rPr>
          <w:rFonts w:ascii="Amiri" w:hAnsi="Amiri" w:eastAsia="Amiri" w:cs="Amiri"/>
          <w:color w:val="111111"/>
          <w:sz w:val="28"/>
          <w:sz w:val="28"/>
          <w:szCs w:val="28"/>
          <w:rtl w:val="true"/>
          <w:lang w:bidi="ar-SA"/>
        </w:rPr>
        <w:t>بل يعرف بمقايسته إلى طرفيه، المختلف حسب اختلاف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في حد الليل، كي يجعل مقياسا لنصفه، و ذلك لأن ما دل على سقوط النوافل النهارية </w:t>
      </w:r>
      <w:r>
        <w:rPr>
          <w:rStyle w:val="FootnoteAnchor"/>
          <w:rtl w:val="true"/>
        </w:rPr>
        <w:footnoteReference w:id="1561"/>
      </w:r>
      <w:r>
        <w:rPr>
          <w:rFonts w:ascii="Amiri" w:hAnsi="Amiri" w:eastAsia="Amiri" w:cs="Amiri"/>
          <w:color w:val="111111"/>
          <w:sz w:val="28"/>
          <w:sz w:val="28"/>
          <w:szCs w:val="28"/>
          <w:rtl w:val="true"/>
          <w:lang w:bidi="ar-SA"/>
        </w:rPr>
        <w:t>مع الجزم بعدم سقوط نافلة الفجر كاشف عن كونه ليلا، و انّ حده ينتهي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بوجوب اشتغال الأجير في النهار من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الوجهين عدم دخول الفجر في النهار، لا دخوله في الليل، كيف و احتمال كونه زمانا ثالثا موجود في الأذهان، بل به نطق أيضا بعض النصوص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عدم الفصل بين الليل و النهار، فالوجهان المذكوران لا يدلان على المدّعى، أما الأول، فلأن أصالة الظهور لا يقتضي إخراج مشكوك الفردية، و أما الثاني، فلانصراف النهار في الأجير إلى المتعارف منه، و هو أول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يعارض مثل ذلك ما ورد بأنّ الصبح الفجر قبال الليل و خارج عنه، فالأوفق حينئذ ما هو المشهور، من جعل النصف وسطا بين المغرب 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طلع الفجر الثاني الذي هو عبارة عن البياض المنبسط على مطلع الشمس، كما يستفاد ذلك من النصوص بعبارات مختلفة </w:t>
      </w:r>
      <w:r>
        <w:rPr>
          <w:rStyle w:val="FootnoteAnchor"/>
          <w:rtl w:val="true"/>
        </w:rPr>
        <w:footnoteReference w:id="1563"/>
      </w:r>
      <w:r>
        <w:rPr>
          <w:rFonts w:ascii="Amiri" w:hAnsi="Amiri" w:eastAsia="Amiri" w:cs="Amiri"/>
          <w:color w:val="111111"/>
          <w:sz w:val="28"/>
          <w:sz w:val="28"/>
          <w:szCs w:val="28"/>
          <w:rtl w:val="true"/>
          <w:lang w:bidi="ar-SA"/>
        </w:rPr>
        <w:t>، دخل وقت الصبح، و يبقى إلى أن تطلع الشمس بنحو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جملة من النصوص السابقة، و في قبالها ما دل على انه الى أن يتجلّل السماء </w:t>
      </w:r>
      <w:r>
        <w:rPr>
          <w:rStyle w:val="FootnoteAnchor"/>
          <w:rtl w:val="true"/>
        </w:rPr>
        <w:footnoteReference w:id="1564"/>
      </w:r>
      <w:r>
        <w:rPr>
          <w:rFonts w:ascii="Amiri" w:hAnsi="Amiri" w:eastAsia="Amiri" w:cs="Amiri"/>
          <w:color w:val="111111"/>
          <w:sz w:val="28"/>
          <w:sz w:val="28"/>
          <w:szCs w:val="28"/>
          <w:rtl w:val="true"/>
          <w:lang w:bidi="ar-SA"/>
        </w:rPr>
        <w:t>، و الحمل على مرتبتي الفضيلة 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مطلب آخر، و هو انّ من لم يتمكن من الوقت بما له حالة خاصة من الاختيارية أو الاضطرارية، الحاصلة من سائر الجهات غير ضيق الوقت، إلّا بمقدار ركعة، بحسب حاله من الوظيفة الفعلية، يجب عليه إتيان الصلاة، فكان كمن أدرك الوقت كله، و قد نطق بمضمونه بعض النصوص في بعض المقامات الخاصة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الأصحاب تلقّوه بالقبول بنحو الكلية، و مقتضى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وظيفته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لا تجب عليه الصلاة، و بمثل ذلك ترفع اليد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يتوهم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حينئذ سقوط اعتبار الأجزاء،</w:t>
      </w:r>
    </w:p>
    <w:p>
      <w:pPr>
        <w:pStyle w:val="BookText"/>
        <w:rPr/>
      </w:pPr>
      <w:r>
        <w:rPr>
          <w:rFonts w:ascii="Amiri" w:hAnsi="Amiri" w:eastAsia="Amiri" w:cs="Amiri"/>
          <w:color w:val="111111"/>
          <w:sz w:val="28"/>
          <w:sz w:val="28"/>
          <w:szCs w:val="28"/>
          <w:rtl w:val="true"/>
          <w:lang w:bidi="ar-SA"/>
        </w:rPr>
        <w:t>و الاجتزاء بمثل صلاة الغرقى، و هي التكبيرات الأربع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الممكن أن يدّعى أن نظر مثل هذا العموم الى عدم ترك ما هو محرز صلاتيته من الخارج، لا من قبل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يقتضي مثل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بالصلاة، إذا لم يتمكن من الصلاة الكاملة، بل ليس شأنه إثبات صلاتية شي‌ء أصلا، و إنما هو متكفل لحرمة ترك ما هو مفروغ صلاتيته، فالمتكفل لإثباتها حينئذ مثل قاعدة الميسور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في باب الحيض نفي القضاء على من لم تفرط في تحصيل الطهارة </w:t>
      </w:r>
      <w:r>
        <w:rPr>
          <w:rStyle w:val="FootnoteAnchor"/>
          <w:rtl w:val="true"/>
        </w:rPr>
        <w:footnoteReference w:id="1566"/>
      </w:r>
      <w:r>
        <w:rPr>
          <w:rFonts w:ascii="Amiri" w:hAnsi="Amiri" w:eastAsia="Amiri" w:cs="Amiri"/>
          <w:color w:val="111111"/>
          <w:sz w:val="28"/>
          <w:sz w:val="28"/>
          <w:szCs w:val="28"/>
          <w:rtl w:val="true"/>
          <w:lang w:bidi="ar-SA"/>
        </w:rPr>
        <w:t>و إن كانت متمكنة من تحصيل غيرها، و لازمة وجوب القضاء بل الأداء أيضا على من تمكن من تحصيل الطهارة و إن لم يتمكن من تحصيل بقية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أيضا يشرح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بصدد التهيئة للصلاة</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بحمله على التهيئة من حيث الطهارة فقط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سياقها يأبى عن تخصيص مثل هذه الجهة بباب الحيض، بل ربما يكون ذلك ميزانا كليا لوجوب الأداء، أو القضاء من حيث التمكن من الشرائط و عدمه، من دون فرق بين أن يكون لعدم التمكن بسبب خارجي، أو بسبب ضيق الوقت، لطروء الحيض أو جهة أخرى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دل على أنّ غير المتمكن من شرط يجب عليه الإتيان بالبقية، يجب تخصيصه بغير العاجز عن الطهارة، و أما بالنسبة إليها فلا تكون الصلاة واجبة الإتيان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أيضا نظر المشهور في حكمهم بسقوط الصلاة أداء و قضاء عن فاقد الطهورين، و لازم ذلك وجوب الإتيان لمن تمكّن لدرك ركعة مع الطهارة، لأنه وظيفة كل من يجب عليه تمامها مع درك تمامها كما هو ظاهر،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النوافل فالمشهور أنها مؤقتات، بشهادة ما في النصوص من تحديد أوقاتها تارة </w:t>
      </w:r>
      <w:r>
        <w:rPr>
          <w:rStyle w:val="FootnoteAnchor"/>
          <w:rtl w:val="true"/>
        </w:rPr>
        <w:footnoteReference w:id="1568"/>
      </w:r>
      <w:r>
        <w:rPr>
          <w:rFonts w:ascii="IRNazanin" w:hAnsi="IRNazanin" w:eastAsia="IRNazanin"/>
          <w:color w:val="111111"/>
          <w:sz w:val="28"/>
          <w:sz w:val="28"/>
          <w:szCs w:val="28"/>
          <w:rtl w:val="true"/>
          <w:lang w:bidi="fa-IR"/>
        </w:rPr>
        <w:t xml:space="preserve">، و الأمر بقضائها أخرى </w:t>
      </w:r>
      <w:r>
        <w:rPr>
          <w:rStyle w:val="FootnoteAnchor"/>
          <w:rtl w:val="true"/>
        </w:rPr>
        <w:footnoteReference w:id="1569"/>
      </w:r>
      <w:r>
        <w:rPr>
          <w:rFonts w:ascii="Amiri" w:hAnsi="Amiri" w:eastAsia="Amiri" w:cs="Amiri"/>
          <w:color w:val="111111"/>
          <w:sz w:val="28"/>
          <w:sz w:val="28"/>
          <w:szCs w:val="28"/>
          <w:rtl w:val="true"/>
          <w:lang w:bidi="ar-SA"/>
        </w:rPr>
        <w:t xml:space="preserve">، و التصريح بأفضلية إتيانها في أوقاتها ثالثة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قبالها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هدية متى أتي بها قبلت</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قدّمت أو أخّرت</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بينها و 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السابقة على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المشهور غير ملتزمين بمشروعية النوافل قبل وقتها، فلا بد من حمل الأخيرة على غير اليومية، و أما طرحها سندا فغير وجيه بعد استفاضة اسنادها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بتأخيرها عن وقتها، و كونها في أوقاتها أفضل، كما نطق به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فوقت نافلة الظهر إذا زالت الشمس في غير الجمعة، و ستجي‌ء الإشارة إلى وقتها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يمتد وقت نافلة الظهر عند المصنف إلى أن يصير ظل كل شي‌ء مثله، و نظره إلى ما في النص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ظلك مثلك فصل الظهر،</w:t>
      </w:r>
    </w:p>
    <w:p>
      <w:pPr>
        <w:pStyle w:val="BookText"/>
        <w:rPr/>
      </w:pPr>
      <w:r>
        <w:rPr>
          <w:rFonts w:ascii="Amiri" w:hAnsi="Amiri" w:eastAsia="Amiri" w:cs="Amiri"/>
          <w:color w:val="111111"/>
          <w:sz w:val="28"/>
          <w:sz w:val="28"/>
          <w:szCs w:val="28"/>
          <w:rtl w:val="true"/>
          <w:lang w:bidi="ar-SA"/>
        </w:rPr>
        <w:t>و إذا كان ظلك مثليك فصل العصر</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لا يخفى عدم مقاومتها لما دل على التحديد بالذراع أو القدمين </w:t>
      </w:r>
      <w:r>
        <w:rPr>
          <w:rStyle w:val="FootnoteAnchor"/>
          <w:rtl w:val="true"/>
        </w:rPr>
        <w:footnoteReference w:id="1574"/>
      </w:r>
      <w:r>
        <w:rPr>
          <w:rFonts w:ascii="Amiri" w:hAnsi="Amiri" w:eastAsia="Amiri" w:cs="Amiri"/>
          <w:color w:val="111111"/>
          <w:sz w:val="28"/>
          <w:sz w:val="28"/>
          <w:szCs w:val="28"/>
          <w:rtl w:val="true"/>
          <w:lang w:bidi="ar-SA"/>
        </w:rPr>
        <w:t>، بضميمة ما دل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يؤخذ من وقت هذه فيدخل في وقت هذه</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لإمكان حملها على دخول وقت فضيلة الفريضة، و هو لا يلزم بقاء وقت النافلة، و لعله إلى ذلك نظر المشهور في ذهابهم الى ما ذكرنا من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طوّلت و إن شئت قصّرت</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و في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يقتضي إثباتها في الزائد عن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بل ربما يستفاد من أخبار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فضيلة الفريضة في الزائد عنه، و عليه فيحمل أخبار المثل على الأفضلية كما هو الشأن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فإذا صار كذلك يعني بمقدار المثل عند المصنف، و الذراع عندنا و لم يصلّ شيئا من النافلة اشتغل بالفريضة، للنصوص السابقة على اختلاف المسلكين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تلبّس بركعة من النافلة زاحم بها الفريضة بلا اشكال فيه، للموثقة المشتملة على إتمام بقية النوافل بمحض دركه ركعة منها </w:t>
      </w:r>
      <w:r>
        <w:rPr>
          <w:rStyle w:val="FootnoteAnchor"/>
          <w:rtl w:val="true"/>
        </w:rPr>
        <w:footnoteReference w:id="1577"/>
      </w:r>
      <w:r>
        <w:rPr>
          <w:rFonts w:ascii="Amiri" w:hAnsi="Amiri" w:eastAsia="Amiri" w:cs="Amiri"/>
          <w:color w:val="111111"/>
          <w:sz w:val="28"/>
          <w:sz w:val="28"/>
          <w:szCs w:val="28"/>
          <w:rtl w:val="true"/>
          <w:lang w:bidi="ar-SA"/>
        </w:rPr>
        <w:t xml:space="preserve">، و لولاها لم يكن يقتضي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إلّا إتمام ما بيده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العصر بعد الظهر، لما في جملة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ثمان إذا زالت الشمس، و ثمان بعد الظهر</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و الأمر من تلك الجهة ظاهر، كظهور وجه ما أفاد من امتداده الى أن يصير ظل كل شي‌ء مثليه على مختاره، أو الذراعين على المختار، لما عرفت من 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وجه انه لو خرج و قد تلبّس بركعة زاحم بها أي بالفريضة وقت فضلها، لإطلاق الموثقة للمقام أيضا، لظهور سوقها في إعطاء الكلية، و إن كان موردها مختصا بنافلة الظهر، و إلّا أي و إن لم يتلبّس بشي‌ء منها فلا يزاحم بها، لما عرفت من نفي التطوّع بعد الذراعين في النص السابق، أو الأمر بالعصر بعد المثلين كما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المغرب بعدها أي بعد الفريضة،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أربعا بعدها</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 و يمتد إلى أن تذهب الحمرة المغربية و هو الشفق،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غياب الشفق وقت العشاء</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 بضميمة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استفادة التحديد من أمثال ذلك نظر، لمناسبتها للأهمية أيضا، كما أشرنا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شمول فحوى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يؤخذ وقت هذه</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لما كان وجه للتحديد بذلك، و غاية الأمر انه لو ذهبت و لم يكملها اشتغل بالعشاء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مزاحمتها للعشاء مع التلبس بركعة فلا مجال له، لاختصاصه بالمؤقتات، و لازم المشهور إجراؤها في المقام أيضا، كما صنعه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المصنف عدم الجريان، و لا وجه له بعد جعلها مؤقتة، لو لا إيكاله على ما أفاده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نافلة الوتيرة بعد العشاء، لتحديدها في النص بما بعدها </w:t>
      </w:r>
      <w:r>
        <w:rPr>
          <w:rStyle w:val="FootnoteAnchor"/>
          <w:rtl w:val="true"/>
        </w:rPr>
        <w:footnoteReference w:id="1583"/>
      </w:r>
      <w:r>
        <w:rPr>
          <w:rFonts w:ascii="Amiri" w:hAnsi="Amiri" w:eastAsia="Amiri" w:cs="Amiri"/>
          <w:color w:val="111111"/>
          <w:sz w:val="28"/>
          <w:sz w:val="28"/>
          <w:szCs w:val="28"/>
          <w:rtl w:val="true"/>
          <w:lang w:bidi="ar-SA"/>
        </w:rPr>
        <w:t>، و يمتد بامتداد وقتها أي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التحديد المزبور نظر، لأنّ بعد العشاء يشمل ما لو أتي بها آخر وقتها، فتقع النافلة بعد النصف من الليل قهرا، لو لا انصرافه إلى وقتها المعهود، نعم ظاهر البعدية كونها بنحو يعد من التوابع،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نافلة الليل بعد انتصافه كما في بعض النصوص </w:t>
      </w:r>
      <w:r>
        <w:rPr>
          <w:rStyle w:val="FootnoteAnchor"/>
          <w:rtl w:val="true"/>
        </w:rPr>
        <w:footnoteReference w:id="1584"/>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الليل الى آخره</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بإتيانها في السحر</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بل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قرب من الفجر كان أفضل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في مثله أيضا شهادة الجمع بين مثل هذه النصوص، بالحمل على مراتب الفضيلة، باختلاف مراتب القرب إلى الفجر، و هذا الجمع أولى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النصف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ذوي الأعذار و إن كان يوهم بذلك ما ورد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أوتر في أول الليل</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 و لكنه لا ينافي ما ذكرنا من الجمع، بلا احتياج إلى تقييد</w:t>
      </w:r>
    </w:p>
    <w:p>
      <w:pPr>
        <w:pStyle w:val="BookText"/>
        <w:rPr/>
      </w:pPr>
      <w:r>
        <w:rPr>
          <w:rFonts w:ascii="Amiri" w:hAnsi="Amiri" w:eastAsia="Amiri" w:cs="Amiri"/>
          <w:color w:val="111111"/>
          <w:sz w:val="28"/>
          <w:sz w:val="28"/>
          <w:szCs w:val="28"/>
          <w:rtl w:val="true"/>
          <w:lang w:bidi="ar-SA"/>
        </w:rPr>
        <w:t>المطلقات،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طلع الفجر و قد تلبّس بأربع ركعات زاحم بها الصبح، للنص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الحمد و اعجل اعجل</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 طلوع الفجر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 و أخر الركعات</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بالوتر</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هاهنا هو بالحمل على مراتب الفضيلة، و أن التأخير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يتسع الوقت لأربع ركعات، فلا بأس، لإجراء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المقتضي لإتمام ما بيده لا غيره، لو لم نقل بمعارضته مع المفهوم في نص التلبس بأربع ركعات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 عن المفهوم أمكن إجراء حكم المزاحمة للبقية بما يدرك الركعة، بمقتضى سوق الرواية السابقة، الواردة في نوافل الظهر، الذي أجروها في غيرها أيضا من المؤقتات، مع ما أشرنا من اختصاص موردها بنافلة الزوال، كما لا يخفى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في بعض النصوص جواز إتيانها بعد الفجر، و النهي من جعل ذلك عادة </w:t>
      </w:r>
      <w:r>
        <w:rPr>
          <w:rStyle w:val="FootnoteAnchor"/>
          <w:rtl w:val="true"/>
        </w:rPr>
        <w:footnoteReference w:id="1592"/>
      </w:r>
      <w:r>
        <w:rPr>
          <w:rFonts w:ascii="Amiri" w:hAnsi="Amiri" w:eastAsia="Amiri" w:cs="Amiri"/>
          <w:color w:val="111111"/>
          <w:sz w:val="28"/>
          <w:sz w:val="28"/>
          <w:szCs w:val="28"/>
          <w:rtl w:val="true"/>
          <w:lang w:bidi="ar-SA"/>
        </w:rPr>
        <w:t>، و الالتزام بتقييدها ببعد صلاة الصبح، بقرينة الأمر بتأخير غير الوتر الى بعد الصلاة، و ان الأمر بالوتر لإمكان إتيانها قبل الفجر، فيكون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أخبار التحديد بالفجر</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من باب قضائها، ليس بأولى من الالتزام بمراتب الفضيلة، مرتبة بعد مرتبة، مؤيدة بأن النافلة هدية، النافلة هدية، إن شاء أخّر و إن</w:t>
      </w:r>
    </w:p>
    <w:p>
      <w:pPr>
        <w:pStyle w:val="BookText"/>
        <w:rPr/>
      </w:pPr>
      <w:r>
        <w:rPr>
          <w:rFonts w:ascii="Amiri" w:hAnsi="Amiri" w:eastAsia="Amiri" w:cs="Amiri"/>
          <w:color w:val="111111"/>
          <w:sz w:val="28"/>
          <w:sz w:val="28"/>
          <w:szCs w:val="28"/>
          <w:rtl w:val="true"/>
          <w:lang w:bidi="ar-SA"/>
        </w:rPr>
        <w:t>شاء قدّم،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بعض الوجوه المشار إليها أفاد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ركعتي الفجر بعد الفراغ من صلاة الليل، و في مثل هذا التحديد نظر، إذ غاية ما في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ركعتي الفجر من الليل</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احشوا بهما صلاة الليل</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 و في آخر بقبل الفجر </w:t>
      </w:r>
      <w:r>
        <w:rPr>
          <w:rStyle w:val="FootnoteAnchor"/>
          <w:rtl w:val="true"/>
        </w:rPr>
        <w:footnoteReference w:id="1596"/>
      </w:r>
      <w:r>
        <w:rPr>
          <w:rFonts w:ascii="Amiri" w:hAnsi="Amiri" w:eastAsia="Amiri" w:cs="Amiri"/>
          <w:color w:val="111111"/>
          <w:sz w:val="28"/>
          <w:sz w:val="28"/>
          <w:szCs w:val="28"/>
          <w:rtl w:val="true"/>
          <w:lang w:bidi="ar-SA"/>
        </w:rPr>
        <w:t xml:space="preserve">، و في ثالث ببعد الفجر </w:t>
      </w:r>
      <w:r>
        <w:rPr>
          <w:rStyle w:val="FootnoteAnchor"/>
          <w:rtl w:val="true"/>
        </w:rPr>
        <w:footnoteReference w:id="1597"/>
      </w:r>
      <w:r>
        <w:rPr>
          <w:rFonts w:ascii="Amiri" w:hAnsi="Amiri" w:eastAsia="Amiri" w:cs="Amiri"/>
          <w:color w:val="111111"/>
          <w:sz w:val="28"/>
          <w:sz w:val="28"/>
          <w:szCs w:val="28"/>
          <w:rtl w:val="true"/>
          <w:lang w:bidi="ar-SA"/>
        </w:rPr>
        <w:t xml:space="preserve">، و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قبل الفجر و حينه و بعده</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و لا يستفاد من شي‌ء من ذلك تحديد الوقت المزبور، بل المستفاد من المجموع اختيار إتيانها قبل الفجر أو بعدها أو حينها، غاية الأمر بعد الفجر أفضل، بقرينة أخبار التحديد به، و إليه أشار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تأخيرها إلى طلوعه أي الفجر أفضل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آخر وقته، ربما يظهر من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تتنور الغداة</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و من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تظهر الحمرة</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و من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تنزل الغداة، أو تترك</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على اختلاف النسخ، و لازم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وقتها بامتداد وقت الفريضة، و في صلاحيته حجة قبال السابقة نظر</w:t>
      </w:r>
      <w:r>
        <w:rPr>
          <w:rFonts w:eastAsia="Amiri" w:cs="Amiri" w:ascii="Amiri" w:hAnsi="Amiri"/>
          <w:color w:val="111111"/>
          <w:sz w:val="28"/>
          <w:szCs w:val="28"/>
          <w:rtl w:val="true"/>
          <w:lang w:bidi="ar-SA"/>
        </w:rPr>
        <w:t>.</w:t>
      </w:r>
      <w:bookmarkStart w:id="473" w:name="pg19729_212935"/>
    </w:p>
    <w:p>
      <w:pPr>
        <w:pStyle w:val="BookText"/>
        <w:rPr/>
      </w:pPr>
      <w:bookmarkEnd w:id="473"/>
      <w:r>
        <w:rPr>
          <w:rFonts w:ascii="Amiri" w:hAnsi="Amiri" w:eastAsia="Amiri" w:cs="Amiri"/>
          <w:color w:val="111111"/>
          <w:sz w:val="28"/>
          <w:sz w:val="28"/>
          <w:szCs w:val="28"/>
          <w:rtl w:val="true"/>
          <w:lang w:bidi="ar-SA"/>
        </w:rPr>
        <w:t xml:space="preserve">و عليه إذا طلع الفجر زاحم بها أي الفريضة و لوالي طلوع الحمرة المشرقية الملازمة لتنور الغداة، جمعا بينه و بين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جريان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سوق الموثقة السابقة في المقام، للمتمكن من الركعة،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امتداد وقته إلى طلوع الشمس لا يتصور لها هذه المزاحمة، لأهمية الفريضة في وقتها المضيّق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حينئذ بصحتها، لعدم اقتضاء الأمر بالشي‌ء النهي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بأحكامه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251457_2314609296"/>
      <w:bookmarkStart w:id="475" w:name="_Toc181"/>
      <w:bookmarkEnd w:id="474"/>
      <w:r>
        <w:rPr>
          <w:rtl w:val="true"/>
        </w:rPr>
        <w:t>مسائل</w:t>
      </w:r>
      <w:bookmarkEnd w:id="475"/>
    </w:p>
    <w:p>
      <w:pPr>
        <w:pStyle w:val="Heading6"/>
        <w:numPr>
          <w:ilvl w:val="5"/>
          <w:numId w:val="1"/>
        </w:numPr>
        <w:rPr/>
      </w:pPr>
      <w:bookmarkStart w:id="476" w:name="__RefHeading___Toc3251459_2314609296"/>
      <w:bookmarkStart w:id="477" w:name="_Toc182"/>
      <w:bookmarkEnd w:id="476"/>
      <w:r>
        <w:rPr>
          <w:rtl w:val="true"/>
        </w:rPr>
        <w:t>الأولى</w:t>
      </w:r>
      <w:r>
        <w:rPr>
          <w:rtl w:val="true"/>
        </w:rPr>
        <w:t xml:space="preserve">: </w:t>
      </w:r>
      <w:r>
        <w:rPr>
          <w:rtl w:val="true"/>
        </w:rPr>
        <w:t>تصلّى الفرائض في كل وقت من أوقاتها أداء،</w:t>
      </w:r>
      <w:bookmarkEnd w:id="477"/>
    </w:p>
    <w:p>
      <w:pPr>
        <w:pStyle w:val="BookText"/>
        <w:rPr/>
      </w:pPr>
      <w:r>
        <w:rPr>
          <w:rFonts w:ascii="Amiri" w:hAnsi="Amiri" w:eastAsia="Amiri" w:cs="Amiri"/>
          <w:color w:val="111111"/>
          <w:sz w:val="28"/>
          <w:sz w:val="28"/>
          <w:szCs w:val="28"/>
          <w:rtl w:val="true"/>
          <w:lang w:bidi="ar-SA"/>
        </w:rPr>
        <w:t>و كذلك قضاء، ما لم يتضيّق وقت الحاضرة بلا اشكال فتوى و نصا، و يكفي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لا 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 إذا أردت أن تحرم، و صلاة الكسوف، و إذا نسيت فصلّ إذا ذكرت</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و في آخر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فليقضها إذا ذكرها ما لم يتضيّق وقت الحاضرة</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الوقت أحق بوقته</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كشف الأهمية، لا تحديد المصلحة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مانع من صحتها لو أتى بها في ضيق وقت فريضة أخرى، إلّا في المشتركتين من الظهرين و العشاءين، فإنه لا يصح مزاحمة كل منهما للآخر،</w:t>
      </w:r>
    </w:p>
    <w:p>
      <w:pPr>
        <w:pStyle w:val="BookText"/>
        <w:rPr/>
      </w:pPr>
      <w:r>
        <w:rPr>
          <w:rFonts w:ascii="Amiri" w:hAnsi="Amiri" w:eastAsia="Amiri" w:cs="Amiri"/>
          <w:color w:val="111111"/>
          <w:sz w:val="28"/>
          <w:sz w:val="28"/>
          <w:szCs w:val="28"/>
          <w:rtl w:val="true"/>
          <w:lang w:bidi="ar-SA"/>
        </w:rPr>
        <w:t>لوجوب مراعاة الترتيب، فضلا عن المختار من اختصاص آخر الوقت بخصوص الثاني، بناء على شمول الاختصاص بالإضافة إلى شريكتها، و لو قضاء، و إلّا فلا بأس بمزاحمتها لها قضاء، لعدم اقتضاء الأمر بالشي‌ء النهي عن ضده،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النوافل فلا بأس بإتيانها أي وقت شاء، لأنها من الهدايا، كما يستفاد من النصوص </w:t>
      </w:r>
      <w:r>
        <w:rPr>
          <w:rStyle w:val="FootnoteAnchor"/>
          <w:rtl w:val="true"/>
        </w:rPr>
        <w:footnoteReference w:id="1605"/>
      </w:r>
      <w:r>
        <w:rPr>
          <w:rFonts w:ascii="Amiri" w:hAnsi="Amiri" w:eastAsia="Amiri" w:cs="Amiri"/>
          <w:color w:val="111111"/>
          <w:sz w:val="28"/>
          <w:sz w:val="28"/>
          <w:szCs w:val="28"/>
          <w:rtl w:val="true"/>
          <w:lang w:bidi="ar-SA"/>
        </w:rPr>
        <w:t>، ما لم يدخل وقت الفريضة في غير النوافل المرتبة اليومية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نوافل عديدة بين العشاءين </w:t>
      </w:r>
      <w:r>
        <w:rPr>
          <w:rStyle w:val="FootnoteAnchor"/>
          <w:rtl w:val="true"/>
        </w:rPr>
        <w:footnoteReference w:id="1606"/>
      </w:r>
      <w:r>
        <w:rPr>
          <w:rFonts w:ascii="Amiri" w:hAnsi="Amiri" w:eastAsia="Amiri" w:cs="Amiri"/>
          <w:color w:val="111111"/>
          <w:sz w:val="28"/>
          <w:sz w:val="28"/>
          <w:szCs w:val="28"/>
          <w:rtl w:val="true"/>
          <w:lang w:bidi="ar-SA"/>
        </w:rPr>
        <w:t>، بل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قضاء نافلة الليل بين الظهر و العصر </w:t>
      </w:r>
      <w:r>
        <w:rPr>
          <w:rStyle w:val="FootnoteAnchor"/>
          <w:rtl w:val="true"/>
        </w:rPr>
        <w:footnoteReference w:id="1607"/>
      </w:r>
      <w:r>
        <w:rPr>
          <w:rFonts w:ascii="Amiri" w:hAnsi="Amiri" w:eastAsia="Amiri" w:cs="Amiri"/>
          <w:color w:val="111111"/>
          <w:sz w:val="28"/>
          <w:sz w:val="28"/>
          <w:szCs w:val="28"/>
          <w:rtl w:val="true"/>
          <w:lang w:bidi="ar-SA"/>
        </w:rPr>
        <w:t>، مضافا إلى ما في كتب الأدعية من النوافل المخصوصة وقت الفريضة، بل قد عرفت مغايرة الغفيلة و صلاة الوصية لنافلة المغرب، فضلا عن تشريع ست ركعات اخرى بين الفريضتين، مضافا إلى إطلاق أدلة كثير من نوافل رمضان، و ليالي الجمع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يدور الأمر بين تخصيص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بركعة وقت الفريضة</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 و أمثاله من النواهي بالنوافل الخاصة الواردة وقت الفريضة، و تخصيص مطلقات النوافل الأخرى بصورة عدم كونها وقت الفريضة، و لو قضاء، كما هو صريح بعض النصوص </w:t>
      </w:r>
      <w:r>
        <w:rPr>
          <w:rStyle w:val="FootnoteAnchor"/>
          <w:rtl w:val="true"/>
        </w:rPr>
        <w:footnoteReference w:id="1609"/>
      </w:r>
      <w:r>
        <w:rPr>
          <w:rFonts w:ascii="Amiri" w:hAnsi="Amiri" w:eastAsia="Amiri" w:cs="Amiri"/>
          <w:color w:val="111111"/>
          <w:sz w:val="28"/>
          <w:sz w:val="28"/>
          <w:szCs w:val="28"/>
          <w:rtl w:val="true"/>
          <w:lang w:bidi="ar-SA"/>
        </w:rPr>
        <w:t>، أو حمل النهي المزبور على دفع توهم تأكد الرجحان أو المرجوحية العبادية، و الالتزام ببقاء مشروعيتها على حالها</w:t>
      </w:r>
      <w:r>
        <w:rPr>
          <w:rFonts w:eastAsia="Amiri" w:cs="Amiri" w:ascii="Amiri" w:hAnsi="Amiri"/>
          <w:color w:val="111111"/>
          <w:sz w:val="28"/>
          <w:szCs w:val="28"/>
          <w:rtl w:val="true"/>
          <w:lang w:bidi="ar-SA"/>
        </w:rPr>
        <w:t>.</w:t>
      </w:r>
      <w:bookmarkStart w:id="478" w:name="pg19729_212937"/>
    </w:p>
    <w:p>
      <w:pPr>
        <w:pStyle w:val="BookText"/>
        <w:rPr/>
      </w:pPr>
      <w:bookmarkEnd w:id="478"/>
      <w:r>
        <w:rPr>
          <w:rFonts w:ascii="Amiri" w:hAnsi="Amiri" w:eastAsia="Amiri" w:cs="Amiri"/>
          <w:color w:val="111111"/>
          <w:sz w:val="28"/>
          <w:sz w:val="28"/>
          <w:szCs w:val="28"/>
          <w:rtl w:val="true"/>
          <w:lang w:bidi="ar-SA"/>
        </w:rPr>
        <w:t>و لا يبعد المصير إلى الجمع الأخير، بعد تخصيص النوافل اليومية منها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يشهد له قوله في بعض النصوص من أنّ الفضل أن تبدأ بالفريضة </w:t>
      </w:r>
      <w:r>
        <w:rPr>
          <w:rStyle w:val="FootnoteAnchor"/>
          <w:rtl w:val="true"/>
        </w:rPr>
        <w:footnoteReference w:id="1610"/>
      </w:r>
      <w:r>
        <w:rPr>
          <w:rFonts w:ascii="Amiri" w:hAnsi="Amiri" w:eastAsia="Amiri" w:cs="Amiri"/>
          <w:color w:val="111111"/>
          <w:sz w:val="28"/>
          <w:sz w:val="28"/>
          <w:szCs w:val="28"/>
          <w:rtl w:val="true"/>
          <w:lang w:bidi="ar-SA"/>
        </w:rPr>
        <w:t>، بل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عدم التطوع وقت الفريضة، بأخذ المقيم في الإقامة، الذي تصلح معه الدلالة على عدم المنع عنها قبل الإقامة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انّ مثل هذا المنع لمحض درك الفضيلة، المناسب لكون النهي تنزيهيا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أقل من قرب احتماله، و لو لبعد اختصاص النهي بخصوص النوافل من الصلوات، مع جواز غيرهن في الوقت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كاشف اللثام دعوى القطع بأولوية الجواز في نوافل الصلاة عن غيرها </w:t>
      </w:r>
      <w:r>
        <w:rPr>
          <w:rStyle w:val="FootnoteAnchor"/>
          <w:rtl w:val="true"/>
        </w:rPr>
        <w:footnoteReference w:id="1612"/>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قصور حينئذ في جواز الإتيان بها رجاء و لو لم نقل بشمول عمومات من بلغ </w:t>
      </w:r>
      <w:r>
        <w:rPr>
          <w:rStyle w:val="FootnoteAnchor"/>
          <w:rtl w:val="true"/>
        </w:rPr>
        <w:footnoteReference w:id="1613"/>
      </w:r>
      <w:r>
        <w:rPr>
          <w:rFonts w:ascii="Amiri" w:hAnsi="Amiri" w:eastAsia="Amiri" w:cs="Amiri"/>
          <w:color w:val="111111"/>
          <w:sz w:val="28"/>
          <w:sz w:val="28"/>
          <w:szCs w:val="28"/>
          <w:rtl w:val="true"/>
          <w:lang w:bidi="ar-SA"/>
        </w:rPr>
        <w:t>بالنسبة إلى الدلالة، إذ يكفي حكم العقل بالرجحان، بعد الجزم بعدم استفادة الحرمة الذاتية من نواهيها، بل غاية الأمر كونها في مقام دفع توهم المشروعية،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بالحرمة فلا يصلح تعلّق النذر بها لتصحيحها، إذ يشترط الرجحان في متعلق النذر مع قطع النظر عنه، و لا يوجب النذر انقلاب الموضوع، و لو بحمل التطوع فيها على الفعلي، فضلا عن عدمه،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9" w:name="__RefHeading___Toc3251461_2314609296"/>
      <w:bookmarkStart w:id="480" w:name="_Toc183"/>
      <w:bookmarkEnd w:id="479"/>
      <w:r>
        <w:rPr>
          <w:rtl w:val="true"/>
        </w:rPr>
        <w:t>الثانية</w:t>
      </w:r>
      <w:r>
        <w:rPr>
          <w:rtl w:val="true"/>
        </w:rPr>
        <w:t xml:space="preserve">: </w:t>
      </w:r>
      <w:r>
        <w:rPr>
          <w:rtl w:val="true"/>
        </w:rPr>
        <w:t>يكره ابتداء النوافل عند طلوع الشمس، و عند غروبها،</w:t>
      </w:r>
      <w:bookmarkEnd w:id="480"/>
    </w:p>
    <w:p>
      <w:pPr>
        <w:pStyle w:val="BookText"/>
        <w:rPr/>
      </w:pPr>
      <w:r>
        <w:rPr>
          <w:rFonts w:ascii="Amiri" w:hAnsi="Amiri" w:eastAsia="Amiri" w:cs="Amiri"/>
          <w:color w:val="111111"/>
          <w:sz w:val="28"/>
          <w:sz w:val="28"/>
          <w:szCs w:val="28"/>
          <w:rtl w:val="true"/>
          <w:lang w:bidi="ar-SA"/>
        </w:rPr>
        <w:t xml:space="preserve">و عند قيامها على المشهور، و قيل بتحريمها، للنهي عنها في رواية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نظر المشهور إلى الجمع بينه و بين ما اشتمل على لفظ الكراهة، معللا بأنّ الشمس تطلع بين قرني الشيطان </w:t>
      </w:r>
      <w:r>
        <w:rPr>
          <w:rStyle w:val="FootnoteAnchor"/>
          <w:rtl w:val="true"/>
        </w:rPr>
        <w:footnoteReference w:id="1615"/>
      </w:r>
      <w:r>
        <w:rPr>
          <w:rFonts w:ascii="Amiri" w:hAnsi="Amiri" w:eastAsia="Amiri" w:cs="Amiri"/>
          <w:color w:val="111111"/>
          <w:sz w:val="28"/>
          <w:sz w:val="28"/>
          <w:szCs w:val="28"/>
          <w:rtl w:val="true"/>
          <w:lang w:bidi="ar-SA"/>
        </w:rPr>
        <w:t xml:space="preserve">، و ما اشتمل على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و لا يبعد أظهرية الأخير في الكراهة المصطلحة، و لو لاحتمال منع حمل النهي على دفع توهم تأكد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الأولى اضافة قيامها أي الشمس نصف النهار إلى أن تزول، إلّا في يوم الجمعة لما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بل ورد في نوافل صلاتها الأمر بازدياد نوافلها عن سائر الأيام، و توسعة وقتها، بجعلها ستا عند انبساط الشمس، و ستا عند ارتفاعها، و ستا قبل الزوال، و ركعتين عنده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تكره النافلة بعد الصبح و العصر، لصحيحة الحلبي </w:t>
      </w:r>
      <w:r>
        <w:rPr>
          <w:rStyle w:val="FootnoteAnchor"/>
          <w:rtl w:val="true"/>
        </w:rPr>
        <w:footnoteReference w:id="1619"/>
      </w:r>
      <w:r>
        <w:rPr>
          <w:rFonts w:ascii="Amiri" w:hAnsi="Amiri" w:eastAsia="Amiri" w:cs="Amiri"/>
          <w:color w:val="111111"/>
          <w:sz w:val="28"/>
          <w:sz w:val="28"/>
          <w:szCs w:val="28"/>
          <w:rtl w:val="true"/>
          <w:lang w:bidi="ar-SA"/>
        </w:rPr>
        <w:t>المعللة فيها بما يناسب الكراهة، فيكون الظهور في الحرمة مقرونا بما يصلح للقرينية، فلا تكون دليلا على الحرمة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ذي السبب على المشهور، و عليه إجماع الناصريات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جهة التعدّي عن الفرائض إلى النوافل، بعموم التعليل فيها، المحكية في رواية الفضل عن الرضا عليه السّلام </w:t>
      </w:r>
      <w:r>
        <w:rPr>
          <w:rStyle w:val="FootnoteAnchor"/>
          <w:rtl w:val="true"/>
        </w:rPr>
        <w:footnoteReference w:id="1621"/>
      </w:r>
      <w:r>
        <w:rPr>
          <w:rFonts w:ascii="Amiri" w:hAnsi="Amiri" w:eastAsia="Amiri" w:cs="Amiri"/>
          <w:color w:val="111111"/>
          <w:sz w:val="28"/>
          <w:sz w:val="28"/>
          <w:szCs w:val="28"/>
          <w:rtl w:val="true"/>
          <w:lang w:bidi="ar-SA"/>
        </w:rPr>
        <w:t>، مضافا إلى التعدّي عن الموارد المنصوصة</w:t>
      </w:r>
      <w:bookmarkStart w:id="481" w:name="pg19729_212939"/>
    </w:p>
    <w:p>
      <w:pPr>
        <w:pStyle w:val="BookText"/>
        <w:rPr/>
      </w:pPr>
      <w:bookmarkEnd w:id="481"/>
      <w:r>
        <w:rPr>
          <w:rFonts w:ascii="Amiri" w:hAnsi="Amiri" w:eastAsia="Amiri" w:cs="Amiri"/>
          <w:color w:val="111111"/>
          <w:sz w:val="28"/>
          <w:sz w:val="28"/>
          <w:szCs w:val="28"/>
          <w:rtl w:val="true"/>
          <w:lang w:bidi="ar-SA"/>
        </w:rPr>
        <w:t xml:space="preserve">بالخصوص، بإلغاء الخصوصية، كما في الجواهر </w:t>
      </w:r>
      <w:r>
        <w:rPr>
          <w:rStyle w:val="FootnoteAnchor"/>
          <w:rtl w:val="true"/>
        </w:rPr>
        <w:footnoteReference w:id="1622"/>
      </w:r>
      <w:r>
        <w:rPr>
          <w:rFonts w:ascii="Amiri" w:hAnsi="Amiri" w:eastAsia="Amiri" w:cs="Amiri"/>
          <w:color w:val="111111"/>
          <w:sz w:val="28"/>
          <w:sz w:val="28"/>
          <w:szCs w:val="28"/>
          <w:rtl w:val="true"/>
          <w:lang w:bidi="ar-SA"/>
        </w:rPr>
        <w:t xml:space="preserve">، و لعل هذا المقدار كاف في مثل المقام، الكافي فيه تركها رجاء، و إن كان لا يصلح ذلك لإثبات حكم شرعي وفاقا لكشف اللثام حيث استحسن الاقتصار على الموارد المنصوصة </w:t>
      </w:r>
      <w:r>
        <w:rPr>
          <w:rStyle w:val="FootnoteAnchor"/>
          <w:rtl w:val="true"/>
        </w:rPr>
        <w:footnoteReference w:id="1623"/>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6"/>
        <w:numPr>
          <w:ilvl w:val="5"/>
          <w:numId w:val="1"/>
        </w:numPr>
        <w:rPr/>
      </w:pPr>
      <w:bookmarkStart w:id="482" w:name="__RefHeading___Toc3251463_2314609296"/>
      <w:bookmarkStart w:id="483" w:name="_Toc184"/>
      <w:bookmarkEnd w:id="482"/>
      <w:r>
        <w:rPr>
          <w:rtl w:val="true"/>
        </w:rPr>
        <w:t>الثالثة</w:t>
      </w:r>
      <w:r>
        <w:rPr>
          <w:rtl w:val="true"/>
        </w:rPr>
        <w:t xml:space="preserve">: </w:t>
      </w:r>
      <w:r>
        <w:rPr>
          <w:rtl w:val="true"/>
        </w:rPr>
        <w:t>تقديم كل صلاة فريضة في أول وقتها أفضل</w:t>
      </w:r>
      <w:bookmarkEnd w:id="483"/>
    </w:p>
    <w:p>
      <w:pPr>
        <w:pStyle w:val="BookText"/>
        <w:rPr/>
      </w:pPr>
      <w:r>
        <w:rPr>
          <w:rFonts w:ascii="Amiri" w:hAnsi="Amiri" w:eastAsia="Amiri" w:cs="Amiri"/>
          <w:color w:val="111111"/>
          <w:sz w:val="28"/>
          <w:sz w:val="28"/>
          <w:szCs w:val="28"/>
          <w:rtl w:val="true"/>
          <w:lang w:bidi="ar-SA"/>
        </w:rPr>
        <w:t>، لحسن المسارعة،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 رضوان اللّٰه، و آخره غفران اللّٰه</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الحكم ثابت إلّا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المتنفل، لما عرفت من الأمر بها و إن تأخر وقتها لمكان النافلة، على ما هو مضمون بعض النصوص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أفاض من عرفات بالنسبة إلى صلاة مغربه، للنصوص الواردة فيه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لمن يصلّي جماعة في الحر الشديد،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الحر فأبردوا بالصلاة</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و غير ذلك مما تعرضوا لها في المطولات، فراجع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تأخير الصلاة عن وقتها و لا تقديمها عليه أي على الأوقات الاجزائية، لأن ذلك هو مقتضى دليل شرطيتها، المقتضي لانتفاء المشروط بانتفاء شرطه، بل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bookmarkStart w:id="484" w:name="pg19729_212940"/>
    </w:p>
    <w:p>
      <w:pPr>
        <w:pStyle w:val="BookText"/>
        <w:rPr/>
      </w:pPr>
      <w:bookmarkEnd w:id="484"/>
      <w:r>
        <w:rPr>
          <w:rFonts w:ascii="Amiri" w:hAnsi="Amiri" w:eastAsia="Amiri" w:cs="Amiri"/>
          <w:color w:val="111111"/>
          <w:sz w:val="28"/>
          <w:sz w:val="28"/>
          <w:szCs w:val="28"/>
          <w:rtl w:val="true"/>
          <w:lang w:bidi="ar-SA"/>
        </w:rPr>
        <w:t>نعم استثنى منه جملة من الأساطين فرض صلاته باعتقاد الدخول فدخل عليه الوقت و هو في الصلاة و لو في تسليمها، و استدل بخبر إسماعيل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دخول الوقت</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الظاهر في علمه به، نعم تقوم الامارة المعتبرة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من الفريضة إلى النافلة إشكال، كالتعدّي من العلم الى مطلق الظن، بل و إلى العلم بدخول الوقت من حيث الشبهة الحكمية، لأنّ هذه الموارد مشكوكة الاندراج في النص، فيقتصر في خلاف القاعدة على مورد اليقين</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3251465_2314609296"/>
      <w:bookmarkStart w:id="486" w:name="_Toc185"/>
      <w:bookmarkEnd w:id="485"/>
      <w:r>
        <w:rPr>
          <w:rtl w:val="true"/>
        </w:rPr>
        <w:t>بقي في المقام أمران</w:t>
      </w:r>
      <w:r>
        <w:rPr>
          <w:rtl w:val="true"/>
        </w:rPr>
        <w:t>:</w:t>
      </w:r>
      <w:bookmarkEnd w:id="486"/>
    </w:p>
    <w:p>
      <w:pPr>
        <w:pStyle w:val="Heading6"/>
        <w:numPr>
          <w:ilvl w:val="5"/>
          <w:numId w:val="1"/>
        </w:numPr>
        <w:rPr/>
      </w:pPr>
      <w:bookmarkStart w:id="487" w:name="__RefHeading___Toc3251467_2314609296"/>
      <w:bookmarkStart w:id="488" w:name="_Toc186"/>
      <w:bookmarkEnd w:id="487"/>
      <w:r>
        <w:rPr>
          <w:rtl w:val="true"/>
        </w:rPr>
        <w:t>الأول</w:t>
      </w:r>
      <w:r>
        <w:rPr>
          <w:rtl w:val="true"/>
        </w:rPr>
        <w:t xml:space="preserve">: </w:t>
      </w:r>
      <w:r>
        <w:rPr>
          <w:rtl w:val="true"/>
        </w:rPr>
        <w:t>انّ تحصيل العلم بالوقت مقدمة لاجتزائه في العمل،</w:t>
      </w:r>
      <w:bookmarkEnd w:id="488"/>
    </w:p>
    <w:p>
      <w:pPr>
        <w:pStyle w:val="BookText"/>
        <w:rPr/>
      </w:pPr>
      <w:r>
        <w:rPr>
          <w:rFonts w:ascii="Amiri" w:hAnsi="Amiri" w:eastAsia="Amiri" w:cs="Amiri"/>
          <w:color w:val="111111"/>
          <w:sz w:val="28"/>
          <w:sz w:val="28"/>
          <w:szCs w:val="28"/>
          <w:rtl w:val="true"/>
          <w:lang w:bidi="ar-SA"/>
        </w:rPr>
        <w:t xml:space="preserve">واجب عقلا، فإن تمكن منه، أو قامت بينة شرعية عليه فهو، لعموم دليل رواية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يستبين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كفاية مطلق الظن اشكال، بل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نفي الاكتفاء عن الظن الناشئ عن أذان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يعلم انه طلع</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قبالها نصوص مشتملة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المؤذن مؤتمن</w:t>
      </w:r>
      <w:r>
        <w:rPr>
          <w:rFonts w:eastAsia="Amiri" w:cs="Amiri" w:ascii="Amiri" w:hAnsi="Amiri"/>
          <w:color w:val="111111"/>
          <w:sz w:val="28"/>
          <w:szCs w:val="28"/>
          <w:rtl w:val="true"/>
          <w:lang w:bidi="ar-SA"/>
        </w:rPr>
        <w:t xml:space="preserve">» </w:t>
      </w:r>
      <w:r>
        <w:rPr>
          <w:rStyle w:val="FootnoteAnchor"/>
          <w:rtl w:val="true"/>
        </w:rPr>
        <w:footnoteReference w:id="1632"/>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w:t>
      </w:r>
      <w:r>
        <w:rPr>
          <w:rFonts w:eastAsia="IRNazanin" w:cs="IRNazanin"/>
          <w:color w:val="111111"/>
          <w:sz w:val="28"/>
          <w:szCs w:val="28"/>
          <w:rtl w:val="true"/>
          <w:lang w:bidi="fa-IR"/>
        </w:rPr>
        <w:t xml:space="preserve">» </w:t>
      </w:r>
      <w:r>
        <w:rPr>
          <w:rStyle w:val="FootnoteAnchor"/>
          <w:rtl w:val="true"/>
        </w:rPr>
        <w:footnoteReference w:id="1633"/>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نصلّي حتى يؤذن مؤذن مكة</w:t>
      </w:r>
      <w:r>
        <w:rPr>
          <w:rFonts w:eastAsia="Amiri" w:cs="Amiri" w:ascii="Amiri" w:hAnsi="Amiri"/>
          <w:color w:val="111111"/>
          <w:sz w:val="28"/>
          <w:szCs w:val="28"/>
          <w:rtl w:val="true"/>
          <w:lang w:bidi="ar-SA"/>
        </w:rPr>
        <w:t xml:space="preserve">» </w:t>
      </w:r>
      <w:r>
        <w:rPr>
          <w:rStyle w:val="FootnoteAnchor"/>
          <w:rtl w:val="true"/>
        </w:rPr>
        <w:footnoteReference w:id="1634"/>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فقد زالت</w:t>
      </w:r>
      <w:bookmarkStart w:id="489" w:name="pg19729_212941"/>
    </w:p>
    <w:p>
      <w:pPr>
        <w:pStyle w:val="BookText"/>
        <w:rPr/>
      </w:pPr>
      <w:bookmarkEnd w:id="489"/>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1635"/>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الجمعة بأذان هؤلاء</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تسمعوا أذان بلال</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للطرح سندا أو دلالة، بحملها على صورة حصول اليقين، فلا قصور في حجيتها فيما يحصل الوثوق بأذان المؤذن، فتكون حاكمة على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التعدّي منه إلى الوثوق الناشئ عن خبر العادل الواحد، و في التعدّي إلى مطلق الظن، بل مطلق الوثوق اشكال، فأصالة عدم الحجية محكمة،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251469_2314609296"/>
      <w:bookmarkStart w:id="491" w:name="_Toc187"/>
      <w:bookmarkEnd w:id="490"/>
      <w:r>
        <w:rPr>
          <w:rtl w:val="true"/>
        </w:rPr>
        <w:t>الثاني</w:t>
      </w:r>
      <w:r>
        <w:rPr>
          <w:rtl w:val="true"/>
        </w:rPr>
        <w:t xml:space="preserve">: </w:t>
      </w:r>
      <w:r>
        <w:rPr>
          <w:rtl w:val="true"/>
        </w:rPr>
        <w:t>لا اشكال</w:t>
      </w:r>
      <w:r>
        <w:rPr>
          <w:rtl w:val="true"/>
        </w:rPr>
        <w:t xml:space="preserve">- </w:t>
      </w:r>
      <w:r>
        <w:rPr>
          <w:rtl w:val="true"/>
        </w:rPr>
        <w:t>كما أشرنا سابقا</w:t>
      </w:r>
      <w:r>
        <w:rPr>
          <w:rtl w:val="true"/>
        </w:rPr>
        <w:t xml:space="preserve">- </w:t>
      </w:r>
      <w:r>
        <w:rPr>
          <w:rtl w:val="true"/>
        </w:rPr>
        <w:t>في وجوب الترتيب في المشتركات اليومية أداء و قضاء،</w:t>
      </w:r>
      <w:bookmarkEnd w:id="491"/>
    </w:p>
    <w:p>
      <w:pPr>
        <w:pStyle w:val="BookText"/>
        <w:rPr/>
      </w:pPr>
      <w:r>
        <w:rPr>
          <w:rFonts w:ascii="Amiri" w:hAnsi="Amiri" w:eastAsia="Amiri" w:cs="Amiri"/>
          <w:color w:val="111111"/>
          <w:sz w:val="28"/>
          <w:sz w:val="28"/>
          <w:szCs w:val="28"/>
          <w:rtl w:val="true"/>
          <w:lang w:bidi="ar-SA"/>
        </w:rPr>
        <w:t xml:space="preserve">و لكن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يخرج اعتبار الترتيب في الوقت المشترك عن الركنية، فلو صلّى العصر نسيانا فانكشف عدم الظهر بعد فراغه من العصر يجزئ، فيصلي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انكشف في أثنائها فلا تجزئ، لعدم اندراجه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العدول إلى السابقة، للنصوص المستفيضة </w:t>
      </w:r>
      <w:r>
        <w:rPr>
          <w:rStyle w:val="FootnoteAnchor"/>
          <w:rtl w:val="true"/>
        </w:rPr>
        <w:footnoteReference w:id="1639"/>
      </w:r>
      <w:r>
        <w:rPr>
          <w:rFonts w:ascii="Amiri" w:hAnsi="Amiri" w:eastAsia="Amiri" w:cs="Amiri"/>
          <w:color w:val="111111"/>
          <w:sz w:val="28"/>
          <w:sz w:val="28"/>
          <w:szCs w:val="28"/>
          <w:rtl w:val="true"/>
          <w:lang w:bidi="ar-SA"/>
        </w:rPr>
        <w:t xml:space="preserve">، بل في بعضها جواز العدول حتى بعد الفراغ </w:t>
      </w:r>
      <w:r>
        <w:rPr>
          <w:rStyle w:val="FootnoteAnchor"/>
          <w:rtl w:val="true"/>
        </w:rPr>
        <w:footnoteReference w:id="1640"/>
      </w:r>
      <w:r>
        <w:rPr>
          <w:rFonts w:ascii="Amiri" w:hAnsi="Amiri" w:eastAsia="Amiri" w:cs="Amiri"/>
          <w:color w:val="111111"/>
          <w:sz w:val="28"/>
          <w:sz w:val="28"/>
          <w:szCs w:val="28"/>
          <w:rtl w:val="true"/>
          <w:lang w:bidi="ar-SA"/>
        </w:rPr>
        <w:t>، و هو غير معمول به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هذه الأخبار يخصص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الصلاة من العناوين</w:t>
      </w:r>
    </w:p>
    <w:p>
      <w:pPr>
        <w:pStyle w:val="BookText"/>
        <w:rPr/>
      </w:pPr>
      <w:r>
        <w:rPr>
          <w:rFonts w:ascii="Amiri" w:hAnsi="Amiri" w:eastAsia="Amiri" w:cs="Amiri"/>
          <w:color w:val="111111"/>
          <w:sz w:val="28"/>
          <w:sz w:val="28"/>
          <w:szCs w:val="28"/>
          <w:rtl w:val="true"/>
          <w:lang w:bidi="ar-SA"/>
        </w:rPr>
        <w:t>القصدية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فيقتصر حينئذ على مورد النص، من العدول من اللاحقة إلى السابقة في المشتركتين أداء أم قضاء، لإطلاق الدليل، و من الفريضة إلى النافلة لمنتظر الجماعة و غير ذلك، كل ذلك من جهة النصوص الخاصة، كما لا يخفى على من 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مختلفات الحقيقة من ذوات العناوين القصدية، و إلّا فمع اتحاد الحقيقة و اختلاف الأمر ندبيا و وجوبيا فالعدول منها ليس من باب العدول من حقيقة إلى حقيقة أخرى، بل من باب العدول من التقرب بشخص أمره الى التقرب بشخص أمر آخر، و في إضرار ذلك لقربية العمل المعتبرة في العبادة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استفادة الإجماع من اعتبارهم قصد التعيين، حتى في متفقات الحقيقة على اعتبار التقرب بشخص الأمر، لكنا نقول بجواز العدول في جميع المقامات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الممكن دعوى عدم منافاة اعتبار قصد التعيين في مقام الامتثال، لما ذكرنا من العدول، إذ فيه نحو من التعيين، و لا يقتضي اعتبار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الانتقال من شخص أمر إلى آخر، مع فرض القصد الى تعيين شخصه في كل حال،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قصور في دليل العدول لشموله العدول من الأداء إلى القضاء إذا كان من سنخه، أو من النفل إلى الفرض فيمن بلغ في أثناء العمل، بناء على شرعية عمله على وجه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العدول من فرد إلى فرد، مع فرض أمره بالجامع، فلا اشكال فيه، إذ لا تبديل لشخص أمره، للتقرب به أيضا، فلا بأس بالعدول من القصر إلى</w:t>
      </w:r>
      <w:bookmarkStart w:id="492" w:name="pg19729_212943"/>
    </w:p>
    <w:p>
      <w:pPr>
        <w:pStyle w:val="BookText"/>
        <w:rPr/>
      </w:pPr>
      <w:bookmarkEnd w:id="492"/>
      <w:r>
        <w:rPr>
          <w:rFonts w:ascii="Amiri" w:hAnsi="Amiri" w:eastAsia="Amiri" w:cs="Amiri"/>
          <w:color w:val="111111"/>
          <w:sz w:val="28"/>
          <w:sz w:val="28"/>
          <w:szCs w:val="28"/>
          <w:rtl w:val="true"/>
          <w:lang w:bidi="ar-SA"/>
        </w:rPr>
        <w:t>الإتمام في مواضع التخيير بلا اشكال،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251471_2314609296"/>
      <w:bookmarkStart w:id="494" w:name="_Toc188"/>
      <w:bookmarkEnd w:id="493"/>
      <w:r>
        <w:rPr>
          <w:rtl w:val="true"/>
        </w:rPr>
        <w:t>الفصل الثالث</w:t>
      </w:r>
      <w:r>
        <w:rPr>
          <w:rtl w:val="true"/>
        </w:rPr>
        <w:t xml:space="preserve">: </w:t>
      </w:r>
      <w:r>
        <w:rPr>
          <w:rtl w:val="true"/>
        </w:rPr>
        <w:t>في القبلة</w:t>
      </w:r>
      <w:bookmarkEnd w:id="494"/>
    </w:p>
    <w:p>
      <w:pPr>
        <w:pStyle w:val="BookText"/>
        <w:rPr/>
      </w:pPr>
      <w:r>
        <w:rPr>
          <w:rFonts w:ascii="Amiri" w:hAnsi="Amiri" w:eastAsia="Amiri" w:cs="Amiri"/>
          <w:color w:val="111111"/>
          <w:sz w:val="28"/>
          <w:sz w:val="28"/>
          <w:szCs w:val="28"/>
          <w:rtl w:val="true"/>
          <w:lang w:bidi="ar-SA"/>
        </w:rPr>
        <w:t>و لا إشكال في شرطيتها للصلاة في الجملة،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الشاملة للفريضة و النافلة، و إنما الكلام 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انها هي الكعبة مع القدرة، و جهتها مع البعد، و ربما يومئ إليه ما 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أمرنا أن نعبده بالتوجه إلى الكعبة أطعنا، ثم أمرنا بعبادته بالتوجه نحوها في سائر البلدان </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الأخير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و يؤيده شبهة الصف الطويل، الزائد عن حدود البيت بأضعاف منه، فلو لم تكن القبلة هي الجهة للبعيد، للزم بطلان صلاتهم، كما هو الشأن في القريب إلى الكعبة، إذ لا يصح من الصف إلّا ما كان محاذيا للبيت دون الزائد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يتوهم تأييد اختلاف القبلة للقريب و البعيد، بما يستفاد من بعض النصوص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قبلة أهل المسجد، و المسجد لأهل الحرم، و الحرم قبلة لسائر البلدان</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الإنصاف ان شيئا من هذه الوجوه لا يزاحم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بيته قياما للناس، و لا يقبل من أحد توجها إلى غيره</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إذ الظاهر من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مأخوذ في الموضوع بنحو</w:t>
      </w:r>
    </w:p>
    <w:p>
      <w:pPr>
        <w:pStyle w:val="BookText"/>
        <w:rPr/>
      </w:pPr>
      <w:r>
        <w:rPr>
          <w:rFonts w:ascii="Amiri" w:hAnsi="Amiri" w:eastAsia="Amiri" w:cs="Amiri"/>
          <w:color w:val="111111"/>
          <w:sz w:val="28"/>
          <w:sz w:val="28"/>
          <w:szCs w:val="28"/>
          <w:rtl w:val="true"/>
          <w:lang w:bidi="ar-SA"/>
        </w:rPr>
        <w:t>الطريقية، بالنسبة إلى نفس المسجد الحرام، الملازم لنفس الكعبة، فإن المقصود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التوجه إلى نفس الشي‌ء، لا إلى جانبه بنحو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شبهة الصف الطويل، فلأن المدار في استقبال الشي‌ء وقوعه في الدائرة المحيطة به، و من المعلوم انّ شأن هذه الدائرة أنّ تتوسع بازدياد البعد عن المركز، و ربما لا يحس بتقوس مقدار طويل منها، يكون زائدا عن أضعاف الصفوف الطويلة المتعارفة، بحيث يصدق على جميع أهل هذا الصف عدم تجاوزهم عن الدائرة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يكفي لصدق استقبال عين الكعبة، بلغ الصف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أهل المسجد و غيرهم، فلم يلتزم أحد من العاملين بالجهة بذلك تعبدا، فلا بدّ لهم من طرحه أو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القبلة هي الكعبة لجميع الناس، للقريب و البعيد، للنص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أن استقبال الشي‌ء ربما يختلف عرفا بالقرب و البعد، فربما يكون في الدائرة البعيدة نحو توسعة ليس له هذه التوسعة للدائرة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تسليم ذلك، فإنه يتنافى مع ملاحظة الأصحاب الخصوصيات في أمارية الجدي، بجعله خلف المنكب الأيمن لأوساط العراق، و بين الكتفين لمن كان في طريق الحج، و خلف الاذن اليمنى لأهل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احتاط في النجاة، باشتراط كون الجدي في غاية ارتفاعه أو 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اعتبار مثل هذه الخصوصيات، في التوسعة المزبورة للبعيد كيف تجتمع مع ما يرى بالوجدان عدم الفرق في الاستقبال العرفي في أنحاء وضع الجدي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فاعتبار مثل هذه الخصوصيات، بل التصريح في النص بجعله خلف</w:t>
      </w:r>
    </w:p>
    <w:p>
      <w:pPr>
        <w:pStyle w:val="BookText"/>
        <w:rPr/>
      </w:pPr>
      <w:r>
        <w:rPr>
          <w:rFonts w:ascii="Amiri" w:hAnsi="Amiri" w:eastAsia="Amiri" w:cs="Amiri"/>
          <w:color w:val="111111"/>
          <w:sz w:val="28"/>
          <w:sz w:val="28"/>
          <w:szCs w:val="28"/>
          <w:rtl w:val="true"/>
          <w:lang w:bidi="ar-SA"/>
        </w:rPr>
        <w:t xml:space="preserve">المنكب الأيمن لأهل العراق، و بين الكتفين لمن كان في طريق الحج </w:t>
      </w:r>
      <w:r>
        <w:rPr>
          <w:rStyle w:val="FootnoteAnchor"/>
          <w:rtl w:val="true"/>
        </w:rPr>
        <w:footnoteReference w:id="1646"/>
      </w:r>
      <w:r>
        <w:rPr>
          <w:rFonts w:ascii="Amiri" w:hAnsi="Amiri" w:eastAsia="Amiri" w:cs="Amiri"/>
          <w:color w:val="111111"/>
          <w:sz w:val="28"/>
          <w:sz w:val="28"/>
          <w:szCs w:val="28"/>
          <w:rtl w:val="true"/>
          <w:lang w:bidi="ar-SA"/>
        </w:rPr>
        <w:t>، يكشف كشفا جزميا عن عدم توسعة في الاستقبال للبعيد، بل المدار في الجميع على معنى واحد من كونهم في دائرة، يخرج منها خط مستقيم، و أصل إلى البيت الذي هو مركز هذه الدائرة، و أنّ بانحرافه عنها بقليل ربما ينحرف عن المركز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فقد لوحظ في الجدي خصوصيات ملازمة لوقوعها في الدائرة المزبورة،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المصلّي في الكعبة يستقبل أي جدرانها شاء، لصدق الاستقبال لأي طرف بلا اشكال، كما أنّ المدار على استقبال تمام بدنه لها دقة، لما في النص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قلامة ظفر</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فلا يكفي الاستقبال بجزء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لمن كان على سطحها أن يبرز بين يديه بعضها حتى في حال السجدة، كي يصدق عليه استقبال البيت، الذي هو قبلة من تخوم الأرض إلى عنان السماء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قوم يتوجهون إلى ركنهم، فالعراقي لأهل العراق، و الركن اليماني لأهل اليمن، و المغربي لأهل المغرب، و الركن الشامي لأهل الشام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كشف اللثام، عن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 آلة ليستعلم منها نسبة البلاد إلى جهة الكعبة، فاستعلم منها محاذاة كثير من البلدان مع جهات مختلفة من الكعبة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في الجواهر بطولها و تفصيلها </w:t>
      </w:r>
      <w:r>
        <w:rPr>
          <w:rStyle w:val="FootnoteAnchor"/>
          <w:rtl w:val="true"/>
        </w:rPr>
        <w:footnoteReference w:id="164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بعد تعيين ماهية الكعبة و كيفية استقبالها، فلا شبهة في لزوم إحرازها مقدمة للفراغ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التمكن من العلم به و لو للعلم بمحراب صلّى فيه معصوم، أو بسائر القواعد الرصدية،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 فإن كان في البين بينة يحتمل استنادها الى حس أو قريب منه، فتتبع و تقوم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مستندها هي القواعد الحدسية غير القريبة إلى الحس، أو الى حس كان خطأ بنظرنا، فلا مجال لاتباعها، لعدم وفاء دليل البينة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التمكن من البينة المزبورة، فالمرجع هي الأمارات المستنبطة من قياسها على أمارية الجدي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فتكون علامة أهل العراق جعل الفجر في زمان اعتدال الشمس محاذيا لمنكبه الأيسر، و الشفق لمنكبه الأيمن، و عين الشمس عند الزوال على طرف الحاجب الأيمن مما يلي الأنف، و الجدي خلف المنكب الأيمن، لما في النص تارة بوضعه على قفاك </w:t>
      </w:r>
      <w:r>
        <w:rPr>
          <w:rStyle w:val="FootnoteAnchor"/>
          <w:rtl w:val="true"/>
        </w:rPr>
        <w:footnoteReference w:id="1650"/>
      </w:r>
      <w:r>
        <w:rPr>
          <w:rFonts w:ascii="Amiri" w:hAnsi="Amiri" w:eastAsia="Amiri" w:cs="Amiri"/>
          <w:color w:val="111111"/>
          <w:sz w:val="28"/>
          <w:sz w:val="28"/>
          <w:szCs w:val="28"/>
          <w:rtl w:val="true"/>
          <w:lang w:bidi="ar-SA"/>
        </w:rPr>
        <w:t xml:space="preserve">، و اخرى بجعله على يمينك، و إن كنت في طريق الحج فاجعله بين كتفيك </w:t>
      </w:r>
      <w:r>
        <w:rPr>
          <w:rStyle w:val="FootnoteAnchor"/>
          <w:rtl w:val="true"/>
        </w:rPr>
        <w:footnoteReference w:id="1651"/>
      </w:r>
      <w:r>
        <w:rPr>
          <w:rFonts w:ascii="Amiri" w:hAnsi="Amiri" w:eastAsia="Amiri" w:cs="Amiri"/>
          <w:color w:val="111111"/>
          <w:sz w:val="28"/>
          <w:sz w:val="28"/>
          <w:szCs w:val="28"/>
          <w:rtl w:val="true"/>
          <w:lang w:bidi="ar-SA"/>
        </w:rPr>
        <w:t>، بحمل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كون السائل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علامة قاطنيه، قبال من كان في طريق مكة خارجا عن العراق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فيستفاد من مجموع الخبرين ما ذكر، بملاحظة رفع اليد عن ظاهر البعض بنص الآخر، فيؤخذ الخلف من الاولى، و المنكب الأيمن من</w:t>
      </w:r>
    </w:p>
    <w:p>
      <w:pPr>
        <w:pStyle w:val="BookText"/>
        <w:rPr/>
      </w:pPr>
      <w:r>
        <w:rPr>
          <w:rFonts w:ascii="Amiri" w:hAnsi="Amiri" w:eastAsia="Amiri" w:cs="Amiri"/>
          <w:color w:val="111111"/>
          <w:sz w:val="28"/>
          <w:sz w:val="28"/>
          <w:szCs w:val="28"/>
          <w:rtl w:val="true"/>
          <w:lang w:bidi="ar-SA"/>
        </w:rPr>
        <w:t>الثانية، فيستفاد منهما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الإطلاق عدم اختصاص هذه العلامة بأوساط العراق لو لا قرينية الراوي عليه، و لعله من هذه الجهة بضميمة القواعد الرصدية، استفادوا اختلافات في وضع الجدي بين وسط العراق أو طرفيه من الموصل و البصرة، بملاحظة ملازمة وضع الجدي للأوساط بالنحو المزبور، مع وضع أهل البصرة قبال الاذن اليمنى، و أهل الموصل بين الكتفين، بل ربما لاحظوا بتلك القواعد لزوم وضع الجدي حال غاية ارتفاعه و 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لوحظ إطلاق الرواية فلا بد أن يكون في الملحوظ نحو توسعة لا تختلف الحال باختلاف أمكنة العراق، من تخوم الموصل إلى البصرة، و لا ضير في ذلك في مقام الأمارية، لو لا دعوى الجزم بفساده، بمقتضى القواعد المزبورة المقطوع بها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جرم لا بدّ من التوسعة في القبلة، و ربما يساعد عليها العرف، و إن لم تكن بتلك السعة بحيث تشمل من كان في طريق الشام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عمدة الكلام في الإطلاق المزبور، إذ بعين الوجه الذي يستفاد منه كونها علامة أهل العراق، يستفاد كونها علامة أوساطها، و لا أقل من احتماله، فلا مجال لأصالة الإطلاق،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لزوم التوجه الى عين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 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القواعد الرصدية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العراق في وضع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من الاستقبال ما هو المتفاهم عرفا و المرتكز عندهم، فإذا دل دليل على خلاف مرتكزهم، فالمعتبر حينئذ هو مقدار شمول الدليل الرادع، و يبقى الباقي تحت متفاهمهم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فاحتمال الإطلاق في وضع الجدي لجميع أهل العراق يكفي في التوسعة، فالتضييق حينئذ يحتاج الى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تساعد القواعد الرصدية، مع تساوي أهل الموصل لمن كان في طريق الشام، أو مناسبته لاختلاف أهل البصرة مع أوساط العراق، فإنه حينئذ لا محيص أيضا من استفادة التضييق المزبور، من جهة اختلاف أهل العراق مع من كان في طريق الحج، و عليه فلا تخلو المسألة عن اشكال و حاجة الى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كون الجدي من الطرق التعبدية، أو كون الأمر به لمحض الإرشاد إلى رفع الجهل،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الاحتمال الثاني الجزم بعدم مغايرته في الصدر الأول مع المحراب المعلوم صلاة المعصوم فيه، كيف و مع علمهم بالمغايرة لم يحتمل اكتفاؤهم به، و توهم التفاتهم إلى المغايرة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لجعله من الأمارات الظنية التعبدية المجعولة في ظرف الجهل، بل هو من الأمور الرافعة للجهل بالقبلة إرشادا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رافعيته للجهل ربما توجب تعيين نقطة خاصة أيضا من الخلف، القابلة للمحاذاة معها، إذ باختلاف نقطة من ذاك الطرف يوجب الانحراف عن الكعبة بكثير، فيستحيل حينئذ قابلية جميع نقاطها للمحاذاة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فعدم ملاحظة الشارع ذلك ليس إلّا بملاحظة جعل الحكم الظاهري بالنسبة إلى الأفراد المعلومة اختلاف بعضها للواقع، بلا اقتضاء مثل ذلك تصرفا في موضوع الحكم الواقعي أصلا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إنما يصح، لو لا حجية هذا الإطلاق حتى بالنسبة إلى من يعلم بمخالفة بعضها للواقع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بتوسيط الرصد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محيص عن كشف التوسعة بحسب الواقع، فمع أنه لو لا الإطلاق من تلك الجهة فلنا أن ندّعي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ملاحظة النقطة الخاصة، كما يناسب الوظيفة الظاهرية، كذلك يناسب التوسعة في الاستقبال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احتمال هذا المعنى، كان المرجع فهم العرف بعين 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يبقى لنا طريق لجعل هذه التوسعة من الوظائف الظاهرية، الملازمة لجعل الجدي من الأمارات التعبدية الظنية، و حينئذ صح لنا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تقديم الأمارات العلمية على الجدي، و لو بناء على التشكيك في شمول دليله لحال التمكن من العلم، فضلا عما لو قيل بالإطلاق، و أنّ ذلك أيضا من باب التوسعة في أمر القبلة ظاهرا،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فقد الأمارات العلمية، حتى مثل الجدي، أو ما هو معلوم الأمارية بالمقايسة إليه، بل و البينة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المشار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الظن الاجتهادي،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التحرّي أبدا إذا لم يدر أين وجه القبلة</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عدم التمكن من الظن المزبور، قد يتوهم الاكتفاء بما بين المشرق و المغرب، لإطلاق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انه ينتهي إليه حد القبلة، و أما أنّ هذا وظيفة من يكون؟ فلم يكن بصدد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هو الذي صلّى إليه جهلا أو غفلة، ثم انكشف وقوعها بينهما، و لذا لم يتوهم شمول إطلاقه للمتمكن من تحصيل القبلة بالعلم، بل و بالظن أيضا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يشمل إطلاقه مقامنا، فلا محيص إلّا أن يصلّي إلى أربع جهات مع الاختيار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عدة مرسلات </w:t>
      </w:r>
      <w:r>
        <w:rPr>
          <w:rStyle w:val="FootnoteAnchor"/>
          <w:rtl w:val="true"/>
        </w:rPr>
        <w:footnoteReference w:id="1654"/>
      </w:r>
      <w:r>
        <w:rPr>
          <w:rFonts w:ascii="Amiri" w:hAnsi="Amiri" w:eastAsia="Amiri" w:cs="Amiri"/>
          <w:color w:val="111111"/>
          <w:sz w:val="28"/>
          <w:sz w:val="28"/>
          <w:szCs w:val="28"/>
          <w:rtl w:val="true"/>
          <w:lang w:bidi="ar-SA"/>
        </w:rPr>
        <w:t>، و ربما يستفاد منها عدم جواز الاكتفاء بما بين المشرق و المغرب المذكور، كيف و لو كان كافيا لاكتفي هنا بثلاث صلوات، و ذلك أيضا من شواهد عدم حجية إطلاق الرواية السابقة لحال الالتفات عقلا و نقلا، بعد حمل إطلاق قوله في المتحير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على غير المتمكن و لو بقرينة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 الاستقبال عمدا أعاد في الوقت و خارجه، لفوت الشرط، و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للقبلة، فتجب الإعادة حفظا لقضية الشرطية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ظانا أو معتقدا أو ناسيا و كان عمله واقعا بين المشرق و المغرب فلا اعادة مطلقا، للنص السابق، الظاهر في توسعة أمر القبلة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إليهما فضلا عن فرض انحرافه عنهما أعاد في الوقت لا خارجه، للنصوص المستفيضة </w:t>
      </w:r>
      <w:r>
        <w:rPr>
          <w:rStyle w:val="FootnoteAnchor"/>
          <w:rtl w:val="true"/>
        </w:rPr>
        <w:footnoteReference w:id="1657"/>
      </w:r>
      <w:r>
        <w:rPr>
          <w:rFonts w:ascii="Amiri" w:hAnsi="Amiri" w:eastAsia="Amiri" w:cs="Amiri"/>
          <w:color w:val="111111"/>
          <w:sz w:val="28"/>
          <w:sz w:val="28"/>
          <w:szCs w:val="28"/>
          <w:rtl w:val="true"/>
          <w:lang w:bidi="ar-SA"/>
        </w:rPr>
        <w:t xml:space="preserve">المعمول بها، المشتملة على التفصيل المزبور بعد طرح رواية معمر </w:t>
      </w:r>
      <w:r>
        <w:rPr>
          <w:rStyle w:val="FootnoteAnchor"/>
          <w:rtl w:val="true"/>
        </w:rPr>
        <w:footnoteReference w:id="1658"/>
      </w:r>
      <w:r>
        <w:rPr>
          <w:rFonts w:ascii="Amiri" w:hAnsi="Amiri" w:eastAsia="Amiri" w:cs="Amiri"/>
          <w:color w:val="111111"/>
          <w:sz w:val="28"/>
          <w:sz w:val="28"/>
          <w:szCs w:val="28"/>
          <w:rtl w:val="true"/>
          <w:lang w:bidi="ar-SA"/>
        </w:rPr>
        <w:t>الواردة في وجوب القضاء أيضا في الفرض المزبور، لضعف السند، و اعراض المشهور عنها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النصوص يشمل كشف الاستدبار و عدمه، و كون الاشتباه من جهة الشبهة الحكمية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التفت في أثناء الصلاة ففي اندراجه في النصوص المزبورة نظر، كالنظر فيما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مستدبرا القبلة أعاد مطلقا في الوقت و خارجه، و لعلّه من جهة شمول فحوى أخبار الالتفات إلى الخلف في المقام،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منع الشمول أولا، و تقييدها بأخبار المقام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يصلّى على الراحلة اختيارا إلّا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القضية الأولى، فللأمر بحفظ الاستقرار في الفريضة مهما أمكن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مع الاضطرار الى آخر الوقت،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الاضطرار للشرطية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ترك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الجواز، بل و الاجتزاء بها، لحرمة تفويت مثل هذه القدرة على الشرائط، الكاشفة عن عدم التمكن من استيفاء المزية الفائتة بإتيانها في خارج الوقت، بعد فرض كون اعتبار مثل هذه الشرائط في الصلاة في عرض اعتبار الوقت فيها، كما أشرنا إليه سابقا، و لازم ذلك جواز مثلها و إن فاتت القبلة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 السفينة، فمع فوت واحد من الأجزاء و الشرائط، فلا يجوز اختيارا، حفظا للشرائط و الأجزاء مع الاختيار، و مع عدم فوت واحد منها، ففي وجوب الخروج عنها تعبدا نظر، خصوصا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فيها، أما ترضى بصلاة نوح </w:t>
      </w:r>
      <w:r>
        <w:rPr>
          <w:rStyle w:val="FootnoteAnchor"/>
          <w:rtl w:val="true"/>
        </w:rPr>
        <w:footnoteReference w:id="1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مثل هذه الفقرة توهن إطلاقه لحال الاختيار، و لكن يكفينا الأصل و بقية الإطلاقات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الصلاة خارج السفينة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تخرجوا إلى الجدد فاخرجوا، و إن لم تقدروا</w:t>
      </w:r>
    </w:p>
    <w:p>
      <w:pPr>
        <w:pStyle w:val="BookText"/>
        <w:rPr/>
      </w:pPr>
      <w:r>
        <w:rPr>
          <w:rFonts w:ascii="Amiri" w:hAnsi="Amiri" w:eastAsia="Amiri" w:cs="Amiri"/>
          <w:color w:val="111111"/>
          <w:sz w:val="28"/>
          <w:sz w:val="28"/>
          <w:szCs w:val="28"/>
          <w:rtl w:val="true"/>
          <w:lang w:bidi="ar-SA"/>
        </w:rPr>
        <w:t>فصلوا قياما، و إلّا فصلوا قعودا</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و إطلاقها من حيث التمكن من حفظ الاستقرار أيضا ممنوع، لملازمته غالبا لفوته، و حينئذ يبقى الأصل و بقية الإطلاقات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الاضطرار الى آخر الوقت، فلا إشكال في الجواز و صحة الصلاة، بدلالة الرواية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بصلاة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 إطلاق مثله يستكشف الاجزاء به حتى خارج الوقت، و إلّا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اقتضائه فوت الشرائط فيجزئ، بقرينة حرمة التفويت اختيارا، و بين اقتضائه الاجزاء فلا يجزئ، لعدم اقتضاء تفويتها حينئذ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الإطلاقات تقتضي وجوب تدارك ما فات من المصلحة الملزمة، فإن كان حينئذ إجماع على عدم الإعادة حتى في صورة فوت الاجزاء فهو، و إلّا فالقاعدة تقتضي التفصيل بين الاجزاء و الشرائط في ظرف قيام الإجماع أيضا على حرمة تفويت الاختيار، و إلّا فالأصل عدم الاجزاء مطلقا حتى في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أن ظاهر كلماتهم في فرض الاضطرار في خصوص باب الصلاة هو الاجزاء مطلقا، فتدبّر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القضية الثانية، من جواز النافلة على الراحلة اختيارا، فلجملة من النصوص المستفيضة، الشاملة حتى لصورة استلزام الانحراف عن القبلة اختيارا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bookmarkStart w:id="495" w:name="pg19729_212953"/>
    </w:p>
    <w:p>
      <w:pPr>
        <w:pStyle w:val="BookText"/>
        <w:rPr/>
      </w:pPr>
      <w:bookmarkEnd w:id="495"/>
      <w:r>
        <w:rPr>
          <w:rFonts w:ascii="Amiri" w:hAnsi="Amiri" w:eastAsia="Amiri" w:cs="Amiri"/>
          <w:color w:val="111111"/>
          <w:sz w:val="28"/>
          <w:sz w:val="28"/>
          <w:szCs w:val="28"/>
          <w:rtl w:val="true"/>
          <w:lang w:bidi="ar-SA"/>
        </w:rPr>
        <w:t xml:space="preserve">بل من بعض نصوصها المشتمل على كونه على دابته في الأمصار </w:t>
      </w:r>
      <w:r>
        <w:rPr>
          <w:rStyle w:val="FootnoteAnchor"/>
          <w:rtl w:val="true"/>
        </w:rPr>
        <w:footnoteReference w:id="1663"/>
      </w:r>
      <w:r>
        <w:rPr>
          <w:rFonts w:ascii="Amiri" w:hAnsi="Amiri" w:eastAsia="Amiri" w:cs="Amiri"/>
          <w:color w:val="111111"/>
          <w:sz w:val="28"/>
          <w:sz w:val="28"/>
          <w:szCs w:val="28"/>
          <w:rtl w:val="true"/>
          <w:lang w:bidi="ar-SA"/>
        </w:rPr>
        <w:t>، يظهر عدم اختصاص الحكم بالمسافر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تجوز النافلة في السفينة، و في النص تنظيره بالمحمل، بل و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النافلة كلها سواء تومئ إيماء</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الرواية لحال سكون المحمل أو السفينة، بنحو يتمكن من الركوع و السجود،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التعدّي إلى حال المشي اختيارا نظر جدا، إذ غاية الأمر ورود النص في النافلة ماشيا في السفر، و هو إنما يقتضي سقوط الاستقرار و الطمأنينة، و أما سقوط القبلة فلا موجب لرفع اليد عنها، لعموم دليلها، و في غير مورد التصريح بالعموم، و لو لا التصريح بنفي القبلة في نصوص المحمل، لما كنا نرفع اليد عنها فيه أيضا، و هكذا في السفينة المنزلة منزلة المحمل، و في غيرهما يبقى دليل القبلة بحالها،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جواز النافلة ماشيا و لو إلى القبلة في غير السفر اشكال آخر، لاختصاص نصّه بالسفر، ففي غيره يبقى دليل الاستقرار، الثابت لطبيعة الصلاة بحاله،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251473_2314609296"/>
      <w:bookmarkStart w:id="497" w:name="_Toc189"/>
      <w:bookmarkEnd w:id="496"/>
      <w:r>
        <w:rPr>
          <w:rtl w:val="true"/>
        </w:rPr>
        <w:t>الفصل الرابع</w:t>
      </w:r>
      <w:r>
        <w:rPr>
          <w:rtl w:val="true"/>
        </w:rPr>
        <w:t xml:space="preserve">: </w:t>
      </w:r>
      <w:r>
        <w:rPr>
          <w:rtl w:val="true"/>
        </w:rPr>
        <w:t>في اللباس</w:t>
      </w:r>
      <w:bookmarkEnd w:id="497"/>
    </w:p>
    <w:p>
      <w:pPr>
        <w:pStyle w:val="Heading5"/>
        <w:numPr>
          <w:ilvl w:val="4"/>
          <w:numId w:val="1"/>
        </w:numPr>
        <w:rPr/>
      </w:pPr>
      <w:bookmarkStart w:id="498" w:name="__RefHeading___Toc3251475_2314609296"/>
      <w:bookmarkStart w:id="499" w:name="_Toc190"/>
      <w:bookmarkEnd w:id="498"/>
      <w:r>
        <w:rPr>
          <w:rtl w:val="true"/>
        </w:rPr>
        <w:t>اشارة</w:t>
      </w:r>
      <w:bookmarkEnd w:id="49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شرطيته في الصلاة في الجملة فتوى و نصا </w:t>
      </w:r>
      <w:r>
        <w:rPr>
          <w:rStyle w:val="FootnoteAnchor"/>
          <w:rtl w:val="true"/>
        </w:rPr>
        <w:footnoteReference w:id="1665"/>
      </w:r>
      <w:r>
        <w:rPr>
          <w:rFonts w:ascii="Amiri" w:hAnsi="Amiri" w:eastAsia="Amiri" w:cs="Amiri"/>
          <w:color w:val="111111"/>
          <w:sz w:val="28"/>
          <w:sz w:val="28"/>
          <w:szCs w:val="28"/>
          <w:rtl w:val="true"/>
          <w:lang w:bidi="ar-SA"/>
        </w:rPr>
        <w:t>، و يكفي من النصوص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 قميص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كثيفا</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 بل المنساق من السؤال أن لزوم الستر مرتكز في ذهن السائل، و إنما سأل عما يستر به من الاكتفاء بالقميص الواحد، و نظيره السؤال عن صلاة المرأة في الدرع و الخمار، فأجاب أيضا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كثيفا فلا بأس</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يستفاد من أمثال هذه الفقرات شرطية الستر حال الصلاة، و في شمولها مثل صلاة الميت اشكال، كالإشكال في شمولها للحالات المتخللة أثناء الأفعال، لو لا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المستفاد منه كون المحرمات الصلاتية، غيرية كانت أم نفسية، باقية من حين الشروع الى حين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الشرائط شرطيتها حتى في خلال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يكاد يشمل ذلك مثل النية، التي هي مقوّم للصلاة القربية،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الجواهر بين النية و غيرها من سائر الشرائط، فلم يعتبر في النية إلّا كونها بنحو يصدر الأفعال بأجمعها عنها، و إن بدا له في الأثناء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بعض النصوص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لدى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يظهر عدم البأس بكشف عورته في صلاته مع جهله به، و إطلاقه ربما يشمل حال التفاته إلى الكشف أثناء الصلاة، و لازمة وجوب المبادرة إلى الستر، فيقع في البين آنا ما غير قادر على الستر، و ذلك يكشف عن عدم الإضرار بهذا المقدار</w:t>
      </w:r>
    </w:p>
    <w:p>
      <w:pPr>
        <w:pStyle w:val="BookText"/>
        <w:rPr/>
      </w:pPr>
      <w:r>
        <w:rPr>
          <w:rFonts w:ascii="Amiri" w:hAnsi="Amiri" w:eastAsia="Amiri" w:cs="Amiri"/>
          <w:color w:val="111111"/>
          <w:sz w:val="28"/>
          <w:sz w:val="28"/>
          <w:szCs w:val="28"/>
          <w:rtl w:val="true"/>
          <w:lang w:bidi="ar-SA"/>
        </w:rPr>
        <w:t>من الاضطرار، و في التعدّي عنه الى مطلق الاضطرار كاطارة الريح، وجه، و لازمة عدم الإضرار بالاضطرار إلى الترك في شخص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سيأتي، من بيان تطبيق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الفرد، المستتبع لاجزائه أداء و 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باب الصلاة كلية، مضافا إلى اقتضاء النص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المأتي به تمام مصداق الطبيعة المأمور بها، حيث صرّح بتمامية الصلاة، و 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فرض النسيان أيضا لا قصور في الاجزاء،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كما هو الشأن في فرض الجهل بالستر، فظهور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الجهل بالموضوع، فلا يشمل الجهل بالحكم، فيكون الجاهل به كالعامد، بعد انصراف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ستر العورة، إما بالقطن أو الكتان، أو ما تنبت الأرض من أنواع الحشيش، لعموم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أنبتته الأرض فلا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 مضافا إلى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المنسوج من جميع الأمور المزبورة، فيشمله ما دل على الصلاة في الثوب الواحد أو ثوب كذا </w:t>
      </w:r>
      <w:r>
        <w:rPr>
          <w:rStyle w:val="FootnoteAnchor"/>
          <w:rtl w:val="true"/>
        </w:rPr>
        <w:footnoteReference w:id="1672"/>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يصب شيئا يستره أومأ</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و لازمة عدم لزوم كون الساتر منسوجا قطنا أو حشيشا، بل الأصل يقتضي الاكتفاء بأي نحو من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الغريق الملقى على الساحل و استبعاد عدم وجدانه الطين أيضا</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بالطين اختيارا،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أمره بالصلاة عاريا مومئا، يقتضي عدم التنزل إلى الطين عند الاضطرار أيضا، و بعين هذا الوجه نقول بعدم التنزل إلى الستر باليد كذلك، و حينئذ فليس للستر مراتب مختلفة،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فرق بعد صدق الستر و الثوب بين كونه بالمذكورات أو بالخز الخالص بلا إشكال فيه في الجملة فتوى و نصا مستفيضا </w:t>
      </w:r>
      <w:r>
        <w:rPr>
          <w:rStyle w:val="FootnoteAnchor"/>
          <w:rtl w:val="true"/>
        </w:rPr>
        <w:footnoteReference w:id="1675"/>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بطيلسان الخز</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 بها ترفع اليد عن عموم النهي عما لا يؤكل على فرض كونه ميتة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 موضوعه، ففي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بحري لا يعيش في البر</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يأوي في الماء، و يرعى في البر</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و يجمع بينهما بحمل التعيش على 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من أكل لحم الخز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ناب فلا تقربه</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و ذلك لا يقتضي انحصار الخز بالمأكول، و لا على ملازمة عدم أكله، لعدم صحة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يبعد جواز الصلاة فيما هو المتعارف بأيدي الناس و مورد معاملاتهم، من المسمّى بالخز، بضميمة أصالة اتصال هذا المتعارف إلى زمان المعصوم، كسائر سيراتهم الجارية في أمورهم، من دون احتياج إلى إحراز كونه مأكولا أو غير مأكول، يعيش في البر أو لا يعيش،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بالخز السنجاب، و في النص بعد السؤال عن السنور و السنجاب و الثعلب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ذلك إلّا السنجاب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آخر بعد نفي البأس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ذلك مما نهى رسول اللّٰه صلّى اللّٰه عليه و آله و سلّم، و إنما نهى عن كل ذي مخلب و ناب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النص شارح لإملاء رسول اللّٰه في موثقة ابن بكير </w:t>
      </w:r>
      <w:r>
        <w:rPr>
          <w:rStyle w:val="FootnoteAnchor"/>
          <w:rtl w:val="true"/>
        </w:rPr>
        <w:footnoteReference w:id="1683"/>
      </w:r>
      <w:r>
        <w:rPr>
          <w:rFonts w:ascii="Amiri" w:hAnsi="Amiri" w:eastAsia="Amiri" w:cs="Amiri"/>
          <w:color w:val="111111"/>
          <w:sz w:val="28"/>
          <w:sz w:val="28"/>
          <w:szCs w:val="28"/>
          <w:rtl w:val="true"/>
          <w:lang w:bidi="ar-SA"/>
        </w:rPr>
        <w:t>، و يكشف عن عدم شمول نهي رسول اللّٰه صلّى اللّٰه عليه و آله لمثله، مع كونه مذكورا في طي سؤاله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السنجاب مما لا يؤكل، كالأرنب و غيره، فالنصوص فيها مختلفة ترخيصا و منعا </w:t>
      </w:r>
      <w:r>
        <w:rPr>
          <w:rStyle w:val="FootnoteAnchor"/>
          <w:rtl w:val="true"/>
        </w:rPr>
        <w:footnoteReference w:id="1684"/>
      </w:r>
      <w:r>
        <w:rPr>
          <w:rFonts w:ascii="Amiri" w:hAnsi="Amiri" w:eastAsia="Amiri" w:cs="Amiri"/>
          <w:color w:val="111111"/>
          <w:sz w:val="28"/>
          <w:sz w:val="28"/>
          <w:szCs w:val="28"/>
          <w:rtl w:val="true"/>
          <w:lang w:bidi="ar-SA"/>
        </w:rPr>
        <w:t>، و مقتضى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الناهية على الكراهة، إلّا أنه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 المغشوش بما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w:t>
      </w:r>
      <w:r>
        <w:rPr>
          <w:rStyle w:val="FootnoteAnchor"/>
          <w:rtl w:val="true"/>
        </w:rPr>
        <w:footnoteReference w:id="1685"/>
      </w:r>
      <w:r>
        <w:rPr>
          <w:rFonts w:ascii="Amiri" w:hAnsi="Amiri" w:eastAsia="Amiri" w:cs="Amiri"/>
          <w:color w:val="111111"/>
          <w:sz w:val="28"/>
          <w:sz w:val="28"/>
          <w:szCs w:val="28"/>
          <w:rtl w:val="true"/>
          <w:lang w:bidi="ar-SA"/>
        </w:rPr>
        <w:t>، و الإمام رجّح الأخبار الناهية، و ذلك يكشف عن خلل في جهتها، و إلّا فلا وجه لتقديم الترجيح على الجمع، و ذلك أيضا عمدة وجه عدم اعتناء الأصحاب بالمجوزة، مع وضوح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البيان المزبور ظهر وجه تقييد المصنف الخز بكونه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بالصوف و الشعر و الوبر مما يؤكل لحمه إجماعا، و لما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يصلّي في غيره مما أحل اللّٰه أكله</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و الصلاة في هذه الأشياء جائزة مطلقا، سواء ذكّي الحيوان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 جلده فلا بدّ أن يكون مع التذكية، لما في الموثقة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 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النصوص تعليق الحرمة بالميتة </w:t>
      </w:r>
      <w:r>
        <w:rPr>
          <w:rStyle w:val="FootnoteAnchor"/>
          <w:rtl w:val="true"/>
        </w:rPr>
        <w:footnoteReference w:id="1687"/>
      </w:r>
      <w:r>
        <w:rPr>
          <w:rFonts w:ascii="Amiri" w:hAnsi="Amiri" w:eastAsia="Amiri" w:cs="Amiri"/>
          <w:color w:val="111111"/>
          <w:sz w:val="28"/>
          <w:sz w:val="28"/>
          <w:szCs w:val="28"/>
          <w:rtl w:val="true"/>
          <w:lang w:bidi="ar-SA"/>
        </w:rPr>
        <w:t>، و لا منافاة بين كون التذكية شرطا و كون الميتة مانعا، فلا تنافي بين هاتين الروايتين، نعم ربما ينافي شرطية التذكية تعليق عدم الجواز بالعلم بكونه ميتة، و هو خلاف ذيل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بينهما بحمل الأخيرة على ما هو الغالب، من موارد الأسئلة من وجود امارة على الحلّيّة و التذكية، بحيث تحتاج الحرمة إلى العلم الوجداني أو امارة أخرى حاكمة على أمارات الحلّيّة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نصوص مستفيضة بنفي البأس عما في سوق المسلمين أو اشترى من رجل مسلم </w:t>
      </w:r>
      <w:r>
        <w:rPr>
          <w:rStyle w:val="FootnoteAnchor"/>
          <w:rtl w:val="true"/>
        </w:rPr>
        <w:footnoteReference w:id="1688"/>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يصلون فيه فلا تسألوا عنه</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الكاشف بعد ضم معاملة ذي اليد معه عمل المذكّى عن أماريته، فيشكل حينئذ أمارية اليد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البأس عما صنع في أرض الإسلام</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ما ذكرنا من البيان يرتفع التهافت بين الأخبار،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احتمال دخل وجود أثر الإسلام في اماريته، اللهم إلّا أن يحمل على الغالب من وجود أثره،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التأمل فيما ذكرنا ظهر أنه لا تجوز الصلاة في جلد الميتة و إن دبغ، للإطلاقات السابقة، و لا جلد ما لا يؤكل لحمه و إن ذكّي و دبغ، و لا في صوفه، و شعره و وبره و كل شي‌ء منه كما في موثقة ابن بكير </w:t>
      </w:r>
      <w:r>
        <w:rPr>
          <w:rStyle w:val="FootnoteAnchor"/>
          <w:rtl w:val="true"/>
        </w:rPr>
        <w:footnoteReference w:id="1691"/>
      </w:r>
      <w:r>
        <w:rPr>
          <w:rFonts w:ascii="Amiri" w:hAnsi="Amiri" w:eastAsia="Amiri" w:cs="Amiri"/>
          <w:color w:val="111111"/>
          <w:sz w:val="28"/>
          <w:sz w:val="28"/>
          <w:szCs w:val="28"/>
          <w:rtl w:val="true"/>
          <w:lang w:bidi="ar-SA"/>
        </w:rPr>
        <w:t>، مضافا إلى النواهي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تذكية المأكول موضوعا فالأصل عدمها، و حكما لا مجال لأصالة عدم التذكية، لعدم تعلّق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الشبهات الحكمية، بل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ذي أثر، فالمسألة حينئذ من صغريات الشك في مفهوم الشرط المردد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البراءة جواز الصلاة فيه، حتى على شرطية التذكية، فضلا عن مانعية الميتة، و لو شك في أنه من المأكول أو غيره، مع الجزم بالتذكية، فمع كون الشبهة حكمية فلا قصور في البراءة أيضا، حتى على شرطية المأكول، لعين 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كون الشبهة موضوعية،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مبتنية على الشرطية و المانعية، فعلى الأولى ينتهي الأمر إلى قاعدة الاشتغال دون الأخرى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لو كانت المانعية مطلقة، كما هو ظاهر سائر النواهي، و إلّا فبناء على تقييد مانعيته بكونه ملبوسا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الموثقة، بقرينة ذيلها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بها إلى الصلاة الواقعة في</w:t>
      </w:r>
    </w:p>
    <w:p>
      <w:pPr>
        <w:pStyle w:val="BookText"/>
        <w:rPr/>
      </w:pP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البراءة حتى على المانعية، لعدم تصور أفراد في خصوص هذا الملبوس، كي ينحل النهي إلى الفرد المعلوم مانعيته و الفرد المشكوك مانعيته، ليصح وقوعه مجرى للبراءة العقلية و النقلية، بل التقييد بعدم كونه من غير المأكول معلوم، و إنما الشك في تحقق القيد محضا، و في مثله لا تجري البراءة، بل الاشتغال محكمة، لو لا أصل موضوعي يحرز عدم اتصافه بالمأكولية، أو عدم كون صلاته هذه واقعة في غير المأكول، نظير أصالة عدم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كفاية الابتلاء بالوبر في حلّيّة اللحم الخارج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يثمر في صورة العلم بكون الوبر مضافا إلى خصوص ما شك في كونه مأكولا أو غير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علم بمأكولية شي‌ء معيّن، و غير مأكولية غيره، و شك في أخذ الوبر عن أيهما، فأصالة الحل حينئذ ساقطة، لعدم تعلّق الشك بشخص معين شك في حلية لحمه، و إنما الشك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منه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ليس من العناوين المحرّمة أو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ميزان كلّي لجريان أدلة الأصول في الشبهات الموضوعية أو الحكمية، من دون فرق بين قاعدة الحلّيّة أو الاستصحاب أو غيرهما،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انكشف الخلاف، فإن كان عن نسيان، فلا قصور في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المأكولية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جهة نجاستها، و إلّا فقد تقدّم حكم نسيان النجاسة في كتاب الطهارة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ورد النص بعدم الإعادة في عذرة الكلب </w:t>
      </w:r>
      <w:r>
        <w:rPr>
          <w:rStyle w:val="FootnoteAnchor"/>
          <w:rtl w:val="true"/>
        </w:rPr>
        <w:footnoteReference w:id="1692"/>
      </w:r>
      <w:r>
        <w:rPr>
          <w:rFonts w:ascii="Amiri" w:hAnsi="Amiri" w:eastAsia="Amiri" w:cs="Amiri"/>
          <w:color w:val="111111"/>
          <w:sz w:val="28"/>
          <w:sz w:val="28"/>
          <w:szCs w:val="28"/>
          <w:rtl w:val="true"/>
          <w:lang w:bidi="ar-SA"/>
        </w:rPr>
        <w:t>، و هو في مورد الجهل به من الأول، فلا يشمل فرض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يستفاد منه الاجزاء من حيث عدم المأكولية، للجزم بعدم التفكيك بين الجهتين في النص المزبور،</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تجوز الصلاة في الحرير المحض للرجال مع الاختيار بلا اشكال فتوى،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 الصلاة في حرير محض</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النصوص من نفي البأس في الديباج ما لم يكن فيه التماثيل </w:t>
      </w:r>
      <w:r>
        <w:rPr>
          <w:rStyle w:val="FootnoteAnchor"/>
          <w:rtl w:val="true"/>
        </w:rPr>
        <w:footnoteReference w:id="1694"/>
      </w:r>
      <w:r>
        <w:rPr>
          <w:rFonts w:ascii="Amiri" w:hAnsi="Amiri" w:eastAsia="Amiri" w:cs="Amiri"/>
          <w:color w:val="111111"/>
          <w:sz w:val="28"/>
          <w:sz w:val="28"/>
          <w:szCs w:val="28"/>
          <w:rtl w:val="true"/>
          <w:lang w:bidi="ar-SA"/>
        </w:rPr>
        <w:t>، معرض عنه لدى الأصحاب، فلا بدّ من تأويله بالمغشوش أو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مع الاضطرار المستمر الى آخر الوقت، إذ حينئذ يسقط مانعيته،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حيث طبّق الإمام مثل هذا العموم في مقام رفع شرطية القيام في المستلقي، و رفع جزئية ركوعه، فيتعدّى حينئذ منهما إلى سائر الواجبات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ظاهر الحلّيّة رفع مانعيته في ظرف الاضطرار، عن جميع مراتب الصلاة، لا عن خصوص مرتبة منها كي به يخصص أصل دليل الشرطية أو المانعية، في ظرف الاضطرار، عن مرتبة منها محفوظة في هذه الحالة، المستتبع لتقييد دليل الشرطية ببعض مراتبه، كي لا يقتضي مثله الاجزاء عن القضاء، إلّا في فرض إحراز حرمة التفويت بالنسبة إلى الشرائط المعتبرة في عرض الوقت؟</w:t>
      </w:r>
    </w:p>
    <w:p>
      <w:pPr>
        <w:pStyle w:val="BookText"/>
        <w:rPr/>
      </w:pPr>
      <w:r>
        <w:rPr>
          <w:rFonts w:ascii="Amiri" w:hAnsi="Amiri" w:eastAsia="Amiri" w:cs="Amiri"/>
          <w:color w:val="111111"/>
          <w:sz w:val="28"/>
          <w:sz w:val="28"/>
          <w:szCs w:val="28"/>
          <w:rtl w:val="true"/>
          <w:lang w:bidi="ar-SA"/>
        </w:rPr>
        <w:t>ظاهر إطلاق كلماتهم في باب الصلاة الاضطرارية هو الاجزاء، كما هو الشأن في المضطجع و المستلقي المستمر اضطرارهما إلى آخر الوقت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جملة كلماتهم في باب غسل الميت الاضطراري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bookmarkStart w:id="500" w:name="pg19729_212962"/>
    </w:p>
    <w:p>
      <w:pPr>
        <w:pStyle w:val="BookText"/>
        <w:rPr/>
      </w:pPr>
      <w:bookmarkEnd w:id="500"/>
      <w:r>
        <w:rPr>
          <w:rFonts w:ascii="Amiri" w:hAnsi="Amiri" w:eastAsia="Amiri" w:cs="Amiri"/>
          <w:color w:val="111111"/>
          <w:sz w:val="28"/>
          <w:sz w:val="28"/>
          <w:szCs w:val="28"/>
          <w:rtl w:val="true"/>
          <w:lang w:bidi="ar-SA"/>
        </w:rPr>
        <w:t>الاجزاء، حيث التزموا بوجوب إتيان الاضطراري منه حتى مع العلم بخروجه من القبر بعد مدة، و وجوب إعادته بعد خروجه، و الحال انّ لسان دليل الاضطرار، و كيفية تطبيقه في جميع المقامات، بنسق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أوثق في البين من دعوى عدم إطلاق في مثل دليل الاضطرار لرفع الشرطية عن جميع المراتب، بل غاية الأمر في ظرف الاضطرار ثبوت مرتبة اخرى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أيضا إطباقهم على وجوب تحصيل التعلّم للقراءة، فيتعدّى إلى وجوب حفظ سائر المقدمات في وقتها أيضا، لإمكان دعوى الجزم بعدم خصوصية للتعلم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فوجوب حفظ المقدمات، و حرمة تفويت الاختيار في وقته، مع عدم سقوط الصلاة بحال، و لو بعد التفويت، قرينة قطعية على عدم وفاء المضطر إليه بتمام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يبقى دليل الشرطية على حاله بالنسبة إلى تحصيل المزية الفائتة،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قيام الإجماع على حرمة تفويت الشرائط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الاجتزاء به بعد مضي الوقت و طروء الاختيار، و عليه فلا بدّ في خصوص باب الصلاة من قيام أحد الإجماعين، اما على حرمة التفويت، أو الوفاء بتمام المصلحة، كما أنه في غير الشرائط لا بدّ من الإجماع الثاني، كما لا يخفى،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3251477_2314609296"/>
      <w:bookmarkStart w:id="502" w:name="_Toc191"/>
      <w:bookmarkEnd w:id="501"/>
      <w:r>
        <w:rPr>
          <w:rtl w:val="true"/>
        </w:rPr>
        <w:t>ثم انه قد يستثنى من حرمة لبس الحرير في الصلاة موارد</w:t>
      </w:r>
      <w:r>
        <w:rPr>
          <w:rtl w:val="true"/>
        </w:rPr>
        <w:t>:</w:t>
      </w:r>
      <w:bookmarkEnd w:id="502"/>
    </w:p>
    <w:p>
      <w:pPr>
        <w:pStyle w:val="Heading6"/>
        <w:numPr>
          <w:ilvl w:val="5"/>
          <w:numId w:val="1"/>
        </w:numPr>
        <w:rPr/>
      </w:pPr>
      <w:bookmarkStart w:id="503" w:name="__RefHeading___Toc3251479_2314609296"/>
      <w:bookmarkStart w:id="504" w:name="_Toc192"/>
      <w:bookmarkEnd w:id="503"/>
      <w:r>
        <w:rPr>
          <w:rtl w:val="true"/>
        </w:rPr>
        <w:t>منها</w:t>
      </w:r>
      <w:r>
        <w:rPr>
          <w:rtl w:val="true"/>
        </w:rPr>
        <w:t xml:space="preserve">: </w:t>
      </w:r>
      <w:r>
        <w:rPr>
          <w:rtl w:val="true"/>
        </w:rPr>
        <w:t>ما لا تتم الصلاة فيه وحده،</w:t>
      </w:r>
      <w:bookmarkEnd w:id="50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يجوز الصلاة فيه وحده فلا بأس بالصلاة فيه، مثل التكة من الإبريسم، و القلنسوة،</w:t>
      </w:r>
      <w:bookmarkStart w:id="505" w:name="pg19729_212963"/>
    </w:p>
    <w:p>
      <w:pPr>
        <w:pStyle w:val="BookText"/>
        <w:rPr/>
      </w:pPr>
      <w:bookmarkEnd w:id="505"/>
      <w:r>
        <w:rPr>
          <w:rFonts w:ascii="IRNazanin" w:hAnsi="IRNazanin" w:eastAsia="IRNazanin"/>
          <w:color w:val="111111"/>
          <w:sz w:val="28"/>
          <w:sz w:val="28"/>
          <w:szCs w:val="28"/>
          <w:rtl w:val="true"/>
          <w:lang w:bidi="fa-IR"/>
        </w:rPr>
        <w:t>و الخف، و الزنار</w:t>
      </w:r>
      <w:r>
        <w:rPr>
          <w:rFonts w:eastAsia="IRNazanin" w:cs="IRNazanin"/>
          <w:color w:val="111111"/>
          <w:sz w:val="28"/>
          <w:szCs w:val="28"/>
          <w:rtl w:val="true"/>
          <w:lang w:bidi="fa-IR"/>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ظهور الخف في الجلد غالبا يمنع عن تخصيص العام المزبور بالحرير، اللهم إلّا أن يحمل على ما هو المتعارف في زماننا،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يمكن كونها من الحرير، فلا وجه للتعدي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الأمثلة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الحرير، كما انّ الأصحاب أيضا لم يتعدّوا إلى غير الحرير من سائر الموانع السابقة، و على فرض العموم لا بدّ من جعل فهمهم خصوص الحرمة، قرينة على التخصيص، كما يشهد به إطلاق كلماتهم في مانعية سائر الموانع،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المزبور في خصوص باب الحرير كاف في الجواز، و ما ورد من النهي عن الصلاة في القلنسوة </w:t>
      </w:r>
      <w:r>
        <w:rPr>
          <w:rStyle w:val="FootnoteAnchor"/>
          <w:rtl w:val="true"/>
        </w:rPr>
        <w:footnoteReference w:id="1697"/>
      </w:r>
      <w:r>
        <w:rPr>
          <w:rFonts w:ascii="Amiri" w:hAnsi="Amiri" w:eastAsia="Amiri" w:cs="Amiri"/>
          <w:color w:val="111111"/>
          <w:sz w:val="28"/>
          <w:sz w:val="28"/>
          <w:szCs w:val="28"/>
          <w:rtl w:val="true"/>
          <w:lang w:bidi="ar-SA"/>
        </w:rPr>
        <w:t>أيضا، محمول على الكراهة، كما هو ظاهر</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251481_2314609296"/>
      <w:bookmarkStart w:id="507" w:name="_Toc193"/>
      <w:bookmarkEnd w:id="506"/>
      <w:r>
        <w:rPr>
          <w:rtl w:val="true"/>
        </w:rPr>
        <w:t>و منها</w:t>
      </w:r>
      <w:r>
        <w:rPr>
          <w:rtl w:val="true"/>
        </w:rPr>
        <w:t xml:space="preserve">: </w:t>
      </w:r>
      <w:r>
        <w:rPr>
          <w:rtl w:val="true"/>
        </w:rPr>
        <w:t>المكفوف بالديباج،</w:t>
      </w:r>
      <w:bookmarkEnd w:id="507"/>
    </w:p>
    <w:p>
      <w:pPr>
        <w:pStyle w:val="BookText"/>
        <w:rPr/>
      </w:pPr>
      <w:r>
        <w:rPr>
          <w:rFonts w:ascii="Amiri" w:hAnsi="Amiri" w:eastAsia="Amiri" w:cs="Amiri"/>
          <w:color w:val="111111"/>
          <w:sz w:val="28"/>
          <w:sz w:val="28"/>
          <w:szCs w:val="28"/>
          <w:rtl w:val="true"/>
          <w:lang w:bidi="ar-SA"/>
        </w:rPr>
        <w:t xml:space="preserve">للتصريح به في رواية عمر </w:t>
      </w:r>
      <w:r>
        <w:rPr>
          <w:rStyle w:val="FootnoteAnchor"/>
          <w:rtl w:val="true"/>
        </w:rPr>
        <w:footnoteReference w:id="1698"/>
      </w:r>
      <w:r>
        <w:rPr>
          <w:rFonts w:ascii="Amiri" w:hAnsi="Amiri" w:eastAsia="Amiri" w:cs="Amiri"/>
          <w:color w:val="111111"/>
          <w:sz w:val="28"/>
          <w:sz w:val="28"/>
          <w:szCs w:val="28"/>
          <w:rtl w:val="true"/>
          <w:lang w:bidi="ar-SA"/>
        </w:rPr>
        <w:t>، و تحديده إلى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عن سداه و زرّه و علمه</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و لا بأس بالأخذ بمضمونها، بعد معموليتها لدى الأصحاب</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251483_2314609296"/>
      <w:bookmarkStart w:id="509" w:name="_Toc194"/>
      <w:bookmarkEnd w:id="508"/>
      <w:r>
        <w:rPr>
          <w:rtl w:val="true"/>
        </w:rPr>
        <w:t>و منها</w:t>
      </w:r>
      <w:r>
        <w:rPr>
          <w:rtl w:val="true"/>
        </w:rPr>
        <w:t xml:space="preserve">: </w:t>
      </w:r>
      <w:r>
        <w:rPr>
          <w:rtl w:val="true"/>
        </w:rPr>
        <w:t>انه يجوز في الحرب</w:t>
      </w:r>
      <w:bookmarkEnd w:id="509"/>
    </w:p>
    <w:p>
      <w:pPr>
        <w:pStyle w:val="BookText"/>
        <w:rPr/>
      </w:pPr>
      <w:r>
        <w:rPr>
          <w:rFonts w:ascii="Amiri" w:hAnsi="Amiri" w:eastAsia="Amiri" w:cs="Amiri"/>
          <w:color w:val="111111"/>
          <w:sz w:val="28"/>
          <w:sz w:val="28"/>
          <w:szCs w:val="28"/>
          <w:rtl w:val="true"/>
          <w:lang w:bidi="ar-SA"/>
        </w:rPr>
        <w:t>بلا إشكال في غير حال الصلاة، لمضمون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الحرب فلا بأس به</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حال الصلاة فلا نص بخصوصه، غير إطلاق الرواية السابقة فيعارض</w:t>
      </w:r>
    </w:p>
    <w:p>
      <w:pPr>
        <w:pStyle w:val="BookText"/>
        <w:rPr/>
      </w:pPr>
      <w:r>
        <w:rPr>
          <w:rFonts w:ascii="Amiri" w:hAnsi="Amiri" w:eastAsia="Amiri" w:cs="Amiri"/>
          <w:color w:val="111111"/>
          <w:sz w:val="28"/>
          <w:sz w:val="28"/>
          <w:szCs w:val="28"/>
          <w:rtl w:val="true"/>
          <w:lang w:bidi="ar-SA"/>
        </w:rPr>
        <w:t>مع إطلاق النهي عن الصلاة فيه، فيتساقطان، فيرجع في مانعيته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بعد شمول الإطلاق السابق لحال الصلاة اختيارا، لغلبة الاضطرارية و هو صحيح، لو لم يشمل حال الحرب حال مقدماتها المشرفة بها، أو التخللات الواقعة في خلالها، و إلّا فشموله لحال الصلاة اختيارا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لبسه للنساء في الصلاة و غيرها،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يلبسن الحرير و الديباج إلّا في الإحرام</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و الاستثناء يؤكد عمومه لحال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الصلاة أيضا </w:t>
      </w:r>
      <w:r>
        <w:rPr>
          <w:rStyle w:val="FootnoteAnchor"/>
          <w:rtl w:val="true"/>
        </w:rPr>
        <w:footnoteReference w:id="1702"/>
      </w:r>
      <w:r>
        <w:rPr>
          <w:rFonts w:ascii="Amiri" w:hAnsi="Amiri" w:eastAsia="Amiri" w:cs="Amiri"/>
          <w:color w:val="111111"/>
          <w:sz w:val="28"/>
          <w:sz w:val="28"/>
          <w:szCs w:val="28"/>
          <w:rtl w:val="true"/>
          <w:lang w:bidi="ar-SA"/>
        </w:rPr>
        <w:t>، و هو مطروح أو مؤوّل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بالمرسلة السابقة المعمول بها 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 الشامل للنساء أيضا، لأظهريتها، و لا أقل من التعارض فيتساقطان، فالمرجع البراءة عن المانعية، كما هو الشأن في الخنثى المشكل، بناء على نفي الطبيعة الثالثة، للشك في توجه النهي إليه، فيرجع إلى البراءة بعد ما لم يكن في البين أصل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لو لا كونه طرف العلم الإجمالي لبعض المحرمات على النساء محضا، و إلّا فأمره مشكل، خصوصا مع إطلاق دليل المانعية، كما لا يخفى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أيضا للركوب عليه، و الافتراش، و الالتصاق بالثوب و أمثاله، الخارجة عن صدق الصلاة فيه، أو اللبس عليه، لعدم مقتض لحرمتها</w:t>
      </w:r>
      <w:r>
        <w:rPr>
          <w:rFonts w:eastAsia="Amiri" w:cs="Amiri" w:ascii="Amiri" w:hAnsi="Amiri"/>
          <w:color w:val="111111"/>
          <w:sz w:val="28"/>
          <w:szCs w:val="28"/>
          <w:rtl w:val="true"/>
          <w:lang w:bidi="ar-SA"/>
        </w:rPr>
        <w:t>.</w:t>
      </w:r>
      <w:bookmarkStart w:id="510" w:name="pg19729_212965"/>
    </w:p>
    <w:p>
      <w:pPr>
        <w:pStyle w:val="BookText"/>
        <w:rPr/>
      </w:pPr>
      <w:bookmarkEnd w:id="510"/>
      <w:r>
        <w:rPr>
          <w:rFonts w:ascii="Amiri" w:hAnsi="Amiri" w:eastAsia="Amiri" w:cs="Amiri"/>
          <w:color w:val="111111"/>
          <w:sz w:val="28"/>
          <w:sz w:val="28"/>
          <w:szCs w:val="28"/>
          <w:rtl w:val="true"/>
          <w:lang w:bidi="ar-SA"/>
        </w:rPr>
        <w:t>و 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الحرير حرام على ذكور أمتي</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منصرف إلى لبسه، و لو بقرينة فهم الأصحاب، و إلّا فيطرح، للعلم الإجمالي بطرح سنده أو دلالته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251485_2314609296"/>
      <w:bookmarkStart w:id="512" w:name="_Toc195"/>
      <w:bookmarkEnd w:id="511"/>
      <w:r>
        <w:rPr>
          <w:rtl w:val="true"/>
        </w:rPr>
        <w:t>و لا تجوز الصلاة في الثوب المغصوب</w:t>
      </w:r>
      <w:bookmarkEnd w:id="512"/>
    </w:p>
    <w:p>
      <w:pPr>
        <w:pStyle w:val="BookText"/>
        <w:rPr/>
      </w:pPr>
      <w:r>
        <w:rPr>
          <w:rFonts w:ascii="Amiri" w:hAnsi="Amiri" w:eastAsia="Amiri" w:cs="Amiri"/>
          <w:color w:val="111111"/>
          <w:sz w:val="28"/>
          <w:sz w:val="28"/>
          <w:szCs w:val="28"/>
          <w:rtl w:val="true"/>
          <w:lang w:bidi="ar-SA"/>
        </w:rPr>
        <w:t>بلا اشكال، و لو من جهة كون الصلاة فيه نحو تصرّف للغصب، و إلّا فملازمته للأفعال الصلاتية ممنوعة، غاية الأمر ملازمة الهوي و الصعود لتحريكه، و حرمتها غير مضرّة بالعبادة،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تنظر فيم تصلّي و علام تصلّي</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أيضا لا يقتضي إلّا نفي القبول، و هو أعم من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الكاشفة عما ذكرنا،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الصلاة أيضا في الحلي للرجال، بل مطلق لباسه بلا اشكال، لخبر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 لا يصلّي فيه</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التختم للنساء بالذهب في صلواتها و عدمه للرجال</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و ظاهر النهي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المانعية الواقعية، فيضر بها جهلا بالحكم أو الموضوع أيضا، بعد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ذيله لغير مورد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شموله لحال النسيان، كما لا يخفى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 النهي في الصلاة لما هو جائز في غيره اشكال، لعدم إطلاق في النواهي يشمل ذلك، فيبقى ذلك تحت أصالة البراءة عن المانعية،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الصلاة فيما يستر ظهر القدم إذا لم يكن له ساق عند المصنف و جماعة من القدماء، لما في مرسلة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محظورة في النعل السندي و الشمشك</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مؤيدا بإجماع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الوجهين، لعدم الوثوق بسند الرواية بعد اعراض المشهور، و عدم حجية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يوجب بناؤهم على الكراهة توثيق الرواية بعد اعراض المشهور، و عدم حجية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يوجب بناؤهم على الكراهة توثيق الرواية بعد احتمال كونه بمناط التسامح في مثلها، فالأصل حينئذ البراءة عن المانعية، بل و في الكراهة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قاعدة التسامح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لا بأس بتركه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يتعدّى من مورد النص إلّا إلى ما كان مثل المنصوص، مما يستر ظهر القدم و لم يكن له ساق،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تكره الصلاة في الثياب السود إلّا العمامة، بل يكره مطلق لبسها للنهي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لباس فرعون</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أسود</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 و نص آخر مشتمل على القلنسوة السوداء و الصلاة فيها، معلّلا بأنها لباس أهل النار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التعليلات مانعة عن انعقاد ظهورها في الحرمة، لأنها من قبيل اتصال الكلام بما يصلح للقرينية، فالأصل البراءة عن المانعية، خصوصا مع ضعف اسنادها و عدم جابر لها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العمامة فقد ورد النص </w:t>
      </w:r>
      <w:r>
        <w:rPr>
          <w:rStyle w:val="FootnoteAnchor"/>
          <w:rtl w:val="true"/>
        </w:rPr>
        <w:footnoteReference w:id="1712"/>
      </w:r>
      <w:r>
        <w:rPr>
          <w:rFonts w:ascii="Amiri" w:hAnsi="Amiri" w:eastAsia="Amiri" w:cs="Amiri"/>
          <w:color w:val="111111"/>
          <w:sz w:val="28"/>
          <w:sz w:val="28"/>
          <w:szCs w:val="28"/>
          <w:rtl w:val="true"/>
          <w:lang w:bidi="ar-SA"/>
        </w:rPr>
        <w:t>على استثنائه مع الكساء، و الخف</w:t>
      </w:r>
    </w:p>
    <w:p>
      <w:pPr>
        <w:pStyle w:val="BookText"/>
        <w:rPr/>
      </w:pPr>
      <w:r>
        <w:rPr>
          <w:rFonts w:ascii="Amiri" w:hAnsi="Amiri" w:eastAsia="Amiri" w:cs="Amiri"/>
          <w:color w:val="111111"/>
          <w:sz w:val="28"/>
          <w:sz w:val="28"/>
          <w:szCs w:val="28"/>
          <w:rtl w:val="true"/>
          <w:lang w:bidi="ar-SA"/>
        </w:rPr>
        <w:t>و لا ضير بأخذه، إذ حكمهم بنفي الكراهة شاهد عملهم بالرواية، فينجبر سندها بذلك، كما لا يخفى، و من هنا ظهر حال الخف بل الكساء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أيضا أن يأتزر فوق القميص في صلاته، لنص أبي بصير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زي الجاهلية</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يستصحب الحديد ظاهرا في صلاته، و في النص النهي عن التختم به، و انه من زينة الجن و الشياطين </w:t>
      </w:r>
      <w:r>
        <w:rPr>
          <w:rStyle w:val="FootnoteAnchor"/>
          <w:rtl w:val="true"/>
        </w:rPr>
        <w:footnoteReference w:id="1714"/>
      </w:r>
      <w:r>
        <w:rPr>
          <w:rFonts w:ascii="Amiri" w:hAnsi="Amiri" w:eastAsia="Amiri" w:cs="Amiri"/>
          <w:color w:val="111111"/>
          <w:sz w:val="28"/>
          <w:sz w:val="28"/>
          <w:szCs w:val="28"/>
          <w:rtl w:val="true"/>
          <w:lang w:bidi="ar-SA"/>
        </w:rPr>
        <w:t xml:space="preserve">، و في قباله ما في التوقيع من التصريح بالجواز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أيضا اللثام للرجال حالة الصلاة على الأرض، و كذا النقاب للمرأة، للنص في الرجل المختص بالأرض </w:t>
      </w:r>
      <w:r>
        <w:rPr>
          <w:rStyle w:val="FootnoteAnchor"/>
          <w:rtl w:val="true"/>
        </w:rPr>
        <w:footnoteReference w:id="1716"/>
      </w:r>
      <w:r>
        <w:rPr>
          <w:rFonts w:ascii="Amiri" w:hAnsi="Amiri" w:eastAsia="Amiri" w:cs="Amiri"/>
          <w:color w:val="111111"/>
          <w:sz w:val="28"/>
          <w:sz w:val="28"/>
          <w:szCs w:val="28"/>
          <w:rtl w:val="true"/>
          <w:lang w:bidi="ar-SA"/>
        </w:rPr>
        <w:t>، و أما على الدابة،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إن أسفرت فهو أفضل، و في استفادة الكراهة منه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القباء المشدود في غير الحرب على المعروف عند الأصحاب، و لم أر له مستندا، و لا بأس بتركه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اشتمال الصماء، للنهي عنه في النص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الثوب الطهارة في حال الصلاة، على ما تقدّم في كتاب الطهارة، و ذكرنا شرح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عفي عنه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الملك أو حكمه من الاذن من قبل من له سلطنة عليه، لما عرفت من حرمة التصرّف في مال الغير، و مثل هذه الحرمة لما كان بمناط المزاحمة لا يكون مانعا واقعيا، إلّا مع الجهل بحكمه تقصيرا، و إلّا فمع المعذورية لا بأس بالصلاة فيه واقعا،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عورة الرجل التي هي موضوع وجوب الستر إجماعا قبله و دبره، و في وجوب ستر الحجم إشكال، و لا يعتبر في وجوب الستر وجود ناظر محترم، و يجب سترهما في الصلاة مطلقا إجماعا، مضافا إلى ما يستفاد من فحاوي نصوص الباب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جسد المرأة كلها عورة في باب الصلاة، كما يستفاد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تصلّي فيه المرأة درع و ملحفة تنشرها على رأسها و تجلّل بها</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تصلّي في درع و مقنعة</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درع، و 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فثوبين تستر بأحدهما و تقنع بالآخر</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ستر بدنها و رأسها و عنقها، الملازم لستر مقدار من شعرها، إذ ذلك هو المقدار الذي يقتضيه ستر المقنعة، و ثوب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يستفاد منهما ستر كفيها و لا قدميها و لا وجهها، كما هو الظاهر من اقتضاء الستر بالثوب و المقنعة، و في اقتضائها أيضا ستر جميع شعرها أيضا نظر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يسوغ لها كشف الوجه</w:t>
      </w:r>
      <w:bookmarkStart w:id="513" w:name="pg19729_212969"/>
    </w:p>
    <w:p>
      <w:pPr>
        <w:pStyle w:val="BookText"/>
        <w:rPr/>
      </w:pPr>
      <w:bookmarkEnd w:id="513"/>
      <w:r>
        <w:rPr>
          <w:rFonts w:ascii="Amiri" w:hAnsi="Amiri" w:eastAsia="Amiri" w:cs="Amiri"/>
          <w:color w:val="111111"/>
          <w:sz w:val="28"/>
          <w:sz w:val="28"/>
          <w:szCs w:val="28"/>
          <w:rtl w:val="true"/>
          <w:lang w:bidi="ar-SA"/>
        </w:rPr>
        <w:t>و اليدين بمقدار كفيها و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للأمة و الصبية كشف الرأس، لما في النص في الأمة </w:t>
      </w:r>
      <w:r>
        <w:rPr>
          <w:rStyle w:val="FootnoteAnchor"/>
          <w:rtl w:val="true"/>
        </w:rPr>
        <w:footnoteReference w:id="1722"/>
      </w:r>
      <w:r>
        <w:rPr>
          <w:rFonts w:ascii="Amiri" w:hAnsi="Amiri" w:eastAsia="Amiri" w:cs="Amiri"/>
          <w:color w:val="111111"/>
          <w:sz w:val="28"/>
          <w:sz w:val="28"/>
          <w:szCs w:val="28"/>
          <w:rtl w:val="true"/>
          <w:lang w:bidi="ar-SA"/>
        </w:rPr>
        <w:t>، و في الصبية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فلا تصلّي إلّا بخمار</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النص الأول للمعتقة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اعتقت في أثناء الصلاة، فمع عدم التراخي في تحصيل الساتر، يمكن القول بالصحة، لعموم الاضطرار، على اشكال فيه، و معه فالأقوى بطلان صلاتها، للنواهي، بعد انصراف نص الأمة عن حال انعتاقها،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للرجل ستر جميع بدنه و رداؤه أفضل، للنص الوارد في حق إمام الجماعة بفضيلة الرداء </w:t>
      </w:r>
      <w:r>
        <w:rPr>
          <w:rStyle w:val="FootnoteAnchor"/>
          <w:rtl w:val="true"/>
        </w:rPr>
        <w:footnoteReference w:id="1724"/>
      </w:r>
      <w:r>
        <w:rPr>
          <w:rFonts w:ascii="Amiri" w:hAnsi="Amiri" w:eastAsia="Amiri" w:cs="Amiri"/>
          <w:color w:val="111111"/>
          <w:sz w:val="28"/>
          <w:sz w:val="28"/>
          <w:szCs w:val="28"/>
          <w:rtl w:val="true"/>
          <w:lang w:bidi="ar-SA"/>
        </w:rPr>
        <w:t>، و في التعدّي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لا بأس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للمرأة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 درع، و خمار، لبعض النصوص الشاملة لذلك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يجد ساترا صلّى قائما بالإيماء إن أمن من اطلاع غيره، و إلّا قاعدا مومئا على ما تقدم شرح ذلك في كتاب الطهارة، و أشرنا هناك أيضا إلى وجود النص بالحفيرة </w:t>
      </w:r>
      <w:r>
        <w:rPr>
          <w:rStyle w:val="FootnoteAnchor"/>
          <w:rtl w:val="true"/>
        </w:rPr>
        <w:footnoteReference w:id="1726"/>
      </w:r>
      <w:r>
        <w:rPr>
          <w:rFonts w:ascii="Amiri" w:hAnsi="Amiri" w:eastAsia="Amiri" w:cs="Amiri"/>
          <w:color w:val="111111"/>
          <w:sz w:val="28"/>
          <w:sz w:val="28"/>
          <w:szCs w:val="28"/>
          <w:rtl w:val="true"/>
          <w:lang w:bidi="ar-SA"/>
        </w:rPr>
        <w:t>، فيصلّي صلاة المختار، فراجع هناك و لا حظ، و اللّٰه العالم</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3251487_2314609296"/>
      <w:bookmarkStart w:id="515" w:name="_Toc196"/>
      <w:bookmarkEnd w:id="514"/>
      <w:r>
        <w:rPr>
          <w:rtl w:val="true"/>
        </w:rPr>
        <w:t>الفصل الخامس</w:t>
      </w:r>
      <w:r>
        <w:rPr>
          <w:rtl w:val="true"/>
        </w:rPr>
        <w:t xml:space="preserve">: </w:t>
      </w:r>
      <w:r>
        <w:rPr>
          <w:rtl w:val="true"/>
        </w:rPr>
        <w:t>في المكان</w:t>
      </w:r>
      <w:bookmarkEnd w:id="515"/>
    </w:p>
    <w:p>
      <w:pPr>
        <w:pStyle w:val="Heading5"/>
        <w:numPr>
          <w:ilvl w:val="4"/>
          <w:numId w:val="1"/>
        </w:numPr>
        <w:rPr/>
      </w:pPr>
      <w:bookmarkStart w:id="516" w:name="__RefHeading___Toc3251489_2314609296"/>
      <w:bookmarkStart w:id="517" w:name="_Toc197"/>
      <w:bookmarkEnd w:id="516"/>
      <w:r>
        <w:rPr>
          <w:rtl w:val="true"/>
        </w:rPr>
        <w:t>اشارة</w:t>
      </w:r>
      <w:bookmarkEnd w:id="51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 فراغ تشغله الصلاة، فضاء كان أم غيره، سطحا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صحة الصلاة في كل مكان، مع طهارة موضع السجدة، كما سيجي‌ء وجه ذلك، إلّا في الغصب مع عدم رضاء صاحبه، و إلّا فيخرج عن الغصبية بالنسبة إلى المصلّي، و إن كان غصبا بالنسبة إلى غيره، أو غير صلاته من سائر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النهي المزبور مضرّ بقربيتها، لا انه مانع شرعي مضر بمقام مصلحتها الداعية على الأمر بها، فلا يكون مانعيته إلّا في ظرف تنجز نهيه، كما هو الشأن في كلية باب المزاحمات، و به يمتاز عن باب التعارض و التخصيص، المانع عن إطلاق المصلحة،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تبطل الصلاة إلّا مع العلم بالغصبية أو ما بحكمه، مع العمد إليها، و أما مع الجهل بها حكما قصورا، أو موضوعا قصورا أو تقصيرا فلا بطلان، بل العمل المزبور لا قصور في مقربيته بعد سقوط النهي عن المبعدية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الجهل بالفساد، و لو عن قصور لا يأبى النهي عن مبعديته، فلا يصلح العمل حينئذ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الاضطرار عن قصوره، الباقي الى آخر الوقت، أيضا لا بأس بمقربية إتيان العمل بداعي التوصل به الى المصلحة و الغرض، بلا احتياج الى التقرب بالأمر أو مجرد رجحانه، كي يرد عليه بأنه مع فرض عدم الجواز كان العمل مرجوحا، فلا رجحان فيه فكيف يتقرب به؟</w:t>
      </w:r>
    </w:p>
    <w:p>
      <w:pPr>
        <w:pStyle w:val="BookText"/>
        <w:rPr/>
      </w:pPr>
      <w:r>
        <w:rPr>
          <w:rFonts w:ascii="Amiri" w:hAnsi="Amiri" w:eastAsia="Amiri" w:cs="Amiri"/>
          <w:color w:val="111111"/>
          <w:sz w:val="28"/>
          <w:sz w:val="28"/>
          <w:szCs w:val="28"/>
          <w:rtl w:val="true"/>
          <w:lang w:bidi="ar-SA"/>
        </w:rPr>
        <w:t>و كذلك لو لم يبق إلى آخره، مع علمه أيضا فضلا عن جهله، لأنّ الاضطرار سبب لعدم مبعدية النهي فلا يزاحم جهة مقربيتها، و لو بالنحو الذي تصوّرناه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الاضطرار عن تقصير فيجب عليه مع العلم بالمندوحة انتظار اختيارها، و مع عدمه و استصحابه الاضطرار الى آخر الوقت، يمكن أن يكون</w:t>
      </w:r>
    </w:p>
    <w:p>
      <w:pPr>
        <w:pStyle w:val="BookText"/>
        <w:rPr/>
      </w:pPr>
      <w:r>
        <w:rPr>
          <w:rFonts w:ascii="Amiri" w:hAnsi="Amiri" w:eastAsia="Amiri" w:cs="Amiri"/>
          <w:color w:val="111111"/>
          <w:sz w:val="28"/>
          <w:sz w:val="28"/>
          <w:szCs w:val="28"/>
          <w:rtl w:val="true"/>
          <w:lang w:bidi="ar-SA"/>
        </w:rPr>
        <w:t>بحكم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التوبة عن المعصية السابقة لا بأس بصلاته صلاة المختار، بعد الجزم بعدم اقتضاء الصلاة بأي كيفية عصيانا زائدا، لأن الجسم يحتاج الى مقدار من الحيز مجتمعا أو منبسطا بلا ازدياد غصب في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السطح غصبيا بلا غصبية الفضاء، فلا محيص من استلزام السجود عصيانا زائدا، فلا يبعد اقتضاء تقديم حق الناس على حق اللّٰه الحكم بسقوطه، و الاكتفاء بانحنائه بمقدار لا يستلزم التصرف بمناط حكم من لم يتمكن من وضع جبهته، و إلّا فيومئ،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متمكنا من الخروج في فرض قصوره، و كان الوقت مضيقا، فلا محيص من وجوب الخروج و الصلاة حال خروجه، مراعيا فيه ما يتمكن من الأفعال من قيام و 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سجوده حيث انه يستلزم غصبا زائدا، فيجب مع التمكن من الخروج بالنحو المتعارف، غير المستلزم للمشقة، فينحني بمقدار السجود بلا وضع، بل و مع إمكان الوضع و جرّه يجب، حفظا للميسور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التمكن من جميع هذه المراتب، أو كونه حرجيا فتسقط السجدة، فينقل إلى الإيماء، لثبوت بدليته لها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حفظ بقية الأفعال مع تقصيره، إنما يجب و يصح منه لو كان مسبوقا للتوبة الرافعة لأثر العصيان السابق، و إلّا فمجرد الأمر بالخروج بمناط اختيار أقل القبيحين لا يخرج العمل عن المبعدية بالتقصير السابق، فكيف يصح منه الأفعال الصلاتية، بل لا محيص إلّا من الالتزام بخروج الأكوان عن جزئية الصلاة، و انحصر أمرها بالاشارات القلبية، تقديما للغصب الذي هو حق آدمي على جزئية الأكوان التي هي من حقوق اللّٰه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فمع التمكن من إتيان بقية الأفعال مع التوبة يجب تحصيلها، و لو</w:t>
      </w:r>
    </w:p>
    <w:p>
      <w:pPr>
        <w:pStyle w:val="BookText"/>
        <w:rPr/>
      </w:pPr>
      <w:r>
        <w:rPr>
          <w:rFonts w:ascii="Amiri" w:hAnsi="Amiri" w:eastAsia="Amiri" w:cs="Amiri"/>
          <w:color w:val="111111"/>
          <w:sz w:val="28"/>
          <w:sz w:val="28"/>
          <w:szCs w:val="28"/>
          <w:rtl w:val="true"/>
          <w:lang w:bidi="ar-SA"/>
        </w:rPr>
        <w:t>بتحصيل التوبة، و حينئذ فيجب التوبة بمناط المقدمية أيضا،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جميع صور الاضطرار لا بدّ أن يراعى أقل زمان يحتاج إلى غصبية المكان، و لو بملاحظة زمان رفع اضطراره، بجعل نفسه في مكان لا يبتلي عند خروجه عنه، بعد رفع الاضطرار إلى التصرف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يكفي في مناط الغصبية مجرد كون المحل متعلقا لحق غيره، و لا يشترط كونه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حق السبق في الأمكنة المباحة للعامة، كالرباطات و أمثالها من الأوقاف العامة إشكال، و ذلك لأنّ دليل أحقية السابق لا يقتضي إلّا ترجيح السابق على غيره، و من المعلوم أنّ نسبة كل أحد في المشتركات واحدة، و لم تكن سلطنته أزيد من حق الانتفاع بلا حق له متعلّق بالرقبة أو المنفعة، فالأحقية في هذا المقام عبارة عن عدم مزاحمة الغير له على الانتفاع من المحل، ما دام السابق بصدد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لا يقتضي إلّا عدم مزاحمة السابق بمنعه عن تصرفه، و ذلك يقتضي حرمة تصرّف الغير في ظرف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البيانات المزبورة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مملوك أو مأذون فيه تجوز فيه الصلاة، و تبطل في المغصوب مع العلم بالغصب، أو ما بحكم العلم، من أمارة متبعة، أو الجهل بالحكم تقصيرا، و نسيانه كذلك حكما و موضوعا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قيام السيرة على عدم اجراء حكم الغصب على بعض الموارد، حتى مع كونه مال صغير و مع غفلة وليه، كالصلاة في الأراضي المتسعة و الجلوس فيها، بل و الوضوء من القنوات الجارية المملوكة، بل و الشرب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معقد السيرة صورة نهي الولي أو المالك، بل و العلم بعدم رضاهما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تلبّس بالصلاة على وجه صحيح، فالتفت الى نهي المالك من الأول، فتبطل صلاته من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سلطنة المالك على نهيه بعد دخوله في الصلاة باذنه،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بعضهم انّ أدلة سلطنة المالك إنما تشتمل المورد القابل، و قابلية المحل للنهي، من جهة شبهة وجوب إتمام ما بيده و حرمة قطعه، أول الكلام، فغاية الأمر أن ينتهي إلى الشك فيرجع إلى استصحاب حرمة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مثل هذا التقريب نظر بعض الأعاظم في نجاته، حيث أفتى بإتمام صلاته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السلطنة يرفع موضوع حرمة القطع، فيجعله مصداق الانبطال لا الابطال، مع أنه على فرض تسليم صلاحية كل واحد لرفع المحل عن قابلية غيره، فالمرجع استصحاب سلطنة المالك لا حرمة القطع، لأنّ الشك في الثاني سبب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عن الحكومة أيضا فيتعارض الاستصحابان، فيرجع إلى البراءة عن حرمة قطعه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طهارة موضع الجبهة إجماعا، للرواية المعروفة في الجص المصرحة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النار و الماء قد طهراه</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إذ مثل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w:t>
      </w:r>
      <w:bookmarkStart w:id="518" w:name="pg19729_212974"/>
    </w:p>
    <w:p>
      <w:pPr>
        <w:pStyle w:val="BookText"/>
        <w:rPr/>
      </w:pPr>
      <w:bookmarkEnd w:id="518"/>
      <w:r>
        <w:rPr>
          <w:rFonts w:ascii="Amiri" w:hAnsi="Amiri" w:eastAsia="Amiri" w:cs="Amiri"/>
          <w:color w:val="111111"/>
          <w:sz w:val="28"/>
          <w:sz w:val="28"/>
          <w:szCs w:val="28"/>
          <w:rtl w:val="true"/>
          <w:lang w:bidi="ar-SA"/>
        </w:rPr>
        <w:t>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يضر بدلالته على اعتبار الطهارة في موضع السجدة من الجبهة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251491_2314609296"/>
      <w:bookmarkStart w:id="520" w:name="_Toc198"/>
      <w:bookmarkEnd w:id="519"/>
      <w:r>
        <w:rPr>
          <w:rtl w:val="true"/>
        </w:rPr>
        <w:t>فرع</w:t>
      </w:r>
      <w:r>
        <w:rPr>
          <w:rtl w:val="true"/>
        </w:rPr>
        <w:t>:</w:t>
      </w:r>
      <w:bookmarkEnd w:id="520"/>
    </w:p>
    <w:p>
      <w:pPr>
        <w:pStyle w:val="BookText"/>
        <w:rPr/>
      </w:pPr>
      <w:r>
        <w:rPr>
          <w:rFonts w:ascii="Amiri" w:hAnsi="Amiri" w:eastAsia="Amiri" w:cs="Amiri"/>
          <w:color w:val="111111"/>
          <w:sz w:val="28"/>
          <w:sz w:val="28"/>
          <w:szCs w:val="28"/>
          <w:rtl w:val="true"/>
          <w:lang w:bidi="ar-SA"/>
        </w:rPr>
        <w:t>هل تجوز صلاة الرجل بمحاذاة المرأة مطلقا، أو لا يجوز كذلك، أو لا يجوز إلّا مع ساتر بينهما، أو فصل عشرة أذرع، أو أقل؟ فيه خلاف منشؤه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أخبار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طائفة النهي عنها مطلقا </w:t>
      </w:r>
      <w:r>
        <w:rPr>
          <w:rStyle w:val="FootnoteAnchor"/>
          <w:rtl w:val="true"/>
        </w:rPr>
        <w:footnoteReference w:id="1728"/>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عشرة أذرع</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 و في رابع أكثر منه </w:t>
      </w:r>
      <w:r>
        <w:rPr>
          <w:rStyle w:val="FootnoteAnchor"/>
          <w:rtl w:val="true"/>
        </w:rPr>
        <w:footnoteReference w:id="1731"/>
      </w:r>
      <w:r>
        <w:rPr>
          <w:rFonts w:ascii="Amiri" w:hAnsi="Amiri" w:eastAsia="Amiri" w:cs="Amiri"/>
          <w:color w:val="111111"/>
          <w:sz w:val="28"/>
          <w:sz w:val="28"/>
          <w:szCs w:val="28"/>
          <w:rtl w:val="true"/>
          <w:lang w:bidi="ar-SA"/>
        </w:rPr>
        <w:t>، و 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شبر أو ذراع</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و 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لا يتخطى</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 و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نفي البأس بحذاها</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أنه لو لا اعراض الجل عن النافية المطلقة، كان مقتضى الجمع الحمل على مراتب الكراهة، كما في النجاة، و لعل اشكال شيخنا العلّامة في حاشيته </w:t>
      </w:r>
      <w:r>
        <w:rPr>
          <w:rStyle w:val="FootnoteAnchor"/>
          <w:rtl w:val="true"/>
        </w:rPr>
        <w:footnoteReference w:id="1735"/>
      </w:r>
      <w:r>
        <w:rPr>
          <w:rFonts w:ascii="Amiri" w:hAnsi="Amiri" w:eastAsia="Amiri" w:cs="Amiri"/>
          <w:color w:val="111111"/>
          <w:sz w:val="28"/>
          <w:sz w:val="28"/>
          <w:szCs w:val="28"/>
          <w:rtl w:val="true"/>
          <w:lang w:bidi="ar-SA"/>
        </w:rPr>
        <w:t>ناظر الى ما أشرنا إليه، فتدبّر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1" w:name="__RefHeading___Toc3251493_2314609296"/>
      <w:bookmarkStart w:id="522" w:name="_Toc199"/>
      <w:bookmarkEnd w:id="521"/>
      <w:r>
        <w:rPr>
          <w:rtl w:val="true"/>
        </w:rPr>
        <w:t>و تستحب الفريضة في المسجد، و النافلة في المنزل</w:t>
      </w:r>
      <w:r>
        <w:rPr>
          <w:rtl w:val="true"/>
        </w:rPr>
        <w:t>.</w:t>
      </w:r>
      <w:bookmarkEnd w:id="522"/>
    </w:p>
    <w:p>
      <w:pPr>
        <w:pStyle w:val="BookText"/>
        <w:rPr/>
      </w:pPr>
      <w:r>
        <w:rPr>
          <w:rFonts w:ascii="Amiri" w:hAnsi="Amiri" w:eastAsia="Amiri" w:cs="Amiri"/>
          <w:color w:val="111111"/>
          <w:sz w:val="28"/>
          <w:sz w:val="28"/>
          <w:szCs w:val="28"/>
          <w:rtl w:val="true"/>
          <w:lang w:bidi="ar-SA"/>
        </w:rPr>
        <w:t xml:space="preserve">أما الأول فلنصوص مستفيضة </w:t>
      </w:r>
      <w:r>
        <w:rPr>
          <w:rStyle w:val="FootnoteAnchor"/>
          <w:rtl w:val="true"/>
        </w:rPr>
        <w:footnoteReference w:id="1736"/>
      </w:r>
      <w:r>
        <w:rPr>
          <w:rFonts w:ascii="Amiri" w:hAnsi="Amiri" w:eastAsia="Amiri" w:cs="Amiri"/>
          <w:color w:val="111111"/>
          <w:sz w:val="28"/>
          <w:sz w:val="28"/>
          <w:szCs w:val="28"/>
          <w:rtl w:val="true"/>
          <w:lang w:bidi="ar-SA"/>
        </w:rPr>
        <w:t xml:space="preserve">بل متواترة، مشتملة بعضها على اختلاف مراتب فضل الصلاة، باختلاف فضل المساجد، من مسجد الحرام، و مسجد النبي صلّى اللّٰه عليه و آله، و مسجد القبيلة، و مسجد السوق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المصنف يشمل الذكر و الأنثى، لكن ورد في الأنثى بأنّ الأفضل في حقها الصلاة في البيوت </w:t>
      </w:r>
      <w:r>
        <w:rPr>
          <w:rStyle w:val="FootnoteAnchor"/>
          <w:rtl w:val="true"/>
        </w:rPr>
        <w:footnoteReference w:id="1738"/>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خير مساجد نسائكم</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أن يصلّوا النوافل في بيوتهم</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 حكاهما في التذكرة </w:t>
      </w:r>
      <w:r>
        <w:rPr>
          <w:rStyle w:val="FootnoteAnchor"/>
          <w:rtl w:val="true"/>
        </w:rPr>
        <w:footnoteReference w:id="174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النص استحباب النافلة عند قبر الحسين عليه السّلام، و أنها تعدل بعمرة و الفريضة تعدل بحجة </w:t>
      </w:r>
      <w:r>
        <w:rPr>
          <w:rStyle w:val="FootnoteAnchor"/>
          <w:rtl w:val="true"/>
        </w:rPr>
        <w:footnoteReference w:id="1743"/>
      </w:r>
      <w:r>
        <w:rPr>
          <w:rFonts w:ascii="Amiri" w:hAnsi="Amiri" w:eastAsia="Amiri" w:cs="Amiri"/>
          <w:color w:val="111111"/>
          <w:sz w:val="28"/>
          <w:sz w:val="28"/>
          <w:szCs w:val="28"/>
          <w:rtl w:val="true"/>
          <w:lang w:bidi="ar-SA"/>
        </w:rPr>
        <w:t xml:space="preserve">، و كذا وردت المطلقات على استحباب الصلاة عند علي عليه السّلام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يتعدّى في فضل الصلاة المكتوبة إلى كل مشهد، لما ورد في سر فضل الصلاة في المسجد، بأن المساجد بنيت في كل بقعة وقعت رشة من نبي أو وصي نبي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تكره الصلاة في الحمّام،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الحمّام</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ما لا بأس بالصلاة فيه بالمسلخ </w:t>
      </w:r>
      <w:r>
        <w:rPr>
          <w:rStyle w:val="FootnoteAnchor"/>
          <w:rtl w:val="true"/>
        </w:rPr>
        <w:footnoteReference w:id="1747"/>
      </w:r>
      <w:r>
        <w:rPr>
          <w:rFonts w:ascii="Amiri" w:hAnsi="Amiri" w:eastAsia="Amiri" w:cs="Amiri"/>
          <w:color w:val="111111"/>
          <w:sz w:val="28"/>
          <w:sz w:val="28"/>
          <w:szCs w:val="28"/>
          <w:rtl w:val="true"/>
          <w:lang w:bidi="ar-SA"/>
        </w:rPr>
        <w:t>، و ذلك شاهد 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وادي ضجنان، و الشقرة، و البيداء، و ذات الصلاصل، لصحيحة معاوية </w:t>
      </w:r>
      <w:r>
        <w:rPr>
          <w:rStyle w:val="FootnoteAnchor"/>
          <w:rtl w:val="true"/>
        </w:rPr>
        <w:footnoteReference w:id="1748"/>
      </w:r>
      <w:r>
        <w:rPr>
          <w:rFonts w:ascii="Amiri" w:hAnsi="Amiri" w:eastAsia="Amiri" w:cs="Amiri"/>
          <w:color w:val="111111"/>
          <w:sz w:val="28"/>
          <w:sz w:val="28"/>
          <w:szCs w:val="28"/>
          <w:rtl w:val="true"/>
          <w:lang w:bidi="ar-SA"/>
        </w:rPr>
        <w:t xml:space="preserve">، بضميمة رواية أحمد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المقابر و إليها و عليها، كما هو المشهور، للنهي عن كل واحد في نص مخصوص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النصوص الترخيص فيها بين القبور </w:t>
      </w:r>
      <w:r>
        <w:rPr>
          <w:rStyle w:val="FootnoteAnchor"/>
          <w:rtl w:val="true"/>
        </w:rPr>
        <w:footnoteReference w:id="1751"/>
      </w:r>
      <w:r>
        <w:rPr>
          <w:rFonts w:ascii="Amiri" w:hAnsi="Amiri" w:eastAsia="Amiri" w:cs="Amiri"/>
          <w:color w:val="111111"/>
          <w:sz w:val="28"/>
          <w:sz w:val="28"/>
          <w:szCs w:val="28"/>
          <w:rtl w:val="true"/>
          <w:lang w:bidi="ar-SA"/>
        </w:rPr>
        <w:t>، الشامل للصلاة إليها أيضا، و لعل في شموله اشكالا، و لكن يكفي له عدم الفصل، بل و ضعف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النصوص ملاحظة بعد عشرة أذرع من الجوانب الأربع </w:t>
      </w:r>
      <w:r>
        <w:rPr>
          <w:rStyle w:val="FootnoteAnchor"/>
          <w:rtl w:val="true"/>
        </w:rPr>
        <w:footnoteReference w:id="1752"/>
      </w:r>
      <w:r>
        <w:rPr>
          <w:rFonts w:ascii="Amiri" w:hAnsi="Amiri" w:eastAsia="Amiri" w:cs="Amiri"/>
          <w:color w:val="111111"/>
          <w:sz w:val="28"/>
          <w:sz w:val="28"/>
          <w:szCs w:val="28"/>
          <w:rtl w:val="true"/>
          <w:lang w:bidi="ar-SA"/>
        </w:rPr>
        <w:t>، فالأمر يدور بين تقييد تلك الروايات، و حمل النهي على الحرمة، أو الالتزام بمراتب الكراهة، و لا أقل من تصادم الاحتمالين، فلا يبقى حجة على الحرمة، كما 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الرمل و السبخة، للنهي عنه في الثانية </w:t>
      </w:r>
      <w:r>
        <w:rPr>
          <w:rStyle w:val="FootnoteAnchor"/>
          <w:rtl w:val="true"/>
        </w:rPr>
        <w:footnoteReference w:id="1753"/>
      </w:r>
      <w:r>
        <w:rPr>
          <w:rFonts w:ascii="Amiri" w:hAnsi="Amiri" w:eastAsia="Amiri" w:cs="Amiri"/>
          <w:color w:val="111111"/>
          <w:sz w:val="28"/>
          <w:sz w:val="28"/>
          <w:szCs w:val="28"/>
          <w:rtl w:val="true"/>
          <w:lang w:bidi="ar-SA"/>
        </w:rPr>
        <w:t>، و تعليله جار في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معاطن الإبل، للنهي عنه في بعض النصوص </w:t>
      </w:r>
      <w:r>
        <w:rPr>
          <w:rStyle w:val="FootnoteAnchor"/>
          <w:rtl w:val="true"/>
        </w:rPr>
        <w:footnoteReference w:id="1754"/>
      </w:r>
      <w:r>
        <w:rPr>
          <w:rFonts w:ascii="Amiri" w:hAnsi="Amiri" w:eastAsia="Amiri" w:cs="Amiri"/>
          <w:color w:val="111111"/>
          <w:sz w:val="28"/>
          <w:sz w:val="28"/>
          <w:szCs w:val="28"/>
          <w:rtl w:val="true"/>
          <w:lang w:bidi="ar-SA"/>
        </w:rPr>
        <w:t>،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نفي البأس عنه مع يبسه في الآخر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 مرابض الخيل و البغال، للنهي عنه أيضا في بعض النصوص </w:t>
      </w:r>
      <w:r>
        <w:rPr>
          <w:rStyle w:val="FootnoteAnchor"/>
          <w:rtl w:val="true"/>
        </w:rPr>
        <w:footnoteReference w:id="1756"/>
      </w:r>
      <w:r>
        <w:rPr>
          <w:rFonts w:ascii="Amiri" w:hAnsi="Amiri" w:eastAsia="Amiri" w:cs="Amiri"/>
          <w:color w:val="111111"/>
          <w:sz w:val="28"/>
          <w:sz w:val="28"/>
          <w:szCs w:val="28"/>
          <w:rtl w:val="true"/>
          <w:lang w:bidi="ar-SA"/>
        </w:rPr>
        <w:t xml:space="preserve">، و كذلك مرابض الغنم في بعض آخر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رفع الكراهة في الإبل و الغنم برش الماء على محالها،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قرى النمل، كما في رواية العلل </w:t>
      </w:r>
      <w:r>
        <w:rPr>
          <w:rStyle w:val="FootnoteAnchor"/>
          <w:rtl w:val="true"/>
        </w:rPr>
        <w:footnoteReference w:id="1758"/>
      </w:r>
      <w:r>
        <w:rPr>
          <w:rFonts w:ascii="Amiri" w:hAnsi="Amiri" w:eastAsia="Amiri" w:cs="Amiri"/>
          <w:color w:val="111111"/>
          <w:sz w:val="28"/>
          <w:sz w:val="28"/>
          <w:szCs w:val="28"/>
          <w:rtl w:val="true"/>
          <w:lang w:bidi="ar-SA"/>
        </w:rPr>
        <w:t xml:space="preserve">، و تفسير العياشي </w:t>
      </w:r>
      <w:r>
        <w:rPr>
          <w:rStyle w:val="FootnoteAnchor"/>
          <w:rtl w:val="true"/>
        </w:rPr>
        <w:footnoteReference w:id="1759"/>
      </w:r>
      <w:r>
        <w:rPr>
          <w:rFonts w:ascii="Amiri" w:hAnsi="Amiri" w:eastAsia="Amiri" w:cs="Amiri"/>
          <w:color w:val="111111"/>
          <w:sz w:val="28"/>
          <w:sz w:val="28"/>
          <w:szCs w:val="28"/>
          <w:rtl w:val="true"/>
          <w:lang w:bidi="ar-SA"/>
        </w:rPr>
        <w:t>، و من التعليل فيها يتعدّى الى كل محل يوجب تأذيها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جوف الوادي، و هو بطن الوادي، و هو من العشرة المنهي عنها في خبر ابن فضيل على ما رواه في المعتبر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جواد الطرق غير الموقوفة للاستطراق محضا، و إلّا فلا تصح الصلاة فيها، كما لا يصح مع مزاحمة المارين في غيرها، على اشكال فيها، مع كونه أسبق لكونه أحق بمكانه، و ما في الروضة من إطلاق بطلانه حينئذ </w:t>
      </w:r>
      <w:r>
        <w:rPr>
          <w:rStyle w:val="FootnoteAnchor"/>
          <w:rtl w:val="true"/>
        </w:rPr>
        <w:footnoteReference w:id="1761"/>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الكراهة في الجواد، فلما في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يكره أن يصلّي في الجواد</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إتيان الفريضة في جوف الكعبة، للنهي عنه في النص </w:t>
      </w:r>
      <w:r>
        <w:rPr>
          <w:rStyle w:val="FootnoteAnchor"/>
          <w:rtl w:val="true"/>
        </w:rPr>
        <w:footnoteReference w:id="176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بيت المجوس، لما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و لازمة رفع كراهته بالرش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النيران، للشهرة، و شمول بعض التعليلات الواردة في الصلاة في بيت فيه الصلبان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بين يديه، أو إلى أحد جانبيه امرأة تصلّي، أما أحد الجانبين فقد مرّ الكلام فيه،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أن يصلّي و بين يديه امرأة تصلّي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الفصل بين الطرفين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 الشرط في حرمة الصلاة أو كراهته صحة صلاتها من غير جهة المحاذاة، كما أنه لا فرق بين ابتدائهما في الصلاة متحاذيين، أو حدوث المحاذاة في الأثناء، من دون فرق أيضا بين كون صلاة الرجل مقدما أو صلاة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صلاة المقدّم صحيحة من جهة انعقاد الثانية باطلة فلا يضر، مدفوع بأنّ البطلان من غير جهة المحاذاة مفروض العدم، و من جهتها كان نسبة البطلان الى حدوث الثانية أو بقاء الاولى على السوية، فنسبة البطلان حينئذ إلى أحدهما دون الآخر ترجيح بلا مرجح، كما لا يخفى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باب مفتوح، أو إنسان مواجه، أو نار مضرمة، أو حائط ينزّ</w:t>
      </w:r>
      <w:bookmarkStart w:id="523" w:name="pg19729_212979"/>
    </w:p>
    <w:p>
      <w:pPr>
        <w:pStyle w:val="BookText"/>
        <w:rPr/>
      </w:pPr>
      <w:bookmarkEnd w:id="523"/>
      <w:r>
        <w:rPr>
          <w:rFonts w:ascii="Amiri" w:hAnsi="Amiri" w:eastAsia="Amiri" w:cs="Amiri"/>
          <w:color w:val="111111"/>
          <w:sz w:val="28"/>
          <w:sz w:val="28"/>
          <w:szCs w:val="28"/>
          <w:rtl w:val="true"/>
          <w:lang w:bidi="ar-SA"/>
        </w:rPr>
        <w:t xml:space="preserve">من بالوعة على المشهور في الجميع، و لمرسل البزنطي </w:t>
      </w:r>
      <w:r>
        <w:rPr>
          <w:rStyle w:val="FootnoteAnchor"/>
          <w:rtl w:val="true"/>
        </w:rPr>
        <w:footnoteReference w:id="1767"/>
      </w:r>
      <w:r>
        <w:rPr>
          <w:rFonts w:ascii="Amiri" w:hAnsi="Amiri" w:eastAsia="Amiri" w:cs="Amiri"/>
          <w:color w:val="111111"/>
          <w:sz w:val="28"/>
          <w:sz w:val="28"/>
          <w:szCs w:val="28"/>
          <w:rtl w:val="true"/>
          <w:lang w:bidi="ar-SA"/>
        </w:rPr>
        <w:t xml:space="preserve">في الأخير، و للنص المشتمل على النهي عن الصلاة و بين يديه مجمرة أو السراج </w:t>
      </w:r>
      <w:r>
        <w:rPr>
          <w:rStyle w:val="FootnoteAnchor"/>
          <w:rtl w:val="true"/>
        </w:rPr>
        <w:footnoteReference w:id="1768"/>
      </w:r>
      <w:r>
        <w:rPr>
          <w:rFonts w:ascii="Amiri" w:hAnsi="Amiri" w:eastAsia="Amiri" w:cs="Amiri"/>
          <w:color w:val="111111"/>
          <w:sz w:val="28"/>
          <w:sz w:val="28"/>
          <w:szCs w:val="28"/>
          <w:rtl w:val="true"/>
          <w:lang w:bidi="ar-SA"/>
        </w:rPr>
        <w:t xml:space="preserve">في سابقة، و لأخبار السترة </w:t>
      </w:r>
      <w:r>
        <w:rPr>
          <w:rStyle w:val="FootnoteAnchor"/>
          <w:rtl w:val="true"/>
        </w:rPr>
        <w:footnoteReference w:id="1769"/>
      </w:r>
      <w:r>
        <w:rPr>
          <w:rFonts w:ascii="Amiri" w:hAnsi="Amiri" w:eastAsia="Amiri" w:cs="Amiri"/>
          <w:color w:val="111111"/>
          <w:sz w:val="28"/>
          <w:sz w:val="28"/>
          <w:szCs w:val="28"/>
          <w:rtl w:val="true"/>
          <w:lang w:bidi="ar-SA"/>
        </w:rPr>
        <w:t>المحمولة على حكمة رفع الكراهة من المواجهة إلى الإنسان أو الباب، و إلّا فلم أر نصا فيهما بالخصوص</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3251495_2314609296"/>
      <w:bookmarkStart w:id="525" w:name="_Toc200"/>
      <w:bookmarkEnd w:id="524"/>
      <w:r>
        <w:rPr>
          <w:rtl w:val="true"/>
        </w:rPr>
        <w:t>و لا يجوز السجود إلّا على الأرض، أو ما أنبتته الأرض مما لا يؤكل و لا يلبس</w:t>
      </w:r>
      <w:bookmarkEnd w:id="525"/>
    </w:p>
    <w:p>
      <w:pPr>
        <w:pStyle w:val="BookText"/>
        <w:rPr/>
      </w:pPr>
      <w:r>
        <w:rPr>
          <w:rFonts w:ascii="Amiri" w:hAnsi="Amiri" w:eastAsia="Amiri" w:cs="Amiri"/>
          <w:color w:val="111111"/>
          <w:sz w:val="28"/>
          <w:sz w:val="28"/>
          <w:szCs w:val="28"/>
          <w:rtl w:val="true"/>
          <w:lang w:bidi="ar-SA"/>
        </w:rPr>
        <w:t>بلا اشكال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النصوص </w:t>
      </w:r>
      <w:r>
        <w:rPr>
          <w:rStyle w:val="FootnoteAnchor"/>
          <w:rtl w:val="true"/>
        </w:rPr>
        <w:footnoteReference w:id="1770"/>
      </w:r>
      <w:r>
        <w:rPr>
          <w:rFonts w:ascii="Amiri" w:hAnsi="Amiri" w:eastAsia="Amiri" w:cs="Amiri"/>
          <w:color w:val="111111"/>
          <w:sz w:val="28"/>
          <w:sz w:val="28"/>
          <w:szCs w:val="28"/>
          <w:rtl w:val="true"/>
          <w:lang w:bidi="ar-SA"/>
        </w:rPr>
        <w:t>المستفيضة،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السجود إلّا على الأرض، أو ما أنبتته إلّا ما أكل أو لبس</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باستثناء القطن و الكتان </w:t>
      </w:r>
      <w:r>
        <w:rPr>
          <w:rStyle w:val="FootnoteAnchor"/>
          <w:rtl w:val="true"/>
        </w:rPr>
        <w:footnoteReference w:id="177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كفاية مسمّى الأرض في المقام، و مع الشك في انقلابه عن الأرضية يستصحب سابقها ما دام العرف مساعدا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خروج المعادن عن عنوان الأرضية، كما لا شبهة فيما أنبتت الأرض، و أما ما نبت على وجه الماء فغير داخل فيما ذكر، فلا يجوز السجود عليه، مثل ما ينمو من الحيوان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مما أكل أو لبس ما له شأنية ذلك عادة، لا خصوص الفعلي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السجود على الحنطة و أمثالها</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 و في النص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استثناء القطن و الكتان</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جواز الصلاة على قشورها بعد انفصالها اشكال، فيستصحب عدم الجواز الذي كان حين اتصاله،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السجود على على القرطاس، للنصوص المستفيضة المجوزة له </w:t>
      </w:r>
      <w:r>
        <w:rPr>
          <w:rStyle w:val="FootnoteAnchor"/>
          <w:rtl w:val="true"/>
        </w:rPr>
        <w:footnoteReference w:id="1775"/>
      </w:r>
      <w:r>
        <w:rPr>
          <w:rFonts w:ascii="Amiri" w:hAnsi="Amiri" w:eastAsia="Amiri" w:cs="Amiri"/>
          <w:color w:val="111111"/>
          <w:sz w:val="28"/>
          <w:sz w:val="28"/>
          <w:szCs w:val="28"/>
          <w:rtl w:val="true"/>
          <w:lang w:bidi="ar-SA"/>
        </w:rPr>
        <w:t>، و إن كان متخذا من المأكول و الملبوس كما هو الغالب، و يعتبر وقوع الجبهة على الكاغذ كغيره بلا حائل من كتابة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النص من نفي البأس عن السجود على المكتوب </w:t>
      </w:r>
      <w:r>
        <w:rPr>
          <w:rStyle w:val="FootnoteAnchor"/>
          <w:rtl w:val="true"/>
        </w:rPr>
        <w:footnoteReference w:id="1776"/>
      </w:r>
      <w:r>
        <w:rPr>
          <w:rFonts w:ascii="Amiri" w:hAnsi="Amiri" w:eastAsia="Amiri" w:cs="Amiri"/>
          <w:color w:val="111111"/>
          <w:sz w:val="28"/>
          <w:sz w:val="28"/>
          <w:szCs w:val="28"/>
          <w:rtl w:val="true"/>
          <w:lang w:bidi="ar-SA"/>
        </w:rPr>
        <w:t>، منزّل على المتعارف من وقوع مقدار من الجبهة على الكاغذ في خلال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السجود على ما ذكر إنما هو فيما إذا كان مملوكا أو في حكمه، خاليا عن النجاسة و لا يجوز على المغصوب مع العلم دون الجهل المعذر بلا اشكال، لما عرفت من اتحاد الكونين، الموجب لتغليب حرمته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على النجاسة، لما عرفت من شرطية طهارة محل الجبهة، أما غير الجبهة من سائر المواضع السبعة فلا يعتبر فيها الطهارة، بل يلزم أن لا يكون فيه نجاسة متعدّية إلى يديه و لباسه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طهارة مساقط بقية أعضاء السجود، للأصل، بعد فقد الدليل، بل عليه تسالم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السجود على ما ليس بأرض كالجلود و نحوها، أو ما خرج عنها بالاستحالة كالمعادن، لظهور الأمر نصا بالعناوين المزبورة، و الحصر فيها بما ذكر، فلا يجزئ على غيرها، لفقد شرط السجود، الموجب لفقد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مع عدم الأرض و ما يلحق بها مما أنبتت، و القرطاس، السجود على الثلج و القير و غيرهما من سائر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الحر على الثوب، فإن فقد فعلى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هذا الترتيب في كلماتهم، بل هم بين من ينتقل بعد فقد الأرض و ما يلحق بها الى الثوب أو اليد على الترتيب بينهما، و بين من لم ير ترتيبا بين الأمور المزبورة أصلا، بل مع فقد الثلاثة يلتزم بسقوط الخصوصية فيما يسجد عليه، فيصح السجود على أي شي‌ء، كما هو ظاهر الجواهر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نظر المصنف إلى أن الترخيص في السجدة على الثوب و اليد إنما ورد في خصوص صورة عدم التمكن من السجدة على شي‌ء للحرارة، 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خائف الرمضاء يسجد على ثوبه، و مع عدم الثوب فعلى ظهر كفه </w:t>
      </w:r>
      <w:r>
        <w:rPr>
          <w:rStyle w:val="FootnoteAnchor"/>
          <w:rtl w:val="true"/>
        </w:rPr>
        <w:footnoteReference w:id="1778"/>
      </w:r>
      <w:r>
        <w:rPr>
          <w:rFonts w:ascii="Amiri" w:hAnsi="Amiri" w:eastAsia="Amiri" w:cs="Amiri"/>
          <w:color w:val="111111"/>
          <w:sz w:val="28"/>
          <w:sz w:val="28"/>
          <w:szCs w:val="28"/>
          <w:rtl w:val="true"/>
          <w:lang w:bidi="ar-SA"/>
        </w:rPr>
        <w:t>، بناء على استفادة المناط منه، من أنّ التنزل إليها في ظرف مانعية الحرارة أو البرودة أو غيرهما عن السجدة على غيرهما، و لازمة انتهاء النوبة قبله إلى بقية ما يمكن تمكين الجبهة منه، ثلجا كان أو قيرا أو غيرهما، و اللّٰه العالم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مع عدم وجود ما يستقر عليه كالوحل،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قاعدة</w:t>
      </w:r>
      <w:bookmarkStart w:id="526" w:name="pg19729_212982"/>
    </w:p>
    <w:p>
      <w:pPr>
        <w:pStyle w:val="BookText"/>
        <w:rPr/>
      </w:pPr>
      <w:bookmarkEnd w:id="526"/>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السجود بوضع جبهته على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استلزم ذلك ضررا عليه أو حرجا، ففي وجوب احداث هيئة السجدة بلا وضع جبهته على شي‌ء، بالقاعدة المزبورة وجه، و لئن شك في شمولها لذلك أو لأقل منه فينتقل إلى الإيماء، للجزم ببدليته عن السجود في ظرف عدم بدل آخر عنه، فأصالة عدم جعل بدل آخر يدخله في موضوع الإيماء،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قارا إلّا في النافلة في المحمل، و السفينة على ما تقدّم، كل ذلك لانصراف الإطلاقات إليه، كما لا يخفى، و اللّٰه العالم</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251497_2314609296"/>
      <w:bookmarkStart w:id="528" w:name="_Toc201"/>
      <w:bookmarkEnd w:id="527"/>
      <w:r>
        <w:rPr>
          <w:rtl w:val="true"/>
        </w:rPr>
        <w:t>الفصل السادس</w:t>
      </w:r>
      <w:r>
        <w:rPr>
          <w:rtl w:val="true"/>
        </w:rPr>
        <w:t xml:space="preserve">: </w:t>
      </w:r>
      <w:r>
        <w:rPr>
          <w:rtl w:val="true"/>
        </w:rPr>
        <w:t>في الأذان و الإقامة</w:t>
      </w:r>
      <w:bookmarkEnd w:id="528"/>
    </w:p>
    <w:p>
      <w:pPr>
        <w:pStyle w:val="Heading5"/>
        <w:numPr>
          <w:ilvl w:val="4"/>
          <w:numId w:val="1"/>
        </w:numPr>
        <w:rPr/>
      </w:pPr>
      <w:bookmarkStart w:id="529" w:name="__RefHeading___Toc3251499_2314609296"/>
      <w:bookmarkStart w:id="530" w:name="_Toc20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و هما مستحبان في جميع الصلوات الخمس، أداء و قضاء، و للمنفرد و الجامع على المشهور، و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في جميع الصلوات أفضل</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و في بعض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الصلاة مع الإقامة قيام صف من الملائكة، و معهما قيام صفين </w:t>
      </w:r>
      <w:r>
        <w:rPr>
          <w:rStyle w:val="FootnoteAnchor"/>
          <w:rtl w:val="true"/>
        </w:rPr>
        <w:footnoteReference w:id="1780"/>
      </w:r>
      <w:r>
        <w:rPr>
          <w:rFonts w:ascii="Amiri" w:hAnsi="Amiri" w:eastAsia="Amiri" w:cs="Amiri"/>
          <w:color w:val="111111"/>
          <w:sz w:val="28"/>
          <w:sz w:val="28"/>
          <w:szCs w:val="28"/>
          <w:rtl w:val="true"/>
          <w:lang w:bidi="ar-SA"/>
        </w:rPr>
        <w:t>، الظاهر أنّ كليهما موجب لمزية زائدة على الحقيقة الصلاتية نظير الجماعة، و مثله آب عن دخل شي‌ء بينهما في 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النبي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 ليباهي ملائكته برجل يؤذن ثم يقيم ثم يصلّي</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الألسنة كافية في ظهور الاستحباب، حتى في الإقامة على وجه</w:t>
      </w:r>
    </w:p>
    <w:p>
      <w:pPr>
        <w:pStyle w:val="BookText"/>
        <w:rPr/>
      </w:pPr>
      <w:r>
        <w:rPr>
          <w:rFonts w:ascii="Amiri" w:hAnsi="Amiri" w:eastAsia="Amiri" w:cs="Amiri"/>
          <w:color w:val="111111"/>
          <w:sz w:val="28"/>
          <w:sz w:val="28"/>
          <w:szCs w:val="28"/>
          <w:rtl w:val="true"/>
          <w:lang w:bidi="ar-SA"/>
        </w:rPr>
        <w:t>يصير قرينة على رفع اليد عن ظهور أوامرهما في الوجوب، بلا احتياج الى التشبث بظهور السياق بين الأذان و الإقامة، كي يقال انّ القرائن المنفصلة لا توجب ظهور الدليل في خصوص الأذان، كي بسياقه ينعقد ظهور في الإقامة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الحكمة في تشريعهما من صف الملائكة يقتضي اختصاصهما بما يشرع فيه الجماعة، و ذلك هو نكتة صرف الأصحاب مثل هذه الإطلاقات عن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بعمومها للفريضة اليومية، لانصرافها إليها، مضافا إلى قيام الإجماع على السقوط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في اليومية ثابت إلّا في أذان عصر يوم عرفة عند الجمع، للنص الصريح </w:t>
      </w:r>
      <w:r>
        <w:rPr>
          <w:rStyle w:val="FootnoteAnchor"/>
          <w:rtl w:val="true"/>
        </w:rPr>
        <w:footnoteReference w:id="1782"/>
      </w:r>
      <w:r>
        <w:rPr>
          <w:rFonts w:ascii="Amiri" w:hAnsi="Amiri" w:eastAsia="Amiri" w:cs="Amiri"/>
          <w:color w:val="111111"/>
          <w:sz w:val="28"/>
          <w:sz w:val="28"/>
          <w:szCs w:val="28"/>
          <w:rtl w:val="true"/>
          <w:lang w:bidi="ar-SA"/>
        </w:rPr>
        <w:t>، و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بعرفات أيضا، و فيه تأمل،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في العشاء ليلة المزدلفة عند الجمع، للنص المصرح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بإقامة واحدة</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للعصر و العشاء للمستحاضة، لمكان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هذه الموارد ملازمة الجمع بين الصلاتين مع سقوط الأذان، فتعدّوا منها إلى المسلوس و المبطون عند وجوب الجمع عليهما بين الصلاتين، و إلى العصر من يوم الجمعة عند الجمع بينهما و بين صلاة الجمعة، و ربما يؤيد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في يوم الجمعة بدعة</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فيه من احتمال كونه إشارة إلى الأذان المجعول من</w:t>
      </w:r>
    </w:p>
    <w:p>
      <w:pPr>
        <w:pStyle w:val="BookText"/>
        <w:rPr/>
      </w:pPr>
      <w:r>
        <w:rPr>
          <w:rFonts w:ascii="Amiri" w:hAnsi="Amiri" w:eastAsia="Amiri" w:cs="Amiri"/>
          <w:color w:val="111111"/>
          <w:sz w:val="28"/>
          <w:sz w:val="28"/>
          <w:szCs w:val="28"/>
          <w:rtl w:val="true"/>
          <w:lang w:bidi="ar-SA"/>
        </w:rPr>
        <w:t>عثمان في يوم الجمعة، كما أنّ في استفادة الملازمة المزبورة مما ذكر نظر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بسقوط الأذان و الإقامة لمن ورد على الجماعة مطلقا و لو في غير المسجد، و لكن في قباله رواية أخرى دالة على مشروعيتهما </w:t>
      </w:r>
      <w:r>
        <w:rPr>
          <w:rStyle w:val="FootnoteAnchor"/>
          <w:rtl w:val="true"/>
        </w:rPr>
        <w:footnoteReference w:id="1785"/>
      </w:r>
      <w:r>
        <w:rPr>
          <w:rFonts w:ascii="Amiri" w:hAnsi="Amiri" w:eastAsia="Amiri" w:cs="Amiri"/>
          <w:color w:val="111111"/>
          <w:sz w:val="28"/>
          <w:sz w:val="28"/>
          <w:szCs w:val="28"/>
          <w:rtl w:val="true"/>
          <w:lang w:bidi="ar-SA"/>
        </w:rPr>
        <w:t>، و يجمع بينهما بالحمل على رفع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المسجد ورد التأكد بالسقوط </w:t>
      </w:r>
      <w:r>
        <w:rPr>
          <w:rStyle w:val="FootnoteAnchor"/>
          <w:rtl w:val="true"/>
        </w:rPr>
        <w:footnoteReference w:id="1786"/>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 أشد المنع، و لا بأس بأخذه و استفادة عدم المشروعية، لا الحرمة الذاتية، كما هو الشأن في سائر موارد السقوط، لو لا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شامل لناوي الجماعة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السقوط بزمان التفرق </w:t>
      </w:r>
      <w:r>
        <w:rPr>
          <w:rStyle w:val="FootnoteAnchor"/>
          <w:rtl w:val="true"/>
        </w:rPr>
        <w:footnoteReference w:id="1787"/>
      </w:r>
      <w:r>
        <w:rPr>
          <w:rFonts w:ascii="Amiri" w:hAnsi="Amiri" w:eastAsia="Amiri" w:cs="Amiri"/>
          <w:color w:val="111111"/>
          <w:sz w:val="28"/>
          <w:sz w:val="28"/>
          <w:szCs w:val="28"/>
          <w:rtl w:val="true"/>
          <w:lang w:bidi="ar-SA"/>
        </w:rPr>
        <w:t>، المنصرف الى التفرق عن مكان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كون مدار السقوط على تفرق الجماعة أجمع،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وجدهم تفرقوا أعاد</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 و في آخر تعليق السقوط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تفرق الصف</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الظاهر في بقائهم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على الأخير، لأنه أخص، و مع الإجمال فالمرجع عموم مشروعية الأذان، و على فرض التشكيك في إطلاقها حالا فالمتبع استصحاب السقوط</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يسهّل الخطب عدم صلاحية مثل هذه الروايات لإثبات السقوط في حال التفرق، قبال ما دل على ثبوته حتى مع بقاء جميعهم </w:t>
      </w:r>
      <w:r>
        <w:rPr>
          <w:rStyle w:val="FootnoteAnchor"/>
          <w:rtl w:val="true"/>
        </w:rPr>
        <w:footnoteReference w:id="1790"/>
      </w:r>
      <w:r>
        <w:rPr>
          <w:rFonts w:ascii="Amiri" w:hAnsi="Amiri" w:eastAsia="Amiri" w:cs="Amiri"/>
          <w:color w:val="111111"/>
          <w:sz w:val="28"/>
          <w:sz w:val="28"/>
          <w:szCs w:val="28"/>
          <w:rtl w:val="true"/>
          <w:lang w:bidi="ar-SA"/>
        </w:rPr>
        <w:t>، فلا محيص</w:t>
      </w:r>
    </w:p>
    <w:p>
      <w:pPr>
        <w:pStyle w:val="BookText"/>
        <w:rPr/>
      </w:pPr>
      <w:r>
        <w:rPr>
          <w:rFonts w:ascii="Amiri" w:hAnsi="Amiri" w:eastAsia="Amiri" w:cs="Amiri"/>
          <w:color w:val="111111"/>
          <w:sz w:val="28"/>
          <w:sz w:val="28"/>
          <w:szCs w:val="28"/>
          <w:rtl w:val="true"/>
          <w:lang w:bidi="ar-SA"/>
        </w:rPr>
        <w:t>من حمل البقية على سقوط تأكد الرجحان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عدم الفصل بين حال الصلاة و هذا الحال، يشكل أمر السقوط في باب الورود على الجماعة 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الإطلاقات ثبوت الأذان و الإقامة على جميع المكلفين رجلا كان أو امرأة، لقاعدة الاشتراك، لو لم يكن للنصوص من تلك الجهة إطلاق، مضافا إلى التصريح في النص بثبوت الأذان للمرأة </w:t>
      </w:r>
      <w:r>
        <w:rPr>
          <w:rStyle w:val="FootnoteAnchor"/>
          <w:rtl w:val="true"/>
        </w:rPr>
        <w:footnoteReference w:id="1791"/>
      </w:r>
      <w:r>
        <w:rPr>
          <w:rFonts w:ascii="IRNazanin" w:hAnsi="IRNazanin" w:eastAsia="IRNazanin"/>
          <w:color w:val="111111"/>
          <w:sz w:val="28"/>
          <w:sz w:val="28"/>
          <w:szCs w:val="28"/>
          <w:rtl w:val="true"/>
          <w:lang w:bidi="fa-IR"/>
        </w:rPr>
        <w:t>، و تثبت اقامتهن بعدم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المتن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تستر المرأة، و لعله من جهة كون صوتهن عورة، و إلّا فالنصوص خالية عن هذا القيد، و حينئذ ففي أصل الحكم المزبور اشكال، و لو لدعوى الجواهر قيام السيرة على جواز سماع أصواتهن </w:t>
      </w:r>
      <w:r>
        <w:rPr>
          <w:rStyle w:val="FootnoteAnchor"/>
          <w:rtl w:val="true"/>
        </w:rPr>
        <w:footnoteReference w:id="1792"/>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يتأكدان في الجهرية على المشهور، خصوصا الغداة و المغرب، لأنّ النص ورد فيهما بالخصوص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الإقامة مثله إلّا في التكبير، فإنه يسقط منه مرتان في أوله، و التهليل يسقط منه مرة واحدة في آخره، 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فجميع فصولها خمسة و ثلاثون فصلا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استقر عمل الشيعة في الأعصار و الأمصار، و وردت على طبق هذه الصورة روايات مستفيضة </w:t>
      </w:r>
      <w:r>
        <w:rPr>
          <w:rStyle w:val="FootnoteAnchor"/>
          <w:rtl w:val="true"/>
        </w:rPr>
        <w:footnoteReference w:id="1794"/>
      </w:r>
      <w:r>
        <w:rPr>
          <w:rFonts w:ascii="Amiri" w:hAnsi="Amiri" w:eastAsia="Amiri" w:cs="Amiri"/>
          <w:color w:val="111111"/>
          <w:sz w:val="28"/>
          <w:sz w:val="28"/>
          <w:szCs w:val="28"/>
          <w:rtl w:val="true"/>
          <w:lang w:bidi="ar-SA"/>
        </w:rPr>
        <w:t xml:space="preserve">، و في قبالها أخبار تختلف مع المستفيضة في الصورة </w:t>
      </w:r>
      <w:r>
        <w:rPr>
          <w:rStyle w:val="FootnoteAnchor"/>
          <w:rtl w:val="true"/>
        </w:rPr>
        <w:footnoteReference w:id="1795"/>
      </w:r>
      <w:r>
        <w:rPr>
          <w:rFonts w:ascii="Amiri" w:hAnsi="Amiri" w:eastAsia="Amiri" w:cs="Amiri"/>
          <w:color w:val="111111"/>
          <w:sz w:val="28"/>
          <w:sz w:val="28"/>
          <w:szCs w:val="28"/>
          <w:rtl w:val="true"/>
          <w:lang w:bidi="ar-SA"/>
        </w:rPr>
        <w:t>، و ذلك أيضا على اختلاف بينها أيضا في تحديد الصورة، و كلها معرض عنها لدى الخاصة، و لولاه لكان الجمع بين الجميع بالحمل على مراتب الفضيلة في غاية الوضوح،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يؤذن قبل دخول الوقت إلّا في الصبح، بلا إشكال في القضية الأولى،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تنتظر بأذانك و إقامتك إلّا دخول وقت الصلاة</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ينبغي أن يتوهم من موارد الجمع، من الاكتفاء بأذان واحد، حتى في فرض اختصاص الوقت بالظهر، بأنه من الأذان قبل وقت العصر، إذ هو كذلك لو كان الأذان لهما، لا لخصوص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الاستثناء المزبور فلمعروفية قصة أم مكتوم </w:t>
      </w:r>
      <w:r>
        <w:rPr>
          <w:rStyle w:val="FootnoteAnchor"/>
          <w:rtl w:val="true"/>
        </w:rPr>
        <w:footnoteReference w:id="1797"/>
      </w:r>
      <w:r>
        <w:rPr>
          <w:rFonts w:ascii="Amiri" w:hAnsi="Amiri" w:eastAsia="Amiri" w:cs="Amiri"/>
          <w:color w:val="111111"/>
          <w:sz w:val="28"/>
          <w:sz w:val="28"/>
          <w:szCs w:val="28"/>
          <w:rtl w:val="true"/>
          <w:lang w:bidi="ar-SA"/>
        </w:rPr>
        <w:t>، مع عدم ردع النبي صلّى اللّٰه عليه و آله و سلّم عنه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النصوص أيضا نفي البأس عن الأذان بالليل، و انه ينفع الجيران </w:t>
      </w:r>
      <w:r>
        <w:rPr>
          <w:rStyle w:val="FootnoteAnchor"/>
          <w:rtl w:val="true"/>
        </w:rPr>
        <w:footnoteReference w:id="1798"/>
      </w:r>
      <w:r>
        <w:rPr>
          <w:rFonts w:ascii="Amiri" w:hAnsi="Amiri" w:eastAsia="Amiri" w:cs="Amiri"/>
          <w:color w:val="111111"/>
          <w:sz w:val="28"/>
          <w:sz w:val="28"/>
          <w:szCs w:val="28"/>
          <w:rtl w:val="true"/>
          <w:lang w:bidi="ar-SA"/>
        </w:rPr>
        <w:t>، و السنة تتأدى مع طلوع الفجر، بمعنى تأكد رجحانه، كي لا يلزم تقريرهم على التشريع، للجزم بقصدهم في الأذان التعبدية</w:t>
      </w:r>
      <w:r>
        <w:rPr>
          <w:rFonts w:eastAsia="Amiri" w:cs="Amiri" w:ascii="Amiri" w:hAnsi="Amiri"/>
          <w:color w:val="111111"/>
          <w:sz w:val="28"/>
          <w:szCs w:val="28"/>
          <w:rtl w:val="true"/>
          <w:lang w:bidi="ar-SA"/>
        </w:rPr>
        <w:t>.</w:t>
      </w:r>
      <w:bookmarkStart w:id="531" w:name="pg19729_212987"/>
    </w:p>
    <w:p>
      <w:pPr>
        <w:pStyle w:val="BookText"/>
        <w:rPr/>
      </w:pPr>
      <w:bookmarkEnd w:id="531"/>
      <w:r>
        <w:rPr>
          <w:rFonts w:ascii="Amiri" w:hAnsi="Amiri" w:eastAsia="Amiri" w:cs="Amiri"/>
          <w:color w:val="111111"/>
          <w:sz w:val="28"/>
          <w:sz w:val="28"/>
          <w:szCs w:val="28"/>
          <w:rtl w:val="true"/>
          <w:lang w:bidi="ar-SA"/>
        </w:rPr>
        <w:t>و عليه فيستفاد من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للأذان مراتب من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مرتبتها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لإيقاظ الجيران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لإعلام الوقت، و هو السنة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للصلاة، الموجب لازدياد فضيلة الصلاة، بنحو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الأخيران لا يشرعان إلّا بعد دخول الوقت، و هو المراد من السنة المشار إليها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أشار المصنف أيضا بأنه يستحب إعادته بعد دخوله، أي الصبح</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251501_2314609296"/>
      <w:bookmarkStart w:id="533" w:name="_Toc203"/>
      <w:bookmarkEnd w:id="532"/>
      <w:r>
        <w:rPr>
          <w:rtl w:val="true"/>
        </w:rPr>
        <w:t>و يشترط فيه و في الإقامة أيضا أمور</w:t>
      </w:r>
      <w:r>
        <w:rPr>
          <w:rtl w:val="true"/>
        </w:rPr>
        <w:t>:</w:t>
      </w:r>
      <w:bookmarkEnd w:id="533"/>
    </w:p>
    <w:p>
      <w:pPr>
        <w:pStyle w:val="Heading6"/>
        <w:numPr>
          <w:ilvl w:val="5"/>
          <w:numId w:val="1"/>
        </w:numPr>
        <w:rPr/>
      </w:pPr>
      <w:bookmarkStart w:id="534" w:name="__RefHeading___Toc3251503_2314609296"/>
      <w:bookmarkStart w:id="535" w:name="_Toc204"/>
      <w:bookmarkEnd w:id="534"/>
      <w:r>
        <w:rPr>
          <w:rtl w:val="true"/>
        </w:rPr>
        <w:t>أحدها</w:t>
      </w:r>
      <w:r>
        <w:rPr>
          <w:rtl w:val="true"/>
        </w:rPr>
        <w:t xml:space="preserve">: </w:t>
      </w:r>
      <w:r>
        <w:rPr>
          <w:rtl w:val="true"/>
        </w:rPr>
        <w:t>النية</w:t>
      </w:r>
      <w:bookmarkEnd w:id="535"/>
    </w:p>
    <w:p>
      <w:pPr>
        <w:pStyle w:val="BookText"/>
        <w:rPr/>
      </w:pPr>
      <w:r>
        <w:rPr>
          <w:rFonts w:ascii="Amiri" w:hAnsi="Amiri" w:eastAsia="Amiri" w:cs="Amiri"/>
          <w:color w:val="111111"/>
          <w:sz w:val="28"/>
          <w:sz w:val="28"/>
          <w:szCs w:val="28"/>
          <w:rtl w:val="true"/>
          <w:lang w:bidi="ar-SA"/>
        </w:rPr>
        <w:t>حتى في الأذان بجميع أقسامه، لارتكاز عباديته في أذهان عامة الناس، و لولاه لكانت الإطلاقات و الأصول على التحقيق تقتضي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الغرض إعلام الناس في الإعلامي منه أو إفشاء الحق، لا يقتضي التوصلية، فالعمدة في إثبات توصليته هو نفي ارتكاز عباديته في أذهان المسلمين، لو أمكن</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3251505_2314609296"/>
      <w:bookmarkStart w:id="537" w:name="_Toc205"/>
      <w:bookmarkEnd w:id="536"/>
      <w:r>
        <w:rPr>
          <w:rtl w:val="true"/>
        </w:rPr>
        <w:t>ثانيها</w:t>
      </w:r>
      <w:r>
        <w:rPr>
          <w:rtl w:val="true"/>
        </w:rPr>
        <w:t xml:space="preserve">: </w:t>
      </w:r>
      <w:r>
        <w:rPr>
          <w:rtl w:val="true"/>
        </w:rPr>
        <w:t>الترتيب بينه و بين الإقامة</w:t>
      </w:r>
      <w:bookmarkEnd w:id="53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المشهور، لظهور الأخبار </w:t>
      </w:r>
      <w:r>
        <w:rPr>
          <w:rStyle w:val="FootnoteAnchor"/>
          <w:rtl w:val="true"/>
        </w:rPr>
        <w:footnoteReference w:id="1799"/>
      </w:r>
      <w:r>
        <w:rPr>
          <w:rFonts w:ascii="Amiri" w:hAnsi="Amiri" w:eastAsia="Amiri" w:cs="Amiri"/>
          <w:color w:val="111111"/>
          <w:sz w:val="28"/>
          <w:sz w:val="28"/>
          <w:szCs w:val="28"/>
          <w:rtl w:val="true"/>
          <w:lang w:bidi="ar-SA"/>
        </w:rPr>
        <w:t>في ذلك، إذ على فرض عدم اقتضاء الترتيب الذكري لما ذكر، فلا شبهة أنّ تكاثر مثل هذا البيان في موارد مختلفة، يكشف عن نحو معهودية في ذلك، علاوة على إمكان دعوى السيرة عليه</w:t>
      </w:r>
      <w:r>
        <w:rPr>
          <w:rFonts w:eastAsia="Amiri" w:cs="Amiri" w:ascii="Amiri" w:hAnsi="Amiri"/>
          <w:color w:val="111111"/>
          <w:sz w:val="28"/>
          <w:szCs w:val="28"/>
          <w:rtl w:val="true"/>
          <w:lang w:bidi="ar-SA"/>
        </w:rPr>
        <w:t>.</w:t>
      </w:r>
      <w:bookmarkStart w:id="538" w:name="pg19729_212988"/>
    </w:p>
    <w:p>
      <w:pPr>
        <w:pStyle w:val="BookText"/>
        <w:rPr/>
      </w:pPr>
      <w:bookmarkEnd w:id="538"/>
      <w:r>
        <w:rPr>
          <w:rFonts w:ascii="Amiri" w:hAnsi="Amiri" w:eastAsia="Amiri" w:cs="Amiri"/>
          <w:color w:val="111111"/>
          <w:sz w:val="28"/>
          <w:sz w:val="28"/>
          <w:szCs w:val="28"/>
          <w:rtl w:val="true"/>
          <w:lang w:bidi="ar-SA"/>
        </w:rPr>
        <w:t xml:space="preserve">و أما الترتيب بين الفصول، فمضافا إلى ما ذكرنا، فقد ورد في النصوص المستفيضة بأنه يجب البدأة بالأول فالأول </w:t>
      </w:r>
      <w:r>
        <w:rPr>
          <w:rStyle w:val="FootnoteAnchor"/>
          <w:rtl w:val="true"/>
        </w:rPr>
        <w:footnoteReference w:id="180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اعتبار الترتيب بين الفصول و كذا بين نفسهما كون المورد مع الشك في الوجود مجرى قاعدة التجاوز، كما أنه بعد الفراغ عن كل عمل لا بأس بجريان قاعدة الفراغ، بناء على التحقيق من كونهما قاعدتين، و تعميم مجرى كل منهما، بلا اختصاص واحد منهما بباب دون باب،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251507_2314609296"/>
      <w:bookmarkStart w:id="540" w:name="_Toc206"/>
      <w:bookmarkEnd w:id="539"/>
      <w:r>
        <w:rPr>
          <w:rtl w:val="true"/>
        </w:rPr>
        <w:t>و ثالثها</w:t>
      </w:r>
      <w:r>
        <w:rPr>
          <w:rtl w:val="true"/>
        </w:rPr>
        <w:t xml:space="preserve">: </w:t>
      </w:r>
      <w:r>
        <w:rPr>
          <w:rtl w:val="true"/>
        </w:rPr>
        <w:t>الموالاة،</w:t>
      </w:r>
      <w:bookmarkEnd w:id="540"/>
    </w:p>
    <w:p>
      <w:pPr>
        <w:pStyle w:val="BookText"/>
        <w:rPr/>
      </w:pPr>
      <w:r>
        <w:rPr>
          <w:rFonts w:ascii="Amiri" w:hAnsi="Amiri" w:eastAsia="Amiri" w:cs="Amiri"/>
          <w:color w:val="111111"/>
          <w:sz w:val="28"/>
          <w:sz w:val="28"/>
          <w:szCs w:val="28"/>
          <w:rtl w:val="true"/>
          <w:lang w:bidi="ar-SA"/>
        </w:rPr>
        <w:t>لأنها المعهود في مثل هذه الأعمال، الملحوظ فيها هيئة مخصوصة بحسب ارتكاز أذهان المتشرعة من الصدور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مشروطية الإقامة بالبلوغ، إنما هي لعدم إطلاق في أوامرها، لو لا شمول الأمر بأمرهم لمثلها، و لو بالفحوى، لأنها من تبعات الصلاة و داخلة في أمر الصبيان بها، فهكذا الأمر في أذانه، بناء على المختار من استفادة المشروعية من الأمر بالأمر، على أنّ فيه نصا مخصوصا بنفي البأس عن أذان غلام لم يحتلم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المسقطية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يجزيكم أذان جيرانكم</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التمرينية لا مجال له، لانصراف دليل المسقطية إلى الأذان المشروع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 العموم المزبور لأذان المرأة لإثبات مسقطيته اشكال آخر، من جهة انصراف العام إلى أذان من يتعارف منه رفع صوته، و هو مخصوص</w:t>
      </w:r>
      <w:bookmarkStart w:id="541" w:name="pg19729_212989"/>
    </w:p>
    <w:p>
      <w:pPr>
        <w:pStyle w:val="BookText"/>
        <w:rPr/>
      </w:pPr>
      <w:bookmarkEnd w:id="541"/>
      <w:r>
        <w:rPr>
          <w:rFonts w:ascii="Amiri" w:hAnsi="Amiri" w:eastAsia="Amiri" w:cs="Amiri"/>
          <w:color w:val="111111"/>
          <w:sz w:val="28"/>
          <w:sz w:val="28"/>
          <w:szCs w:val="28"/>
          <w:rtl w:val="true"/>
          <w:lang w:bidi="ar-SA"/>
        </w:rPr>
        <w:t>بالرجال، و لا يشمل النساء، كما لا يخفى</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251509_2314609296"/>
      <w:bookmarkStart w:id="543" w:name="_Toc207"/>
      <w:bookmarkEnd w:id="542"/>
      <w:r>
        <w:rPr>
          <w:rtl w:val="true"/>
        </w:rPr>
        <w:t>هذا، و يستحب كون المؤذن عدلا</w:t>
      </w:r>
      <w:bookmarkEnd w:id="543"/>
    </w:p>
    <w:p>
      <w:pPr>
        <w:pStyle w:val="BookText"/>
        <w:rPr/>
      </w:pP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صيّتا، لما في النص </w:t>
      </w:r>
      <w:r>
        <w:rPr>
          <w:rStyle w:val="FootnoteAnchor"/>
          <w:rtl w:val="true"/>
        </w:rPr>
        <w:footnoteReference w:id="1804"/>
      </w:r>
      <w:r>
        <w:rPr>
          <w:rFonts w:ascii="Amiri" w:hAnsi="Amiri" w:eastAsia="Amiri" w:cs="Amiri"/>
          <w:color w:val="111111"/>
          <w:sz w:val="28"/>
          <w:sz w:val="28"/>
          <w:szCs w:val="28"/>
          <w:rtl w:val="true"/>
          <w:lang w:bidi="ar-SA"/>
        </w:rPr>
        <w:t>، المستفاد منه بأنه باشتداد صوته، كلما يسمع أكثر كان أجره فيه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بصيرا بالأوقات، لتكون مشمول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اللّٰه</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متطهّرا،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أحد إلّا و هو متطهّر</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بضم ما دل من المستفيضة على عدم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الإقامة نص في الأمر بها </w:t>
      </w:r>
      <w:r>
        <w:rPr>
          <w:rStyle w:val="FootnoteAnchor"/>
          <w:rtl w:val="true"/>
        </w:rPr>
        <w:footnoteReference w:id="1807"/>
      </w:r>
      <w:r>
        <w:rPr>
          <w:rFonts w:ascii="Amiri" w:hAnsi="Amiri" w:eastAsia="Amiri" w:cs="Amiri"/>
          <w:color w:val="111111"/>
          <w:sz w:val="28"/>
          <w:sz w:val="28"/>
          <w:szCs w:val="28"/>
          <w:rtl w:val="true"/>
          <w:lang w:bidi="ar-SA"/>
        </w:rPr>
        <w:t>، بلا دليل على الترخيص هنا، فلو لا دعوى الملازمة بينهما لأشكل أمر استحبابها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قائما على مرتفع، لأمره صلّى اللّٰه عليه و آله و سلّم بلالا أن يعلو فوق الجدار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مستقبلا للقبلة، لخبر الدعائم الوارد في الأذان و الإقامة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رافعا صوته، لذيل النص السابق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bookmarkStart w:id="544" w:name="pg19729_212990"/>
    </w:p>
    <w:p>
      <w:pPr>
        <w:pStyle w:val="BookText"/>
        <w:rPr/>
      </w:pPr>
      <w:bookmarkEnd w:id="544"/>
      <w:r>
        <w:rPr>
          <w:rFonts w:ascii="Amiri" w:hAnsi="Amiri" w:eastAsia="Amiri" w:cs="Amiri"/>
          <w:color w:val="111111"/>
          <w:sz w:val="28"/>
          <w:sz w:val="28"/>
          <w:szCs w:val="28"/>
          <w:rtl w:val="true"/>
          <w:lang w:bidi="ar-SA"/>
        </w:rPr>
        <w:t>مرتلا للأذان محدرا للإقامة، لما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فرتل، و إذا أقمت فأحدر</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فاصلا بينهما بجلسة، أو سجدة، أو خطوة، و النص وارد في الأولين </w:t>
      </w:r>
      <w:r>
        <w:rPr>
          <w:rStyle w:val="FootnoteAnchor"/>
          <w:rtl w:val="true"/>
        </w:rPr>
        <w:footnoteReference w:id="1812"/>
      </w:r>
      <w:r>
        <w:rPr>
          <w:rFonts w:ascii="Amiri" w:hAnsi="Amiri" w:eastAsia="Amiri" w:cs="Amiri"/>
          <w:color w:val="111111"/>
          <w:sz w:val="28"/>
          <w:sz w:val="28"/>
          <w:szCs w:val="28"/>
          <w:rtl w:val="true"/>
          <w:lang w:bidi="ar-SA"/>
        </w:rPr>
        <w:t xml:space="preserve">، و أما الأخير فقد ورد في الفقه الرضوي في المنفرد </w:t>
      </w:r>
      <w:r>
        <w:rPr>
          <w:rStyle w:val="FootnoteAnchor"/>
          <w:rtl w:val="true"/>
        </w:rPr>
        <w:footnoteReference w:id="1813"/>
      </w:r>
      <w:r>
        <w:rPr>
          <w:rFonts w:ascii="IRNazanin" w:hAnsi="IRNazanin" w:eastAsia="IRNazanin"/>
          <w:color w:val="111111"/>
          <w:sz w:val="28"/>
          <w:sz w:val="28"/>
          <w:szCs w:val="28"/>
          <w:rtl w:val="true"/>
          <w:lang w:bidi="fa-IR"/>
        </w:rPr>
        <w:t>، و لا بأس به رجاء</w:t>
      </w:r>
      <w:r>
        <w:rPr>
          <w:rFonts w:eastAsia="IRNazanin" w:cs="IRNazanin"/>
          <w:color w:val="111111"/>
          <w:sz w:val="28"/>
          <w:szCs w:val="28"/>
          <w:rtl w:val="true"/>
          <w:lang w:bidi="fa-IR"/>
        </w:rPr>
        <w:t>.</w:t>
      </w:r>
    </w:p>
    <w:p>
      <w:pPr>
        <w:pStyle w:val="Heading5"/>
        <w:numPr>
          <w:ilvl w:val="4"/>
          <w:numId w:val="1"/>
        </w:numPr>
        <w:rPr/>
      </w:pPr>
      <w:bookmarkStart w:id="545" w:name="__RefHeading___Toc3251511_2314609296"/>
      <w:bookmarkStart w:id="546" w:name="_Toc208"/>
      <w:bookmarkEnd w:id="545"/>
      <w:r>
        <w:rPr>
          <w:rtl w:val="true"/>
        </w:rPr>
        <w:t>و يكره أن يكون ماشيا أو راكبا</w:t>
      </w:r>
      <w:bookmarkEnd w:id="546"/>
    </w:p>
    <w:p>
      <w:pPr>
        <w:pStyle w:val="BookText"/>
        <w:rPr/>
      </w:pPr>
      <w:r>
        <w:rPr>
          <w:rFonts w:ascii="Amiri" w:hAnsi="Amiri" w:eastAsia="Amiri" w:cs="Amiri"/>
          <w:color w:val="111111"/>
          <w:sz w:val="28"/>
          <w:sz w:val="28"/>
          <w:szCs w:val="28"/>
          <w:rtl w:val="true"/>
          <w:lang w:bidi="ar-SA"/>
        </w:rPr>
        <w:t>، و لم أر نصا عليه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الإقامة ورد النص بعدم مشيه و عدم ركوبه </w:t>
      </w:r>
      <w:r>
        <w:rPr>
          <w:rStyle w:val="FootnoteAnchor"/>
          <w:rtl w:val="true"/>
        </w:rPr>
        <w:footnoteReference w:id="1814"/>
      </w:r>
      <w:r>
        <w:rPr>
          <w:rFonts w:ascii="Amiri" w:hAnsi="Amiri" w:eastAsia="Amiri" w:cs="Amiri"/>
          <w:color w:val="111111"/>
          <w:sz w:val="28"/>
          <w:sz w:val="28"/>
          <w:szCs w:val="28"/>
          <w:rtl w:val="true"/>
          <w:lang w:bidi="ar-SA"/>
        </w:rPr>
        <w:t xml:space="preserve">، بضم الترخيص في المشي فيها </w:t>
      </w:r>
      <w:r>
        <w:rPr>
          <w:rStyle w:val="FootnoteAnchor"/>
          <w:rtl w:val="true"/>
        </w:rPr>
        <w:footnoteReference w:id="1815"/>
      </w:r>
      <w:r>
        <w:rPr>
          <w:rFonts w:ascii="Amiri" w:hAnsi="Amiri" w:eastAsia="Amiri" w:cs="Amiri"/>
          <w:color w:val="111111"/>
          <w:sz w:val="28"/>
          <w:sz w:val="28"/>
          <w:szCs w:val="28"/>
          <w:rtl w:val="true"/>
          <w:lang w:bidi="ar-SA"/>
        </w:rPr>
        <w:t>، بلا شموله لركوبه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عدم الفصل بينهما لأشكل أمر استحبابه، لو لا دعوى ضعف سند الأمر، بضم التسامح في دليل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يشترط في الكراهة المزبورة كونه مع القدرة، و إلّا فالضرورات رافعة للمحاذير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أيضا إعراب أواخر الفصول، لما في النص من أنهما مجزومان </w:t>
      </w:r>
      <w:r>
        <w:rPr>
          <w:rStyle w:val="FootnoteAnchor"/>
          <w:rtl w:val="true"/>
        </w:rPr>
        <w:footnoteReference w:id="1816"/>
      </w:r>
      <w:r>
        <w:rPr>
          <w:rFonts w:ascii="Amiri" w:hAnsi="Amiri" w:eastAsia="Amiri" w:cs="Amiri"/>
          <w:color w:val="111111"/>
          <w:sz w:val="28"/>
          <w:sz w:val="28"/>
          <w:szCs w:val="28"/>
          <w:rtl w:val="true"/>
          <w:lang w:bidi="ar-SA"/>
        </w:rPr>
        <w:t>، و ظاهره استحباب الوقف، لا كراهة الحركة، لو لا فهمهم منها ذلك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أيضا الكلام في خلالهما، لما في النصوص </w:t>
      </w:r>
      <w:r>
        <w:rPr>
          <w:rStyle w:val="FootnoteAnchor"/>
          <w:rtl w:val="true"/>
        </w:rPr>
        <w:footnoteReference w:id="1817"/>
      </w:r>
      <w:r>
        <w:rPr>
          <w:rFonts w:ascii="Amiri" w:hAnsi="Amiri" w:eastAsia="Amiri" w:cs="Amiri"/>
          <w:color w:val="111111"/>
          <w:sz w:val="28"/>
          <w:sz w:val="28"/>
          <w:szCs w:val="28"/>
          <w:rtl w:val="true"/>
          <w:lang w:bidi="ar-SA"/>
        </w:rPr>
        <w:t>المختلفة منعا</w:t>
      </w:r>
      <w:bookmarkStart w:id="547" w:name="pg19729_212991"/>
    </w:p>
    <w:p>
      <w:pPr>
        <w:pStyle w:val="BookText"/>
        <w:rPr/>
      </w:pPr>
      <w:bookmarkEnd w:id="547"/>
      <w:r>
        <w:rPr>
          <w:rFonts w:ascii="Amiri" w:hAnsi="Amiri" w:eastAsia="Amiri" w:cs="Amiri"/>
          <w:color w:val="111111"/>
          <w:sz w:val="28"/>
          <w:sz w:val="28"/>
          <w:szCs w:val="28"/>
          <w:rtl w:val="true"/>
          <w:lang w:bidi="ar-SA"/>
        </w:rPr>
        <w:t>و ترخيصا، المحمول منعها بقرينة ترخيصها على الكراهة، كما هو الشأن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الترجيع لغير الإشعار، كما هو المستفاد من النص المروي عن أبي بصير منطوقا و مفهوما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3251513_2314609296"/>
      <w:bookmarkStart w:id="549" w:name="_Toc209"/>
      <w:bookmarkEnd w:id="548"/>
      <w:r>
        <w:rPr>
          <w:rtl w:val="true"/>
        </w:rPr>
        <w:t>و يحرم تشريعا قول</w:t>
      </w:r>
      <w:r>
        <w:rPr>
          <w:rtl w:val="true"/>
        </w:rPr>
        <w:t xml:space="preserve">: </w:t>
      </w:r>
      <w:r>
        <w:rPr>
          <w:rtl w:val="true"/>
        </w:rPr>
        <w:t>الصلاة خير من النوم</w:t>
      </w:r>
      <w:bookmarkEnd w:id="549"/>
    </w:p>
    <w:p>
      <w:pPr>
        <w:pStyle w:val="BookText"/>
        <w:rPr/>
      </w:pPr>
      <w:r>
        <w:rPr>
          <w:rFonts w:ascii="Amiri" w:hAnsi="Amiri" w:eastAsia="Amiri" w:cs="Amiri"/>
          <w:color w:val="111111"/>
          <w:sz w:val="28"/>
          <w:sz w:val="28"/>
          <w:szCs w:val="28"/>
          <w:rtl w:val="true"/>
          <w:lang w:bidi="ar-SA"/>
        </w:rPr>
        <w:t>،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بدعة بني أميّة</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بل يكفي في الحرمة المزبورة عدم الدليل على مشروعيته، كما لا يخفى</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251515_2314609296"/>
      <w:bookmarkStart w:id="551" w:name="_Toc210"/>
      <w:bookmarkEnd w:id="550"/>
      <w:r>
        <w:rPr>
          <w:rtl w:val="true"/>
        </w:rPr>
        <w:t>بقي في المقام شي‌ء، و هو انّ مقتضى النصوص المستفيضة حرمة أخذ الأجرة على الأذان</w:t>
      </w:r>
      <w:r>
        <w:rPr>
          <w:rtl w:val="true"/>
        </w:rPr>
        <w:t>.</w:t>
      </w:r>
      <w:bookmarkEnd w:id="551"/>
    </w:p>
    <w:p>
      <w:pPr>
        <w:pStyle w:val="BookText"/>
        <w:rPr/>
      </w:pPr>
      <w:r>
        <w:rPr>
          <w:rFonts w:ascii="Amiri" w:hAnsi="Amiri" w:eastAsia="Amiri" w:cs="Amiri"/>
          <w:color w:val="111111"/>
          <w:sz w:val="28"/>
          <w:sz w:val="28"/>
          <w:szCs w:val="28"/>
          <w:rtl w:val="true"/>
          <w:lang w:bidi="ar-SA"/>
        </w:rPr>
        <w:t xml:space="preserve">بقي في المقام شي‌ء، و هو انّ مقتضى النصوص المستفيضة حرمة أخذ الأجرة على الأذان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أجره سحت</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و لازمة إلغاء جهة ماليته الموجبة لاحترامه، و لكونه مورد أغراض العقلاء في استئجاره و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بعبادته، بناء على عدم إضرار الداعي على الداعي بقربيته، و بذلك يصح وقوع مورد الأمر بالوفاء بعقد إجارته، و لذا نقول بأنّ الأصل في أمثال هذه الأعمال هو المالية و صحة الإجارة عليها إلّا ما خرج، كما في المقام و غيره مما ألغى الشارع فيه جهة المالية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بارتزاقه من بيت المال، و لو كان ذلك هو داعيه على اختيار هذه العبادة، لما عرفت من عدم إضرار الداعي لغير اللّٰه إذا كان في طول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داعية لا في عرضه، بل ربما لا ينفك عبادة عن ذلك، لانتهاء دواعي غالبية الناس بالآخرة إلى استراحة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 في الخلوص عدم ذلك لم تصح إلّا عبادة الأئمة، أو من هو دونهم من أولياء اللّٰه، و هو كما ترى خلاف سماحة الشريعة و سهولة الملة، اللهم وفقنا للتمحض في العبادة لك</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العلّامة للسيد مهنّا بن سنان التي ذكر فيها كتبه، المذكورة ضمن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الحسن، و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الحسين، و قال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الحسن، و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يوسف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كتاب السلوك و صاحب كتاب المنهل كما عنهما في حاشية 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في الأصلين اللذين اعتمد عليهما محقق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فاشتبه على المحقق الأمر و أثبته في الأصل باسم الحسين 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حسن بن يوسف، و ما أثبتناه عن السلوك و الدرر الكامنة و المنهل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المنهل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 الحسين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أخطأ مصحح هذه الطبعة حيث شطب 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يوسف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الترجمة للعلّامة كما هو ظاهر من سياق الشرح لا لوالده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أن ابن حجر ذكر العلّامة في موضعين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سيف الدولة ابن حمدان الذي هو من جملة ملوك الشام، بل هو من أمراء دولة الديالمة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الخوانساري في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المولى الأفندي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عند السيد الأمين في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البحراني في اللؤلؤة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 العشرين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حروف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 هو مولد العلّامة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حروف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هو إشارة إلى سنه، و الظاهر أنه اشتباه، لأنّه توفّي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عباس القمي في 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الألفين للسيد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نقلا عن تأريخ الحافظ الأبرو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اليقين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نقلا عن تأريخ الحافظ الأبرو، 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نقلا عن تأريخ الحافظ الأبرو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اللئالي المنتظمة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نقلا عن رجال العلّامة عبد اللطيف العاملي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المحدّث البحراني في اللؤلؤة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أبو علي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حياة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البعض أنّ اسم الكتاب محبوب القلوب، كما في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أبو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نقلا عن نظام الأقوال للقرشي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اجازة العلامة للسيد مهنا بن سنان التي ذكر فيها كتبه المذكورة ضمن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الإجازة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اللؤلؤة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اللئالي المنتظمة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نقلا عن تاريخ الحافظ الأبرو الشافعي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اللئالي المنتظمة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اللئالي المنتظمة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الحافظ الأبرو، 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غيرها كثير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غدر بجريتها كلفتا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نقلا عن تأريخ اليافعي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نقلا عن نظام الأقوال للقرشي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حاشية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فخر 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قدس اللّٰه روحه ليلة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نقلا عن توضيح المقاصد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نقلا عن محبوب القلوب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نقلا عن الشهيد الثاني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اللئالي المنتظمة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مرتضى الأنصاري قدس اللّٰه نفسه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يطيب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النجس، أي طعم النجس الحاصل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خلاف ظاهر اللفظ، حيث إنه ظاهر في عوده إلى الماء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المجاورة هنا هي المجاورة بالمباشرة، لا المجاورة بالقرب، و لكن من غير أن تنتشر أجزاء النجس في الماء، كما تنبّه على ذلك عبارته التالية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مفهوميا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أبي مريم الأنصاري، 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عدم انفعال القليل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 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كلمات الأصحاب هو الالتزام بذلك، فيرون للنزح المزبور موضوعية بحيث لا تطهر البئر بسواه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تطهيره، أي لا طريق غيره كما عن المعتبر، لاستصحاب النجاسة، و المعلوم من الأدلة النزح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يظهر من بعض الأخبار من الحصر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يطهرها حتى يحل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في قوة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يطهرها نزح دلاء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لأنه لا عموم في المطهرات الأخر بحيث يشمل المقام، و لظواهر الأوامر بالنزح، و حملها على التخيير مجاز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لاستصحاب بقاء النجاسة بعد نزح ذلك المقدّر، كما ينبه عليه هو رحمه اللّٰه فيما يأتي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المطلقة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جوامع الحديث، و إنما جاء في كلام الشيخ قدس سره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جاء في روايات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الماء قدر القلتين لم يحمل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مجاميع العامة المعروفة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الشعر و انقوا البشرة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التحرير المحقق الآخوند الخراساني قدّس سرّه، له تكملة التبصرة، و هي تلخيص للتبصرة و اضافة بعض الملاحظات عليه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النهي عن المنكر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شي‌ء يضطر إليه ابن آدم فقد أحله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اضطر إليه العبد فقد أباحه اللّٰه له و أحله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الأعظم، و المشارع، جمع مشرعة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طريق الماء للواردة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 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الظّل المعد لنزلهم، أو ما هو أعم كالمحل الذي يرجعون إليه و ينزلون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الموضع الذي يكره ان يتغوط فيه أو يبال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 و نضح بالبول على فخذيه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التيمن في الوضوء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تثنية الغسلات، و وضع الماء في غسل اليدين في الرجل على ظهر الذراعين، و في المرأة على باطنهما، و بالعكس في الثانية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رحمه اللّٰه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تصور جامع قريب بينهما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طلاق الرواية الأولى بالنسبة إلى القبل و الرواية الثانية بالنسبة إلى الدبر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مجموع آياتها مجتمعة، لا حرمة كل آية آية، فلا تحرم قراءة بعض آيات السورة، بل تحرم قراءة كامل السورة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الأنام في شرح شرائع الإسلام لمحمد حسين بن هاشم الكاظمي المتوفّى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 بعضه، و هو كتاب جامع، ما ترك قول عالم إلّا و قد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 الاستحاضة و النفاس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و التعزيرات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الى سقوط غير الصوم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الصلاة كان مثلا لعدم مصلحة في فعلها، و من ثم لم يصدق بشأنها الفوت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الاستصحاب الموضوعي، لأنه في مجال إحراز الموضوع و لو بالأصل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تجمع بين الظهرين، و كذا بين العشاءين، و إلّا فعليها ثلاث أغسال فقط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هداية الأنام في شرح شرائع الإسلام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التبصرة التي اعتمدنا عليها في ضبط المتن لم ترد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فيرجع الى الأمارات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محقق التبصرة في الهامش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 هنا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 فيها إلى الأمارات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الحديث الأول، و هي رواية معاوية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الحديث الثاني، و هي رواية ابن يقطين، فإنه ناظر إلى عدم وجوب الوضوء و أنّ الواجب هي الأغسال الثلاثة، أما كيفية الترتيب فغير ناظر إليها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المائية بعدم خروج الماء عن الإطلاق، و حفظ وجود السدر فيه أيضا بجعله فيه مقدارا لا يخرجه عن الإطلاق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الاستصحاب المذكور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الاستصحاب حالة الدفن التي كان قد سقط الغسل فيها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الاستصحاب الثاني محكوم بالاستصحاب الأول، لأنه بعد فرض ثبوت موضوع الوجوب يرتفع الشك في بقاء السقوط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في معنى الحكومة و نتيجتها و ليست نفسها، لأن أحد الشكين ليس مسببا عن الآخر، بل مجرد ارتفاع أحد الشكين بإثبات موضوع الآخر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اشتراط المماثلة بين الغاسل و المغسول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جواز النظر من الزوجة إلى زوجها، و عدم جواز النظر من الزوج الى زوجته، أو التفصيل بين جواز التغسيل و عدمه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الرجل و المرأة يغسّلان الخنثى الميت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نظرا الى اعتبار القربة في تغسيل الميت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سهو من قلمه الشريف، إذ يجب تغسيل كل مسلم حتى السقط إذا كملت له أربعة أشهر، و سيجي‌ء التصريح منه قدّس سرّه بذلك في المسألة السادسة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قدّس سرّه أراد الاستشهاد بالسقط دون أربعة أشهر، فسبقته هذه العبارة سهوا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فصحيح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تغسيل السقط الذي لم يكمل له أربعة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هذا السقوط يستفاد الثبوت لمن كان أزيد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استصحاب تعليقي، بمعنى أنه لو كان مات قبل بلوغه لكان يجب تغسيله في المسلم، أو يحرم تغسيله في الكافر، فكذا الآن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في المنفصل جنونه عن البلوغ أوضح، لأنه إن بلغ مسلما ثم جن، أو بلغ كافرا ثم جن، كان استصحاب حكمه قبل جنونه أوضح من استصحاب حكمه حال صغره، لأنّ في هذا الأخير شبهة اختلاف الموضوع، بخلاف الأول فإنه استصحاب حكمي مستقيم لا شبهة فيه، فلا موقع لاستعمال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كما لا يخفى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تقريب الاستصحاب في المقام نظير تقريب استصحاب أحكام الشرائع السابقة، و ذلك لأنّ وجوب التغسيل بالنسبة إلى ميت هو في الآن لا يمكن إثباته باستصحاب وجوب سابق متيقن، إذ لم يثبت انّ المكلفين في هذا الآن كانوا موجودين في الآن السابق، فكان يجب عليهم تغسيل هذا الميت يقينا، كي يستصحب ذلك الآن اللاحق، فلا بدّ لتوجيه الاستصحاب المذكور من التوجيهات التي ذكروها لتقريب استصحاب الشرائع السابقة، و قد ذكرها الشيخ في الأمر الخامس من تنبيهات الاستصحاب فراجع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في هامش الروض الآنف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تحنيط الميت و تكفينه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الفقهاء طبعا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و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شك في كونه ولد مسلم أو كافر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رسالة عملية لصاحب الجواهر، علّق عليها كثير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غريب، فضلا عن عدم ثبوته هناك، و القائل به هناك يقيسه على ما هنا، و هو أغرب،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روايات اخرى قريبة من هذا المضمون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هذه الصورة ينحصر معنى كراهة العبادة في أقليّة الثواب، أما فيما له بدل فيمكن أن تكون الكراهة بمعناها المصطلح و إرجاع الكراهة إلى الخصوصية لا إلى أصل الطبيعة المأمور بها، لكن على نحو الترتب الذي يشير إليه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سائر الأفراد من جنسها لا من نوعها، لفرض عدم بدل له، و البدل هو الفرد الآخر من نفس الطبيعة، و هذا مفروض العدم فيما نحن فيه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مسألة الصلاة الثانية على الجنائز، أو في كبرى مسألة توجيه الكراهة في العبادات التي لا بدل لها، و يبدو أنّ مراده رحمه اللّٰه هو الثاني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كراهة إيقاع الصلاة في الحمام مثلا، لا كراهة الصلاة الواقعة في الحمام، فطبيعة الصلاة لا كراهية فيها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طبيعة الصلاة المتحققة في ضمن هذا الفرد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الطبيعة المتحققة في ضمن كل فرد فرد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تكون الحصص المتحققة في ضمن الأفراد متعلقات الأوامر و النواهي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مسلكه قدّس سرّه في اجتماع الأمر و النهي هو التفصيل بين ما إذا كانت الجهتان مشتركتين في جزء متعلقهما كما في الصلاة و الغصب، فالحق هو الامتناع، إذ حينئذ يسري كل من الأمر و النهي إلى ما به الاشتراك، و هو مستلزم للمحال، لامتناع تعلّق الحب و الكراهة بشي‌ء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ما يكون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وجودا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جهتين لا تشتركان في جزء واحد منه، بل تكشف كل جهة عن حد من حدود ذلك الوجود، فحينئذ لا مانع من جواز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الممكن صلاحية الوجود الواحد للانقسام إلى جهتين منعزلتين إحداهما عن الأخرى، و يصح أن تقع كل جهة منشأ لترتب أثر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الفرد الشخصي يمكن أن ينحل إلى طبيعة و خصوصية، فربما كانت الطبيعة مشتملة على مصلحة فتكون محبوبة و الخصوصية تكون مشتملة على مفسدة فتكون مبغوضة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مانع من اجتماع المحبوبية و المبغوضية في شي‌ء واحد بهذا اللحاظ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 لم يصل الحكم إلى مرتبة الفعلية، أما إذا بلغها فتحصل المضادة و يكون التأثير لما 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كانت مفسدة الخصوصية أهم لم يصح ذات العمل إلّا بنحو الترتب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الأمر مصروف إلى غير المجمع، فلو عصى المكلف و ترك بقية الأفراد، فيمكن تعلق الأمر به على نحو الأمر الترتبي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حالة صلّى على الميت أو لم يصلّ عليه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قد سقطت من الشارح خامسة المسائل التي ذكرها العلّامة المصنف، فأدرجناها مع الإشارة الإجمالية إلى مستندها، استيفاء لفروع موضوع البحث</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يحيط بالبدن، ينسج للّبس، خال عن التفصيل و الخياطة، و هو من لباس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طيلس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نضدها، و هو ضم بعضها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يستفاد ذلك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دفن ميته و سوى عليه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حدّد قبرا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تسنيم القبر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الميت المحرم كالميت المحل في جميع الأحكام ما عدا التحنيط</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مس الميت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فيها انّ الغسل إذا وقع بعد الفجر كان مجزيا، و ليست فيها دلالة على امتداد وقته إلى الزوال، نعم قد ذكر في رواية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ليكن فراغك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في الوسائل في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رواية في التحديد غير الرواية المتقدمة عن العبدي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يستدعي وجوب النفض لا استحبابه، مضافا إلى مخالفته لما يظهر من بعضهم من لزوم بقاء أثر التراب على اليد، و هو المعبّر عندهم باشتراط العلوق، هذا، و لو كان نظره إلى إزالة محتمل المانعية ففيه انّ مثل هذا المقدار من التراب ليس من الحاجب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النسخة المطبوعة من 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الزند إلى أطراف الأصابع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ساقط في النسخة المخطوطة المقروءة على المصنف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المخطوطة المقروءة على المصنف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ساقط عن النسخة المخطوطة المقروءة على المصنف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مختصة بمن فاتته الركعات فعلا سوى ركعة واحدة، أما هنا فالأمر دائر بين فوت الوقت بالنسبة إلى تلك الركعات أو التيمم، فما دام لم يفت الوقت لا يجوز تفويته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التيمم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في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روايات تدل على ذلك</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و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في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أيضا روايات تدل على ذلك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بعضها في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بعضها في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و يوجد أيضا في كثير من أبواب النجاسات و الماء المطلق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و الرابع من النجاسات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قد ذكر في الوسائل أخبارا كثيرة في أبواب متفرقة تدل على طهارتهم فراجع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ماء المضاف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فارس بن حاتم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مساورته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الروايات تقييد بالمائع بلفظه، و لعل مقصوده رحمه اللّٰه دلالتها عليه من حيث اشتمال أكثرها على لفظ الشرب المختص بالمائع</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ليس في روايات الباب إلحاق الجامد بالمائع صريحا، نعم بعض تلك الأدلة شامل للجامد أيضا، 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الخمر كل مسكر من الشراب و ان كل مسكر خمر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الايمان و الكفر من الفصل الثاني من كتاب الايمان و الكفر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انه مستفاد من حديث سلمان، و قد أوردها في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دم الاستحاضة و النفاس</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مشرب تعميم دليل البراءة لجميع الآثار حتى الوضعية، مثل الجزئية و الشرطية و نحو ذلك</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مستفادة من نصوص واردة بشأن المستحاضة، من انها لا تدع الصلاة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في الوسائل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تسمعوا أذان ابن أم مكتوم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حاشية الشيخ الأعظم الأنصاري على نجاة العباد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51064</Words>
  <Characters>210612</Characters>
  <CharactersWithSpaces>259970</CharactersWithSpaces>
  <Paragraphs>1707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2026-08-26T01:39:24Z</dcterms:created>
  <dc:creator>ghaemiyeh.com</dc:creator>
  <dc:description/>
  <dc:language>en-US</dc:language>
  <cp:lastModifiedBy/>
  <dcterms:modified xsi:type="dcterms:W3CDTF">2026-08-26T05:10:22Z</dcterms:modified>
  <cp:revision>1</cp:revision>
  <dc:subject/>
  <dc:title>شرح تبصره المتعلمین جلد 1</dc:title>
</cp:coreProperties>
</file>

<file path=docProps/custom.xml><?xml version="1.0" encoding="utf-8"?>
<Properties xmlns="http://schemas.openxmlformats.org/officeDocument/2006/custom-properties" xmlns:vt="http://schemas.openxmlformats.org/officeDocument/2006/docPropsVTypes"/>
</file>