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تراث الشیعه الفقهی و الاصولی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5395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55397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55399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055401_2314609296">
            <w:r>
              <w:rPr>
                <w:webHidden/>
                <w:rStyle w:val="IndexLink"/>
                <w:rtl w:val="true"/>
              </w:rPr>
              <w:t>الفهرس الإجمالی</w:t>
            </w:r>
            <w:r>
              <w:rPr>
                <w:rStyle w:val="IndexLink"/>
                <w:rtl w:val="true"/>
              </w:rPr>
              <w:tab/>
            </w:r>
            <w:r>
              <w:rPr>
                <w:rStyle w:val="IndexLink"/>
              </w:rPr>
              <w:t>10</w:t>
            </w:r>
          </w:hyperlink>
        </w:p>
        <w:p>
          <w:pPr>
            <w:pStyle w:val="Contents2"/>
            <w:tabs>
              <w:tab w:val="clear" w:pos="8743"/>
              <w:tab w:val="right" w:pos="9026" w:leader="dot"/>
            </w:tabs>
            <w:rPr/>
          </w:pPr>
          <w:hyperlink w:anchor="__RefHeading___Toc3055403_2314609296">
            <w:r>
              <w:rPr>
                <w:webHidden/>
                <w:rStyle w:val="IndexLink"/>
                <w:rtl w:val="true"/>
              </w:rPr>
              <w:t>تمهید</w:t>
            </w:r>
            <w:r>
              <w:rPr>
                <w:rStyle w:val="IndexLink"/>
                <w:rtl w:val="true"/>
              </w:rPr>
              <w:tab/>
            </w:r>
            <w:r>
              <w:rPr>
                <w:rStyle w:val="IndexLink"/>
              </w:rPr>
              <w:t>11</w:t>
            </w:r>
          </w:hyperlink>
        </w:p>
        <w:p>
          <w:pPr>
            <w:pStyle w:val="Contents2"/>
            <w:tabs>
              <w:tab w:val="clear" w:pos="8743"/>
              <w:tab w:val="right" w:pos="9026" w:leader="dot"/>
            </w:tabs>
            <w:rPr/>
          </w:pPr>
          <w:hyperlink w:anchor="__RefHeading___Toc3055405_2314609296">
            <w:r>
              <w:rPr>
                <w:webHidden/>
                <w:rStyle w:val="IndexLink"/>
              </w:rPr>
              <w:t>1</w:t>
            </w:r>
            <w:r>
              <w:rPr>
                <w:rStyle w:val="IndexLink"/>
                <w:rtl w:val="true"/>
              </w:rPr>
              <w:t xml:space="preserve"> </w:t>
            </w:r>
            <w:r>
              <w:rPr>
                <w:rStyle w:val="IndexLink"/>
                <w:rtl w:val="true"/>
              </w:rPr>
              <w:t>موازین الأحکام</w:t>
            </w:r>
            <w:r>
              <w:rPr>
                <w:rStyle w:val="IndexLink"/>
                <w:rtl w:val="true"/>
              </w:rPr>
              <w:tab/>
            </w:r>
            <w:r>
              <w:rPr>
                <w:rStyle w:val="IndexLink"/>
              </w:rPr>
              <w:t>15</w:t>
            </w:r>
          </w:hyperlink>
        </w:p>
        <w:p>
          <w:pPr>
            <w:pStyle w:val="Contents3"/>
            <w:tabs>
              <w:tab w:val="clear" w:pos="8459"/>
              <w:tab w:val="right" w:pos="9026" w:leader="dot"/>
            </w:tabs>
            <w:rPr/>
          </w:pPr>
          <w:hyperlink w:anchor="__RefHeading___Toc3055407_2314609296">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055409_2314609296">
            <w:r>
              <w:rPr>
                <w:webHidden/>
                <w:rStyle w:val="IndexLink"/>
                <w:rtl w:val="true"/>
              </w:rPr>
              <w:t>مقدّمة التحقیق</w:t>
            </w:r>
            <w:r>
              <w:rPr>
                <w:rStyle w:val="IndexLink"/>
                <w:rtl w:val="true"/>
              </w:rPr>
              <w:tab/>
            </w:r>
            <w:r>
              <w:rPr>
                <w:rStyle w:val="IndexLink"/>
              </w:rPr>
              <w:t>16</w:t>
            </w:r>
          </w:hyperlink>
        </w:p>
        <w:p>
          <w:pPr>
            <w:pStyle w:val="Contents4"/>
            <w:tabs>
              <w:tab w:val="clear" w:pos="8176"/>
              <w:tab w:val="right" w:pos="9026" w:leader="dot"/>
            </w:tabs>
            <w:rPr/>
          </w:pPr>
          <w:hyperlink w:anchor="__RefHeading___Toc3055411_2314609296">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3055413_2314609296">
            <w:r>
              <w:rPr>
                <w:webHidden/>
                <w:rStyle w:val="IndexLink"/>
                <w:rtl w:val="true"/>
              </w:rPr>
              <w:t>و یمکن تقسیم مؤلفاته إلی اثنی عشر علما</w:t>
            </w:r>
            <w:r>
              <w:rPr>
                <w:rStyle w:val="IndexLink"/>
                <w:rtl w:val="true"/>
              </w:rPr>
              <w:t>:</w:t>
              <w:tab/>
            </w:r>
            <w:r>
              <w:rPr>
                <w:rStyle w:val="IndexLink"/>
              </w:rPr>
              <w:t>16</w:t>
            </w:r>
          </w:hyperlink>
        </w:p>
        <w:p>
          <w:pPr>
            <w:pStyle w:val="Contents4"/>
            <w:tabs>
              <w:tab w:val="clear" w:pos="8176"/>
              <w:tab w:val="right" w:pos="9026" w:leader="dot"/>
            </w:tabs>
            <w:rPr/>
          </w:pPr>
          <w:hyperlink w:anchor="__RefHeading___Toc3055415_2314609296">
            <w:r>
              <w:rPr>
                <w:webHidden/>
                <w:rStyle w:val="IndexLink"/>
                <w:rtl w:val="true"/>
              </w:rPr>
              <w:t>فهرسة مؤلفاته الفقهیة و الاصولیة</w:t>
            </w:r>
            <w:r>
              <w:rPr>
                <w:rStyle w:val="IndexLink"/>
                <w:rtl w:val="true"/>
              </w:rPr>
              <w:t>:</w:t>
              <w:tab/>
            </w:r>
            <w:r>
              <w:rPr>
                <w:rStyle w:val="IndexLink"/>
              </w:rPr>
              <w:t>17</w:t>
            </w:r>
          </w:hyperlink>
        </w:p>
        <w:p>
          <w:pPr>
            <w:pStyle w:val="Contents5"/>
            <w:tabs>
              <w:tab w:val="clear" w:pos="7892"/>
              <w:tab w:val="right" w:pos="9026" w:leader="dot"/>
            </w:tabs>
            <w:rPr/>
          </w:pPr>
          <w:hyperlink w:anchor="__RefHeading___Toc3055417_2314609296">
            <w:r>
              <w:rPr>
                <w:webHidden/>
                <w:rStyle w:val="IndexLink"/>
                <w:rtl w:val="true"/>
              </w:rPr>
              <w:t>المؤلّفات الفقهیة</w:t>
            </w:r>
            <w:r>
              <w:rPr>
                <w:rStyle w:val="IndexLink"/>
                <w:rtl w:val="true"/>
              </w:rPr>
              <w:t>:</w:t>
              <w:tab/>
            </w:r>
            <w:r>
              <w:rPr>
                <w:rStyle w:val="IndexLink"/>
              </w:rPr>
              <w:t>17</w:t>
            </w:r>
          </w:hyperlink>
        </w:p>
        <w:p>
          <w:pPr>
            <w:pStyle w:val="Contents5"/>
            <w:tabs>
              <w:tab w:val="clear" w:pos="7892"/>
              <w:tab w:val="right" w:pos="9026" w:leader="dot"/>
            </w:tabs>
            <w:rPr/>
          </w:pPr>
          <w:hyperlink w:anchor="__RefHeading___Toc3055419_2314609296">
            <w:r>
              <w:rPr>
                <w:webHidden/>
                <w:rStyle w:val="IndexLink"/>
                <w:rtl w:val="true"/>
              </w:rPr>
              <w:t>المؤلّفات الاصولیّة</w:t>
            </w:r>
            <w:r>
              <w:rPr>
                <w:rStyle w:val="IndexLink"/>
                <w:rtl w:val="true"/>
              </w:rPr>
              <w:t>:</w:t>
              <w:tab/>
            </w:r>
            <w:r>
              <w:rPr>
                <w:rStyle w:val="IndexLink"/>
              </w:rPr>
              <w:t>18</w:t>
            </w:r>
          </w:hyperlink>
        </w:p>
        <w:p>
          <w:pPr>
            <w:pStyle w:val="Contents4"/>
            <w:tabs>
              <w:tab w:val="clear" w:pos="8176"/>
              <w:tab w:val="right" w:pos="9026" w:leader="dot"/>
            </w:tabs>
            <w:rPr/>
          </w:pPr>
          <w:hyperlink w:anchor="__RefHeading___Toc3055421_2314609296">
            <w:r>
              <w:rPr>
                <w:webHidden/>
                <w:rStyle w:val="IndexLink"/>
                <w:rtl w:val="true"/>
              </w:rPr>
              <w:t>رسالة موازین الأحکام</w:t>
            </w:r>
            <w:r>
              <w:rPr>
                <w:rStyle w:val="IndexLink"/>
                <w:rtl w:val="true"/>
              </w:rPr>
              <w:tab/>
            </w:r>
            <w:r>
              <w:rPr>
                <w:rStyle w:val="IndexLink"/>
              </w:rPr>
              <w:t>21</w:t>
            </w:r>
          </w:hyperlink>
        </w:p>
        <w:p>
          <w:pPr>
            <w:pStyle w:val="Contents4"/>
            <w:tabs>
              <w:tab w:val="clear" w:pos="8176"/>
              <w:tab w:val="right" w:pos="9026" w:leader="dot"/>
            </w:tabs>
            <w:rPr/>
          </w:pPr>
          <w:hyperlink w:anchor="__RefHeading___Toc3055423_2314609296">
            <w:r>
              <w:rPr>
                <w:webHidden/>
                <w:rStyle w:val="IndexLink"/>
                <w:rtl w:val="true"/>
              </w:rPr>
              <w:t>النسخ المعتمدة</w:t>
            </w:r>
            <w:r>
              <w:rPr>
                <w:rStyle w:val="IndexLink"/>
                <w:rtl w:val="true"/>
              </w:rPr>
              <w:t>:</w:t>
              <w:tab/>
            </w:r>
            <w:r>
              <w:rPr>
                <w:rStyle w:val="IndexLink"/>
              </w:rPr>
              <w:t>24</w:t>
            </w:r>
          </w:hyperlink>
        </w:p>
        <w:p>
          <w:pPr>
            <w:pStyle w:val="Contents3"/>
            <w:tabs>
              <w:tab w:val="clear" w:pos="8459"/>
              <w:tab w:val="right" w:pos="9026" w:leader="dot"/>
            </w:tabs>
            <w:rPr/>
          </w:pPr>
          <w:hyperlink w:anchor="__RefHeading___Toc3055425_2314609296">
            <w:r>
              <w:rPr>
                <w:webHidden/>
                <w:rStyle w:val="IndexLink"/>
                <w:rtl w:val="true"/>
              </w:rPr>
              <w:t>[</w:t>
            </w:r>
            <w:r>
              <w:rPr>
                <w:rStyle w:val="IndexLink"/>
                <w:rtl w:val="true"/>
              </w:rPr>
              <w:t>التحقیق فی الکتاب موازین الاحکام</w:t>
            </w:r>
            <w:r>
              <w:rPr>
                <w:rStyle w:val="IndexLink"/>
                <w:rtl w:val="true"/>
              </w:rPr>
              <w:t>]</w:t>
              <w:tab/>
            </w:r>
            <w:r>
              <w:rPr>
                <w:rStyle w:val="IndexLink"/>
              </w:rPr>
              <w:t>29</w:t>
            </w:r>
          </w:hyperlink>
        </w:p>
        <w:p>
          <w:pPr>
            <w:pStyle w:val="Contents4"/>
            <w:tabs>
              <w:tab w:val="clear" w:pos="8176"/>
              <w:tab w:val="right" w:pos="9026" w:leader="dot"/>
            </w:tabs>
            <w:rPr/>
          </w:pPr>
          <w:hyperlink w:anchor="__RefHeading___Toc3055427_2314609296">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055429_2314609296">
            <w:r>
              <w:rPr>
                <w:webHidden/>
                <w:rStyle w:val="IndexLink"/>
                <w:rtl w:val="true"/>
              </w:rPr>
              <w:t>المقصد الأوّل</w:t>
            </w:r>
            <w:r>
              <w:rPr>
                <w:rStyle w:val="IndexLink"/>
                <w:rtl w:val="true"/>
              </w:rPr>
              <w:t xml:space="preserve">: </w:t>
            </w:r>
            <w:r>
              <w:rPr>
                <w:rStyle w:val="IndexLink"/>
                <w:rtl w:val="true"/>
              </w:rPr>
              <w:t>أنّه لا بدّ للمستدلّ فی کلّ عنوان من عنوانات المسائل من ملاحظة امور خمسة</w:t>
            </w:r>
            <w:r>
              <w:rPr>
                <w:rStyle w:val="IndexLink"/>
                <w:rtl w:val="true"/>
              </w:rPr>
              <w:t>:</w:t>
              <w:tab/>
            </w:r>
            <w:r>
              <w:rPr>
                <w:rStyle w:val="IndexLink"/>
              </w:rPr>
              <w:t>29</w:t>
            </w:r>
          </w:hyperlink>
        </w:p>
        <w:p>
          <w:pPr>
            <w:pStyle w:val="Contents4"/>
            <w:tabs>
              <w:tab w:val="clear" w:pos="8176"/>
              <w:tab w:val="right" w:pos="9026" w:leader="dot"/>
            </w:tabs>
            <w:rPr/>
          </w:pPr>
          <w:hyperlink w:anchor="__RefHeading___Toc3055431_2314609296">
            <w:r>
              <w:rPr>
                <w:webHidden/>
                <w:rStyle w:val="IndexLink"/>
                <w:rtl w:val="true"/>
              </w:rPr>
              <w:t>المقصد الثانی</w:t>
            </w:r>
            <w:r>
              <w:rPr>
                <w:rStyle w:val="IndexLink"/>
                <w:rtl w:val="true"/>
              </w:rPr>
              <w:t xml:space="preserve">: </w:t>
            </w:r>
            <w:r>
              <w:rPr>
                <w:rStyle w:val="IndexLink"/>
                <w:rtl w:val="true"/>
              </w:rPr>
              <w:t>أنّه لا بدّ فی ترتّب ثمرة الاستدلال و إحقاق الحقّ و إبطال الباطل من امور خمسة</w:t>
            </w:r>
            <w:r>
              <w:rPr>
                <w:rStyle w:val="IndexLink"/>
                <w:rtl w:val="true"/>
              </w:rPr>
              <w:t>:</w:t>
              <w:tab/>
            </w:r>
            <w:r>
              <w:rPr>
                <w:rStyle w:val="IndexLink"/>
              </w:rPr>
              <w:t>29</w:t>
            </w:r>
          </w:hyperlink>
        </w:p>
        <w:p>
          <w:pPr>
            <w:pStyle w:val="Contents4"/>
            <w:tabs>
              <w:tab w:val="clear" w:pos="8176"/>
              <w:tab w:val="right" w:pos="9026" w:leader="dot"/>
            </w:tabs>
            <w:rPr/>
          </w:pPr>
          <w:hyperlink w:anchor="__RefHeading___Toc3055433_2314609296">
            <w:r>
              <w:rPr>
                <w:webHidden/>
                <w:rStyle w:val="IndexLink"/>
                <w:rtl w:val="true"/>
              </w:rPr>
              <w:t>المقصد الثالث</w:t>
            </w:r>
            <w:r>
              <w:rPr>
                <w:rStyle w:val="IndexLink"/>
                <w:rtl w:val="true"/>
              </w:rPr>
              <w:t xml:space="preserve">: </w:t>
            </w:r>
            <w:r>
              <w:rPr>
                <w:rStyle w:val="IndexLink"/>
                <w:rtl w:val="true"/>
              </w:rPr>
              <w:t>أنّ المسائل علی أقسام خمسة</w:t>
            </w:r>
            <w:r>
              <w:rPr>
                <w:rStyle w:val="IndexLink"/>
                <w:rtl w:val="true"/>
              </w:rPr>
              <w:t>:</w:t>
              <w:tab/>
            </w:r>
            <w:r>
              <w:rPr>
                <w:rStyle w:val="IndexLink"/>
              </w:rPr>
              <w:t>30</w:t>
            </w:r>
          </w:hyperlink>
        </w:p>
        <w:p>
          <w:pPr>
            <w:pStyle w:val="Contents4"/>
            <w:tabs>
              <w:tab w:val="clear" w:pos="8176"/>
              <w:tab w:val="right" w:pos="9026" w:leader="dot"/>
            </w:tabs>
            <w:rPr/>
          </w:pPr>
          <w:hyperlink w:anchor="__RefHeading___Toc3055435_2314609296">
            <w:r>
              <w:rPr>
                <w:webHidden/>
                <w:rStyle w:val="IndexLink"/>
                <w:rtl w:val="true"/>
              </w:rPr>
              <w:t>المقصد الرابع</w:t>
            </w:r>
            <w:r>
              <w:rPr>
                <w:rStyle w:val="IndexLink"/>
                <w:rtl w:val="true"/>
              </w:rPr>
              <w:t xml:space="preserve">: </w:t>
            </w:r>
            <w:r>
              <w:rPr>
                <w:rStyle w:val="IndexLink"/>
                <w:rtl w:val="true"/>
              </w:rPr>
              <w:t>أنّ الدلائل علی أقسام خمسة</w:t>
            </w:r>
            <w:r>
              <w:rPr>
                <w:rStyle w:val="IndexLink"/>
                <w:rtl w:val="true"/>
              </w:rPr>
              <w:t>:</w:t>
              <w:tab/>
            </w:r>
            <w:r>
              <w:rPr>
                <w:rStyle w:val="IndexLink"/>
              </w:rPr>
              <w:t>30</w:t>
            </w:r>
          </w:hyperlink>
        </w:p>
        <w:p>
          <w:pPr>
            <w:pStyle w:val="Contents4"/>
            <w:tabs>
              <w:tab w:val="clear" w:pos="8176"/>
              <w:tab w:val="right" w:pos="9026" w:leader="dot"/>
            </w:tabs>
            <w:rPr/>
          </w:pPr>
          <w:hyperlink w:anchor="__RefHeading___Toc3055437_2314609296">
            <w:r>
              <w:rPr>
                <w:webHidden/>
                <w:rStyle w:val="IndexLink"/>
                <w:rtl w:val="true"/>
              </w:rPr>
              <w:t>المقصد الخامس</w:t>
            </w:r>
            <w:r>
              <w:rPr>
                <w:rStyle w:val="IndexLink"/>
                <w:rtl w:val="true"/>
              </w:rPr>
              <w:t xml:space="preserve">: </w:t>
            </w:r>
            <w:r>
              <w:rPr>
                <w:rStyle w:val="IndexLink"/>
                <w:rtl w:val="true"/>
              </w:rPr>
              <w:t>فی کیفیّة الاستدلال علی وجه الإجمال</w:t>
            </w:r>
            <w:r>
              <w:rPr>
                <w:rStyle w:val="IndexLink"/>
                <w:rtl w:val="true"/>
              </w:rPr>
              <w:t>.</w:t>
              <w:tab/>
            </w:r>
            <w:r>
              <w:rPr>
                <w:rStyle w:val="IndexLink"/>
              </w:rPr>
              <w:t>31</w:t>
            </w:r>
          </w:hyperlink>
        </w:p>
        <w:p>
          <w:pPr>
            <w:pStyle w:val="Contents4"/>
            <w:tabs>
              <w:tab w:val="clear" w:pos="8176"/>
              <w:tab w:val="right" w:pos="9026" w:leader="dot"/>
            </w:tabs>
            <w:rPr/>
          </w:pPr>
          <w:hyperlink w:anchor="__RefHeading___Toc3055439_2314609296">
            <w:r>
              <w:rPr>
                <w:webHidden/>
                <w:rStyle w:val="IndexLink"/>
                <w:rtl w:val="true"/>
              </w:rPr>
              <w:t>و أمّا المرجّحات الاجتهادیّة فهی خمسة فی خمسة</w:t>
            </w:r>
            <w:r>
              <w:rPr>
                <w:rStyle w:val="IndexLink"/>
                <w:rtl w:val="true"/>
              </w:rPr>
              <w:t>:</w:t>
              <w:tab/>
            </w:r>
            <w:r>
              <w:rPr>
                <w:rStyle w:val="IndexLink"/>
              </w:rPr>
              <w:t>39</w:t>
            </w:r>
          </w:hyperlink>
        </w:p>
        <w:p>
          <w:pPr>
            <w:pStyle w:val="Contents2"/>
            <w:tabs>
              <w:tab w:val="clear" w:pos="8743"/>
              <w:tab w:val="right" w:pos="9026" w:leader="dot"/>
            </w:tabs>
            <w:rPr/>
          </w:pPr>
          <w:hyperlink w:anchor="__RefHeading___Toc3055441_2314609296">
            <w:r>
              <w:rPr>
                <w:webHidden/>
                <w:rStyle w:val="IndexLink"/>
              </w:rPr>
              <w:t>2</w:t>
            </w:r>
            <w:r>
              <w:rPr>
                <w:rStyle w:val="IndexLink"/>
                <w:rtl w:val="true"/>
              </w:rPr>
              <w:t xml:space="preserve"> </w:t>
            </w:r>
            <w:r>
              <w:rPr>
                <w:rStyle w:val="IndexLink"/>
                <w:rtl w:val="true"/>
              </w:rPr>
              <w:t>نخبة العقول فی علم الاصول</w:t>
            </w:r>
            <w:r>
              <w:rPr>
                <w:rStyle w:val="IndexLink"/>
                <w:rtl w:val="true"/>
              </w:rPr>
              <w:tab/>
            </w:r>
            <w:r>
              <w:rPr>
                <w:rStyle w:val="IndexLink"/>
              </w:rPr>
              <w:t>47</w:t>
            </w:r>
          </w:hyperlink>
        </w:p>
        <w:p>
          <w:pPr>
            <w:pStyle w:val="Contents3"/>
            <w:tabs>
              <w:tab w:val="clear" w:pos="8459"/>
              <w:tab w:val="right" w:pos="9026" w:leader="dot"/>
            </w:tabs>
            <w:rPr/>
          </w:pPr>
          <w:hyperlink w:anchor="__RefHeading___Toc3055443_2314609296">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3055445_2314609296">
            <w:r>
              <w:rPr>
                <w:webHidden/>
                <w:rStyle w:val="IndexLink"/>
                <w:rtl w:val="true"/>
              </w:rPr>
              <w:t>مقدّمة التحقیق</w:t>
            </w:r>
            <w:r>
              <w:rPr>
                <w:rStyle w:val="IndexLink"/>
                <w:rtl w:val="true"/>
              </w:rPr>
              <w:tab/>
            </w:r>
            <w:r>
              <w:rPr>
                <w:rStyle w:val="IndexLink"/>
              </w:rPr>
              <w:t>48</w:t>
            </w:r>
          </w:hyperlink>
        </w:p>
        <w:p>
          <w:pPr>
            <w:pStyle w:val="Contents4"/>
            <w:tabs>
              <w:tab w:val="clear" w:pos="8176"/>
              <w:tab w:val="right" w:pos="9026" w:leader="dot"/>
            </w:tabs>
            <w:rPr/>
          </w:pPr>
          <w:hyperlink w:anchor="__RefHeading___Toc3055447_2314609296">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055449_2314609296">
            <w:r>
              <w:rPr>
                <w:webHidden/>
                <w:rStyle w:val="IndexLink"/>
                <w:rtl w:val="true"/>
              </w:rPr>
              <w:t>آثاره و تألیفاته</w:t>
            </w:r>
            <w:r>
              <w:rPr>
                <w:rStyle w:val="IndexLink"/>
                <w:rtl w:val="true"/>
              </w:rPr>
              <w:t>:</w:t>
              <w:tab/>
            </w:r>
            <w:r>
              <w:rPr>
                <w:rStyle w:val="IndexLink"/>
              </w:rPr>
              <w:t>51</w:t>
            </w:r>
          </w:hyperlink>
        </w:p>
        <w:p>
          <w:pPr>
            <w:pStyle w:val="Contents5"/>
            <w:tabs>
              <w:tab w:val="clear" w:pos="7892"/>
              <w:tab w:val="right" w:pos="9026" w:leader="dot"/>
            </w:tabs>
            <w:rPr/>
          </w:pPr>
          <w:hyperlink w:anchor="__RefHeading___Toc3055451_2314609296">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3055453_2314609296">
            <w:r>
              <w:rPr>
                <w:webHidden/>
                <w:rStyle w:val="IndexLink"/>
              </w:rPr>
              <w:t>1</w:t>
            </w:r>
            <w:r>
              <w:rPr>
                <w:rStyle w:val="IndexLink"/>
                <w:rtl w:val="true"/>
              </w:rPr>
              <w:t xml:space="preserve">- </w:t>
            </w:r>
            <w:r>
              <w:rPr>
                <w:rStyle w:val="IndexLink"/>
                <w:rtl w:val="true"/>
              </w:rPr>
              <w:t>الشریفیة</w:t>
            </w:r>
            <w:r>
              <w:rPr>
                <w:rStyle w:val="IndexLink"/>
                <w:rtl w:val="true"/>
              </w:rPr>
              <w:t>:</w:t>
              <w:tab/>
            </w:r>
            <w:r>
              <w:rPr>
                <w:rStyle w:val="IndexLink"/>
              </w:rPr>
              <w:t>51</w:t>
            </w:r>
          </w:hyperlink>
        </w:p>
        <w:p>
          <w:pPr>
            <w:pStyle w:val="Contents5"/>
            <w:tabs>
              <w:tab w:val="clear" w:pos="7892"/>
              <w:tab w:val="right" w:pos="9026" w:leader="dot"/>
            </w:tabs>
            <w:rPr/>
          </w:pPr>
          <w:hyperlink w:anchor="__RefHeading___Toc3055455_2314609296">
            <w:r>
              <w:rPr>
                <w:webHidden/>
                <w:rStyle w:val="IndexLink"/>
              </w:rPr>
              <w:t>2</w:t>
            </w:r>
            <w:r>
              <w:rPr>
                <w:rStyle w:val="IndexLink"/>
                <w:rtl w:val="true"/>
              </w:rPr>
              <w:t xml:space="preserve">- </w:t>
            </w:r>
            <w:r>
              <w:rPr>
                <w:rStyle w:val="IndexLink"/>
                <w:rtl w:val="true"/>
              </w:rPr>
              <w:t>نخبة العقول فی علم الأصول</w:t>
            </w:r>
            <w:r>
              <w:rPr>
                <w:rStyle w:val="IndexLink"/>
                <w:rtl w:val="true"/>
              </w:rPr>
              <w:t>:</w:t>
              <w:tab/>
            </w:r>
            <w:r>
              <w:rPr>
                <w:rStyle w:val="IndexLink"/>
              </w:rPr>
              <w:t>51</w:t>
            </w:r>
          </w:hyperlink>
        </w:p>
        <w:p>
          <w:pPr>
            <w:pStyle w:val="Contents5"/>
            <w:tabs>
              <w:tab w:val="clear" w:pos="7892"/>
              <w:tab w:val="right" w:pos="9026" w:leader="dot"/>
            </w:tabs>
            <w:rPr/>
          </w:pPr>
          <w:hyperlink w:anchor="__RefHeading___Toc3055457_2314609296">
            <w:r>
              <w:rPr>
                <w:webHidden/>
                <w:rStyle w:val="IndexLink"/>
              </w:rPr>
              <w:t>3</w:t>
            </w:r>
            <w:r>
              <w:rPr>
                <w:rStyle w:val="IndexLink"/>
                <w:rtl w:val="true"/>
              </w:rPr>
              <w:t xml:space="preserve">- </w:t>
            </w:r>
            <w:r>
              <w:rPr>
                <w:rStyle w:val="IndexLink"/>
                <w:rtl w:val="true"/>
              </w:rPr>
              <w:t>منظومة فی علم الصرف</w:t>
            </w:r>
            <w:r>
              <w:rPr>
                <w:rStyle w:val="IndexLink"/>
                <w:rtl w:val="true"/>
              </w:rPr>
              <w:t>:</w:t>
              <w:tab/>
            </w:r>
            <w:r>
              <w:rPr>
                <w:rStyle w:val="IndexLink"/>
              </w:rPr>
              <w:t>51</w:t>
            </w:r>
          </w:hyperlink>
        </w:p>
        <w:p>
          <w:pPr>
            <w:pStyle w:val="Contents5"/>
            <w:tabs>
              <w:tab w:val="clear" w:pos="7892"/>
              <w:tab w:val="right" w:pos="9026" w:leader="dot"/>
            </w:tabs>
            <w:rPr/>
          </w:pPr>
          <w:hyperlink w:anchor="__RefHeading___Toc3055459_2314609296">
            <w:r>
              <w:rPr>
                <w:webHidden/>
                <w:rStyle w:val="IndexLink"/>
              </w:rPr>
              <w:t>4</w:t>
            </w:r>
            <w:r>
              <w:rPr>
                <w:rStyle w:val="IndexLink"/>
                <w:rtl w:val="true"/>
              </w:rPr>
              <w:t xml:space="preserve">- </w:t>
            </w:r>
            <w:r>
              <w:rPr>
                <w:rStyle w:val="IndexLink"/>
                <w:rtl w:val="true"/>
              </w:rPr>
              <w:t>البلد الأمین فی اصول الدین</w:t>
            </w:r>
            <w:r>
              <w:rPr>
                <w:rStyle w:val="IndexLink"/>
                <w:rtl w:val="true"/>
              </w:rPr>
              <w:t>:</w:t>
              <w:tab/>
            </w:r>
            <w:r>
              <w:rPr>
                <w:rStyle w:val="IndexLink"/>
              </w:rPr>
              <w:t>51</w:t>
            </w:r>
          </w:hyperlink>
        </w:p>
        <w:p>
          <w:pPr>
            <w:pStyle w:val="Contents5"/>
            <w:tabs>
              <w:tab w:val="clear" w:pos="7892"/>
              <w:tab w:val="right" w:pos="9026" w:leader="dot"/>
            </w:tabs>
            <w:rPr/>
          </w:pPr>
          <w:hyperlink w:anchor="__RefHeading___Toc3055461_2314609296">
            <w:r>
              <w:rPr>
                <w:webHidden/>
                <w:rStyle w:val="IndexLink"/>
              </w:rPr>
              <w:t>5</w:t>
            </w:r>
            <w:r>
              <w:rPr>
                <w:rStyle w:val="IndexLink"/>
                <w:rtl w:val="true"/>
              </w:rPr>
              <w:t xml:space="preserve">- </w:t>
            </w:r>
            <w:r>
              <w:rPr>
                <w:rStyle w:val="IndexLink"/>
                <w:rtl w:val="true"/>
              </w:rPr>
              <w:t>الشرق و البرق</w:t>
            </w:r>
            <w:r>
              <w:rPr>
                <w:rStyle w:val="IndexLink"/>
                <w:rtl w:val="true"/>
              </w:rPr>
              <w:t>:</w:t>
              <w:tab/>
            </w:r>
            <w:r>
              <w:rPr>
                <w:rStyle w:val="IndexLink"/>
              </w:rPr>
              <w:t>52</w:t>
            </w:r>
          </w:hyperlink>
        </w:p>
        <w:p>
          <w:pPr>
            <w:pStyle w:val="Contents5"/>
            <w:tabs>
              <w:tab w:val="clear" w:pos="7892"/>
              <w:tab w:val="right" w:pos="9026" w:leader="dot"/>
            </w:tabs>
            <w:rPr/>
          </w:pPr>
          <w:hyperlink w:anchor="__RefHeading___Toc3055463_2314609296">
            <w:r>
              <w:rPr>
                <w:webHidden/>
                <w:rStyle w:val="IndexLink"/>
              </w:rPr>
              <w:t>6</w:t>
            </w:r>
            <w:r>
              <w:rPr>
                <w:rStyle w:val="IndexLink"/>
                <w:rtl w:val="true"/>
              </w:rPr>
              <w:t xml:space="preserve">- </w:t>
            </w:r>
            <w:r>
              <w:rPr>
                <w:rStyle w:val="IndexLink"/>
                <w:rtl w:val="true"/>
              </w:rPr>
              <w:t>إجابة المضطرّین فی بیان الاصول و الفروع</w:t>
            </w:r>
            <w:r>
              <w:rPr>
                <w:rStyle w:val="IndexLink"/>
                <w:rtl w:val="true"/>
              </w:rPr>
              <w:t>:</w:t>
              <w:tab/>
            </w:r>
            <w:r>
              <w:rPr>
                <w:rStyle w:val="IndexLink"/>
              </w:rPr>
              <w:t>52</w:t>
            </w:r>
          </w:hyperlink>
        </w:p>
        <w:p>
          <w:pPr>
            <w:pStyle w:val="Contents5"/>
            <w:tabs>
              <w:tab w:val="clear" w:pos="7892"/>
              <w:tab w:val="right" w:pos="9026" w:leader="dot"/>
            </w:tabs>
            <w:rPr/>
          </w:pPr>
          <w:hyperlink w:anchor="__RefHeading___Toc3055465_2314609296">
            <w:r>
              <w:rPr>
                <w:webHidden/>
                <w:rStyle w:val="IndexLink"/>
              </w:rPr>
              <w:t>7</w:t>
            </w:r>
            <w:r>
              <w:rPr>
                <w:rStyle w:val="IndexLink"/>
                <w:rtl w:val="true"/>
              </w:rPr>
              <w:t xml:space="preserve">- </w:t>
            </w:r>
            <w:r>
              <w:rPr>
                <w:rStyle w:val="IndexLink"/>
                <w:rtl w:val="true"/>
              </w:rPr>
              <w:t>الرقّ المنشور فی معراج نبیّنا المنصور</w:t>
            </w:r>
            <w:r>
              <w:rPr>
                <w:rStyle w:val="IndexLink"/>
                <w:rtl w:val="true"/>
              </w:rPr>
              <w:t>:</w:t>
              <w:tab/>
            </w:r>
            <w:r>
              <w:rPr>
                <w:rStyle w:val="IndexLink"/>
              </w:rPr>
              <w:t>53</w:t>
            </w:r>
          </w:hyperlink>
        </w:p>
        <w:p>
          <w:pPr>
            <w:pStyle w:val="Contents5"/>
            <w:tabs>
              <w:tab w:val="clear" w:pos="7892"/>
              <w:tab w:val="right" w:pos="9026" w:leader="dot"/>
            </w:tabs>
            <w:rPr/>
          </w:pPr>
          <w:hyperlink w:anchor="__RefHeading___Toc3055467_2314609296">
            <w:r>
              <w:rPr>
                <w:webHidden/>
                <w:rStyle w:val="IndexLink"/>
              </w:rPr>
              <w:t>8</w:t>
            </w:r>
            <w:r>
              <w:rPr>
                <w:rStyle w:val="IndexLink"/>
                <w:rtl w:val="true"/>
              </w:rPr>
              <w:t xml:space="preserve">- </w:t>
            </w:r>
            <w:r>
              <w:rPr>
                <w:rStyle w:val="IndexLink"/>
                <w:rtl w:val="true"/>
              </w:rPr>
              <w:t>صید البحر</w:t>
            </w:r>
            <w:r>
              <w:rPr>
                <w:rStyle w:val="IndexLink"/>
                <w:rtl w:val="true"/>
              </w:rPr>
              <w:t>:</w:t>
              <w:tab/>
            </w:r>
            <w:r>
              <w:rPr>
                <w:rStyle w:val="IndexLink"/>
              </w:rPr>
              <w:t>53</w:t>
            </w:r>
          </w:hyperlink>
        </w:p>
        <w:p>
          <w:pPr>
            <w:pStyle w:val="Contents5"/>
            <w:tabs>
              <w:tab w:val="clear" w:pos="7892"/>
              <w:tab w:val="right" w:pos="9026" w:leader="dot"/>
            </w:tabs>
            <w:rPr/>
          </w:pPr>
          <w:hyperlink w:anchor="__RefHeading___Toc3055469_2314609296">
            <w:r>
              <w:rPr>
                <w:webHidden/>
                <w:rStyle w:val="IndexLink"/>
              </w:rPr>
              <w:t>9</w:t>
            </w:r>
            <w:r>
              <w:rPr>
                <w:rStyle w:val="IndexLink"/>
                <w:rtl w:val="true"/>
              </w:rPr>
              <w:t xml:space="preserve">- </w:t>
            </w:r>
            <w:r>
              <w:rPr>
                <w:rStyle w:val="IndexLink"/>
                <w:rtl w:val="true"/>
              </w:rPr>
              <w:t>تحفة الملوک</w:t>
            </w:r>
            <w:r>
              <w:rPr>
                <w:rStyle w:val="IndexLink"/>
                <w:rtl w:val="true"/>
              </w:rPr>
              <w:t>:</w:t>
              <w:tab/>
            </w:r>
            <w:r>
              <w:rPr>
                <w:rStyle w:val="IndexLink"/>
              </w:rPr>
              <w:t>53</w:t>
            </w:r>
          </w:hyperlink>
        </w:p>
        <w:p>
          <w:pPr>
            <w:pStyle w:val="Contents5"/>
            <w:tabs>
              <w:tab w:val="clear" w:pos="7892"/>
              <w:tab w:val="right" w:pos="9026" w:leader="dot"/>
            </w:tabs>
            <w:rPr/>
          </w:pPr>
          <w:hyperlink w:anchor="__RefHeading___Toc3055471_2314609296">
            <w:r>
              <w:rPr>
                <w:webHidden/>
                <w:rStyle w:val="IndexLink"/>
              </w:rPr>
              <w:t>10</w:t>
            </w:r>
            <w:r>
              <w:rPr>
                <w:rStyle w:val="IndexLink"/>
                <w:rtl w:val="true"/>
              </w:rPr>
              <w:t xml:space="preserve">- </w:t>
            </w:r>
            <w:r>
              <w:rPr>
                <w:rStyle w:val="IndexLink"/>
                <w:rtl w:val="true"/>
              </w:rPr>
              <w:t>میزان الملوک و الطوائف و صراط المستقیم فی سلوک الخلائف</w:t>
            </w:r>
            <w:r>
              <w:rPr>
                <w:rStyle w:val="IndexLink"/>
                <w:rtl w:val="true"/>
              </w:rPr>
              <w:t>:</w:t>
              <w:tab/>
            </w:r>
            <w:r>
              <w:rPr>
                <w:rStyle w:val="IndexLink"/>
              </w:rPr>
              <w:t>54</w:t>
            </w:r>
          </w:hyperlink>
        </w:p>
        <w:p>
          <w:pPr>
            <w:pStyle w:val="Contents5"/>
            <w:tabs>
              <w:tab w:val="clear" w:pos="7892"/>
              <w:tab w:val="right" w:pos="9026" w:leader="dot"/>
            </w:tabs>
            <w:rPr/>
          </w:pPr>
          <w:hyperlink w:anchor="__RefHeading___Toc3055473_2314609296">
            <w:r>
              <w:rPr>
                <w:webHidden/>
                <w:rStyle w:val="IndexLink"/>
              </w:rPr>
              <w:t>11</w:t>
            </w:r>
            <w:r>
              <w:rPr>
                <w:rStyle w:val="IndexLink"/>
                <w:rtl w:val="true"/>
              </w:rPr>
              <w:t xml:space="preserve">- </w:t>
            </w:r>
            <w:r>
              <w:rPr>
                <w:rStyle w:val="IndexLink"/>
                <w:rtl w:val="true"/>
              </w:rPr>
              <w:t>کفایة الأیتام</w:t>
            </w:r>
            <w:r>
              <w:rPr>
                <w:rStyle w:val="IndexLink"/>
                <w:rtl w:val="true"/>
              </w:rPr>
              <w:t>:</w:t>
              <w:tab/>
            </w:r>
            <w:r>
              <w:rPr>
                <w:rStyle w:val="IndexLink"/>
              </w:rPr>
              <w:t>55</w:t>
            </w:r>
          </w:hyperlink>
        </w:p>
        <w:p>
          <w:pPr>
            <w:pStyle w:val="Contents5"/>
            <w:tabs>
              <w:tab w:val="clear" w:pos="7892"/>
              <w:tab w:val="right" w:pos="9026" w:leader="dot"/>
            </w:tabs>
            <w:rPr/>
          </w:pPr>
          <w:hyperlink w:anchor="__RefHeading___Toc3055475_2314609296">
            <w:r>
              <w:rPr>
                <w:webHidden/>
                <w:rStyle w:val="IndexLink"/>
              </w:rPr>
              <w:t>12</w:t>
            </w:r>
            <w:r>
              <w:rPr>
                <w:rStyle w:val="IndexLink"/>
                <w:rtl w:val="true"/>
              </w:rPr>
              <w:t xml:space="preserve">- </w:t>
            </w:r>
            <w:r>
              <w:rPr>
                <w:rStyle w:val="IndexLink"/>
                <w:rtl w:val="true"/>
              </w:rPr>
              <w:t>سنابرق فی شرح البارق من الشرق</w:t>
            </w:r>
            <w:r>
              <w:rPr>
                <w:rStyle w:val="IndexLink"/>
                <w:rtl w:val="true"/>
              </w:rPr>
              <w:t>:</w:t>
              <w:tab/>
            </w:r>
            <w:r>
              <w:rPr>
                <w:rStyle w:val="IndexLink"/>
              </w:rPr>
              <w:t>55</w:t>
            </w:r>
          </w:hyperlink>
        </w:p>
        <w:p>
          <w:pPr>
            <w:pStyle w:val="Contents5"/>
            <w:tabs>
              <w:tab w:val="clear" w:pos="7892"/>
              <w:tab w:val="right" w:pos="9026" w:leader="dot"/>
            </w:tabs>
            <w:rPr/>
          </w:pPr>
          <w:hyperlink w:anchor="__RefHeading___Toc3055477_2314609296">
            <w:r>
              <w:rPr>
                <w:webHidden/>
                <w:rStyle w:val="IndexLink"/>
              </w:rPr>
              <w:t>13</w:t>
            </w:r>
            <w:r>
              <w:rPr>
                <w:rStyle w:val="IndexLink"/>
                <w:rtl w:val="true"/>
              </w:rPr>
              <w:t xml:space="preserve">- </w:t>
            </w:r>
            <w:r>
              <w:rPr>
                <w:rStyle w:val="IndexLink"/>
                <w:rtl w:val="true"/>
              </w:rPr>
              <w:t>عکوس ملکیة و شموس فلکیة</w:t>
            </w:r>
            <w:r>
              <w:rPr>
                <w:rStyle w:val="IndexLink"/>
                <w:rtl w:val="true"/>
              </w:rPr>
              <w:t>:</w:t>
              <w:tab/>
            </w:r>
            <w:r>
              <w:rPr>
                <w:rStyle w:val="IndexLink"/>
              </w:rPr>
              <w:t>55</w:t>
            </w:r>
          </w:hyperlink>
        </w:p>
        <w:p>
          <w:pPr>
            <w:pStyle w:val="Contents5"/>
            <w:tabs>
              <w:tab w:val="clear" w:pos="7892"/>
              <w:tab w:val="right" w:pos="9026" w:leader="dot"/>
            </w:tabs>
            <w:rPr/>
          </w:pPr>
          <w:hyperlink w:anchor="__RefHeading___Toc3055479_2314609296">
            <w:r>
              <w:rPr>
                <w:webHidden/>
                <w:rStyle w:val="IndexLink"/>
              </w:rPr>
              <w:t>14</w:t>
            </w:r>
            <w:r>
              <w:rPr>
                <w:rStyle w:val="IndexLink"/>
                <w:rtl w:val="true"/>
              </w:rPr>
              <w:t xml:space="preserve">- </w:t>
            </w:r>
            <w:r>
              <w:rPr>
                <w:rStyle w:val="IndexLink"/>
                <w:rtl w:val="true"/>
              </w:rPr>
              <w:t>الرطب الیابس فی الإجماع المتخالف المتعاکس</w:t>
            </w:r>
            <w:r>
              <w:rPr>
                <w:rStyle w:val="IndexLink"/>
                <w:rtl w:val="true"/>
              </w:rPr>
              <w:t>.</w:t>
              <w:tab/>
            </w:r>
            <w:r>
              <w:rPr>
                <w:rStyle w:val="IndexLink"/>
              </w:rPr>
              <w:t>55</w:t>
            </w:r>
          </w:hyperlink>
        </w:p>
        <w:p>
          <w:pPr>
            <w:pStyle w:val="Contents5"/>
            <w:tabs>
              <w:tab w:val="clear" w:pos="7892"/>
              <w:tab w:val="right" w:pos="9026" w:leader="dot"/>
            </w:tabs>
            <w:rPr/>
          </w:pPr>
          <w:hyperlink w:anchor="__RefHeading___Toc3055481_2314609296">
            <w:r>
              <w:rPr>
                <w:webHidden/>
                <w:rStyle w:val="IndexLink"/>
              </w:rPr>
              <w:t>15</w:t>
            </w:r>
            <w:r>
              <w:rPr>
                <w:rStyle w:val="IndexLink"/>
                <w:rtl w:val="true"/>
              </w:rPr>
              <w:t xml:space="preserve">- </w:t>
            </w:r>
            <w:r>
              <w:rPr>
                <w:rStyle w:val="IndexLink"/>
                <w:rtl w:val="true"/>
              </w:rPr>
              <w:t>جمع الشتات المتفرقة فی الإجماعات المحقّة المحقّقة</w:t>
            </w:r>
            <w:r>
              <w:rPr>
                <w:rStyle w:val="IndexLink"/>
                <w:rtl w:val="true"/>
              </w:rPr>
              <w:t>.</w:t>
              <w:tab/>
            </w:r>
            <w:r>
              <w:rPr>
                <w:rStyle w:val="IndexLink"/>
              </w:rPr>
              <w:t>55</w:t>
            </w:r>
          </w:hyperlink>
        </w:p>
        <w:p>
          <w:pPr>
            <w:pStyle w:val="Contents5"/>
            <w:tabs>
              <w:tab w:val="clear" w:pos="7892"/>
              <w:tab w:val="right" w:pos="9026" w:leader="dot"/>
            </w:tabs>
            <w:rPr/>
          </w:pPr>
          <w:hyperlink w:anchor="__RefHeading___Toc3055483_2314609296">
            <w:r>
              <w:rPr>
                <w:webHidden/>
                <w:rStyle w:val="IndexLink"/>
              </w:rPr>
              <w:t>16</w:t>
            </w:r>
            <w:r>
              <w:rPr>
                <w:rStyle w:val="IndexLink"/>
                <w:rtl w:val="true"/>
              </w:rPr>
              <w:t xml:space="preserve">- </w:t>
            </w:r>
            <w:r>
              <w:rPr>
                <w:rStyle w:val="IndexLink"/>
                <w:rtl w:val="true"/>
              </w:rPr>
              <w:t>التنزیل فی معنی التأویل</w:t>
            </w:r>
            <w:r>
              <w:rPr>
                <w:rStyle w:val="IndexLink"/>
                <w:rtl w:val="true"/>
              </w:rPr>
              <w:t>:</w:t>
              <w:tab/>
            </w:r>
            <w:r>
              <w:rPr>
                <w:rStyle w:val="IndexLink"/>
              </w:rPr>
              <w:t>56</w:t>
            </w:r>
          </w:hyperlink>
        </w:p>
        <w:p>
          <w:pPr>
            <w:pStyle w:val="Contents5"/>
            <w:tabs>
              <w:tab w:val="clear" w:pos="7892"/>
              <w:tab w:val="right" w:pos="9026" w:leader="dot"/>
            </w:tabs>
            <w:rPr/>
          </w:pPr>
          <w:hyperlink w:anchor="__RefHeading___Toc3055485_2314609296">
            <w:r>
              <w:rPr>
                <w:webHidden/>
                <w:rStyle w:val="IndexLink"/>
              </w:rPr>
              <w:t>17</w:t>
            </w:r>
            <w:r>
              <w:rPr>
                <w:rStyle w:val="IndexLink"/>
                <w:rtl w:val="true"/>
              </w:rPr>
              <w:t xml:space="preserve">- </w:t>
            </w:r>
            <w:r>
              <w:rPr>
                <w:rStyle w:val="IndexLink"/>
                <w:rtl w:val="true"/>
              </w:rPr>
              <w:t>الشهب القابوس المکرم و الأبواب القاموس المعظم</w:t>
            </w:r>
            <w:r>
              <w:rPr>
                <w:rStyle w:val="IndexLink"/>
                <w:rtl w:val="true"/>
              </w:rPr>
              <w:t>:</w:t>
              <w:tab/>
            </w:r>
            <w:r>
              <w:rPr>
                <w:rStyle w:val="IndexLink"/>
              </w:rPr>
              <w:t>56</w:t>
            </w:r>
          </w:hyperlink>
        </w:p>
        <w:p>
          <w:pPr>
            <w:pStyle w:val="Contents4"/>
            <w:tabs>
              <w:tab w:val="clear" w:pos="8176"/>
              <w:tab w:val="right" w:pos="9026" w:leader="dot"/>
            </w:tabs>
            <w:rPr/>
          </w:pPr>
          <w:hyperlink w:anchor="__RefHeading___Toc3055487_2314609296">
            <w:r>
              <w:rPr>
                <w:webHidden/>
                <w:rStyle w:val="IndexLink"/>
                <w:rtl w:val="true"/>
              </w:rPr>
              <w:t>حول نخبة العقول</w:t>
            </w:r>
            <w:r>
              <w:rPr>
                <w:rStyle w:val="IndexLink"/>
                <w:rtl w:val="true"/>
              </w:rPr>
              <w:t>:</w:t>
              <w:tab/>
            </w:r>
            <w:r>
              <w:rPr>
                <w:rStyle w:val="IndexLink"/>
              </w:rPr>
              <w:t>56</w:t>
            </w:r>
          </w:hyperlink>
        </w:p>
        <w:p>
          <w:pPr>
            <w:pStyle w:val="Contents3"/>
            <w:tabs>
              <w:tab w:val="clear" w:pos="8459"/>
              <w:tab w:val="right" w:pos="9026" w:leader="dot"/>
            </w:tabs>
            <w:rPr/>
          </w:pPr>
          <w:hyperlink w:anchor="__RefHeading___Toc3055489_2314609296">
            <w:r>
              <w:rPr>
                <w:webHidden/>
                <w:rStyle w:val="IndexLink"/>
                <w:rtl w:val="true"/>
              </w:rPr>
              <w:t>[</w:t>
            </w:r>
            <w:r>
              <w:rPr>
                <w:rStyle w:val="IndexLink"/>
                <w:rtl w:val="true"/>
              </w:rPr>
              <w:t>التحقیق فی الکتاب نخبة العقول فی علم الاصول</w:t>
            </w:r>
            <w:r>
              <w:rPr>
                <w:rStyle w:val="IndexLink"/>
                <w:rtl w:val="true"/>
              </w:rPr>
              <w:t>]</w:t>
              <w:tab/>
            </w:r>
            <w:r>
              <w:rPr>
                <w:rStyle w:val="IndexLink"/>
              </w:rPr>
              <w:t>66</w:t>
            </w:r>
          </w:hyperlink>
        </w:p>
        <w:p>
          <w:pPr>
            <w:pStyle w:val="Contents4"/>
            <w:tabs>
              <w:tab w:val="clear" w:pos="8176"/>
              <w:tab w:val="right" w:pos="9026" w:leader="dot"/>
            </w:tabs>
            <w:rPr/>
          </w:pPr>
          <w:hyperlink w:anchor="__RefHeading___Toc3055491_2314609296">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055493_2314609296">
            <w:r>
              <w:rPr>
                <w:webHidden/>
                <w:rStyle w:val="IndexLink"/>
                <w:rtl w:val="true"/>
              </w:rPr>
              <w:t>أمّا المقدّمة</w:t>
            </w:r>
            <w:r>
              <w:rPr>
                <w:rStyle w:val="IndexLink"/>
                <w:rtl w:val="true"/>
              </w:rPr>
              <w:tab/>
            </w:r>
            <w:r>
              <w:rPr>
                <w:rStyle w:val="IndexLink"/>
              </w:rPr>
              <w:t>66</w:t>
            </w:r>
          </w:hyperlink>
        </w:p>
        <w:p>
          <w:pPr>
            <w:pStyle w:val="Contents4"/>
            <w:tabs>
              <w:tab w:val="clear" w:pos="8176"/>
              <w:tab w:val="right" w:pos="9026" w:leader="dot"/>
            </w:tabs>
            <w:rPr/>
          </w:pPr>
          <w:hyperlink w:anchor="__RefHeading___Toc3055495_2314609296">
            <w:r>
              <w:rPr>
                <w:webHidden/>
                <w:rStyle w:val="IndexLink"/>
                <w:rtl w:val="true"/>
              </w:rPr>
              <w:t>الباب الأوّل فی الأوامر و النواهی</w:t>
            </w:r>
            <w:r>
              <w:rPr>
                <w:rStyle w:val="IndexLink"/>
                <w:rtl w:val="true"/>
              </w:rPr>
              <w:tab/>
            </w:r>
            <w:r>
              <w:rPr>
                <w:rStyle w:val="IndexLink"/>
              </w:rPr>
              <w:t>83</w:t>
            </w:r>
          </w:hyperlink>
        </w:p>
        <w:p>
          <w:pPr>
            <w:pStyle w:val="Contents5"/>
            <w:tabs>
              <w:tab w:val="clear" w:pos="7892"/>
              <w:tab w:val="right" w:pos="9026" w:leader="dot"/>
            </w:tabs>
            <w:rPr/>
          </w:pPr>
          <w:hyperlink w:anchor="__RefHeading___Toc3055497_2314609296">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055499_2314609296">
            <w:r>
              <w:rPr>
                <w:webHidden/>
                <w:rStyle w:val="IndexLink"/>
                <w:rtl w:val="true"/>
              </w:rPr>
              <w:t>نخبة</w:t>
            </w:r>
            <w:r>
              <w:rPr>
                <w:rStyle w:val="IndexLink"/>
                <w:rtl w:val="true"/>
              </w:rPr>
              <w:t xml:space="preserve">: </w:t>
            </w:r>
            <w:r>
              <w:rPr>
                <w:rStyle w:val="IndexLink"/>
                <w:rtl w:val="true"/>
              </w:rPr>
              <w:t xml:space="preserve">صیغة </w:t>
            </w:r>
            <w:r>
              <w:rPr>
                <w:rStyle w:val="IndexLink"/>
                <w:rtl w:val="true"/>
              </w:rPr>
              <w:t>«</w:t>
            </w:r>
            <w:r>
              <w:rPr>
                <w:rStyle w:val="IndexLink"/>
                <w:rtl w:val="true"/>
              </w:rPr>
              <w:t>افعل</w:t>
            </w:r>
            <w:r>
              <w:rPr>
                <w:rStyle w:val="IndexLink"/>
                <w:rtl w:val="true"/>
              </w:rPr>
              <w:t xml:space="preserve">» </w:t>
            </w:r>
            <w:r>
              <w:rPr>
                <w:rStyle w:val="IndexLink"/>
                <w:rtl w:val="true"/>
              </w:rPr>
              <w:t>و ما فی معناها حقیقة فی الإیجاب</w:t>
            </w:r>
            <w:r>
              <w:rPr>
                <w:rStyle w:val="IndexLink"/>
                <w:rtl w:val="true"/>
              </w:rPr>
              <w:t>.</w:t>
              <w:tab/>
            </w:r>
            <w:r>
              <w:rPr>
                <w:rStyle w:val="IndexLink"/>
              </w:rPr>
              <w:t>83</w:t>
            </w:r>
          </w:hyperlink>
        </w:p>
        <w:p>
          <w:pPr>
            <w:pStyle w:val="Contents5"/>
            <w:tabs>
              <w:tab w:val="clear" w:pos="7892"/>
              <w:tab w:val="right" w:pos="9026" w:leader="dot"/>
            </w:tabs>
            <w:rPr/>
          </w:pPr>
          <w:hyperlink w:anchor="__RefHeading___Toc3055501_2314609296">
            <w:r>
              <w:rPr>
                <w:webHidden/>
                <w:rStyle w:val="IndexLink"/>
                <w:rtl w:val="true"/>
              </w:rPr>
              <w:t>نخبة</w:t>
            </w:r>
            <w:r>
              <w:rPr>
                <w:rStyle w:val="IndexLink"/>
                <w:rtl w:val="true"/>
              </w:rPr>
              <w:t xml:space="preserve">: </w:t>
            </w:r>
            <w:r>
              <w:rPr>
                <w:rStyle w:val="IndexLink"/>
                <w:rtl w:val="true"/>
              </w:rPr>
              <w:t>الأمر حقیقة فی الفور</w:t>
            </w:r>
            <w:r>
              <w:rPr>
                <w:rStyle w:val="IndexLink"/>
                <w:rtl w:val="true"/>
              </w:rPr>
              <w:tab/>
            </w:r>
            <w:r>
              <w:rPr>
                <w:rStyle w:val="IndexLink"/>
              </w:rPr>
              <w:t>84</w:t>
            </w:r>
          </w:hyperlink>
        </w:p>
        <w:p>
          <w:pPr>
            <w:pStyle w:val="Contents5"/>
            <w:tabs>
              <w:tab w:val="clear" w:pos="7892"/>
              <w:tab w:val="right" w:pos="9026" w:leader="dot"/>
            </w:tabs>
            <w:rPr/>
          </w:pPr>
          <w:hyperlink w:anchor="__RefHeading___Toc3055503_2314609296">
            <w:r>
              <w:rPr>
                <w:webHidden/>
                <w:rStyle w:val="IndexLink"/>
                <w:rtl w:val="true"/>
              </w:rPr>
              <w:t>نخبة</w:t>
            </w:r>
            <w:r>
              <w:rPr>
                <w:rStyle w:val="IndexLink"/>
                <w:rtl w:val="true"/>
              </w:rPr>
              <w:t xml:space="preserve">: </w:t>
            </w:r>
            <w:r>
              <w:rPr>
                <w:rStyle w:val="IndexLink"/>
                <w:rtl w:val="true"/>
              </w:rPr>
              <w:t>الأمر حقیقة فی المرّة</w:t>
            </w:r>
            <w:r>
              <w:rPr>
                <w:rStyle w:val="IndexLink"/>
                <w:rtl w:val="true"/>
              </w:rPr>
              <w:tab/>
            </w:r>
            <w:r>
              <w:rPr>
                <w:rStyle w:val="IndexLink"/>
              </w:rPr>
              <w:t>85</w:t>
            </w:r>
          </w:hyperlink>
        </w:p>
        <w:p>
          <w:pPr>
            <w:pStyle w:val="Contents5"/>
            <w:tabs>
              <w:tab w:val="clear" w:pos="7892"/>
              <w:tab w:val="right" w:pos="9026" w:leader="dot"/>
            </w:tabs>
            <w:rPr/>
          </w:pPr>
          <w:hyperlink w:anchor="__RefHeading___Toc3055505_2314609296">
            <w:r>
              <w:rPr>
                <w:webHidden/>
                <w:rStyle w:val="IndexLink"/>
                <w:rtl w:val="true"/>
              </w:rPr>
              <w:t>نخبة</w:t>
            </w:r>
            <w:r>
              <w:rPr>
                <w:rStyle w:val="IndexLink"/>
                <w:rtl w:val="true"/>
              </w:rPr>
              <w:t xml:space="preserve">: </w:t>
            </w:r>
            <w:r>
              <w:rPr>
                <w:rStyle w:val="IndexLink"/>
                <w:rtl w:val="true"/>
              </w:rPr>
              <w:t>الأمر بالشی‌ء یستلزم الأمر بما لا یتمّ</w:t>
            </w:r>
            <w:r>
              <w:rPr>
                <w:rStyle w:val="IndexLink"/>
                <w:rtl w:val="true"/>
              </w:rPr>
              <w:tab/>
            </w:r>
            <w:r>
              <w:rPr>
                <w:rStyle w:val="IndexLink"/>
              </w:rPr>
              <w:t>85</w:t>
            </w:r>
          </w:hyperlink>
        </w:p>
        <w:p>
          <w:pPr>
            <w:pStyle w:val="Contents5"/>
            <w:tabs>
              <w:tab w:val="clear" w:pos="7892"/>
              <w:tab w:val="right" w:pos="9026" w:leader="dot"/>
            </w:tabs>
            <w:rPr/>
          </w:pPr>
          <w:hyperlink w:anchor="__RefHeading___Toc3055507_2314609296">
            <w:r>
              <w:rPr>
                <w:webHidden/>
                <w:rStyle w:val="IndexLink"/>
                <w:rtl w:val="true"/>
              </w:rPr>
              <w:t>نخبة</w:t>
            </w:r>
            <w:r>
              <w:rPr>
                <w:rStyle w:val="IndexLink"/>
                <w:rtl w:val="true"/>
              </w:rPr>
              <w:t xml:space="preserve">: </w:t>
            </w:r>
            <w:r>
              <w:rPr>
                <w:rStyle w:val="IndexLink"/>
                <w:rtl w:val="true"/>
              </w:rPr>
              <w:t>الأمر بالشی‌ء یتضمّن النهی عن ترکه</w:t>
            </w:r>
            <w:r>
              <w:rPr>
                <w:rStyle w:val="IndexLink"/>
                <w:rtl w:val="true"/>
              </w:rPr>
              <w:tab/>
            </w:r>
            <w:r>
              <w:rPr>
                <w:rStyle w:val="IndexLink"/>
              </w:rPr>
              <w:t>86</w:t>
            </w:r>
          </w:hyperlink>
        </w:p>
        <w:p>
          <w:pPr>
            <w:pStyle w:val="Contents5"/>
            <w:tabs>
              <w:tab w:val="clear" w:pos="7892"/>
              <w:tab w:val="right" w:pos="9026" w:leader="dot"/>
            </w:tabs>
            <w:rPr/>
          </w:pPr>
          <w:hyperlink w:anchor="__RefHeading___Toc3055509_2314609296">
            <w:r>
              <w:rPr>
                <w:webHidden/>
                <w:rStyle w:val="IndexLink"/>
                <w:rtl w:val="true"/>
              </w:rPr>
              <w:t>نخبة</w:t>
            </w:r>
            <w:r>
              <w:rPr>
                <w:rStyle w:val="IndexLink"/>
                <w:rtl w:val="true"/>
              </w:rPr>
              <w:t xml:space="preserve">: </w:t>
            </w:r>
            <w:r>
              <w:rPr>
                <w:rStyle w:val="IndexLink"/>
                <w:rtl w:val="true"/>
              </w:rPr>
              <w:t xml:space="preserve">صیغة </w:t>
            </w:r>
            <w:r>
              <w:rPr>
                <w:rStyle w:val="IndexLink"/>
                <w:rtl w:val="true"/>
              </w:rPr>
              <w:t>«</w:t>
            </w:r>
            <w:r>
              <w:rPr>
                <w:rStyle w:val="IndexLink"/>
                <w:rtl w:val="true"/>
              </w:rPr>
              <w:t>لا تفعل</w:t>
            </w:r>
            <w:r>
              <w:rPr>
                <w:rStyle w:val="IndexLink"/>
                <w:rtl w:val="true"/>
              </w:rPr>
              <w:t xml:space="preserve">» </w:t>
            </w:r>
            <w:r>
              <w:rPr>
                <w:rStyle w:val="IndexLink"/>
                <w:rtl w:val="true"/>
              </w:rPr>
              <w:t>و ما فی معناها حقیقة فی التحریم</w:t>
            </w:r>
            <w:r>
              <w:rPr>
                <w:rStyle w:val="IndexLink"/>
                <w:rtl w:val="true"/>
              </w:rPr>
              <w:tab/>
            </w:r>
            <w:r>
              <w:rPr>
                <w:rStyle w:val="IndexLink"/>
              </w:rPr>
              <w:t>87</w:t>
            </w:r>
          </w:hyperlink>
        </w:p>
        <w:p>
          <w:pPr>
            <w:pStyle w:val="Contents5"/>
            <w:tabs>
              <w:tab w:val="clear" w:pos="7892"/>
              <w:tab w:val="right" w:pos="9026" w:leader="dot"/>
            </w:tabs>
            <w:rPr/>
          </w:pPr>
          <w:hyperlink w:anchor="__RefHeading___Toc3055511_2314609296">
            <w:r>
              <w:rPr>
                <w:webHidden/>
                <w:rStyle w:val="IndexLink"/>
                <w:rtl w:val="true"/>
              </w:rPr>
              <w:t>[</w:t>
            </w:r>
            <w:r>
              <w:rPr>
                <w:rStyle w:val="IndexLink"/>
                <w:rtl w:val="true"/>
              </w:rPr>
              <w:t>نخبة</w:t>
            </w:r>
            <w:r>
              <w:rPr>
                <w:rStyle w:val="IndexLink"/>
                <w:rtl w:val="true"/>
              </w:rPr>
              <w:t xml:space="preserve">: </w:t>
            </w:r>
            <w:r>
              <w:rPr>
                <w:rStyle w:val="IndexLink"/>
                <w:rtl w:val="true"/>
              </w:rPr>
              <w:t>تأخر البیان عن وقت الحاجة ممنوع</w:t>
            </w:r>
            <w:r>
              <w:rPr>
                <w:rStyle w:val="IndexLink"/>
                <w:rtl w:val="true"/>
              </w:rPr>
              <w:t>]</w:t>
              <w:tab/>
            </w:r>
            <w:r>
              <w:rPr>
                <w:rStyle w:val="IndexLink"/>
              </w:rPr>
              <w:t>88</w:t>
            </w:r>
          </w:hyperlink>
        </w:p>
        <w:p>
          <w:pPr>
            <w:pStyle w:val="Contents4"/>
            <w:tabs>
              <w:tab w:val="clear" w:pos="8176"/>
              <w:tab w:val="right" w:pos="9026" w:leader="dot"/>
            </w:tabs>
            <w:rPr/>
          </w:pPr>
          <w:hyperlink w:anchor="__RefHeading___Toc3055513_2314609296">
            <w:r>
              <w:rPr>
                <w:webHidden/>
                <w:rStyle w:val="IndexLink"/>
                <w:rtl w:val="true"/>
              </w:rPr>
              <w:t>الباب الثانی فی أحوال الأوامر و النواهی</w:t>
            </w:r>
            <w:r>
              <w:rPr>
                <w:rStyle w:val="IndexLink"/>
                <w:rtl w:val="true"/>
              </w:rPr>
              <w:tab/>
            </w:r>
            <w:r>
              <w:rPr>
                <w:rStyle w:val="IndexLink"/>
              </w:rPr>
              <w:t>88</w:t>
            </w:r>
          </w:hyperlink>
        </w:p>
        <w:p>
          <w:pPr>
            <w:pStyle w:val="Contents5"/>
            <w:tabs>
              <w:tab w:val="clear" w:pos="7892"/>
              <w:tab w:val="right" w:pos="9026" w:leader="dot"/>
            </w:tabs>
            <w:rPr/>
          </w:pPr>
          <w:hyperlink w:anchor="__RefHeading___Toc3055515_2314609296">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055517_2314609296">
            <w:r>
              <w:rPr>
                <w:webHidden/>
                <w:rStyle w:val="IndexLink"/>
                <w:rtl w:val="true"/>
              </w:rPr>
              <w:t>نخبة</w:t>
            </w:r>
            <w:r>
              <w:rPr>
                <w:rStyle w:val="IndexLink"/>
                <w:rtl w:val="true"/>
              </w:rPr>
              <w:t xml:space="preserve">: </w:t>
            </w:r>
            <w:r>
              <w:rPr>
                <w:rStyle w:val="IndexLink"/>
                <w:rtl w:val="true"/>
              </w:rPr>
              <w:t>الصیغ الثابت عمومها حقائق فیه</w:t>
            </w:r>
            <w:r>
              <w:rPr>
                <w:rStyle w:val="IndexLink"/>
                <w:rtl w:val="true"/>
              </w:rPr>
              <w:t>.</w:t>
              <w:tab/>
            </w:r>
            <w:r>
              <w:rPr>
                <w:rStyle w:val="IndexLink"/>
              </w:rPr>
              <w:t>88</w:t>
            </w:r>
          </w:hyperlink>
        </w:p>
        <w:p>
          <w:pPr>
            <w:pStyle w:val="Contents5"/>
            <w:tabs>
              <w:tab w:val="clear" w:pos="7892"/>
              <w:tab w:val="right" w:pos="9026" w:leader="dot"/>
            </w:tabs>
            <w:rPr/>
          </w:pPr>
          <w:hyperlink w:anchor="__RefHeading___Toc3055519_2314609296">
            <w:r>
              <w:rPr>
                <w:webHidden/>
                <w:rStyle w:val="IndexLink"/>
                <w:rtl w:val="true"/>
              </w:rPr>
              <w:t>نخبة</w:t>
            </w:r>
            <w:r>
              <w:rPr>
                <w:rStyle w:val="IndexLink"/>
                <w:rtl w:val="true"/>
              </w:rPr>
              <w:t xml:space="preserve">: </w:t>
            </w:r>
            <w:r>
              <w:rPr>
                <w:rStyle w:val="IndexLink"/>
                <w:rtl w:val="true"/>
              </w:rPr>
              <w:t>مخصّص العامّ متّصل و منفصل، و المتّصل</w:t>
            </w:r>
            <w:r>
              <w:rPr>
                <w:rStyle w:val="IndexLink"/>
                <w:rtl w:val="true"/>
              </w:rPr>
              <w:t>:</w:t>
              <w:tab/>
            </w:r>
            <w:r>
              <w:rPr>
                <w:rStyle w:val="IndexLink"/>
              </w:rPr>
              <w:t>90</w:t>
            </w:r>
          </w:hyperlink>
        </w:p>
        <w:p>
          <w:pPr>
            <w:pStyle w:val="Contents5"/>
            <w:tabs>
              <w:tab w:val="clear" w:pos="7892"/>
              <w:tab w:val="right" w:pos="9026" w:leader="dot"/>
            </w:tabs>
            <w:rPr/>
          </w:pPr>
          <w:hyperlink w:anchor="__RefHeading___Toc3055521_2314609296">
            <w:r>
              <w:rPr>
                <w:webHidden/>
                <w:rStyle w:val="IndexLink"/>
                <w:rtl w:val="true"/>
              </w:rPr>
              <w:t>نخبة فی المطلق و المقیّد</w:t>
            </w:r>
            <w:r>
              <w:rPr>
                <w:rStyle w:val="IndexLink"/>
                <w:rtl w:val="true"/>
              </w:rPr>
              <w:t>:</w:t>
              <w:tab/>
            </w:r>
            <w:r>
              <w:rPr>
                <w:rStyle w:val="IndexLink"/>
              </w:rPr>
              <w:t>91</w:t>
            </w:r>
          </w:hyperlink>
        </w:p>
        <w:p>
          <w:pPr>
            <w:pStyle w:val="Contents5"/>
            <w:tabs>
              <w:tab w:val="clear" w:pos="7892"/>
              <w:tab w:val="right" w:pos="9026" w:leader="dot"/>
            </w:tabs>
            <w:rPr/>
          </w:pPr>
          <w:hyperlink w:anchor="__RefHeading___Toc3055523_2314609296">
            <w:r>
              <w:rPr>
                <w:webHidden/>
                <w:rStyle w:val="IndexLink"/>
                <w:rtl w:val="true"/>
              </w:rPr>
              <w:t>نخبة فی المجمل</w:t>
            </w:r>
            <w:r>
              <w:rPr>
                <w:rStyle w:val="IndexLink"/>
                <w:rtl w:val="true"/>
              </w:rPr>
              <w:t>:</w:t>
              <w:tab/>
            </w:r>
            <w:r>
              <w:rPr>
                <w:rStyle w:val="IndexLink"/>
              </w:rPr>
              <w:t>92</w:t>
            </w:r>
          </w:hyperlink>
        </w:p>
        <w:p>
          <w:pPr>
            <w:pStyle w:val="Contents5"/>
            <w:tabs>
              <w:tab w:val="clear" w:pos="7892"/>
              <w:tab w:val="right" w:pos="9026" w:leader="dot"/>
            </w:tabs>
            <w:rPr/>
          </w:pPr>
          <w:hyperlink w:anchor="__RefHeading___Toc3055525_2314609296">
            <w:r>
              <w:rPr>
                <w:webHidden/>
                <w:rStyle w:val="IndexLink"/>
                <w:rtl w:val="true"/>
              </w:rPr>
              <w:t>[</w:t>
            </w:r>
            <w:r>
              <w:rPr>
                <w:rStyle w:val="IndexLink"/>
                <w:rtl w:val="true"/>
              </w:rPr>
              <w:t>نخبة</w:t>
            </w:r>
            <w:r>
              <w:rPr>
                <w:rStyle w:val="IndexLink"/>
                <w:rtl w:val="true"/>
              </w:rPr>
              <w:t xml:space="preserve">: </w:t>
            </w:r>
            <w:r>
              <w:rPr>
                <w:rStyle w:val="IndexLink"/>
                <w:rtl w:val="true"/>
              </w:rPr>
              <w:t>تأخر البیان عن وقت الحاجة ممنوع</w:t>
            </w:r>
            <w:r>
              <w:rPr>
                <w:rStyle w:val="IndexLink"/>
                <w:rtl w:val="true"/>
              </w:rPr>
              <w:t>]</w:t>
              <w:tab/>
            </w:r>
            <w:r>
              <w:rPr>
                <w:rStyle w:val="IndexLink"/>
              </w:rPr>
              <w:t>92</w:t>
            </w:r>
          </w:hyperlink>
        </w:p>
        <w:p>
          <w:pPr>
            <w:pStyle w:val="Contents5"/>
            <w:tabs>
              <w:tab w:val="clear" w:pos="7892"/>
              <w:tab w:val="right" w:pos="9026" w:leader="dot"/>
            </w:tabs>
            <w:rPr/>
          </w:pPr>
          <w:hyperlink w:anchor="__RefHeading___Toc3055527_2314609296">
            <w:r>
              <w:rPr>
                <w:webHidden/>
                <w:rStyle w:val="IndexLink"/>
                <w:rtl w:val="true"/>
              </w:rPr>
              <w:t>نخبة فی النسخ</w:t>
            </w:r>
            <w:r>
              <w:rPr>
                <w:rStyle w:val="IndexLink"/>
                <w:rtl w:val="true"/>
              </w:rPr>
              <w:t>:</w:t>
              <w:tab/>
            </w:r>
            <w:r>
              <w:rPr>
                <w:rStyle w:val="IndexLink"/>
              </w:rPr>
              <w:t>93</w:t>
            </w:r>
          </w:hyperlink>
        </w:p>
        <w:p>
          <w:pPr>
            <w:pStyle w:val="Contents4"/>
            <w:tabs>
              <w:tab w:val="clear" w:pos="8176"/>
              <w:tab w:val="right" w:pos="9026" w:leader="dot"/>
            </w:tabs>
            <w:rPr/>
          </w:pPr>
          <w:hyperlink w:anchor="__RefHeading___Toc3055529_2314609296">
            <w:r>
              <w:rPr>
                <w:webHidden/>
                <w:rStyle w:val="IndexLink"/>
                <w:rtl w:val="true"/>
              </w:rPr>
              <w:t>الباب الثالث فی الأخبار</w:t>
            </w:r>
            <w:r>
              <w:rPr>
                <w:rStyle w:val="IndexLink"/>
                <w:rtl w:val="true"/>
              </w:rPr>
              <w:tab/>
            </w:r>
            <w:r>
              <w:rPr>
                <w:rStyle w:val="IndexLink"/>
              </w:rPr>
              <w:t>93</w:t>
            </w:r>
          </w:hyperlink>
        </w:p>
        <w:p>
          <w:pPr>
            <w:pStyle w:val="Contents5"/>
            <w:tabs>
              <w:tab w:val="clear" w:pos="7892"/>
              <w:tab w:val="right" w:pos="9026" w:leader="dot"/>
            </w:tabs>
            <w:rPr/>
          </w:pPr>
          <w:hyperlink w:anchor="__RefHeading___Toc3055531_2314609296">
            <w:r>
              <w:rPr>
                <w:webHidden/>
                <w:rStyle w:val="IndexLink"/>
                <w:rtl w:val="true"/>
              </w:rPr>
              <w:t>[</w:t>
            </w:r>
            <w:r>
              <w:rPr>
                <w:rStyle w:val="IndexLink"/>
                <w:rtl w:val="true"/>
              </w:rPr>
              <w:t>نخبة</w:t>
            </w:r>
            <w:r>
              <w:rPr>
                <w:rStyle w:val="IndexLink"/>
                <w:rtl w:val="true"/>
              </w:rPr>
              <w:t xml:space="preserve">: </w:t>
            </w:r>
            <w:r>
              <w:rPr>
                <w:rStyle w:val="IndexLink"/>
                <w:rtl w:val="true"/>
              </w:rPr>
              <w:t xml:space="preserve">فی معنی الخبر و الحدیث و </w:t>
            </w:r>
            <w:r>
              <w:rPr>
                <w:rStyle w:val="IndexLink"/>
                <w:rtl w:val="true"/>
              </w:rPr>
              <w:t>...]</w:t>
              <w:tab/>
            </w:r>
            <w:r>
              <w:rPr>
                <w:rStyle w:val="IndexLink"/>
              </w:rPr>
              <w:t>93</w:t>
            </w:r>
          </w:hyperlink>
        </w:p>
        <w:p>
          <w:pPr>
            <w:pStyle w:val="Contents5"/>
            <w:tabs>
              <w:tab w:val="clear" w:pos="7892"/>
              <w:tab w:val="right" w:pos="9026" w:leader="dot"/>
            </w:tabs>
            <w:rPr/>
          </w:pPr>
          <w:hyperlink w:anchor="__RefHeading___Toc3055533_2314609296">
            <w:r>
              <w:rPr>
                <w:webHidden/>
                <w:rStyle w:val="IndexLink"/>
                <w:rtl w:val="true"/>
              </w:rPr>
              <w:t>[</w:t>
            </w:r>
            <w:r>
              <w:rPr>
                <w:rStyle w:val="IndexLink"/>
                <w:rtl w:val="true"/>
              </w:rPr>
              <w:t>نخبة</w:t>
            </w:r>
            <w:r>
              <w:rPr>
                <w:rStyle w:val="IndexLink"/>
                <w:rtl w:val="true"/>
              </w:rPr>
              <w:t xml:space="preserve">: </w:t>
            </w:r>
            <w:r>
              <w:rPr>
                <w:rStyle w:val="IndexLink"/>
                <w:rtl w:val="true"/>
              </w:rPr>
              <w:t xml:space="preserve">فی تعریف خبر الصحیح و الحسن و </w:t>
            </w:r>
            <w:r>
              <w:rPr>
                <w:rStyle w:val="IndexLink"/>
                <w:rtl w:val="true"/>
              </w:rPr>
              <w:t>...]</w:t>
              <w:tab/>
            </w:r>
            <w:r>
              <w:rPr>
                <w:rStyle w:val="IndexLink"/>
              </w:rPr>
              <w:t>95</w:t>
            </w:r>
          </w:hyperlink>
        </w:p>
        <w:p>
          <w:pPr>
            <w:pStyle w:val="Contents5"/>
            <w:tabs>
              <w:tab w:val="clear" w:pos="7892"/>
              <w:tab w:val="right" w:pos="9026" w:leader="dot"/>
            </w:tabs>
            <w:rPr/>
          </w:pPr>
          <w:hyperlink w:anchor="__RefHeading___Toc3055535_2314609296">
            <w:r>
              <w:rPr>
                <w:webHidden/>
                <w:rStyle w:val="IndexLink"/>
                <w:rtl w:val="true"/>
              </w:rPr>
              <w:t>[</w:t>
            </w:r>
            <w:r>
              <w:rPr>
                <w:rStyle w:val="IndexLink"/>
                <w:rtl w:val="true"/>
              </w:rPr>
              <w:t>نخبة</w:t>
            </w:r>
            <w:r>
              <w:rPr>
                <w:rStyle w:val="IndexLink"/>
                <w:rtl w:val="true"/>
              </w:rPr>
              <w:t xml:space="preserve">: </w:t>
            </w:r>
            <w:r>
              <w:rPr>
                <w:rStyle w:val="IndexLink"/>
                <w:rtl w:val="true"/>
              </w:rPr>
              <w:t>فی کیفیّات الأخذ</w:t>
            </w:r>
            <w:r>
              <w:rPr>
                <w:rStyle w:val="IndexLink"/>
                <w:rtl w:val="true"/>
              </w:rPr>
              <w:t>]</w:t>
              <w:tab/>
            </w:r>
            <w:r>
              <w:rPr>
                <w:rStyle w:val="IndexLink"/>
              </w:rPr>
              <w:t>96</w:t>
            </w:r>
          </w:hyperlink>
        </w:p>
        <w:p>
          <w:pPr>
            <w:pStyle w:val="Contents5"/>
            <w:tabs>
              <w:tab w:val="clear" w:pos="7892"/>
              <w:tab w:val="right" w:pos="9026" w:leader="dot"/>
            </w:tabs>
            <w:rPr/>
          </w:pPr>
          <w:hyperlink w:anchor="__RefHeading___Toc3055537_2314609296">
            <w:r>
              <w:rPr>
                <w:webHidden/>
                <w:rStyle w:val="IndexLink"/>
                <w:rtl w:val="true"/>
              </w:rPr>
              <w:t>نخبة</w:t>
            </w:r>
            <w:r>
              <w:rPr>
                <w:rStyle w:val="IndexLink"/>
                <w:rtl w:val="true"/>
              </w:rPr>
              <w:t xml:space="preserve">: </w:t>
            </w:r>
            <w:r>
              <w:rPr>
                <w:rStyle w:val="IndexLink"/>
                <w:rtl w:val="true"/>
              </w:rPr>
              <w:t>فعل الرسول صلّی اللّه علیه و آله حجّة کقوله</w:t>
            </w:r>
            <w:r>
              <w:rPr>
                <w:rStyle w:val="IndexLink"/>
                <w:rtl w:val="true"/>
              </w:rPr>
              <w:tab/>
            </w:r>
            <w:r>
              <w:rPr>
                <w:rStyle w:val="IndexLink"/>
              </w:rPr>
              <w:t>97</w:t>
            </w:r>
          </w:hyperlink>
        </w:p>
        <w:p>
          <w:pPr>
            <w:pStyle w:val="Contents5"/>
            <w:tabs>
              <w:tab w:val="clear" w:pos="7892"/>
              <w:tab w:val="right" w:pos="9026" w:leader="dot"/>
            </w:tabs>
            <w:rPr/>
          </w:pPr>
          <w:hyperlink w:anchor="__RefHeading___Toc3055539_2314609296">
            <w:r>
              <w:rPr>
                <w:webHidden/>
                <w:rStyle w:val="IndexLink"/>
                <w:rtl w:val="true"/>
              </w:rPr>
              <w:t>نخبة</w:t>
            </w:r>
            <w:r>
              <w:rPr>
                <w:rStyle w:val="IndexLink"/>
                <w:rtl w:val="true"/>
              </w:rPr>
              <w:t xml:space="preserve">: </w:t>
            </w:r>
            <w:r>
              <w:rPr>
                <w:rStyle w:val="IndexLink"/>
                <w:rtl w:val="true"/>
              </w:rPr>
              <w:t>الدلیلان لا یتقابلان إلّا</w:t>
            </w:r>
            <w:r>
              <w:rPr>
                <w:rStyle w:val="IndexLink"/>
                <w:rtl w:val="true"/>
              </w:rPr>
              <w:tab/>
            </w:r>
            <w:r>
              <w:rPr>
                <w:rStyle w:val="IndexLink"/>
              </w:rPr>
              <w:t>97</w:t>
            </w:r>
          </w:hyperlink>
        </w:p>
        <w:p>
          <w:pPr>
            <w:pStyle w:val="Contents4"/>
            <w:tabs>
              <w:tab w:val="clear" w:pos="8176"/>
              <w:tab w:val="right" w:pos="9026" w:leader="dot"/>
            </w:tabs>
            <w:rPr/>
          </w:pPr>
          <w:hyperlink w:anchor="__RefHeading___Toc3055541_2314609296">
            <w:r>
              <w:rPr>
                <w:webHidden/>
                <w:rStyle w:val="IndexLink"/>
                <w:rtl w:val="true"/>
              </w:rPr>
              <w:t>الباب الرابع فی الإجماع</w:t>
            </w:r>
            <w:r>
              <w:rPr>
                <w:rStyle w:val="IndexLink"/>
                <w:rtl w:val="true"/>
              </w:rPr>
              <w:tab/>
            </w:r>
            <w:r>
              <w:rPr>
                <w:rStyle w:val="IndexLink"/>
              </w:rPr>
              <w:t>98</w:t>
            </w:r>
          </w:hyperlink>
        </w:p>
        <w:p>
          <w:pPr>
            <w:pStyle w:val="Contents5"/>
            <w:tabs>
              <w:tab w:val="clear" w:pos="7892"/>
              <w:tab w:val="right" w:pos="9026" w:leader="dot"/>
            </w:tabs>
            <w:rPr/>
          </w:pPr>
          <w:hyperlink w:anchor="__RefHeading___Toc3055543_2314609296">
            <w:r>
              <w:rPr>
                <w:webHidden/>
                <w:rStyle w:val="IndexLink"/>
                <w:rtl w:val="true"/>
              </w:rPr>
              <w:t>[</w:t>
            </w:r>
            <w:r>
              <w:rPr>
                <w:rStyle w:val="IndexLink"/>
                <w:rtl w:val="true"/>
              </w:rPr>
              <w:t>نخبة</w:t>
            </w:r>
            <w:r>
              <w:rPr>
                <w:rStyle w:val="IndexLink"/>
                <w:rtl w:val="true"/>
              </w:rPr>
              <w:t xml:space="preserve">: </w:t>
            </w:r>
            <w:r>
              <w:rPr>
                <w:rStyle w:val="IndexLink"/>
                <w:rtl w:val="true"/>
              </w:rPr>
              <w:t>فی معنی الإجماع</w:t>
            </w:r>
            <w:r>
              <w:rPr>
                <w:rStyle w:val="IndexLink"/>
                <w:rtl w:val="true"/>
              </w:rPr>
              <w:t>]</w:t>
              <w:tab/>
            </w:r>
            <w:r>
              <w:rPr>
                <w:rStyle w:val="IndexLink"/>
              </w:rPr>
              <w:t>98</w:t>
            </w:r>
          </w:hyperlink>
        </w:p>
        <w:p>
          <w:pPr>
            <w:pStyle w:val="Contents4"/>
            <w:tabs>
              <w:tab w:val="clear" w:pos="8176"/>
              <w:tab w:val="right" w:pos="9026" w:leader="dot"/>
            </w:tabs>
            <w:rPr/>
          </w:pPr>
          <w:hyperlink w:anchor="__RefHeading___Toc3055545_2314609296">
            <w:r>
              <w:rPr>
                <w:webHidden/>
                <w:rStyle w:val="IndexLink"/>
                <w:rtl w:val="true"/>
              </w:rPr>
              <w:t>الباب الخامس فی دلیل العقل</w:t>
            </w:r>
            <w:r>
              <w:rPr>
                <w:rStyle w:val="IndexLink"/>
                <w:rtl w:val="true"/>
              </w:rPr>
              <w:tab/>
            </w:r>
            <w:r>
              <w:rPr>
                <w:rStyle w:val="IndexLink"/>
              </w:rPr>
              <w:t>100</w:t>
            </w:r>
          </w:hyperlink>
        </w:p>
        <w:p>
          <w:pPr>
            <w:pStyle w:val="Contents5"/>
            <w:tabs>
              <w:tab w:val="clear" w:pos="7892"/>
              <w:tab w:val="right" w:pos="9026" w:leader="dot"/>
            </w:tabs>
            <w:rPr/>
          </w:pPr>
          <w:hyperlink w:anchor="__RefHeading___Toc3055547_2314609296">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3055549_2314609296">
            <w:r>
              <w:rPr>
                <w:webHidden/>
                <w:rStyle w:val="IndexLink"/>
                <w:rtl w:val="true"/>
              </w:rPr>
              <w:t>نخبة</w:t>
            </w:r>
            <w:r>
              <w:rPr>
                <w:rStyle w:val="IndexLink"/>
                <w:rtl w:val="true"/>
              </w:rPr>
              <w:t xml:space="preserve">: </w:t>
            </w:r>
            <w:r>
              <w:rPr>
                <w:rStyle w:val="IndexLink"/>
                <w:rtl w:val="true"/>
              </w:rPr>
              <w:t>الاستصحاب</w:t>
            </w:r>
            <w:r>
              <w:rPr>
                <w:rStyle w:val="IndexLink"/>
                <w:rtl w:val="true"/>
              </w:rPr>
              <w:tab/>
            </w:r>
            <w:r>
              <w:rPr>
                <w:rStyle w:val="IndexLink"/>
              </w:rPr>
              <w:t>100</w:t>
            </w:r>
          </w:hyperlink>
        </w:p>
        <w:p>
          <w:pPr>
            <w:pStyle w:val="Contents5"/>
            <w:tabs>
              <w:tab w:val="clear" w:pos="7892"/>
              <w:tab w:val="right" w:pos="9026" w:leader="dot"/>
            </w:tabs>
            <w:rPr/>
          </w:pPr>
          <w:hyperlink w:anchor="__RefHeading___Toc3055551_2314609296">
            <w:r>
              <w:rPr>
                <w:webHidden/>
                <w:rStyle w:val="IndexLink"/>
                <w:rtl w:val="true"/>
              </w:rPr>
              <w:t>نخبة</w:t>
            </w:r>
            <w:r>
              <w:rPr>
                <w:rStyle w:val="IndexLink"/>
                <w:rtl w:val="true"/>
              </w:rPr>
              <w:t xml:space="preserve">: </w:t>
            </w:r>
            <w:r>
              <w:rPr>
                <w:rStyle w:val="IndexLink"/>
                <w:rtl w:val="true"/>
              </w:rPr>
              <w:t>التمثیل</w:t>
            </w:r>
            <w:r>
              <w:rPr>
                <w:rStyle w:val="IndexLink"/>
                <w:rtl w:val="true"/>
              </w:rPr>
              <w:tab/>
            </w:r>
            <w:r>
              <w:rPr>
                <w:rStyle w:val="IndexLink"/>
              </w:rPr>
              <w:t>101</w:t>
            </w:r>
          </w:hyperlink>
        </w:p>
        <w:p>
          <w:pPr>
            <w:pStyle w:val="Contents4"/>
            <w:tabs>
              <w:tab w:val="clear" w:pos="8176"/>
              <w:tab w:val="right" w:pos="9026" w:leader="dot"/>
            </w:tabs>
            <w:rPr/>
          </w:pPr>
          <w:hyperlink w:anchor="__RefHeading___Toc3055553_2314609296">
            <w:r>
              <w:rPr>
                <w:webHidden/>
                <w:rStyle w:val="IndexLink"/>
                <w:rtl w:val="true"/>
              </w:rPr>
              <w:t>خاتمة فی الاجتهاد و التقلید</w:t>
            </w:r>
            <w:r>
              <w:rPr>
                <w:rStyle w:val="IndexLink"/>
                <w:rtl w:val="true"/>
              </w:rPr>
              <w:tab/>
            </w:r>
            <w:r>
              <w:rPr>
                <w:rStyle w:val="IndexLink"/>
              </w:rPr>
              <w:t>104</w:t>
            </w:r>
          </w:hyperlink>
        </w:p>
        <w:p>
          <w:pPr>
            <w:pStyle w:val="Contents5"/>
            <w:tabs>
              <w:tab w:val="clear" w:pos="7892"/>
              <w:tab w:val="right" w:pos="9026" w:leader="dot"/>
            </w:tabs>
            <w:rPr/>
          </w:pPr>
          <w:hyperlink w:anchor="__RefHeading___Toc3055555_2314609296">
            <w:r>
              <w:rPr>
                <w:webHidden/>
                <w:rStyle w:val="IndexLink"/>
                <w:rtl w:val="true"/>
              </w:rPr>
              <w:t>نخبة</w:t>
            </w:r>
            <w:r>
              <w:rPr>
                <w:rStyle w:val="IndexLink"/>
                <w:rtl w:val="true"/>
              </w:rPr>
              <w:t xml:space="preserve">: </w:t>
            </w:r>
            <w:r>
              <w:rPr>
                <w:rStyle w:val="IndexLink"/>
                <w:rtl w:val="true"/>
              </w:rPr>
              <w:t>المجتهد</w:t>
            </w:r>
            <w:r>
              <w:rPr>
                <w:rStyle w:val="IndexLink"/>
                <w:rtl w:val="true"/>
              </w:rPr>
              <w:t xml:space="preserve">- </w:t>
            </w:r>
            <w:r>
              <w:rPr>
                <w:rStyle w:val="IndexLink"/>
                <w:rtl w:val="true"/>
              </w:rPr>
              <w:t>و یرادفه</w:t>
            </w:r>
            <w:r>
              <w:rPr>
                <w:rStyle w:val="IndexLink"/>
                <w:rtl w:val="true"/>
              </w:rPr>
              <w:tab/>
            </w:r>
            <w:r>
              <w:rPr>
                <w:rStyle w:val="IndexLink"/>
              </w:rPr>
              <w:t>104</w:t>
            </w:r>
          </w:hyperlink>
        </w:p>
        <w:p>
          <w:pPr>
            <w:pStyle w:val="Contents5"/>
            <w:tabs>
              <w:tab w:val="clear" w:pos="7892"/>
              <w:tab w:val="right" w:pos="9026" w:leader="dot"/>
            </w:tabs>
            <w:rPr/>
          </w:pPr>
          <w:hyperlink w:anchor="__RefHeading___Toc3055557_2314609296">
            <w:r>
              <w:rPr>
                <w:webHidden/>
                <w:rStyle w:val="IndexLink"/>
                <w:rtl w:val="true"/>
              </w:rPr>
              <w:t>[</w:t>
            </w:r>
            <w:r>
              <w:rPr>
                <w:rStyle w:val="IndexLink"/>
                <w:rtl w:val="true"/>
              </w:rPr>
              <w:t>نخبة</w:t>
            </w:r>
            <w:r>
              <w:rPr>
                <w:rStyle w:val="IndexLink"/>
                <w:rtl w:val="true"/>
              </w:rPr>
              <w:t xml:space="preserve">: </w:t>
            </w:r>
            <w:r>
              <w:rPr>
                <w:rStyle w:val="IndexLink"/>
                <w:rtl w:val="true"/>
              </w:rPr>
              <w:t>فی التصویب و التخطئة</w:t>
            </w:r>
            <w:r>
              <w:rPr>
                <w:rStyle w:val="IndexLink"/>
                <w:rtl w:val="true"/>
              </w:rPr>
              <w:t>]</w:t>
              <w:tab/>
            </w:r>
            <w:r>
              <w:rPr>
                <w:rStyle w:val="IndexLink"/>
              </w:rPr>
              <w:t>105</w:t>
            </w:r>
          </w:hyperlink>
        </w:p>
        <w:p>
          <w:pPr>
            <w:pStyle w:val="Contents5"/>
            <w:tabs>
              <w:tab w:val="clear" w:pos="7892"/>
              <w:tab w:val="right" w:pos="9026" w:leader="dot"/>
            </w:tabs>
            <w:rPr/>
          </w:pPr>
          <w:hyperlink w:anchor="__RefHeading___Toc3055559_2314609296">
            <w:r>
              <w:rPr>
                <w:webHidden/>
                <w:rStyle w:val="IndexLink"/>
                <w:rtl w:val="true"/>
              </w:rPr>
              <w:t>[</w:t>
            </w:r>
            <w:r>
              <w:rPr>
                <w:rStyle w:val="IndexLink"/>
                <w:rtl w:val="true"/>
              </w:rPr>
              <w:t>نخبة</w:t>
            </w:r>
            <w:r>
              <w:rPr>
                <w:rStyle w:val="IndexLink"/>
                <w:rtl w:val="true"/>
              </w:rPr>
              <w:t xml:space="preserve">: </w:t>
            </w:r>
            <w:r>
              <w:rPr>
                <w:rStyle w:val="IndexLink"/>
                <w:rtl w:val="true"/>
              </w:rPr>
              <w:t>فی الحکم و الفتوی</w:t>
            </w:r>
            <w:r>
              <w:rPr>
                <w:rStyle w:val="IndexLink"/>
                <w:rtl w:val="true"/>
              </w:rPr>
              <w:t>]</w:t>
              <w:tab/>
            </w:r>
            <w:r>
              <w:rPr>
                <w:rStyle w:val="IndexLink"/>
              </w:rPr>
              <w:t>105</w:t>
            </w:r>
          </w:hyperlink>
        </w:p>
        <w:p>
          <w:pPr>
            <w:pStyle w:val="Contents5"/>
            <w:tabs>
              <w:tab w:val="clear" w:pos="7892"/>
              <w:tab w:val="right" w:pos="9026" w:leader="dot"/>
            </w:tabs>
            <w:rPr/>
          </w:pPr>
          <w:hyperlink w:anchor="__RefHeading___Toc3055561_2314609296">
            <w:r>
              <w:rPr>
                <w:webHidden/>
                <w:rStyle w:val="IndexLink"/>
                <w:rtl w:val="true"/>
              </w:rPr>
              <w:t>[</w:t>
            </w:r>
            <w:r>
              <w:rPr>
                <w:rStyle w:val="IndexLink"/>
                <w:rtl w:val="true"/>
              </w:rPr>
              <w:t>نخبة</w:t>
            </w:r>
            <w:r>
              <w:rPr>
                <w:rStyle w:val="IndexLink"/>
                <w:rtl w:val="true"/>
              </w:rPr>
              <w:t xml:space="preserve">: </w:t>
            </w:r>
            <w:r>
              <w:rPr>
                <w:rStyle w:val="IndexLink"/>
                <w:rtl w:val="true"/>
              </w:rPr>
              <w:t>فی عدم جواز التقلید لمن أمکنه الجهد</w:t>
            </w:r>
            <w:r>
              <w:rPr>
                <w:rStyle w:val="IndexLink"/>
                <w:rtl w:val="true"/>
              </w:rPr>
              <w:t>]</w:t>
              <w:tab/>
            </w:r>
            <w:r>
              <w:rPr>
                <w:rStyle w:val="IndexLink"/>
              </w:rPr>
              <w:t>106</w:t>
            </w:r>
          </w:hyperlink>
        </w:p>
        <w:p>
          <w:pPr>
            <w:pStyle w:val="Contents2"/>
            <w:tabs>
              <w:tab w:val="clear" w:pos="8743"/>
              <w:tab w:val="right" w:pos="9026" w:leader="dot"/>
            </w:tabs>
            <w:rPr/>
          </w:pPr>
          <w:hyperlink w:anchor="__RefHeading___Toc3055563_2314609296">
            <w:r>
              <w:rPr>
                <w:webHidden/>
                <w:rStyle w:val="IndexLink"/>
              </w:rPr>
              <w:t>3</w:t>
            </w:r>
            <w:r>
              <w:rPr>
                <w:rStyle w:val="IndexLink"/>
                <w:rtl w:val="true"/>
              </w:rPr>
              <w:t xml:space="preserve"> </w:t>
            </w:r>
            <w:r>
              <w:rPr>
                <w:rStyle w:val="IndexLink"/>
                <w:rtl w:val="true"/>
              </w:rPr>
              <w:t>الفتوی</w:t>
            </w:r>
            <w:r>
              <w:rPr>
                <w:rStyle w:val="IndexLink"/>
                <w:rtl w:val="true"/>
              </w:rPr>
              <w:tab/>
            </w:r>
            <w:r>
              <w:rPr>
                <w:rStyle w:val="IndexLink"/>
              </w:rPr>
              <w:t>108</w:t>
            </w:r>
          </w:hyperlink>
        </w:p>
        <w:p>
          <w:pPr>
            <w:pStyle w:val="Contents3"/>
            <w:tabs>
              <w:tab w:val="clear" w:pos="8459"/>
              <w:tab w:val="right" w:pos="9026" w:leader="dot"/>
            </w:tabs>
            <w:rPr/>
          </w:pPr>
          <w:hyperlink w:anchor="__RefHeading___Toc3055565_2314609296">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3055567_2314609296">
            <w:r>
              <w:rPr>
                <w:webHidden/>
                <w:rStyle w:val="IndexLink"/>
                <w:rtl w:val="true"/>
              </w:rPr>
              <w:t>مقدّمة التحقیق</w:t>
            </w:r>
            <w:r>
              <w:rPr>
                <w:rStyle w:val="IndexLink"/>
                <w:rtl w:val="true"/>
              </w:rPr>
              <w:tab/>
            </w:r>
            <w:r>
              <w:rPr>
                <w:rStyle w:val="IndexLink"/>
              </w:rPr>
              <w:t>109</w:t>
            </w:r>
          </w:hyperlink>
        </w:p>
        <w:p>
          <w:pPr>
            <w:pStyle w:val="Contents4"/>
            <w:tabs>
              <w:tab w:val="clear" w:pos="8176"/>
              <w:tab w:val="right" w:pos="9026" w:leader="dot"/>
            </w:tabs>
            <w:rPr/>
          </w:pPr>
          <w:hyperlink w:anchor="__RefHeading___Toc3055569_2314609296">
            <w:r>
              <w:rPr>
                <w:webHidden/>
                <w:rStyle w:val="IndexLink"/>
                <w:rtl w:val="true"/>
              </w:rPr>
              <w:t>المؤلّف</w:t>
            </w:r>
            <w:r>
              <w:rPr>
                <w:rStyle w:val="IndexLink"/>
                <w:rtl w:val="true"/>
              </w:rPr>
              <w:t>:</w:t>
              <w:tab/>
            </w:r>
            <w:r>
              <w:rPr>
                <w:rStyle w:val="IndexLink"/>
              </w:rPr>
              <w:t>109</w:t>
            </w:r>
          </w:hyperlink>
        </w:p>
        <w:p>
          <w:pPr>
            <w:pStyle w:val="Contents4"/>
            <w:tabs>
              <w:tab w:val="clear" w:pos="8176"/>
              <w:tab w:val="right" w:pos="9026" w:leader="dot"/>
            </w:tabs>
            <w:rPr/>
          </w:pPr>
          <w:hyperlink w:anchor="__RefHeading___Toc3055571_2314609296">
            <w:r>
              <w:rPr>
                <w:webHidden/>
                <w:rStyle w:val="IndexLink"/>
                <w:rtl w:val="true"/>
              </w:rPr>
              <w:t>أساتذته</w:t>
            </w:r>
            <w:r>
              <w:rPr>
                <w:rStyle w:val="IndexLink"/>
                <w:rtl w:val="true"/>
              </w:rPr>
              <w:t>:</w:t>
              <w:tab/>
            </w:r>
            <w:r>
              <w:rPr>
                <w:rStyle w:val="IndexLink"/>
              </w:rPr>
              <w:t>109</w:t>
            </w:r>
          </w:hyperlink>
        </w:p>
        <w:p>
          <w:pPr>
            <w:pStyle w:val="Contents4"/>
            <w:tabs>
              <w:tab w:val="clear" w:pos="8176"/>
              <w:tab w:val="right" w:pos="9026" w:leader="dot"/>
            </w:tabs>
            <w:rPr/>
          </w:pPr>
          <w:hyperlink w:anchor="__RefHeading___Toc3055573_2314609296">
            <w:r>
              <w:rPr>
                <w:webHidden/>
                <w:rStyle w:val="IndexLink"/>
                <w:rtl w:val="true"/>
              </w:rPr>
              <w:t>مؤلّفاته</w:t>
            </w:r>
            <w:r>
              <w:rPr>
                <w:rStyle w:val="IndexLink"/>
                <w:rtl w:val="true"/>
              </w:rPr>
              <w:t>:</w:t>
              <w:tab/>
            </w:r>
            <w:r>
              <w:rPr>
                <w:rStyle w:val="IndexLink"/>
              </w:rPr>
              <w:t>110</w:t>
            </w:r>
          </w:hyperlink>
        </w:p>
        <w:p>
          <w:pPr>
            <w:pStyle w:val="Contents4"/>
            <w:tabs>
              <w:tab w:val="clear" w:pos="8176"/>
              <w:tab w:val="right" w:pos="9026" w:leader="dot"/>
            </w:tabs>
            <w:rPr/>
          </w:pPr>
          <w:hyperlink w:anchor="__RefHeading___Toc3055575_2314609296">
            <w:r>
              <w:rPr>
                <w:webHidden/>
                <w:rStyle w:val="IndexLink"/>
                <w:rtl w:val="true"/>
              </w:rPr>
              <w:t>إطراء العلماء فیه</w:t>
            </w:r>
            <w:r>
              <w:rPr>
                <w:rStyle w:val="IndexLink"/>
                <w:rtl w:val="true"/>
              </w:rPr>
              <w:t>:</w:t>
              <w:tab/>
            </w:r>
            <w:r>
              <w:rPr>
                <w:rStyle w:val="IndexLink"/>
              </w:rPr>
              <w:t>111</w:t>
            </w:r>
          </w:hyperlink>
        </w:p>
        <w:p>
          <w:pPr>
            <w:pStyle w:val="Contents4"/>
            <w:tabs>
              <w:tab w:val="clear" w:pos="8176"/>
              <w:tab w:val="right" w:pos="9026" w:leader="dot"/>
            </w:tabs>
            <w:rPr/>
          </w:pPr>
          <w:hyperlink w:anchor="__RefHeading___Toc3055577_2314609296">
            <w:r>
              <w:rPr>
                <w:webHidden/>
                <w:rStyle w:val="IndexLink"/>
                <w:rtl w:val="true"/>
              </w:rPr>
              <w:t>وفاته</w:t>
            </w:r>
            <w:r>
              <w:rPr>
                <w:rStyle w:val="IndexLink"/>
                <w:rtl w:val="true"/>
              </w:rPr>
              <w:t>:</w:t>
              <w:tab/>
            </w:r>
            <w:r>
              <w:rPr>
                <w:rStyle w:val="IndexLink"/>
              </w:rPr>
              <w:t>112</w:t>
            </w:r>
          </w:hyperlink>
        </w:p>
        <w:p>
          <w:pPr>
            <w:pStyle w:val="Contents4"/>
            <w:tabs>
              <w:tab w:val="clear" w:pos="8176"/>
              <w:tab w:val="right" w:pos="9026" w:leader="dot"/>
            </w:tabs>
            <w:rPr/>
          </w:pPr>
          <w:hyperlink w:anchor="__RefHeading___Toc3055579_2314609296">
            <w:r>
              <w:rPr>
                <w:webHidden/>
                <w:rStyle w:val="IndexLink"/>
                <w:rtl w:val="true"/>
              </w:rPr>
              <w:t>حول الرسالة</w:t>
            </w:r>
            <w:r>
              <w:rPr>
                <w:rStyle w:val="IndexLink"/>
                <w:rtl w:val="true"/>
              </w:rPr>
              <w:t>:</w:t>
              <w:tab/>
            </w:r>
            <w:r>
              <w:rPr>
                <w:rStyle w:val="IndexLink"/>
              </w:rPr>
              <w:t>112</w:t>
            </w:r>
          </w:hyperlink>
        </w:p>
        <w:p>
          <w:pPr>
            <w:pStyle w:val="Contents4"/>
            <w:tabs>
              <w:tab w:val="clear" w:pos="8176"/>
              <w:tab w:val="right" w:pos="9026" w:leader="dot"/>
            </w:tabs>
            <w:rPr/>
          </w:pPr>
          <w:hyperlink w:anchor="__RefHeading___Toc3055581_2314609296">
            <w:r>
              <w:rPr>
                <w:webHidden/>
                <w:rStyle w:val="IndexLink"/>
                <w:rtl w:val="true"/>
              </w:rPr>
              <w:t>منهج التحقیق</w:t>
            </w:r>
            <w:r>
              <w:rPr>
                <w:rStyle w:val="IndexLink"/>
                <w:rtl w:val="true"/>
              </w:rPr>
              <w:tab/>
            </w:r>
            <w:r>
              <w:rPr>
                <w:rStyle w:val="IndexLink"/>
              </w:rPr>
              <w:t>113</w:t>
            </w:r>
          </w:hyperlink>
        </w:p>
        <w:p>
          <w:pPr>
            <w:pStyle w:val="Contents3"/>
            <w:tabs>
              <w:tab w:val="clear" w:pos="8459"/>
              <w:tab w:val="right" w:pos="9026" w:leader="dot"/>
            </w:tabs>
            <w:rPr/>
          </w:pPr>
          <w:hyperlink w:anchor="__RefHeading___Toc3055583_2314609296">
            <w:r>
              <w:rPr>
                <w:webHidden/>
                <w:rStyle w:val="IndexLink"/>
                <w:rtl w:val="true"/>
              </w:rPr>
              <w:t>[</w:t>
            </w:r>
            <w:r>
              <w:rPr>
                <w:rStyle w:val="IndexLink"/>
                <w:rtl w:val="true"/>
              </w:rPr>
              <w:t>التحقیق فی الکتاب الفتوی</w:t>
            </w:r>
            <w:r>
              <w:rPr>
                <w:rStyle w:val="IndexLink"/>
                <w:rtl w:val="true"/>
              </w:rPr>
              <w:t>]</w:t>
              <w:tab/>
            </w:r>
            <w:r>
              <w:rPr>
                <w:rStyle w:val="IndexLink"/>
              </w:rPr>
              <w:t>117</w:t>
            </w:r>
          </w:hyperlink>
        </w:p>
        <w:p>
          <w:pPr>
            <w:pStyle w:val="Contents4"/>
            <w:tabs>
              <w:tab w:val="clear" w:pos="8176"/>
              <w:tab w:val="right" w:pos="9026" w:leader="dot"/>
            </w:tabs>
            <w:rPr/>
          </w:pPr>
          <w:hyperlink w:anchor="__RefHeading___Toc3055585_2314609296">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3055587_2314609296">
            <w:r>
              <w:rPr>
                <w:webHidden/>
                <w:rStyle w:val="IndexLink"/>
                <w:rtl w:val="true"/>
              </w:rPr>
              <w:t>المقصد الأوّل فی المفتی، و ما یتعلّق به من الأحکام</w:t>
            </w:r>
            <w:r>
              <w:rPr>
                <w:rStyle w:val="IndexLink"/>
                <w:rtl w:val="true"/>
              </w:rPr>
              <w:tab/>
            </w:r>
            <w:r>
              <w:rPr>
                <w:rStyle w:val="IndexLink"/>
              </w:rPr>
              <w:t>117</w:t>
            </w:r>
          </w:hyperlink>
        </w:p>
        <w:p>
          <w:pPr>
            <w:pStyle w:val="Contents5"/>
            <w:tabs>
              <w:tab w:val="clear" w:pos="7892"/>
              <w:tab w:val="right" w:pos="9026" w:leader="dot"/>
            </w:tabs>
            <w:rPr/>
          </w:pPr>
          <w:hyperlink w:anchor="__RefHeading___Toc3055589_2314609296">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3055591_2314609296">
            <w:r>
              <w:rPr>
                <w:webHidden/>
                <w:rStyle w:val="IndexLink"/>
                <w:rtl w:val="true"/>
              </w:rPr>
              <w:t>البحث الأوّل فیما یشترط فی صحّة الفتوی من المفتی، و کونه مفتیا یصحّ الاستفتاء منه و العمل بما أفتی به</w:t>
            </w:r>
            <w:r>
              <w:rPr>
                <w:rStyle w:val="IndexLink"/>
                <w:rtl w:val="true"/>
              </w:rPr>
              <w:tab/>
            </w:r>
            <w:r>
              <w:rPr>
                <w:rStyle w:val="IndexLink"/>
              </w:rPr>
              <w:t>117</w:t>
            </w:r>
          </w:hyperlink>
        </w:p>
        <w:p>
          <w:pPr>
            <w:pStyle w:val="Contents6"/>
            <w:tabs>
              <w:tab w:val="clear" w:pos="7609"/>
              <w:tab w:val="right" w:pos="9026" w:leader="dot"/>
            </w:tabs>
            <w:rPr/>
          </w:pPr>
          <w:hyperlink w:anchor="__RefHeading___Toc3055593_2314609296">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055595_2314609296">
            <w:r>
              <w:rPr>
                <w:webHidden/>
                <w:rStyle w:val="IndexLink"/>
                <w:rtl w:val="true"/>
              </w:rPr>
              <w:t>و هو الحجّة فی هذا الباب؛ مضافا إلی غیره من الوجوه</w:t>
            </w:r>
            <w:r>
              <w:rPr>
                <w:rStyle w:val="IndexLink"/>
                <w:rtl w:val="true"/>
              </w:rPr>
              <w:t>:</w:t>
              <w:tab/>
            </w:r>
            <w:r>
              <w:rPr>
                <w:rStyle w:val="IndexLink"/>
              </w:rPr>
              <w:t>129</w:t>
            </w:r>
          </w:hyperlink>
        </w:p>
        <w:p>
          <w:pPr>
            <w:pStyle w:val="Contents6"/>
            <w:tabs>
              <w:tab w:val="clear" w:pos="7609"/>
              <w:tab w:val="right" w:pos="9026" w:leader="dot"/>
            </w:tabs>
            <w:rPr/>
          </w:pPr>
          <w:hyperlink w:anchor="__RefHeading___Toc3055597_2314609296">
            <w:r>
              <w:rPr>
                <w:webHidden/>
                <w:rStyle w:val="IndexLink"/>
                <w:rtl w:val="true"/>
              </w:rPr>
              <w:t>و یعضد المختار أو یؤیّده امور</w:t>
            </w:r>
            <w:r>
              <w:rPr>
                <w:rStyle w:val="IndexLink"/>
                <w:rtl w:val="true"/>
              </w:rPr>
              <w:t>:</w:t>
              <w:tab/>
            </w:r>
            <w:r>
              <w:rPr>
                <w:rStyle w:val="IndexLink"/>
              </w:rPr>
              <w:t>144</w:t>
            </w:r>
          </w:hyperlink>
        </w:p>
        <w:p>
          <w:pPr>
            <w:pStyle w:val="Contents6"/>
            <w:tabs>
              <w:tab w:val="clear" w:pos="7609"/>
              <w:tab w:val="right" w:pos="9026" w:leader="dot"/>
            </w:tabs>
            <w:rPr/>
          </w:pPr>
          <w:hyperlink w:anchor="__RefHeading___Toc3055599_2314609296">
            <w:r>
              <w:rPr>
                <w:webHidden/>
                <w:rStyle w:val="IndexLink"/>
                <w:rtl w:val="true"/>
              </w:rPr>
              <w:t>[</w:t>
            </w:r>
            <w:r>
              <w:rPr>
                <w:rStyle w:val="IndexLink"/>
                <w:rtl w:val="true"/>
              </w:rPr>
              <w:t>هنا مسائل</w:t>
            </w:r>
            <w:r>
              <w:rPr>
                <w:rStyle w:val="IndexLink"/>
                <w:rtl w:val="true"/>
              </w:rPr>
              <w:t>:]</w:t>
              <w:tab/>
            </w:r>
            <w:r>
              <w:rPr>
                <w:rStyle w:val="IndexLink"/>
              </w:rPr>
              <w:t>147</w:t>
            </w:r>
          </w:hyperlink>
        </w:p>
        <w:p>
          <w:pPr>
            <w:pStyle w:val="Contents6"/>
            <w:tabs>
              <w:tab w:val="clear" w:pos="7609"/>
              <w:tab w:val="right" w:pos="9026" w:leader="dot"/>
            </w:tabs>
            <w:rPr/>
          </w:pPr>
          <w:hyperlink w:anchor="__RefHeading___Toc3055601_2314609296">
            <w:r>
              <w:rPr>
                <w:webHidden/>
                <w:rStyle w:val="IndexLink"/>
                <w:rtl w:val="true"/>
              </w:rPr>
              <w:t>[</w:t>
            </w:r>
            <w:r>
              <w:rPr>
                <w:rStyle w:val="IndexLink"/>
                <w:rtl w:val="true"/>
              </w:rPr>
              <w:t>هنا امور</w:t>
            </w:r>
            <w:r>
              <w:rPr>
                <w:rStyle w:val="IndexLink"/>
                <w:rtl w:val="true"/>
              </w:rPr>
              <w:t>:]</w:t>
              <w:tab/>
            </w:r>
            <w:r>
              <w:rPr>
                <w:rStyle w:val="IndexLink"/>
              </w:rPr>
              <w:t>151</w:t>
            </w:r>
          </w:hyperlink>
        </w:p>
        <w:p>
          <w:pPr>
            <w:pStyle w:val="Contents6"/>
            <w:tabs>
              <w:tab w:val="clear" w:pos="7609"/>
              <w:tab w:val="right" w:pos="9026" w:leader="dot"/>
            </w:tabs>
            <w:rPr/>
          </w:pPr>
          <w:hyperlink w:anchor="__RefHeading___Toc3055603_2314609296">
            <w:r>
              <w:rPr>
                <w:webHidden/>
                <w:rStyle w:val="IndexLink"/>
                <w:rtl w:val="true"/>
              </w:rPr>
              <w:t>و إنّما الإشکال فی مواضع</w:t>
            </w:r>
            <w:r>
              <w:rPr>
                <w:rStyle w:val="IndexLink"/>
                <w:rtl w:val="true"/>
              </w:rPr>
              <w:t>:</w:t>
              <w:tab/>
            </w:r>
            <w:r>
              <w:rPr>
                <w:rStyle w:val="IndexLink"/>
              </w:rPr>
              <w:t>155</w:t>
            </w:r>
          </w:hyperlink>
        </w:p>
        <w:p>
          <w:pPr>
            <w:pStyle w:val="Contents5"/>
            <w:tabs>
              <w:tab w:val="clear" w:pos="7892"/>
              <w:tab w:val="right" w:pos="9026" w:leader="dot"/>
            </w:tabs>
            <w:rPr/>
          </w:pPr>
          <w:hyperlink w:anchor="__RefHeading___Toc3055605_2314609296">
            <w:r>
              <w:rPr>
                <w:webHidden/>
                <w:rStyle w:val="IndexLink"/>
                <w:rtl w:val="true"/>
              </w:rPr>
              <w:t>البحث الثانی فیما یتعلّق بالمفتی من الآداب و نذکره فی ضمن مسائل</w:t>
            </w:r>
            <w:r>
              <w:rPr>
                <w:rStyle w:val="IndexLink"/>
                <w:rtl w:val="true"/>
              </w:rPr>
              <w:t>:</w:t>
              <w:tab/>
            </w:r>
            <w:r>
              <w:rPr>
                <w:rStyle w:val="IndexLink"/>
              </w:rPr>
              <w:t>162</w:t>
            </w:r>
          </w:hyperlink>
        </w:p>
        <w:p>
          <w:pPr>
            <w:pStyle w:val="Contents5"/>
            <w:tabs>
              <w:tab w:val="clear" w:pos="7892"/>
              <w:tab w:val="right" w:pos="9026" w:leader="dot"/>
            </w:tabs>
            <w:rPr/>
          </w:pPr>
          <w:hyperlink w:anchor="__RefHeading___Toc3055607_2314609296">
            <w:r>
              <w:rPr>
                <w:webHidden/>
                <w:rStyle w:val="IndexLink"/>
                <w:rtl w:val="true"/>
              </w:rPr>
              <w:t>البحث الثالث فیما یتعلّق به من الأحکام</w:t>
            </w:r>
            <w:r>
              <w:rPr>
                <w:rStyle w:val="IndexLink"/>
                <w:rtl w:val="true"/>
              </w:rPr>
              <w:tab/>
            </w:r>
            <w:r>
              <w:rPr>
                <w:rStyle w:val="IndexLink"/>
              </w:rPr>
              <w:t>169</w:t>
            </w:r>
          </w:hyperlink>
        </w:p>
        <w:p>
          <w:pPr>
            <w:pStyle w:val="Contents4"/>
            <w:tabs>
              <w:tab w:val="clear" w:pos="8176"/>
              <w:tab w:val="right" w:pos="9026" w:leader="dot"/>
            </w:tabs>
            <w:rPr/>
          </w:pPr>
          <w:hyperlink w:anchor="__RefHeading___Toc3055609_2314609296">
            <w:r>
              <w:rPr>
                <w:webHidden/>
                <w:rStyle w:val="IndexLink"/>
                <w:rtl w:val="true"/>
              </w:rPr>
              <w:t>المقصد الثانی فی المستفتی و ما یتعلّق به من الشروط و الآداب و الأحکام</w:t>
            </w:r>
            <w:r>
              <w:rPr>
                <w:rStyle w:val="IndexLink"/>
                <w:rtl w:val="true"/>
              </w:rPr>
              <w:tab/>
            </w:r>
            <w:r>
              <w:rPr>
                <w:rStyle w:val="IndexLink"/>
              </w:rPr>
              <w:t>208</w:t>
            </w:r>
          </w:hyperlink>
        </w:p>
        <w:p>
          <w:pPr>
            <w:pStyle w:val="Contents5"/>
            <w:tabs>
              <w:tab w:val="clear" w:pos="7892"/>
              <w:tab w:val="right" w:pos="9026" w:leader="dot"/>
            </w:tabs>
            <w:rPr/>
          </w:pPr>
          <w:hyperlink w:anchor="__RefHeading___Toc3055611_2314609296">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3055613_2314609296">
            <w:r>
              <w:rPr>
                <w:webHidden/>
                <w:rStyle w:val="IndexLink"/>
                <w:rtl w:val="true"/>
              </w:rPr>
              <w:t>البحث الأوّل فی بیان ما یشترط فی المستفتی و صحّة استفتائه، و العمل بما أفتی له به المفتی الجامع للشروط السالفة و تقلیده</w:t>
            </w:r>
            <w:r>
              <w:rPr>
                <w:rStyle w:val="IndexLink"/>
                <w:rtl w:val="true"/>
              </w:rPr>
              <w:tab/>
            </w:r>
            <w:r>
              <w:rPr>
                <w:rStyle w:val="IndexLink"/>
              </w:rPr>
              <w:t>208</w:t>
            </w:r>
          </w:hyperlink>
        </w:p>
        <w:p>
          <w:pPr>
            <w:pStyle w:val="Contents6"/>
            <w:tabs>
              <w:tab w:val="clear" w:pos="7609"/>
              <w:tab w:val="right" w:pos="9026" w:leader="dot"/>
            </w:tabs>
            <w:rPr/>
          </w:pPr>
          <w:hyperlink w:anchor="__RefHeading___Toc3055615_2314609296">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3055617_2314609296">
            <w:r>
              <w:rPr>
                <w:webHidden/>
                <w:rStyle w:val="IndexLink"/>
                <w:rtl w:val="true"/>
              </w:rPr>
              <w:t>مسائل</w:t>
            </w:r>
            <w:r>
              <w:rPr>
                <w:rStyle w:val="IndexLink"/>
                <w:rtl w:val="true"/>
              </w:rPr>
              <w:t>:</w:t>
              <w:tab/>
            </w:r>
            <w:r>
              <w:rPr>
                <w:rStyle w:val="IndexLink"/>
              </w:rPr>
              <w:t>211</w:t>
            </w:r>
          </w:hyperlink>
        </w:p>
        <w:p>
          <w:pPr>
            <w:pStyle w:val="Contents6"/>
            <w:tabs>
              <w:tab w:val="clear" w:pos="7609"/>
              <w:tab w:val="right" w:pos="9026" w:leader="dot"/>
            </w:tabs>
            <w:rPr/>
          </w:pPr>
          <w:hyperlink w:anchor="__RefHeading___Toc3055619_2314609296">
            <w:r>
              <w:rPr>
                <w:webHidden/>
                <w:rStyle w:val="IndexLink"/>
                <w:rtl w:val="true"/>
              </w:rPr>
              <w:t>[</w:t>
            </w:r>
            <w:r>
              <w:rPr>
                <w:rStyle w:val="IndexLink"/>
                <w:rtl w:val="true"/>
              </w:rPr>
              <w:t>مسائل</w:t>
            </w:r>
            <w:r>
              <w:rPr>
                <w:rStyle w:val="IndexLink"/>
                <w:rtl w:val="true"/>
              </w:rPr>
              <w:t>:]</w:t>
              <w:tab/>
            </w:r>
            <w:r>
              <w:rPr>
                <w:rStyle w:val="IndexLink"/>
              </w:rPr>
              <w:t>214</w:t>
            </w:r>
          </w:hyperlink>
        </w:p>
        <w:p>
          <w:pPr>
            <w:pStyle w:val="Contents5"/>
            <w:tabs>
              <w:tab w:val="clear" w:pos="7892"/>
              <w:tab w:val="right" w:pos="9026" w:leader="dot"/>
            </w:tabs>
            <w:rPr/>
          </w:pPr>
          <w:hyperlink w:anchor="__RefHeading___Toc3055621_2314609296">
            <w:r>
              <w:rPr>
                <w:webHidden/>
                <w:rStyle w:val="IndexLink"/>
                <w:rtl w:val="true"/>
              </w:rPr>
              <w:t>البحث الثانی فیما یتعلّق به من الآداب و لنذکره فی ضمن مسائل</w:t>
            </w:r>
            <w:r>
              <w:rPr>
                <w:rStyle w:val="IndexLink"/>
                <w:rtl w:val="true"/>
              </w:rPr>
              <w:t>:</w:t>
              <w:tab/>
            </w:r>
            <w:r>
              <w:rPr>
                <w:rStyle w:val="IndexLink"/>
              </w:rPr>
              <w:t>225</w:t>
            </w:r>
          </w:hyperlink>
        </w:p>
        <w:p>
          <w:pPr>
            <w:pStyle w:val="Contents5"/>
            <w:tabs>
              <w:tab w:val="clear" w:pos="7892"/>
              <w:tab w:val="right" w:pos="9026" w:leader="dot"/>
            </w:tabs>
            <w:rPr/>
          </w:pPr>
          <w:hyperlink w:anchor="__RefHeading___Toc3055623_2314609296">
            <w:r>
              <w:rPr>
                <w:webHidden/>
                <w:rStyle w:val="IndexLink"/>
                <w:rtl w:val="true"/>
              </w:rPr>
              <w:t>البحث الثالث فیما یتعلّق به من الأحکام و فیه مسائل</w:t>
            </w:r>
            <w:r>
              <w:rPr>
                <w:rStyle w:val="IndexLink"/>
                <w:rtl w:val="true"/>
              </w:rPr>
              <w:t>:</w:t>
              <w:tab/>
            </w:r>
            <w:r>
              <w:rPr>
                <w:rStyle w:val="IndexLink"/>
              </w:rPr>
              <w:t>228</w:t>
            </w:r>
          </w:hyperlink>
        </w:p>
        <w:p>
          <w:pPr>
            <w:pStyle w:val="Contents6"/>
            <w:tabs>
              <w:tab w:val="clear" w:pos="7609"/>
              <w:tab w:val="right" w:pos="9026" w:leader="dot"/>
            </w:tabs>
            <w:rPr/>
          </w:pPr>
          <w:hyperlink w:anchor="__RefHeading___Toc3055625_2314609296">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3055627_2314609296">
            <w:r>
              <w:rPr>
                <w:webHidden/>
                <w:rStyle w:val="IndexLink"/>
                <w:rtl w:val="true"/>
              </w:rPr>
              <w:t>و أنت خبیر بأنّ شیئا من هذه لا یصلح للدلالة علی ذلک</w:t>
            </w:r>
            <w:r>
              <w:rPr>
                <w:rStyle w:val="IndexLink"/>
                <w:rtl w:val="true"/>
              </w:rPr>
              <w:t>:</w:t>
              <w:tab/>
            </w:r>
            <w:r>
              <w:rPr>
                <w:rStyle w:val="IndexLink"/>
              </w:rPr>
              <w:t>272</w:t>
            </w:r>
          </w:hyperlink>
        </w:p>
        <w:p>
          <w:pPr>
            <w:pStyle w:val="Contents6"/>
            <w:tabs>
              <w:tab w:val="clear" w:pos="7609"/>
              <w:tab w:val="right" w:pos="9026" w:leader="dot"/>
            </w:tabs>
            <w:rPr/>
          </w:pPr>
          <w:hyperlink w:anchor="__RefHeading___Toc3055629_2314609296">
            <w:r>
              <w:rPr>
                <w:webHidden/>
                <w:rStyle w:val="IndexLink"/>
                <w:rtl w:val="true"/>
              </w:rPr>
              <w:t>و إن شئت توضیح ذلک فاعلم أنّ التخییر فی الشرعیّات علی أقسام</w:t>
            </w:r>
            <w:r>
              <w:rPr>
                <w:rStyle w:val="IndexLink"/>
                <w:rtl w:val="true"/>
              </w:rPr>
              <w:t>:</w:t>
              <w:tab/>
            </w:r>
            <w:r>
              <w:rPr>
                <w:rStyle w:val="IndexLink"/>
              </w:rPr>
              <w:t>275</w:t>
            </w:r>
          </w:hyperlink>
        </w:p>
        <w:p>
          <w:pPr>
            <w:pStyle w:val="Contents6"/>
            <w:tabs>
              <w:tab w:val="clear" w:pos="7609"/>
              <w:tab w:val="right" w:pos="9026" w:leader="dot"/>
            </w:tabs>
            <w:rPr/>
          </w:pPr>
          <w:hyperlink w:anchor="__RefHeading___Toc3055631_2314609296">
            <w:r>
              <w:rPr>
                <w:webHidden/>
                <w:rStyle w:val="IndexLink"/>
                <w:rtl w:val="true"/>
              </w:rPr>
              <w:t>و هذا القول لعلّه المعتمد لوجوه</w:t>
            </w:r>
            <w:r>
              <w:rPr>
                <w:rStyle w:val="IndexLink"/>
                <w:rtl w:val="true"/>
              </w:rPr>
              <w:t>:</w:t>
              <w:tab/>
            </w:r>
            <w:r>
              <w:rPr>
                <w:rStyle w:val="IndexLink"/>
              </w:rPr>
              <w:t>293</w:t>
            </w:r>
          </w:hyperlink>
        </w:p>
        <w:p>
          <w:pPr>
            <w:pStyle w:val="Contents6"/>
            <w:tabs>
              <w:tab w:val="clear" w:pos="7609"/>
              <w:tab w:val="right" w:pos="9026" w:leader="dot"/>
            </w:tabs>
            <w:rPr/>
          </w:pPr>
          <w:hyperlink w:anchor="__RefHeading___Toc3055633_2314609296">
            <w:r>
              <w:rPr>
                <w:webHidden/>
                <w:rStyle w:val="IndexLink"/>
                <w:rtl w:val="true"/>
              </w:rPr>
              <w:t>حجّة القول الأوّل وجوه</w:t>
            </w:r>
            <w:r>
              <w:rPr>
                <w:rStyle w:val="IndexLink"/>
                <w:rtl w:val="true"/>
              </w:rPr>
              <w:t>:</w:t>
              <w:tab/>
            </w:r>
            <w:r>
              <w:rPr>
                <w:rStyle w:val="IndexLink"/>
              </w:rPr>
              <w:t>297</w:t>
            </w:r>
          </w:hyperlink>
        </w:p>
        <w:p>
          <w:pPr>
            <w:pStyle w:val="Contents2"/>
            <w:tabs>
              <w:tab w:val="clear" w:pos="8743"/>
              <w:tab w:val="right" w:pos="9026" w:leader="dot"/>
            </w:tabs>
            <w:rPr/>
          </w:pPr>
          <w:hyperlink w:anchor="__RefHeading___Toc3055635_2314609296">
            <w:r>
              <w:rPr>
                <w:webHidden/>
                <w:rStyle w:val="IndexLink"/>
              </w:rPr>
              <w:t>4</w:t>
            </w:r>
            <w:r>
              <w:rPr>
                <w:rStyle w:val="IndexLink"/>
                <w:rtl w:val="true"/>
              </w:rPr>
              <w:t xml:space="preserve"> </w:t>
            </w:r>
            <w:r>
              <w:rPr>
                <w:rStyle w:val="IndexLink"/>
                <w:rtl w:val="true"/>
              </w:rPr>
              <w:t xml:space="preserve">مقدّمة الواجب السیّد ماجد بن هاشم الجدّ حفصیّ البحرانی </w:t>
            </w:r>
            <w:r>
              <w:rPr>
                <w:rStyle w:val="IndexLink"/>
                <w:rtl w:val="true"/>
              </w:rPr>
              <w:t>(</w:t>
            </w:r>
            <w:r>
              <w:rPr>
                <w:rStyle w:val="IndexLink"/>
                <w:rtl w:val="true"/>
              </w:rPr>
              <w:t xml:space="preserve">م </w:t>
            </w:r>
            <w:r>
              <w:rPr>
                <w:rStyle w:val="IndexLink"/>
              </w:rPr>
              <w:t>1028</w:t>
            </w:r>
            <w:r>
              <w:rPr>
                <w:rStyle w:val="IndexLink"/>
                <w:rtl w:val="true"/>
              </w:rPr>
              <w:t xml:space="preserve"> </w:t>
            </w:r>
            <w:r>
              <w:rPr>
                <w:rStyle w:val="IndexLink"/>
                <w:rtl w:val="true"/>
              </w:rPr>
              <w:t>ق</w:t>
            </w:r>
            <w:r>
              <w:rPr>
                <w:rStyle w:val="IndexLink"/>
                <w:rtl w:val="true"/>
              </w:rPr>
              <w:t>)</w:t>
              <w:tab/>
            </w:r>
            <w:r>
              <w:rPr>
                <w:rStyle w:val="IndexLink"/>
              </w:rPr>
              <w:t>323</w:t>
            </w:r>
          </w:hyperlink>
        </w:p>
        <w:p>
          <w:pPr>
            <w:pStyle w:val="Contents3"/>
            <w:tabs>
              <w:tab w:val="clear" w:pos="8459"/>
              <w:tab w:val="right" w:pos="9026" w:leader="dot"/>
            </w:tabs>
            <w:rPr/>
          </w:pPr>
          <w:hyperlink w:anchor="__RefHeading___Toc3055637_2314609296">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3055639_2314609296">
            <w:r>
              <w:rPr>
                <w:webHidden/>
                <w:rStyle w:val="IndexLink"/>
                <w:rtl w:val="true"/>
              </w:rPr>
              <w:t>مقدّمة التحقیق</w:t>
            </w:r>
            <w:r>
              <w:rPr>
                <w:rStyle w:val="IndexLink"/>
                <w:rtl w:val="true"/>
              </w:rPr>
              <w:tab/>
            </w:r>
            <w:r>
              <w:rPr>
                <w:rStyle w:val="IndexLink"/>
              </w:rPr>
              <w:t>324</w:t>
            </w:r>
          </w:hyperlink>
        </w:p>
        <w:p>
          <w:pPr>
            <w:pStyle w:val="Contents4"/>
            <w:tabs>
              <w:tab w:val="clear" w:pos="8176"/>
              <w:tab w:val="right" w:pos="9026" w:leader="dot"/>
            </w:tabs>
            <w:rPr/>
          </w:pPr>
          <w:hyperlink w:anchor="__RefHeading___Toc3055641_2314609296">
            <w:r>
              <w:rPr>
                <w:webHidden/>
                <w:rStyle w:val="IndexLink"/>
                <w:rtl w:val="true"/>
              </w:rPr>
              <w:t>نبذة فی شرح حال المصنّف</w:t>
            </w:r>
            <w:r>
              <w:rPr>
                <w:rStyle w:val="IndexLink"/>
                <w:rtl w:val="true"/>
              </w:rPr>
              <w:t>:</w:t>
              <w:tab/>
            </w:r>
            <w:r>
              <w:rPr>
                <w:rStyle w:val="IndexLink"/>
              </w:rPr>
              <w:t>324</w:t>
            </w:r>
          </w:hyperlink>
        </w:p>
        <w:p>
          <w:pPr>
            <w:pStyle w:val="Contents4"/>
            <w:tabs>
              <w:tab w:val="clear" w:pos="8176"/>
              <w:tab w:val="right" w:pos="9026" w:leader="dot"/>
            </w:tabs>
            <w:rPr/>
          </w:pPr>
          <w:hyperlink w:anchor="__RefHeading___Toc3055643_2314609296">
            <w:r>
              <w:rPr>
                <w:webHidden/>
                <w:rStyle w:val="IndexLink"/>
                <w:rtl w:val="true"/>
              </w:rPr>
              <w:t>تلامیذه و من أخذ عنه الإجازة</w:t>
            </w:r>
            <w:r>
              <w:rPr>
                <w:rStyle w:val="IndexLink"/>
                <w:rtl w:val="true"/>
              </w:rPr>
              <w:t>:</w:t>
              <w:tab/>
            </w:r>
            <w:r>
              <w:rPr>
                <w:rStyle w:val="IndexLink"/>
              </w:rPr>
              <w:t>327</w:t>
            </w:r>
          </w:hyperlink>
        </w:p>
        <w:p>
          <w:pPr>
            <w:pStyle w:val="Contents4"/>
            <w:tabs>
              <w:tab w:val="clear" w:pos="8176"/>
              <w:tab w:val="right" w:pos="9026" w:leader="dot"/>
            </w:tabs>
            <w:rPr/>
          </w:pPr>
          <w:hyperlink w:anchor="__RefHeading___Toc3055645_2314609296">
            <w:r>
              <w:rPr>
                <w:webHidden/>
                <w:rStyle w:val="IndexLink"/>
                <w:rtl w:val="true"/>
              </w:rPr>
              <w:t>آثاره و مصنّفاته</w:t>
            </w:r>
            <w:r>
              <w:rPr>
                <w:rStyle w:val="IndexLink"/>
                <w:rtl w:val="true"/>
              </w:rPr>
              <w:t>:</w:t>
              <w:tab/>
            </w:r>
            <w:r>
              <w:rPr>
                <w:rStyle w:val="IndexLink"/>
              </w:rPr>
              <w:t>328</w:t>
            </w:r>
          </w:hyperlink>
        </w:p>
        <w:p>
          <w:pPr>
            <w:pStyle w:val="Contents4"/>
            <w:tabs>
              <w:tab w:val="clear" w:pos="8176"/>
              <w:tab w:val="right" w:pos="9026" w:leader="dot"/>
            </w:tabs>
            <w:rPr/>
          </w:pPr>
          <w:hyperlink w:anchor="__RefHeading___Toc3055647_2314609296">
            <w:r>
              <w:rPr>
                <w:webHidden/>
                <w:rStyle w:val="IndexLink"/>
                <w:rtl w:val="true"/>
              </w:rPr>
              <w:t>وفاته و مدفنه</w:t>
            </w:r>
            <w:r>
              <w:rPr>
                <w:rStyle w:val="IndexLink"/>
                <w:rtl w:val="true"/>
              </w:rPr>
              <w:t>:</w:t>
              <w:tab/>
            </w:r>
            <w:r>
              <w:rPr>
                <w:rStyle w:val="IndexLink"/>
              </w:rPr>
              <w:t>330</w:t>
            </w:r>
          </w:hyperlink>
        </w:p>
        <w:p>
          <w:pPr>
            <w:pStyle w:val="Contents4"/>
            <w:tabs>
              <w:tab w:val="clear" w:pos="8176"/>
              <w:tab w:val="right" w:pos="9026" w:leader="dot"/>
            </w:tabs>
            <w:rPr/>
          </w:pPr>
          <w:hyperlink w:anchor="__RefHeading___Toc3055649_2314609296">
            <w:r>
              <w:rPr>
                <w:webHidden/>
                <w:rStyle w:val="IndexLink"/>
                <w:rtl w:val="true"/>
              </w:rPr>
              <w:t>مقدّمة الواجب و مخطوطاتها</w:t>
            </w:r>
            <w:r>
              <w:rPr>
                <w:rStyle w:val="IndexLink"/>
                <w:rtl w:val="true"/>
              </w:rPr>
              <w:t>:</w:t>
              <w:tab/>
            </w:r>
            <w:r>
              <w:rPr>
                <w:rStyle w:val="IndexLink"/>
              </w:rPr>
              <w:t>331</w:t>
            </w:r>
          </w:hyperlink>
        </w:p>
        <w:p>
          <w:pPr>
            <w:pStyle w:val="Contents3"/>
            <w:tabs>
              <w:tab w:val="clear" w:pos="8459"/>
              <w:tab w:val="right" w:pos="9026" w:leader="dot"/>
            </w:tabs>
            <w:rPr/>
          </w:pPr>
          <w:hyperlink w:anchor="__RefHeading___Toc3055651_2314609296">
            <w:r>
              <w:rPr>
                <w:webHidden/>
                <w:rStyle w:val="IndexLink"/>
                <w:rtl w:val="true"/>
              </w:rPr>
              <w:t>[</w:t>
            </w:r>
            <w:r>
              <w:rPr>
                <w:rStyle w:val="IndexLink"/>
                <w:rtl w:val="true"/>
              </w:rPr>
              <w:t>التحقیق فی الکتاب مقدمة الواجب</w:t>
            </w:r>
            <w:r>
              <w:rPr>
                <w:rStyle w:val="IndexLink"/>
                <w:rtl w:val="true"/>
              </w:rPr>
              <w:t>]</w:t>
              <w:tab/>
            </w:r>
            <w:r>
              <w:rPr>
                <w:rStyle w:val="IndexLink"/>
              </w:rPr>
              <w:t>334</w:t>
            </w:r>
          </w:hyperlink>
        </w:p>
        <w:p>
          <w:pPr>
            <w:pStyle w:val="Contents4"/>
            <w:tabs>
              <w:tab w:val="clear" w:pos="8176"/>
              <w:tab w:val="right" w:pos="9026" w:leader="dot"/>
            </w:tabs>
            <w:rPr/>
          </w:pPr>
          <w:hyperlink w:anchor="__RefHeading___Toc3055653_2314609296">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3055655_2314609296">
            <w:r>
              <w:rPr>
                <w:webHidden/>
                <w:rStyle w:val="IndexLink"/>
                <w:rtl w:val="true"/>
              </w:rPr>
              <w:t>و نحن نقرّر الکلام علی الوجهین</w:t>
            </w:r>
            <w:r>
              <w:rPr>
                <w:rStyle w:val="IndexLink"/>
                <w:rtl w:val="true"/>
              </w:rPr>
              <w:t>:</w:t>
              <w:tab/>
            </w:r>
            <w:r>
              <w:rPr>
                <w:rStyle w:val="IndexLink"/>
              </w:rPr>
              <w:t>337</w:t>
            </w:r>
          </w:hyperlink>
        </w:p>
        <w:p>
          <w:pPr>
            <w:pStyle w:val="Contents4"/>
            <w:tabs>
              <w:tab w:val="clear" w:pos="8176"/>
              <w:tab w:val="right" w:pos="9026" w:leader="dot"/>
            </w:tabs>
            <w:rPr/>
          </w:pPr>
          <w:hyperlink w:anchor="__RefHeading___Toc3055657_2314609296">
            <w:r>
              <w:rPr>
                <w:webHidden/>
                <w:rStyle w:val="IndexLink"/>
                <w:rtl w:val="true"/>
              </w:rPr>
              <w:t>احتجّ أصحاب القول الأوّل بوجوه</w:t>
            </w:r>
            <w:r>
              <w:rPr>
                <w:rStyle w:val="IndexLink"/>
                <w:rtl w:val="true"/>
              </w:rPr>
              <w:t>:</w:t>
              <w:tab/>
            </w:r>
            <w:r>
              <w:rPr>
                <w:rStyle w:val="IndexLink"/>
              </w:rPr>
              <w:t>338</w:t>
            </w:r>
          </w:hyperlink>
        </w:p>
        <w:p>
          <w:pPr>
            <w:pStyle w:val="Contents4"/>
            <w:tabs>
              <w:tab w:val="clear" w:pos="8176"/>
              <w:tab w:val="right" w:pos="9026" w:leader="dot"/>
            </w:tabs>
            <w:rPr/>
          </w:pPr>
          <w:hyperlink w:anchor="__RefHeading___Toc3055659_2314609296">
            <w:r>
              <w:rPr>
                <w:webHidden/>
                <w:rStyle w:val="IndexLink"/>
                <w:rtl w:val="true"/>
              </w:rPr>
              <w:t>احتجّ أصحاب القول الثانی بوجوه</w:t>
            </w:r>
            <w:r>
              <w:rPr>
                <w:rStyle w:val="IndexLink"/>
                <w:rtl w:val="true"/>
              </w:rPr>
              <w:t>:</w:t>
              <w:tab/>
            </w:r>
            <w:r>
              <w:rPr>
                <w:rStyle w:val="IndexLink"/>
              </w:rPr>
              <w:t>342</w:t>
            </w:r>
          </w:hyperlink>
        </w:p>
        <w:p>
          <w:pPr>
            <w:pStyle w:val="Contents4"/>
            <w:tabs>
              <w:tab w:val="clear" w:pos="8176"/>
              <w:tab w:val="right" w:pos="9026" w:leader="dot"/>
            </w:tabs>
            <w:rPr/>
          </w:pPr>
          <w:hyperlink w:anchor="__RefHeading___Toc3055661_2314609296">
            <w:r>
              <w:rPr>
                <w:webHidden/>
                <w:rStyle w:val="IndexLink"/>
                <w:rtl w:val="true"/>
              </w:rPr>
              <w:t>[</w:t>
            </w:r>
            <w:r>
              <w:rPr>
                <w:rStyle w:val="IndexLink"/>
                <w:rtl w:val="true"/>
              </w:rPr>
              <w:t>أدلّة أصحاب القول الثالث</w:t>
            </w:r>
            <w:r>
              <w:rPr>
                <w:rStyle w:val="IndexLink"/>
                <w:rtl w:val="true"/>
              </w:rPr>
              <w:t>]</w:t>
              <w:tab/>
            </w:r>
            <w:r>
              <w:rPr>
                <w:rStyle w:val="IndexLink"/>
              </w:rPr>
              <w:t>346</w:t>
            </w:r>
          </w:hyperlink>
        </w:p>
        <w:p>
          <w:pPr>
            <w:pStyle w:val="Contents4"/>
            <w:tabs>
              <w:tab w:val="clear" w:pos="8176"/>
              <w:tab w:val="right" w:pos="9026" w:leader="dot"/>
            </w:tabs>
            <w:rPr/>
          </w:pPr>
          <w:hyperlink w:anchor="__RefHeading___Toc3055663_2314609296">
            <w:r>
              <w:rPr>
                <w:webHidden/>
                <w:rStyle w:val="IndexLink"/>
                <w:rtl w:val="true"/>
              </w:rPr>
              <w:t>[</w:t>
            </w:r>
            <w:r>
              <w:rPr>
                <w:rStyle w:val="IndexLink"/>
                <w:rtl w:val="true"/>
              </w:rPr>
              <w:t>احتجاج ابن الحاجب علی القول الرابع</w:t>
            </w:r>
            <w:r>
              <w:rPr>
                <w:rStyle w:val="IndexLink"/>
                <w:rtl w:val="true"/>
              </w:rPr>
              <w:t>:]</w:t>
              <w:tab/>
            </w:r>
            <w:r>
              <w:rPr>
                <w:rStyle w:val="IndexLink"/>
              </w:rPr>
              <w:t>347</w:t>
            </w:r>
          </w:hyperlink>
        </w:p>
        <w:p>
          <w:pPr>
            <w:pStyle w:val="Contents4"/>
            <w:tabs>
              <w:tab w:val="clear" w:pos="8176"/>
              <w:tab w:val="right" w:pos="9026" w:leader="dot"/>
            </w:tabs>
            <w:rPr/>
          </w:pPr>
          <w:hyperlink w:anchor="__RefHeading___Toc3055665_2314609296">
            <w:r>
              <w:rPr>
                <w:webHidden/>
                <w:rStyle w:val="IndexLink"/>
                <w:rtl w:val="true"/>
              </w:rPr>
              <w:t>تنبیهات</w:t>
            </w:r>
            <w:r>
              <w:rPr>
                <w:rStyle w:val="IndexLink"/>
                <w:rtl w:val="true"/>
              </w:rPr>
              <w:t>:</w:t>
              <w:tab/>
            </w:r>
            <w:r>
              <w:rPr>
                <w:rStyle w:val="IndexLink"/>
              </w:rPr>
              <w:t>352</w:t>
            </w:r>
          </w:hyperlink>
        </w:p>
        <w:p>
          <w:pPr>
            <w:pStyle w:val="Contents2"/>
            <w:tabs>
              <w:tab w:val="clear" w:pos="8743"/>
              <w:tab w:val="right" w:pos="9026" w:leader="dot"/>
            </w:tabs>
            <w:rPr/>
          </w:pPr>
          <w:hyperlink w:anchor="__RefHeading___Toc3055667_2314609296">
            <w:r>
              <w:rPr>
                <w:webHidden/>
                <w:rStyle w:val="IndexLink"/>
              </w:rPr>
              <w:t>5</w:t>
            </w:r>
            <w:r>
              <w:rPr>
                <w:rStyle w:val="IndexLink"/>
                <w:rtl w:val="true"/>
              </w:rPr>
              <w:t xml:space="preserve"> </w:t>
            </w:r>
            <w:r>
              <w:rPr>
                <w:rStyle w:val="IndexLink"/>
                <w:rtl w:val="true"/>
              </w:rPr>
              <w:t xml:space="preserve">نزهة الأسماع فی حکم الإجماع محمّد بن الحسن الحرّ العاملی </w:t>
            </w:r>
            <w:r>
              <w:rPr>
                <w:rStyle w:val="IndexLink"/>
                <w:rtl w:val="true"/>
              </w:rPr>
              <w:t>(</w:t>
            </w:r>
            <w:r>
              <w:rPr>
                <w:rStyle w:val="IndexLink"/>
                <w:rtl w:val="true"/>
              </w:rPr>
              <w:t xml:space="preserve">م </w:t>
            </w:r>
            <w:r>
              <w:rPr>
                <w:rStyle w:val="IndexLink"/>
              </w:rPr>
              <w:t>1104</w:t>
            </w:r>
            <w:r>
              <w:rPr>
                <w:rStyle w:val="IndexLink"/>
                <w:rtl w:val="true"/>
              </w:rPr>
              <w:t xml:space="preserve"> </w:t>
            </w:r>
            <w:r>
              <w:rPr>
                <w:rStyle w:val="IndexLink"/>
                <w:rtl w:val="true"/>
              </w:rPr>
              <w:t>ق</w:t>
            </w:r>
            <w:r>
              <w:rPr>
                <w:rStyle w:val="IndexLink"/>
                <w:rtl w:val="true"/>
              </w:rPr>
              <w:t>)</w:t>
              <w:tab/>
            </w:r>
            <w:r>
              <w:rPr>
                <w:rStyle w:val="IndexLink"/>
              </w:rPr>
              <w:t>358</w:t>
            </w:r>
          </w:hyperlink>
        </w:p>
        <w:p>
          <w:pPr>
            <w:pStyle w:val="Contents3"/>
            <w:tabs>
              <w:tab w:val="clear" w:pos="8459"/>
              <w:tab w:val="right" w:pos="9026" w:leader="dot"/>
            </w:tabs>
            <w:rPr/>
          </w:pPr>
          <w:hyperlink w:anchor="__RefHeading___Toc3055669_2314609296">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3055671_2314609296">
            <w:r>
              <w:rPr>
                <w:webHidden/>
                <w:rStyle w:val="IndexLink"/>
                <w:rtl w:val="true"/>
              </w:rPr>
              <w:t>مقدّمة التحقیق</w:t>
            </w:r>
            <w:r>
              <w:rPr>
                <w:rStyle w:val="IndexLink"/>
                <w:rtl w:val="true"/>
              </w:rPr>
              <w:tab/>
            </w:r>
            <w:r>
              <w:rPr>
                <w:rStyle w:val="IndexLink"/>
              </w:rPr>
              <w:t>359</w:t>
            </w:r>
          </w:hyperlink>
        </w:p>
        <w:p>
          <w:pPr>
            <w:pStyle w:val="Contents4"/>
            <w:tabs>
              <w:tab w:val="clear" w:pos="8176"/>
              <w:tab w:val="right" w:pos="9026" w:leader="dot"/>
            </w:tabs>
            <w:rPr/>
          </w:pPr>
          <w:hyperlink w:anchor="__RefHeading___Toc3055673_2314609296">
            <w:r>
              <w:rPr>
                <w:webHidden/>
                <w:rStyle w:val="IndexLink"/>
                <w:rtl w:val="true"/>
              </w:rPr>
              <w:t>ترجمة المؤلّف</w:t>
            </w:r>
            <w:r>
              <w:rPr>
                <w:rStyle w:val="IndexLink"/>
                <w:rtl w:val="true"/>
              </w:rPr>
              <w:tab/>
            </w:r>
            <w:r>
              <w:rPr>
                <w:rStyle w:val="IndexLink"/>
              </w:rPr>
              <w:t>359</w:t>
            </w:r>
          </w:hyperlink>
        </w:p>
        <w:p>
          <w:pPr>
            <w:pStyle w:val="Contents4"/>
            <w:tabs>
              <w:tab w:val="clear" w:pos="8176"/>
              <w:tab w:val="right" w:pos="9026" w:leader="dot"/>
            </w:tabs>
            <w:rPr/>
          </w:pPr>
          <w:hyperlink w:anchor="__RefHeading___Toc3055675_2314609296">
            <w:r>
              <w:rPr>
                <w:webHidden/>
                <w:rStyle w:val="IndexLink"/>
                <w:rtl w:val="true"/>
              </w:rPr>
              <w:t>و طبع من مؤلّفاته</w:t>
            </w:r>
            <w:r>
              <w:rPr>
                <w:rStyle w:val="IndexLink"/>
                <w:rtl w:val="true"/>
              </w:rPr>
              <w:t>:</w:t>
              <w:tab/>
            </w:r>
            <w:r>
              <w:rPr>
                <w:rStyle w:val="IndexLink"/>
              </w:rPr>
              <w:t>361</w:t>
            </w:r>
          </w:hyperlink>
        </w:p>
        <w:p>
          <w:pPr>
            <w:pStyle w:val="Contents4"/>
            <w:tabs>
              <w:tab w:val="clear" w:pos="8176"/>
              <w:tab w:val="right" w:pos="9026" w:leader="dot"/>
            </w:tabs>
            <w:rPr/>
          </w:pPr>
          <w:hyperlink w:anchor="__RefHeading___Toc3055677_2314609296">
            <w:r>
              <w:rPr>
                <w:webHidden/>
                <w:rStyle w:val="IndexLink"/>
                <w:rtl w:val="true"/>
              </w:rPr>
              <w:t>نزهة الأسماع فی حکم الإجماع</w:t>
            </w:r>
            <w:r>
              <w:rPr>
                <w:rStyle w:val="IndexLink"/>
                <w:rtl w:val="true"/>
              </w:rPr>
              <w:t>:</w:t>
              <w:tab/>
            </w:r>
            <w:r>
              <w:rPr>
                <w:rStyle w:val="IndexLink"/>
              </w:rPr>
              <w:t>362</w:t>
            </w:r>
          </w:hyperlink>
        </w:p>
        <w:p>
          <w:pPr>
            <w:pStyle w:val="Contents4"/>
            <w:tabs>
              <w:tab w:val="clear" w:pos="8176"/>
              <w:tab w:val="right" w:pos="9026" w:leader="dot"/>
            </w:tabs>
            <w:rPr/>
          </w:pPr>
          <w:hyperlink w:anchor="__RefHeading___Toc3055679_2314609296">
            <w:r>
              <w:rPr>
                <w:webHidden/>
                <w:rStyle w:val="IndexLink"/>
                <w:rtl w:val="true"/>
              </w:rPr>
              <w:t>النسخ المعتمدة</w:t>
            </w:r>
            <w:r>
              <w:rPr>
                <w:rStyle w:val="IndexLink"/>
                <w:rtl w:val="true"/>
              </w:rPr>
              <w:t>:</w:t>
              <w:tab/>
            </w:r>
            <w:r>
              <w:rPr>
                <w:rStyle w:val="IndexLink"/>
              </w:rPr>
              <w:t>363</w:t>
            </w:r>
          </w:hyperlink>
        </w:p>
        <w:p>
          <w:pPr>
            <w:pStyle w:val="Contents3"/>
            <w:tabs>
              <w:tab w:val="clear" w:pos="8459"/>
              <w:tab w:val="right" w:pos="9026" w:leader="dot"/>
            </w:tabs>
            <w:rPr/>
          </w:pPr>
          <w:hyperlink w:anchor="__RefHeading___Toc3055681_2314609296">
            <w:r>
              <w:rPr>
                <w:webHidden/>
                <w:rStyle w:val="IndexLink"/>
                <w:rtl w:val="true"/>
              </w:rPr>
              <w:t>[</w:t>
            </w:r>
            <w:r>
              <w:rPr>
                <w:rStyle w:val="IndexLink"/>
                <w:rtl w:val="true"/>
              </w:rPr>
              <w:t>التحقیق فی الکتاب نزهة الأسماع فی حکم الإجماع</w:t>
            </w:r>
            <w:r>
              <w:rPr>
                <w:rStyle w:val="IndexLink"/>
                <w:rtl w:val="true"/>
              </w:rPr>
              <w:t>]</w:t>
              <w:tab/>
            </w:r>
            <w:r>
              <w:rPr>
                <w:rStyle w:val="IndexLink"/>
              </w:rPr>
              <w:t>369</w:t>
            </w:r>
          </w:hyperlink>
        </w:p>
        <w:p>
          <w:pPr>
            <w:pStyle w:val="Contents4"/>
            <w:tabs>
              <w:tab w:val="clear" w:pos="8176"/>
              <w:tab w:val="right" w:pos="9026" w:leader="dot"/>
            </w:tabs>
            <w:rPr/>
          </w:pPr>
          <w:hyperlink w:anchor="__RefHeading___Toc3055683_2314609296">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3055685_2314609296">
            <w:r>
              <w:rPr>
                <w:webHidden/>
                <w:rStyle w:val="IndexLink"/>
                <w:rtl w:val="true"/>
              </w:rPr>
              <w:t>[</w:t>
            </w:r>
            <w:r>
              <w:rPr>
                <w:rStyle w:val="IndexLink"/>
                <w:rtl w:val="true"/>
              </w:rPr>
              <w:t>الفصل</w:t>
            </w:r>
            <w:r>
              <w:rPr>
                <w:rStyle w:val="IndexLink"/>
                <w:rtl w:val="true"/>
              </w:rPr>
              <w:t xml:space="preserve">] </w:t>
            </w:r>
            <w:r>
              <w:rPr>
                <w:rStyle w:val="IndexLink"/>
                <w:rtl w:val="true"/>
              </w:rPr>
              <w:t>الأوّل فی معنی الإجماع عند الاصولیین</w:t>
            </w:r>
            <w:r>
              <w:rPr>
                <w:rStyle w:val="IndexLink"/>
                <w:rtl w:val="true"/>
              </w:rPr>
              <w:tab/>
            </w:r>
            <w:r>
              <w:rPr>
                <w:rStyle w:val="IndexLink"/>
              </w:rPr>
              <w:t>370</w:t>
            </w:r>
          </w:hyperlink>
        </w:p>
        <w:p>
          <w:pPr>
            <w:pStyle w:val="Contents4"/>
            <w:tabs>
              <w:tab w:val="clear" w:pos="8176"/>
              <w:tab w:val="right" w:pos="9026" w:leader="dot"/>
            </w:tabs>
            <w:rPr/>
          </w:pPr>
          <w:hyperlink w:anchor="__RefHeading___Toc3055687_2314609296">
            <w:r>
              <w:rPr>
                <w:webHidden/>
                <w:rStyle w:val="IndexLink"/>
                <w:rtl w:val="true"/>
              </w:rPr>
              <w:t>الفصل الثانی فی معنی الإجماع عند الأخباریین</w:t>
            </w:r>
            <w:r>
              <w:rPr>
                <w:rStyle w:val="IndexLink"/>
                <w:rtl w:val="true"/>
              </w:rPr>
              <w:tab/>
            </w:r>
            <w:r>
              <w:rPr>
                <w:rStyle w:val="IndexLink"/>
              </w:rPr>
              <w:t>371</w:t>
            </w:r>
          </w:hyperlink>
        </w:p>
        <w:p>
          <w:pPr>
            <w:pStyle w:val="Contents4"/>
            <w:tabs>
              <w:tab w:val="clear" w:pos="8176"/>
              <w:tab w:val="right" w:pos="9026" w:leader="dot"/>
            </w:tabs>
            <w:rPr/>
          </w:pPr>
          <w:hyperlink w:anchor="__RefHeading___Toc3055689_2314609296">
            <w:r>
              <w:rPr>
                <w:webHidden/>
                <w:rStyle w:val="IndexLink"/>
                <w:rtl w:val="true"/>
              </w:rPr>
              <w:t>الفصل الثالث فی بیان ما هو حجّة من الإجماع، و الکلام فی تحقّقه و عدمه</w:t>
            </w:r>
            <w:r>
              <w:rPr>
                <w:rStyle w:val="IndexLink"/>
                <w:rtl w:val="true"/>
              </w:rPr>
              <w:tab/>
            </w:r>
            <w:r>
              <w:rPr>
                <w:rStyle w:val="IndexLink"/>
              </w:rPr>
              <w:t>373</w:t>
            </w:r>
          </w:hyperlink>
        </w:p>
        <w:p>
          <w:pPr>
            <w:pStyle w:val="Contents4"/>
            <w:tabs>
              <w:tab w:val="clear" w:pos="8176"/>
              <w:tab w:val="right" w:pos="9026" w:leader="dot"/>
            </w:tabs>
            <w:rPr/>
          </w:pPr>
          <w:hyperlink w:anchor="__RefHeading___Toc3055691_2314609296">
            <w:r>
              <w:rPr>
                <w:webHidden/>
                <w:rStyle w:val="IndexLink"/>
                <w:rtl w:val="true"/>
              </w:rPr>
              <w:t>الفصل الرابع فی ذکر بعض الأحادیث الدالّة علی ما قلنا عموما أو خصوصا و بعض ما یناسب المقصود</w:t>
            </w:r>
            <w:r>
              <w:rPr>
                <w:rStyle w:val="IndexLink"/>
                <w:rtl w:val="true"/>
              </w:rPr>
              <w:tab/>
            </w:r>
            <w:r>
              <w:rPr>
                <w:rStyle w:val="IndexLink"/>
              </w:rPr>
              <w:t>383</w:t>
            </w:r>
          </w:hyperlink>
        </w:p>
        <w:p>
          <w:pPr>
            <w:pStyle w:val="Contents4"/>
            <w:tabs>
              <w:tab w:val="clear" w:pos="8176"/>
              <w:tab w:val="right" w:pos="9026" w:leader="dot"/>
            </w:tabs>
            <w:rPr/>
          </w:pPr>
          <w:hyperlink w:anchor="__RefHeading___Toc3055693_2314609296">
            <w:r>
              <w:rPr>
                <w:webHidden/>
                <w:rStyle w:val="IndexLink"/>
                <w:rtl w:val="true"/>
              </w:rPr>
              <w:t>الفصل الخامس فی المعانی التی تستعمل فیها لفظ الإجماع أحیانا</w:t>
            </w:r>
            <w:r>
              <w:rPr>
                <w:rStyle w:val="IndexLink"/>
                <w:rtl w:val="true"/>
              </w:rPr>
              <w:tab/>
            </w:r>
            <w:r>
              <w:rPr>
                <w:rStyle w:val="IndexLink"/>
              </w:rPr>
              <w:t>391</w:t>
            </w:r>
          </w:hyperlink>
        </w:p>
        <w:p>
          <w:pPr>
            <w:pStyle w:val="Contents4"/>
            <w:tabs>
              <w:tab w:val="clear" w:pos="8176"/>
              <w:tab w:val="right" w:pos="9026" w:leader="dot"/>
            </w:tabs>
            <w:rPr/>
          </w:pPr>
          <w:hyperlink w:anchor="__RefHeading___Toc3055695_2314609296">
            <w:r>
              <w:rPr>
                <w:webHidden/>
                <w:rStyle w:val="IndexLink"/>
                <w:rtl w:val="true"/>
              </w:rPr>
              <w:t>الفصل السادس فی وجه تعارض دعوی الإجماع کثیرا</w:t>
            </w:r>
            <w:r>
              <w:rPr>
                <w:rStyle w:val="IndexLink"/>
                <w:rtl w:val="true"/>
              </w:rPr>
              <w:tab/>
            </w:r>
            <w:r>
              <w:rPr>
                <w:rStyle w:val="IndexLink"/>
              </w:rPr>
              <w:t>392</w:t>
            </w:r>
          </w:hyperlink>
        </w:p>
        <w:p>
          <w:pPr>
            <w:pStyle w:val="Contents4"/>
            <w:tabs>
              <w:tab w:val="clear" w:pos="8176"/>
              <w:tab w:val="right" w:pos="9026" w:leader="dot"/>
            </w:tabs>
            <w:rPr/>
          </w:pPr>
          <w:hyperlink w:anchor="__RefHeading___Toc3055697_2314609296">
            <w:r>
              <w:rPr>
                <w:webHidden/>
                <w:rStyle w:val="IndexLink"/>
                <w:rtl w:val="true"/>
              </w:rPr>
              <w:t>الفصل السابع فی وجه حصول الخلاف مع دعوی الإجماع فی کثیر من المسائل</w:t>
            </w:r>
            <w:r>
              <w:rPr>
                <w:rStyle w:val="IndexLink"/>
                <w:rtl w:val="true"/>
              </w:rPr>
              <w:tab/>
            </w:r>
            <w:r>
              <w:rPr>
                <w:rStyle w:val="IndexLink"/>
              </w:rPr>
              <w:t>403</w:t>
            </w:r>
          </w:hyperlink>
        </w:p>
        <w:p>
          <w:pPr>
            <w:pStyle w:val="Contents4"/>
            <w:tabs>
              <w:tab w:val="clear" w:pos="8176"/>
              <w:tab w:val="right" w:pos="9026" w:leader="dot"/>
            </w:tabs>
            <w:rPr/>
          </w:pPr>
          <w:hyperlink w:anchor="__RefHeading___Toc3055699_2314609296">
            <w:r>
              <w:rPr>
                <w:webHidden/>
                <w:rStyle w:val="IndexLink"/>
                <w:rtl w:val="true"/>
              </w:rPr>
              <w:t>الفصل الثامن فی کیفیة العمل بالإجماع مع تعارض دعواه، أو حصول الخلاف معه</w:t>
            </w:r>
            <w:r>
              <w:rPr>
                <w:rStyle w:val="IndexLink"/>
                <w:rtl w:val="true"/>
              </w:rPr>
              <w:tab/>
            </w:r>
            <w:r>
              <w:rPr>
                <w:rStyle w:val="IndexLink"/>
              </w:rPr>
              <w:t>405</w:t>
            </w:r>
          </w:hyperlink>
        </w:p>
        <w:p>
          <w:pPr>
            <w:pStyle w:val="Contents4"/>
            <w:tabs>
              <w:tab w:val="clear" w:pos="8176"/>
              <w:tab w:val="right" w:pos="9026" w:leader="dot"/>
            </w:tabs>
            <w:rPr/>
          </w:pPr>
          <w:hyperlink w:anchor="__RefHeading___Toc3055701_2314609296">
            <w:r>
              <w:rPr>
                <w:webHidden/>
                <w:rStyle w:val="IndexLink"/>
                <w:rtl w:val="true"/>
              </w:rPr>
              <w:t>الفصل التاسع فیما یعرف به دخول المعصوم فی الإجماع</w:t>
            </w:r>
            <w:r>
              <w:rPr>
                <w:rStyle w:val="IndexLink"/>
                <w:rtl w:val="true"/>
              </w:rPr>
              <w:tab/>
            </w:r>
            <w:r>
              <w:rPr>
                <w:rStyle w:val="IndexLink"/>
              </w:rPr>
              <w:t>419</w:t>
            </w:r>
          </w:hyperlink>
        </w:p>
        <w:p>
          <w:pPr>
            <w:pStyle w:val="Contents4"/>
            <w:tabs>
              <w:tab w:val="clear" w:pos="8176"/>
              <w:tab w:val="right" w:pos="9026" w:leader="dot"/>
            </w:tabs>
            <w:rPr/>
          </w:pPr>
          <w:hyperlink w:anchor="__RefHeading___Toc3055703_2314609296">
            <w:r>
              <w:rPr>
                <w:webHidden/>
                <w:rStyle w:val="IndexLink"/>
                <w:rtl w:val="true"/>
              </w:rPr>
              <w:t>الفصل العاشر فی بیان الأحادیث المجمع علیها عموما أو خصوصا</w:t>
            </w:r>
            <w:r>
              <w:rPr>
                <w:rStyle w:val="IndexLink"/>
                <w:rtl w:val="true"/>
              </w:rPr>
              <w:tab/>
            </w:r>
            <w:r>
              <w:rPr>
                <w:rStyle w:val="IndexLink"/>
              </w:rPr>
              <w:t>423</w:t>
            </w:r>
          </w:hyperlink>
        </w:p>
        <w:p>
          <w:pPr>
            <w:pStyle w:val="Contents4"/>
            <w:tabs>
              <w:tab w:val="clear" w:pos="8176"/>
              <w:tab w:val="right" w:pos="9026" w:leader="dot"/>
            </w:tabs>
            <w:rPr/>
          </w:pPr>
          <w:hyperlink w:anchor="__RefHeading___Toc3055705_2314609296">
            <w:r>
              <w:rPr>
                <w:webHidden/>
                <w:rStyle w:val="IndexLink"/>
                <w:rtl w:val="true"/>
              </w:rPr>
              <w:t>الفصل الحادی عشر فی ذکر ما یمکن دعوی الإجماع فیه و إن لم یصرّحوا به</w:t>
            </w:r>
            <w:r>
              <w:rPr>
                <w:rStyle w:val="IndexLink"/>
                <w:rtl w:val="true"/>
              </w:rPr>
              <w:tab/>
            </w:r>
            <w:r>
              <w:rPr>
                <w:rStyle w:val="IndexLink"/>
              </w:rPr>
              <w:t>428</w:t>
            </w:r>
          </w:hyperlink>
        </w:p>
        <w:p>
          <w:pPr>
            <w:pStyle w:val="Contents4"/>
            <w:tabs>
              <w:tab w:val="clear" w:pos="8176"/>
              <w:tab w:val="right" w:pos="9026" w:leader="dot"/>
            </w:tabs>
            <w:rPr/>
          </w:pPr>
          <w:hyperlink w:anchor="__RefHeading___Toc3055707_2314609296">
            <w:r>
              <w:rPr>
                <w:webHidden/>
                <w:rStyle w:val="IndexLink"/>
                <w:rtl w:val="true"/>
              </w:rPr>
              <w:t>الفصل الثانی عشر فی ذکر القرائن المقترنة بأحد الإجماعین المدّعیین و بالأحادیث المجمع علیها</w:t>
            </w:r>
            <w:r>
              <w:rPr>
                <w:rStyle w:val="IndexLink"/>
                <w:rtl w:val="true"/>
              </w:rPr>
              <w:tab/>
            </w:r>
            <w:r>
              <w:rPr>
                <w:rStyle w:val="IndexLink"/>
              </w:rPr>
              <w:t>429</w:t>
            </w:r>
          </w:hyperlink>
        </w:p>
        <w:p>
          <w:pPr>
            <w:pStyle w:val="Contents4"/>
            <w:tabs>
              <w:tab w:val="clear" w:pos="8176"/>
              <w:tab w:val="right" w:pos="9026" w:leader="dot"/>
            </w:tabs>
            <w:rPr/>
          </w:pPr>
          <w:hyperlink w:anchor="__RefHeading___Toc3055709_2314609296">
            <w:r>
              <w:rPr>
                <w:webHidden/>
                <w:rStyle w:val="IndexLink"/>
                <w:rtl w:val="true"/>
              </w:rPr>
              <w:t>[</w:t>
            </w:r>
            <w:r>
              <w:rPr>
                <w:rStyle w:val="IndexLink"/>
                <w:rtl w:val="true"/>
              </w:rPr>
              <w:t>القرائن الدالّة علی صحّة أحادیث الکتب الأربعة</w:t>
            </w:r>
            <w:r>
              <w:rPr>
                <w:rStyle w:val="IndexLink"/>
                <w:rtl w:val="true"/>
              </w:rPr>
              <w:t>:]</w:t>
              <w:tab/>
            </w:r>
            <w:r>
              <w:rPr>
                <w:rStyle w:val="IndexLink"/>
              </w:rPr>
              <w:t>431</w:t>
            </w:r>
          </w:hyperlink>
        </w:p>
        <w:p>
          <w:pPr>
            <w:pStyle w:val="Contents4"/>
            <w:tabs>
              <w:tab w:val="clear" w:pos="8176"/>
              <w:tab w:val="right" w:pos="9026" w:leader="dot"/>
            </w:tabs>
            <w:rPr/>
          </w:pPr>
          <w:hyperlink w:anchor="__RefHeading___Toc3055711_2314609296">
            <w:r>
              <w:rPr>
                <w:webHidden/>
                <w:rStyle w:val="IndexLink"/>
                <w:rtl w:val="true"/>
              </w:rPr>
              <w:t>خاتمة هی فذلکة الحساب و نتیجة مقدّمات الأبواب</w:t>
            </w:r>
            <w:r>
              <w:rPr>
                <w:rStyle w:val="IndexLink"/>
                <w:rtl w:val="true"/>
              </w:rPr>
              <w:tab/>
            </w:r>
            <w:r>
              <w:rPr>
                <w:rStyle w:val="IndexLink"/>
              </w:rPr>
              <w:t>437</w:t>
            </w:r>
          </w:hyperlink>
        </w:p>
        <w:p>
          <w:pPr>
            <w:pStyle w:val="Contents4"/>
            <w:tabs>
              <w:tab w:val="clear" w:pos="8176"/>
              <w:tab w:val="right" w:pos="9026" w:leader="dot"/>
            </w:tabs>
            <w:rPr/>
          </w:pPr>
          <w:hyperlink w:anchor="__RefHeading___Toc3055713_2314609296">
            <w:r>
              <w:rPr>
                <w:webHidden/>
                <w:rStyle w:val="IndexLink"/>
                <w:rtl w:val="true"/>
              </w:rPr>
              <w:t>و لنذکر ممّا یدلّ علی ذلک وجوها اثنی عشر</w:t>
            </w:r>
            <w:r>
              <w:rPr>
                <w:rStyle w:val="IndexLink"/>
                <w:rtl w:val="true"/>
              </w:rPr>
              <w:t>:</w:t>
              <w:tab/>
            </w:r>
            <w:r>
              <w:rPr>
                <w:rStyle w:val="IndexLink"/>
              </w:rPr>
              <w:t>438</w:t>
            </w:r>
          </w:hyperlink>
        </w:p>
        <w:p>
          <w:pPr>
            <w:pStyle w:val="Contents4"/>
            <w:tabs>
              <w:tab w:val="clear" w:pos="8176"/>
              <w:tab w:val="right" w:pos="9026" w:leader="dot"/>
            </w:tabs>
            <w:rPr/>
          </w:pPr>
          <w:hyperlink w:anchor="__RefHeading___Toc3055715_2314609296">
            <w:r>
              <w:rPr>
                <w:webHidden/>
                <w:rStyle w:val="IndexLink"/>
                <w:rtl w:val="true"/>
              </w:rPr>
              <w:t>فصل و لنذکر من الأحادیث الدالّة علی ما ذکرنا فی هذا المقام</w:t>
            </w:r>
            <w:r>
              <w:rPr>
                <w:rStyle w:val="IndexLink"/>
                <w:rtl w:val="true"/>
              </w:rPr>
              <w:tab/>
            </w:r>
            <w:r>
              <w:rPr>
                <w:rStyle w:val="IndexLink"/>
              </w:rPr>
              <w:t>440</w:t>
            </w:r>
          </w:hyperlink>
        </w:p>
        <w:p>
          <w:pPr>
            <w:pStyle w:val="Contents4"/>
            <w:tabs>
              <w:tab w:val="clear" w:pos="8176"/>
              <w:tab w:val="right" w:pos="9026" w:leader="dot"/>
            </w:tabs>
            <w:rPr/>
          </w:pPr>
          <w:hyperlink w:anchor="__RefHeading___Toc3055717_2314609296">
            <w:r>
              <w:rPr>
                <w:webHidden/>
                <w:rStyle w:val="IndexLink"/>
                <w:rtl w:val="true"/>
              </w:rPr>
              <w:t>[</w:t>
            </w:r>
            <w:r>
              <w:rPr>
                <w:rStyle w:val="IndexLink"/>
                <w:rtl w:val="true"/>
              </w:rPr>
              <w:t>فصل</w:t>
            </w:r>
            <w:r>
              <w:rPr>
                <w:rStyle w:val="IndexLink"/>
                <w:rtl w:val="true"/>
              </w:rPr>
              <w:t xml:space="preserve">: </w:t>
            </w:r>
            <w:r>
              <w:rPr>
                <w:rStyle w:val="IndexLink"/>
                <w:rtl w:val="true"/>
              </w:rPr>
              <w:t>فی وجوب الرجوع إلی کلام أهل العصمة فی الاصول و الفروع</w:t>
            </w:r>
            <w:r>
              <w:rPr>
                <w:rStyle w:val="IndexLink"/>
                <w:rtl w:val="true"/>
              </w:rPr>
              <w:t>]</w:t>
              <w:tab/>
            </w:r>
            <w:r>
              <w:rPr>
                <w:rStyle w:val="IndexLink"/>
              </w:rPr>
              <w:t>444</w:t>
            </w:r>
          </w:hyperlink>
        </w:p>
        <w:p>
          <w:pPr>
            <w:pStyle w:val="Contents4"/>
            <w:tabs>
              <w:tab w:val="clear" w:pos="8176"/>
              <w:tab w:val="right" w:pos="9026" w:leader="dot"/>
            </w:tabs>
            <w:rPr/>
          </w:pPr>
          <w:hyperlink w:anchor="__RefHeading___Toc3055719_2314609296">
            <w:r>
              <w:rPr>
                <w:webHidden/>
                <w:rStyle w:val="IndexLink"/>
                <w:rtl w:val="true"/>
              </w:rPr>
              <w:t>[</w:t>
            </w:r>
            <w:r>
              <w:rPr>
                <w:rStyle w:val="IndexLink"/>
                <w:rtl w:val="true"/>
              </w:rPr>
              <w:t>فصل</w:t>
            </w:r>
            <w:r>
              <w:rPr>
                <w:rStyle w:val="IndexLink"/>
                <w:rtl w:val="true"/>
              </w:rPr>
              <w:t xml:space="preserve">: </w:t>
            </w:r>
            <w:r>
              <w:rPr>
                <w:rStyle w:val="IndexLink"/>
                <w:rtl w:val="true"/>
              </w:rPr>
              <w:t>الأحادیث الدالّة علی وجوب الرجوع إلیهم علیهم السّلام فی الاصول</w:t>
            </w:r>
            <w:r>
              <w:rPr>
                <w:rStyle w:val="IndexLink"/>
                <w:rtl w:val="true"/>
              </w:rPr>
              <w:t>]</w:t>
              <w:tab/>
            </w:r>
            <w:r>
              <w:rPr>
                <w:rStyle w:val="IndexLink"/>
              </w:rPr>
              <w:t>449</w:t>
            </w:r>
          </w:hyperlink>
        </w:p>
        <w:p>
          <w:pPr>
            <w:pStyle w:val="Contents2"/>
            <w:tabs>
              <w:tab w:val="clear" w:pos="8743"/>
              <w:tab w:val="right" w:pos="9026" w:leader="dot"/>
            </w:tabs>
            <w:rPr/>
          </w:pPr>
          <w:hyperlink w:anchor="__RefHeading___Toc3055721_2314609296">
            <w:r>
              <w:rPr>
                <w:webHidden/>
                <w:rStyle w:val="IndexLink"/>
              </w:rPr>
              <w:t>6</w:t>
            </w:r>
            <w:r>
              <w:rPr>
                <w:rStyle w:val="IndexLink"/>
                <w:rtl w:val="true"/>
              </w:rPr>
              <w:t xml:space="preserve"> </w:t>
            </w:r>
            <w:r>
              <w:rPr>
                <w:rStyle w:val="IndexLink"/>
                <w:rtl w:val="true"/>
              </w:rPr>
              <w:t xml:space="preserve">حجّیة الشهرة السیّد علیّ الطباطبائی </w:t>
            </w:r>
            <w:r>
              <w:rPr>
                <w:rStyle w:val="IndexLink"/>
                <w:rtl w:val="true"/>
              </w:rPr>
              <w:t>(</w:t>
            </w:r>
            <w:r>
              <w:rPr>
                <w:rStyle w:val="IndexLink"/>
                <w:rtl w:val="true"/>
              </w:rPr>
              <w:t>صاحب ریاض المسائل</w:t>
            </w:r>
            <w:r>
              <w:rPr>
                <w:rStyle w:val="IndexLink"/>
                <w:rtl w:val="true"/>
              </w:rPr>
              <w:t>) (</w:t>
            </w:r>
            <w:r>
              <w:rPr>
                <w:rStyle w:val="IndexLink"/>
                <w:rtl w:val="true"/>
              </w:rPr>
              <w:t xml:space="preserve">م </w:t>
            </w:r>
            <w:r>
              <w:rPr>
                <w:rStyle w:val="IndexLink"/>
              </w:rPr>
              <w:t>1231</w:t>
            </w:r>
            <w:r>
              <w:rPr>
                <w:rStyle w:val="IndexLink"/>
                <w:rtl w:val="true"/>
              </w:rPr>
              <w:t xml:space="preserve"> </w:t>
            </w:r>
            <w:r>
              <w:rPr>
                <w:rStyle w:val="IndexLink"/>
                <w:rtl w:val="true"/>
              </w:rPr>
              <w:t>ق</w:t>
            </w:r>
            <w:r>
              <w:rPr>
                <w:rStyle w:val="IndexLink"/>
                <w:rtl w:val="true"/>
              </w:rPr>
              <w:t xml:space="preserve">) </w:t>
            </w:r>
            <w:r>
              <w:rPr>
                <w:rStyle w:val="IndexLink"/>
                <w:rtl w:val="true"/>
              </w:rPr>
              <w:t>تحقیق علیّ الفاضلی</w:t>
            </w:r>
            <w:r>
              <w:rPr>
                <w:rStyle w:val="IndexLink"/>
                <w:rtl w:val="true"/>
              </w:rPr>
              <w:tab/>
            </w:r>
            <w:r>
              <w:rPr>
                <w:rStyle w:val="IndexLink"/>
              </w:rPr>
              <w:t>455</w:t>
            </w:r>
          </w:hyperlink>
        </w:p>
        <w:p>
          <w:pPr>
            <w:pStyle w:val="Contents3"/>
            <w:tabs>
              <w:tab w:val="clear" w:pos="8459"/>
              <w:tab w:val="right" w:pos="9026" w:leader="dot"/>
            </w:tabs>
            <w:rPr/>
          </w:pPr>
          <w:hyperlink w:anchor="__RefHeading___Toc3055723_2314609296">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3055725_2314609296">
            <w:r>
              <w:rPr>
                <w:webHidden/>
                <w:rStyle w:val="IndexLink"/>
                <w:rtl w:val="true"/>
              </w:rPr>
              <w:t>مقدّمة التحقیق</w:t>
            </w:r>
            <w:r>
              <w:rPr>
                <w:rStyle w:val="IndexLink"/>
                <w:rtl w:val="true"/>
              </w:rPr>
              <w:tab/>
            </w:r>
            <w:r>
              <w:rPr>
                <w:rStyle w:val="IndexLink"/>
              </w:rPr>
              <w:t>456</w:t>
            </w:r>
          </w:hyperlink>
        </w:p>
        <w:p>
          <w:pPr>
            <w:pStyle w:val="Contents4"/>
            <w:tabs>
              <w:tab w:val="clear" w:pos="8176"/>
              <w:tab w:val="right" w:pos="9026" w:leader="dot"/>
            </w:tabs>
            <w:rPr/>
          </w:pPr>
          <w:hyperlink w:anchor="__RefHeading___Toc3055727_2314609296">
            <w:r>
              <w:rPr>
                <w:webHidden/>
                <w:rStyle w:val="IndexLink"/>
                <w:rtl w:val="true"/>
              </w:rPr>
              <w:t>المؤلّف و اسرته</w:t>
            </w:r>
            <w:r>
              <w:rPr>
                <w:rStyle w:val="IndexLink"/>
                <w:rtl w:val="true"/>
              </w:rPr>
              <w:tab/>
            </w:r>
            <w:r>
              <w:rPr>
                <w:rStyle w:val="IndexLink"/>
              </w:rPr>
              <w:t>456</w:t>
            </w:r>
          </w:hyperlink>
        </w:p>
        <w:p>
          <w:pPr>
            <w:pStyle w:val="Contents4"/>
            <w:tabs>
              <w:tab w:val="clear" w:pos="8176"/>
              <w:tab w:val="right" w:pos="9026" w:leader="dot"/>
            </w:tabs>
            <w:rPr/>
          </w:pPr>
          <w:hyperlink w:anchor="__RefHeading___Toc3055729_2314609296">
            <w:r>
              <w:rPr>
                <w:webHidden/>
                <w:rStyle w:val="IndexLink"/>
                <w:rtl w:val="true"/>
              </w:rPr>
              <w:t>أولاده</w:t>
            </w:r>
            <w:r>
              <w:rPr>
                <w:rStyle w:val="IndexLink"/>
                <w:rtl w:val="true"/>
              </w:rPr>
              <w:t>:</w:t>
              <w:tab/>
            </w:r>
            <w:r>
              <w:rPr>
                <w:rStyle w:val="IndexLink"/>
              </w:rPr>
              <w:t>457</w:t>
            </w:r>
          </w:hyperlink>
        </w:p>
        <w:p>
          <w:pPr>
            <w:pStyle w:val="Contents4"/>
            <w:tabs>
              <w:tab w:val="clear" w:pos="8176"/>
              <w:tab w:val="right" w:pos="9026" w:leader="dot"/>
            </w:tabs>
            <w:rPr/>
          </w:pPr>
          <w:hyperlink w:anchor="__RefHeading___Toc3055731_2314609296">
            <w:r>
              <w:rPr>
                <w:webHidden/>
                <w:rStyle w:val="IndexLink"/>
                <w:rtl w:val="true"/>
              </w:rPr>
              <w:t>الثناء علیه</w:t>
            </w:r>
            <w:r>
              <w:rPr>
                <w:rStyle w:val="IndexLink"/>
                <w:rtl w:val="true"/>
              </w:rPr>
              <w:t>:</w:t>
              <w:tab/>
            </w:r>
            <w:r>
              <w:rPr>
                <w:rStyle w:val="IndexLink"/>
              </w:rPr>
              <w:t>460</w:t>
            </w:r>
          </w:hyperlink>
        </w:p>
        <w:p>
          <w:pPr>
            <w:pStyle w:val="Contents4"/>
            <w:tabs>
              <w:tab w:val="clear" w:pos="8176"/>
              <w:tab w:val="right" w:pos="9026" w:leader="dot"/>
            </w:tabs>
            <w:rPr/>
          </w:pPr>
          <w:hyperlink w:anchor="__RefHeading___Toc3055733_2314609296">
            <w:r>
              <w:rPr>
                <w:webHidden/>
                <w:rStyle w:val="IndexLink"/>
                <w:rtl w:val="true"/>
              </w:rPr>
              <w:t>دراسته و مشایخه</w:t>
            </w:r>
            <w:r>
              <w:rPr>
                <w:rStyle w:val="IndexLink"/>
                <w:rtl w:val="true"/>
              </w:rPr>
              <w:t>:</w:t>
              <w:tab/>
            </w:r>
            <w:r>
              <w:rPr>
                <w:rStyle w:val="IndexLink"/>
              </w:rPr>
              <w:t>471</w:t>
            </w:r>
          </w:hyperlink>
        </w:p>
        <w:p>
          <w:pPr>
            <w:pStyle w:val="Contents4"/>
            <w:tabs>
              <w:tab w:val="clear" w:pos="8176"/>
              <w:tab w:val="right" w:pos="9026" w:leader="dot"/>
            </w:tabs>
            <w:rPr/>
          </w:pPr>
          <w:hyperlink w:anchor="__RefHeading___Toc3055735_2314609296">
            <w:r>
              <w:rPr>
                <w:webHidden/>
                <w:rStyle w:val="IndexLink"/>
                <w:rtl w:val="true"/>
              </w:rPr>
              <w:t>تلامذته و الراوون عنه</w:t>
            </w:r>
            <w:r>
              <w:rPr>
                <w:rStyle w:val="IndexLink"/>
                <w:rtl w:val="true"/>
              </w:rPr>
              <w:t>:</w:t>
              <w:tab/>
            </w:r>
            <w:r>
              <w:rPr>
                <w:rStyle w:val="IndexLink"/>
              </w:rPr>
              <w:t>475</w:t>
            </w:r>
          </w:hyperlink>
        </w:p>
        <w:p>
          <w:pPr>
            <w:pStyle w:val="Contents4"/>
            <w:tabs>
              <w:tab w:val="clear" w:pos="8176"/>
              <w:tab w:val="right" w:pos="9026" w:leader="dot"/>
            </w:tabs>
            <w:rPr/>
          </w:pPr>
          <w:hyperlink w:anchor="__RefHeading___Toc3055737_2314609296">
            <w:r>
              <w:rPr>
                <w:webHidden/>
                <w:rStyle w:val="IndexLink"/>
                <w:rtl w:val="true"/>
              </w:rPr>
              <w:t>مصنّفاته</w:t>
            </w:r>
            <w:r>
              <w:rPr>
                <w:rStyle w:val="IndexLink"/>
                <w:rtl w:val="true"/>
              </w:rPr>
              <w:t>:</w:t>
              <w:tab/>
            </w:r>
            <w:r>
              <w:rPr>
                <w:rStyle w:val="IndexLink"/>
              </w:rPr>
              <w:t>488</w:t>
            </w:r>
          </w:hyperlink>
        </w:p>
        <w:p>
          <w:pPr>
            <w:pStyle w:val="Contents4"/>
            <w:tabs>
              <w:tab w:val="clear" w:pos="8176"/>
              <w:tab w:val="right" w:pos="9026" w:leader="dot"/>
            </w:tabs>
            <w:rPr/>
          </w:pPr>
          <w:hyperlink w:anchor="__RefHeading___Toc3055739_2314609296">
            <w:r>
              <w:rPr>
                <w:webHidden/>
                <w:rStyle w:val="IndexLink"/>
                <w:rtl w:val="true"/>
              </w:rPr>
              <w:t>نسخها</w:t>
            </w:r>
            <w:r>
              <w:rPr>
                <w:rStyle w:val="IndexLink"/>
                <w:rtl w:val="true"/>
              </w:rPr>
              <w:t>:</w:t>
              <w:tab/>
            </w:r>
            <w:r>
              <w:rPr>
                <w:rStyle w:val="IndexLink"/>
              </w:rPr>
              <w:t>492</w:t>
            </w:r>
          </w:hyperlink>
        </w:p>
        <w:p>
          <w:pPr>
            <w:pStyle w:val="Contents4"/>
            <w:tabs>
              <w:tab w:val="clear" w:pos="8176"/>
              <w:tab w:val="right" w:pos="9026" w:leader="dot"/>
            </w:tabs>
            <w:rPr/>
          </w:pPr>
          <w:hyperlink w:anchor="__RefHeading___Toc3055741_2314609296">
            <w:r>
              <w:rPr>
                <w:webHidden/>
                <w:rStyle w:val="IndexLink"/>
                <w:rtl w:val="true"/>
              </w:rPr>
              <w:t>من خدماته</w:t>
            </w:r>
            <w:r>
              <w:rPr>
                <w:rStyle w:val="IndexLink"/>
                <w:rtl w:val="true"/>
              </w:rPr>
              <w:t>:</w:t>
              <w:tab/>
            </w:r>
            <w:r>
              <w:rPr>
                <w:rStyle w:val="IndexLink"/>
              </w:rPr>
              <w:t>495</w:t>
            </w:r>
          </w:hyperlink>
        </w:p>
        <w:p>
          <w:pPr>
            <w:pStyle w:val="Contents4"/>
            <w:tabs>
              <w:tab w:val="clear" w:pos="8176"/>
              <w:tab w:val="right" w:pos="9026" w:leader="dot"/>
            </w:tabs>
            <w:rPr/>
          </w:pPr>
          <w:hyperlink w:anchor="__RefHeading___Toc3055743_2314609296">
            <w:r>
              <w:rPr>
                <w:webHidden/>
                <w:rStyle w:val="IndexLink"/>
                <w:rtl w:val="true"/>
              </w:rPr>
              <w:t>سوانح حیاته</w:t>
            </w:r>
            <w:r>
              <w:rPr>
                <w:rStyle w:val="IndexLink"/>
                <w:rtl w:val="true"/>
              </w:rPr>
              <w:t>:</w:t>
              <w:tab/>
            </w:r>
            <w:r>
              <w:rPr>
                <w:rStyle w:val="IndexLink"/>
              </w:rPr>
              <w:t>496</w:t>
            </w:r>
          </w:hyperlink>
        </w:p>
        <w:p>
          <w:pPr>
            <w:pStyle w:val="Contents4"/>
            <w:tabs>
              <w:tab w:val="clear" w:pos="8176"/>
              <w:tab w:val="right" w:pos="9026" w:leader="dot"/>
            </w:tabs>
            <w:rPr/>
          </w:pPr>
          <w:hyperlink w:anchor="__RefHeading___Toc3055745_2314609296">
            <w:r>
              <w:rPr>
                <w:webHidden/>
                <w:rStyle w:val="IndexLink"/>
                <w:rtl w:val="true"/>
              </w:rPr>
              <w:t>المؤلّف و المحقّق القمی صاحب القوانین</w:t>
            </w:r>
            <w:r>
              <w:rPr>
                <w:rStyle w:val="IndexLink"/>
                <w:rtl w:val="true"/>
              </w:rPr>
              <w:t>:</w:t>
              <w:tab/>
            </w:r>
            <w:r>
              <w:rPr>
                <w:rStyle w:val="IndexLink"/>
              </w:rPr>
              <w:t>498</w:t>
            </w:r>
          </w:hyperlink>
        </w:p>
        <w:p>
          <w:pPr>
            <w:pStyle w:val="Contents4"/>
            <w:tabs>
              <w:tab w:val="clear" w:pos="8176"/>
              <w:tab w:val="right" w:pos="9026" w:leader="dot"/>
            </w:tabs>
            <w:rPr/>
          </w:pPr>
          <w:hyperlink w:anchor="__RefHeading___Toc3055747_2314609296">
            <w:r>
              <w:rPr>
                <w:webHidden/>
                <w:rStyle w:val="IndexLink"/>
                <w:rtl w:val="true"/>
              </w:rPr>
              <w:t>المؤلّف و الشیخ أسد اللّه التستری</w:t>
            </w:r>
            <w:r>
              <w:rPr>
                <w:rStyle w:val="IndexLink"/>
                <w:rtl w:val="true"/>
              </w:rPr>
              <w:t>:</w:t>
              <w:tab/>
            </w:r>
            <w:r>
              <w:rPr>
                <w:rStyle w:val="IndexLink"/>
              </w:rPr>
              <w:t>499</w:t>
            </w:r>
          </w:hyperlink>
        </w:p>
        <w:p>
          <w:pPr>
            <w:pStyle w:val="Contents4"/>
            <w:tabs>
              <w:tab w:val="clear" w:pos="8176"/>
              <w:tab w:val="right" w:pos="9026" w:leader="dot"/>
            </w:tabs>
            <w:rPr/>
          </w:pPr>
          <w:hyperlink w:anchor="__RefHeading___Toc3055749_2314609296">
            <w:r>
              <w:rPr>
                <w:webHidden/>
                <w:rStyle w:val="IndexLink"/>
                <w:rtl w:val="true"/>
              </w:rPr>
              <w:t>المؤلّف و المیرزا محمّد الأخباری</w:t>
            </w:r>
            <w:r>
              <w:rPr>
                <w:rStyle w:val="IndexLink"/>
                <w:rtl w:val="true"/>
              </w:rPr>
              <w:t>:</w:t>
              <w:tab/>
            </w:r>
            <w:r>
              <w:rPr>
                <w:rStyle w:val="IndexLink"/>
              </w:rPr>
              <w:t>500</w:t>
            </w:r>
          </w:hyperlink>
        </w:p>
        <w:p>
          <w:pPr>
            <w:pStyle w:val="Contents4"/>
            <w:tabs>
              <w:tab w:val="clear" w:pos="8176"/>
              <w:tab w:val="right" w:pos="9026" w:leader="dot"/>
            </w:tabs>
            <w:rPr/>
          </w:pPr>
          <w:hyperlink w:anchor="__RefHeading___Toc3055751_2314609296">
            <w:r>
              <w:rPr>
                <w:webHidden/>
                <w:rStyle w:val="IndexLink"/>
                <w:rtl w:val="true"/>
              </w:rPr>
              <w:t>المؤلّف و صاحب مفتاح الکرامة و المولی عبد الصمد الهمدانی صاحب بحر المعارف</w:t>
            </w:r>
            <w:r>
              <w:rPr>
                <w:rStyle w:val="IndexLink"/>
                <w:rtl w:val="true"/>
              </w:rPr>
              <w:tab/>
            </w:r>
            <w:r>
              <w:rPr>
                <w:rStyle w:val="IndexLink"/>
              </w:rPr>
              <w:t>501</w:t>
            </w:r>
          </w:hyperlink>
        </w:p>
        <w:p>
          <w:pPr>
            <w:pStyle w:val="Contents4"/>
            <w:tabs>
              <w:tab w:val="clear" w:pos="8176"/>
              <w:tab w:val="right" w:pos="9026" w:leader="dot"/>
            </w:tabs>
            <w:rPr/>
          </w:pPr>
          <w:hyperlink w:anchor="__RefHeading___Toc3055753_2314609296">
            <w:r>
              <w:rPr>
                <w:webHidden/>
                <w:rStyle w:val="IndexLink"/>
                <w:rtl w:val="true"/>
              </w:rPr>
              <w:t>المؤلّف و تلمیذه شریف العلماء</w:t>
            </w:r>
            <w:r>
              <w:rPr>
                <w:rStyle w:val="IndexLink"/>
                <w:rtl w:val="true"/>
              </w:rPr>
              <w:t>:</w:t>
              <w:tab/>
            </w:r>
            <w:r>
              <w:rPr>
                <w:rStyle w:val="IndexLink"/>
              </w:rPr>
              <w:t>502</w:t>
            </w:r>
          </w:hyperlink>
        </w:p>
        <w:p>
          <w:pPr>
            <w:pStyle w:val="Contents4"/>
            <w:tabs>
              <w:tab w:val="clear" w:pos="8176"/>
              <w:tab w:val="right" w:pos="9026" w:leader="dot"/>
            </w:tabs>
            <w:rPr/>
          </w:pPr>
          <w:hyperlink w:anchor="__RefHeading___Toc3055755_2314609296">
            <w:r>
              <w:rPr>
                <w:webHidden/>
                <w:rStyle w:val="IndexLink"/>
                <w:rtl w:val="true"/>
              </w:rPr>
              <w:t>المؤلّف و آخوند المولی علیّ النوری</w:t>
            </w:r>
            <w:r>
              <w:rPr>
                <w:rStyle w:val="IndexLink"/>
                <w:rtl w:val="true"/>
              </w:rPr>
              <w:t>:</w:t>
              <w:tab/>
            </w:r>
            <w:r>
              <w:rPr>
                <w:rStyle w:val="IndexLink"/>
              </w:rPr>
              <w:t>503</w:t>
            </w:r>
          </w:hyperlink>
        </w:p>
        <w:p>
          <w:pPr>
            <w:pStyle w:val="Contents4"/>
            <w:tabs>
              <w:tab w:val="clear" w:pos="8176"/>
              <w:tab w:val="right" w:pos="9026" w:leader="dot"/>
            </w:tabs>
            <w:rPr/>
          </w:pPr>
          <w:hyperlink w:anchor="__RefHeading___Toc3055757_2314609296">
            <w:r>
              <w:rPr>
                <w:webHidden/>
                <w:rStyle w:val="IndexLink"/>
                <w:rtl w:val="true"/>
              </w:rPr>
              <w:t>المؤلّف و بحر العلوم</w:t>
            </w:r>
            <w:r>
              <w:rPr>
                <w:rStyle w:val="IndexLink"/>
                <w:rtl w:val="true"/>
              </w:rPr>
              <w:t>:</w:t>
              <w:tab/>
            </w:r>
            <w:r>
              <w:rPr>
                <w:rStyle w:val="IndexLink"/>
              </w:rPr>
              <w:t>503</w:t>
            </w:r>
          </w:hyperlink>
        </w:p>
        <w:p>
          <w:pPr>
            <w:pStyle w:val="Contents4"/>
            <w:tabs>
              <w:tab w:val="clear" w:pos="8176"/>
              <w:tab w:val="right" w:pos="9026" w:leader="dot"/>
            </w:tabs>
            <w:rPr/>
          </w:pPr>
          <w:hyperlink w:anchor="__RefHeading___Toc3055759_2314609296">
            <w:r>
              <w:rPr>
                <w:webHidden/>
                <w:rStyle w:val="IndexLink"/>
                <w:rtl w:val="true"/>
              </w:rPr>
              <w:t>المؤلّف و المولی محمّد تقی البرغانی الشهید الثالث</w:t>
            </w:r>
            <w:r>
              <w:rPr>
                <w:rStyle w:val="IndexLink"/>
                <w:rtl w:val="true"/>
              </w:rPr>
              <w:t>:</w:t>
              <w:tab/>
            </w:r>
            <w:r>
              <w:rPr>
                <w:rStyle w:val="IndexLink"/>
              </w:rPr>
              <w:t>504</w:t>
            </w:r>
          </w:hyperlink>
        </w:p>
        <w:p>
          <w:pPr>
            <w:pStyle w:val="Contents4"/>
            <w:tabs>
              <w:tab w:val="clear" w:pos="8176"/>
              <w:tab w:val="right" w:pos="9026" w:leader="dot"/>
            </w:tabs>
            <w:rPr/>
          </w:pPr>
          <w:hyperlink w:anchor="__RefHeading___Toc3055761_2314609296">
            <w:r>
              <w:rPr>
                <w:webHidden/>
                <w:rStyle w:val="IndexLink"/>
                <w:rtl w:val="true"/>
              </w:rPr>
              <w:t>المؤلّف و تلمیذه حجّة الإسلام الشفتی</w:t>
            </w:r>
            <w:r>
              <w:rPr>
                <w:rStyle w:val="IndexLink"/>
                <w:rtl w:val="true"/>
              </w:rPr>
              <w:t>:</w:t>
              <w:tab/>
            </w:r>
            <w:r>
              <w:rPr>
                <w:rStyle w:val="IndexLink"/>
              </w:rPr>
              <w:t>505</w:t>
            </w:r>
          </w:hyperlink>
        </w:p>
        <w:p>
          <w:pPr>
            <w:pStyle w:val="Contents4"/>
            <w:tabs>
              <w:tab w:val="clear" w:pos="8176"/>
              <w:tab w:val="right" w:pos="9026" w:leader="dot"/>
            </w:tabs>
            <w:rPr/>
          </w:pPr>
          <w:hyperlink w:anchor="__RefHeading___Toc3055763_2314609296">
            <w:r>
              <w:rPr>
                <w:webHidden/>
                <w:rStyle w:val="IndexLink"/>
                <w:rtl w:val="true"/>
              </w:rPr>
              <w:t>المؤلّف و کاشف الغطاء</w:t>
            </w:r>
            <w:r>
              <w:rPr>
                <w:rStyle w:val="IndexLink"/>
                <w:rtl w:val="true"/>
              </w:rPr>
              <w:t>:</w:t>
              <w:tab/>
            </w:r>
            <w:r>
              <w:rPr>
                <w:rStyle w:val="IndexLink"/>
              </w:rPr>
              <w:t>505</w:t>
            </w:r>
          </w:hyperlink>
        </w:p>
        <w:p>
          <w:pPr>
            <w:pStyle w:val="Contents4"/>
            <w:tabs>
              <w:tab w:val="clear" w:pos="8176"/>
              <w:tab w:val="right" w:pos="9026" w:leader="dot"/>
            </w:tabs>
            <w:rPr/>
          </w:pPr>
          <w:hyperlink w:anchor="__RefHeading___Toc3055765_2314609296">
            <w:r>
              <w:rPr>
                <w:webHidden/>
                <w:rStyle w:val="IndexLink"/>
                <w:rtl w:val="true"/>
              </w:rPr>
              <w:t>مولده و وفاته</w:t>
            </w:r>
            <w:r>
              <w:rPr>
                <w:rStyle w:val="IndexLink"/>
                <w:rtl w:val="true"/>
              </w:rPr>
              <w:t>:</w:t>
              <w:tab/>
            </w:r>
            <w:r>
              <w:rPr>
                <w:rStyle w:val="IndexLink"/>
              </w:rPr>
              <w:t>510</w:t>
            </w:r>
          </w:hyperlink>
        </w:p>
        <w:p>
          <w:pPr>
            <w:pStyle w:val="Contents4"/>
            <w:tabs>
              <w:tab w:val="clear" w:pos="8176"/>
              <w:tab w:val="right" w:pos="9026" w:leader="dot"/>
            </w:tabs>
            <w:rPr/>
          </w:pPr>
          <w:hyperlink w:anchor="__RefHeading___Toc3055767_2314609296">
            <w:r>
              <w:rPr>
                <w:webHidden/>
                <w:rStyle w:val="IndexLink"/>
                <w:rtl w:val="true"/>
              </w:rPr>
              <w:t>الرسالة</w:t>
            </w:r>
            <w:r>
              <w:rPr>
                <w:rStyle w:val="IndexLink"/>
                <w:rtl w:val="true"/>
              </w:rPr>
              <w:t>:</w:t>
              <w:tab/>
            </w:r>
            <w:r>
              <w:rPr>
                <w:rStyle w:val="IndexLink"/>
              </w:rPr>
              <w:t>512</w:t>
            </w:r>
          </w:hyperlink>
        </w:p>
        <w:p>
          <w:pPr>
            <w:pStyle w:val="Contents4"/>
            <w:tabs>
              <w:tab w:val="clear" w:pos="8176"/>
              <w:tab w:val="right" w:pos="9026" w:leader="dot"/>
            </w:tabs>
            <w:rPr/>
          </w:pPr>
          <w:hyperlink w:anchor="__RefHeading___Toc3055769_2314609296">
            <w:r>
              <w:rPr>
                <w:webHidden/>
                <w:rStyle w:val="IndexLink"/>
                <w:rtl w:val="true"/>
              </w:rPr>
              <w:t>النسخ المعتمدة</w:t>
            </w:r>
            <w:r>
              <w:rPr>
                <w:rStyle w:val="IndexLink"/>
                <w:rtl w:val="true"/>
              </w:rPr>
              <w:t>:</w:t>
              <w:tab/>
            </w:r>
            <w:r>
              <w:rPr>
                <w:rStyle w:val="IndexLink"/>
              </w:rPr>
              <w:t>513</w:t>
            </w:r>
          </w:hyperlink>
        </w:p>
        <w:p>
          <w:pPr>
            <w:pStyle w:val="Contents4"/>
            <w:tabs>
              <w:tab w:val="clear" w:pos="8176"/>
              <w:tab w:val="right" w:pos="9026" w:leader="dot"/>
            </w:tabs>
            <w:rPr/>
          </w:pPr>
          <w:hyperlink w:anchor="__RefHeading___Toc3055771_2314609296">
            <w:r>
              <w:rPr>
                <w:webHidden/>
                <w:rStyle w:val="IndexLink"/>
                <w:rtl w:val="true"/>
              </w:rPr>
              <w:t>نسخ آخر للرسالة</w:t>
            </w:r>
            <w:r>
              <w:rPr>
                <w:rStyle w:val="IndexLink"/>
                <w:rtl w:val="true"/>
              </w:rPr>
              <w:t>:</w:t>
              <w:tab/>
            </w:r>
            <w:r>
              <w:rPr>
                <w:rStyle w:val="IndexLink"/>
              </w:rPr>
              <w:t>514</w:t>
            </w:r>
          </w:hyperlink>
        </w:p>
        <w:p>
          <w:pPr>
            <w:pStyle w:val="Contents3"/>
            <w:tabs>
              <w:tab w:val="clear" w:pos="8459"/>
              <w:tab w:val="right" w:pos="9026" w:leader="dot"/>
            </w:tabs>
            <w:rPr/>
          </w:pPr>
          <w:hyperlink w:anchor="__RefHeading___Toc3055773_2314609296">
            <w:r>
              <w:rPr>
                <w:webHidden/>
                <w:rStyle w:val="IndexLink"/>
                <w:rtl w:val="true"/>
              </w:rPr>
              <w:t>[</w:t>
            </w:r>
            <w:r>
              <w:rPr>
                <w:rStyle w:val="IndexLink"/>
                <w:rtl w:val="true"/>
              </w:rPr>
              <w:t>التحقیق فی الکتاب حجیة الشهرة</w:t>
            </w:r>
            <w:r>
              <w:rPr>
                <w:rStyle w:val="IndexLink"/>
                <w:rtl w:val="true"/>
              </w:rPr>
              <w:t>]</w:t>
              <w:tab/>
            </w:r>
            <w:r>
              <w:rPr>
                <w:rStyle w:val="IndexLink"/>
              </w:rPr>
              <w:t>522</w:t>
            </w:r>
          </w:hyperlink>
        </w:p>
        <w:p>
          <w:pPr>
            <w:pStyle w:val="Contents4"/>
            <w:tabs>
              <w:tab w:val="clear" w:pos="8176"/>
              <w:tab w:val="right" w:pos="9026" w:leader="dot"/>
            </w:tabs>
            <w:rPr/>
          </w:pPr>
          <w:hyperlink w:anchor="__RefHeading___Toc3055775_2314609296">
            <w:r>
              <w:rPr>
                <w:webHidden/>
                <w:rStyle w:val="IndexLink"/>
                <w:rtl w:val="true"/>
              </w:rPr>
              <w:t>اشارة</w:t>
            </w:r>
            <w:r>
              <w:rPr>
                <w:rStyle w:val="IndexLink"/>
                <w:rtl w:val="true"/>
              </w:rPr>
              <w:tab/>
            </w:r>
            <w:r>
              <w:rPr>
                <w:rStyle w:val="IndexLink"/>
              </w:rPr>
              <w:t>522</w:t>
            </w:r>
          </w:hyperlink>
        </w:p>
        <w:p>
          <w:pPr>
            <w:pStyle w:val="Contents4"/>
            <w:tabs>
              <w:tab w:val="clear" w:pos="8176"/>
              <w:tab w:val="right" w:pos="9026" w:leader="dot"/>
            </w:tabs>
            <w:rPr/>
          </w:pPr>
          <w:hyperlink w:anchor="__RefHeading___Toc3055777_2314609296">
            <w:r>
              <w:rPr>
                <w:webHidden/>
                <w:rStyle w:val="IndexLink"/>
                <w:rtl w:val="true"/>
              </w:rPr>
              <w:t>[</w:t>
            </w:r>
            <w:r>
              <w:rPr>
                <w:rStyle w:val="IndexLink"/>
                <w:rtl w:val="true"/>
              </w:rPr>
              <w:t>الجواب عن صاحب المعالم</w:t>
            </w:r>
            <w:r>
              <w:rPr>
                <w:rStyle w:val="IndexLink"/>
                <w:rtl w:val="true"/>
              </w:rPr>
              <w:t>:]</w:t>
              <w:tab/>
            </w:r>
            <w:r>
              <w:rPr>
                <w:rStyle w:val="IndexLink"/>
              </w:rPr>
              <w:t>523</w:t>
            </w:r>
          </w:hyperlink>
        </w:p>
        <w:p>
          <w:pPr>
            <w:pStyle w:val="Contents4"/>
            <w:tabs>
              <w:tab w:val="clear" w:pos="8176"/>
              <w:tab w:val="right" w:pos="9026" w:leader="dot"/>
            </w:tabs>
            <w:rPr/>
          </w:pPr>
          <w:hyperlink w:anchor="__RefHeading___Toc3055779_2314609296">
            <w:r>
              <w:rPr>
                <w:webHidden/>
                <w:rStyle w:val="IndexLink"/>
                <w:rtl w:val="true"/>
              </w:rPr>
              <w:t>[</w:t>
            </w:r>
            <w:r>
              <w:rPr>
                <w:rStyle w:val="IndexLink"/>
                <w:rtl w:val="true"/>
              </w:rPr>
              <w:t>الجواب عن دلیل الانسداد بمنع دلالته علی کلیّة الکبری و المناقشة فیه</w:t>
            </w:r>
            <w:r>
              <w:rPr>
                <w:rStyle w:val="IndexLink"/>
                <w:rtl w:val="true"/>
              </w:rPr>
              <w:t>:]</w:t>
              <w:tab/>
            </w:r>
            <w:r>
              <w:rPr>
                <w:rStyle w:val="IndexLink"/>
              </w:rPr>
              <w:t>526</w:t>
            </w:r>
          </w:hyperlink>
        </w:p>
        <w:p>
          <w:pPr>
            <w:pStyle w:val="Contents4"/>
            <w:tabs>
              <w:tab w:val="clear" w:pos="8176"/>
              <w:tab w:val="right" w:pos="9026" w:leader="dot"/>
            </w:tabs>
            <w:rPr/>
          </w:pPr>
          <w:hyperlink w:anchor="__RefHeading___Toc3055781_2314609296">
            <w:r>
              <w:rPr>
                <w:webHidden/>
                <w:rStyle w:val="IndexLink"/>
                <w:rtl w:val="true"/>
              </w:rPr>
              <w:t>[</w:t>
            </w:r>
            <w:r>
              <w:rPr>
                <w:rStyle w:val="IndexLink"/>
                <w:rtl w:val="true"/>
              </w:rPr>
              <w:t>اختلال فقه صاحب المدارک</w:t>
            </w:r>
            <w:r>
              <w:rPr>
                <w:rStyle w:val="IndexLink"/>
                <w:rtl w:val="true"/>
              </w:rPr>
              <w:t>:]</w:t>
              <w:tab/>
            </w:r>
            <w:r>
              <w:rPr>
                <w:rStyle w:val="IndexLink"/>
              </w:rPr>
              <w:t>534</w:t>
            </w:r>
          </w:hyperlink>
        </w:p>
        <w:p>
          <w:pPr>
            <w:pStyle w:val="Contents4"/>
            <w:tabs>
              <w:tab w:val="clear" w:pos="8176"/>
              <w:tab w:val="right" w:pos="9026" w:leader="dot"/>
            </w:tabs>
            <w:rPr/>
          </w:pPr>
          <w:hyperlink w:anchor="__RefHeading___Toc3055783_2314609296">
            <w:r>
              <w:rPr>
                <w:webHidden/>
                <w:rStyle w:val="IndexLink"/>
                <w:rtl w:val="true"/>
              </w:rPr>
              <w:t>[</w:t>
            </w:r>
            <w:r>
              <w:rPr>
                <w:rStyle w:val="IndexLink"/>
                <w:rtl w:val="true"/>
              </w:rPr>
              <w:t>وجه آخر للمؤلّف علی إثبات الملازمة و کلیّة الکبری</w:t>
            </w:r>
            <w:r>
              <w:rPr>
                <w:rStyle w:val="IndexLink"/>
                <w:rtl w:val="true"/>
              </w:rPr>
              <w:t>:]</w:t>
              <w:tab/>
            </w:r>
            <w:r>
              <w:rPr>
                <w:rStyle w:val="IndexLink"/>
              </w:rPr>
              <w:t>536</w:t>
            </w:r>
          </w:hyperlink>
        </w:p>
        <w:p>
          <w:pPr>
            <w:pStyle w:val="Contents4"/>
            <w:tabs>
              <w:tab w:val="clear" w:pos="8176"/>
              <w:tab w:val="right" w:pos="9026" w:leader="dot"/>
            </w:tabs>
            <w:rPr/>
          </w:pPr>
          <w:hyperlink w:anchor="__RefHeading___Toc3055785_2314609296">
            <w:r>
              <w:rPr>
                <w:webHidden/>
                <w:rStyle w:val="IndexLink"/>
                <w:rtl w:val="true"/>
              </w:rPr>
              <w:t>[</w:t>
            </w:r>
            <w:r>
              <w:rPr>
                <w:rStyle w:val="IndexLink"/>
                <w:rtl w:val="true"/>
              </w:rPr>
              <w:t>إثبات الملازمة بوجه آخر أوضح من الوجه المتقدّم</w:t>
            </w:r>
            <w:r>
              <w:rPr>
                <w:rStyle w:val="IndexLink"/>
                <w:rtl w:val="true"/>
              </w:rPr>
              <w:t>]</w:t>
              <w:tab/>
            </w:r>
            <w:r>
              <w:rPr>
                <w:rStyle w:val="IndexLink"/>
              </w:rPr>
              <w:t>537</w:t>
            </w:r>
          </w:hyperlink>
        </w:p>
        <w:p>
          <w:pPr>
            <w:pStyle w:val="Contents4"/>
            <w:tabs>
              <w:tab w:val="clear" w:pos="8176"/>
              <w:tab w:val="right" w:pos="9026" w:leader="dot"/>
            </w:tabs>
            <w:rPr/>
          </w:pPr>
          <w:hyperlink w:anchor="__RefHeading___Toc3055787_2314609296">
            <w:r>
              <w:rPr>
                <w:webHidden/>
                <w:rStyle w:val="IndexLink"/>
                <w:rtl w:val="true"/>
              </w:rPr>
              <w:t>[</w:t>
            </w:r>
            <w:r>
              <w:rPr>
                <w:rStyle w:val="IndexLink"/>
                <w:rtl w:val="true"/>
              </w:rPr>
              <w:t>طریق آخر للمؤلّف لإثبات حجّیّة الشهرة</w:t>
            </w:r>
            <w:r>
              <w:rPr>
                <w:rStyle w:val="IndexLink"/>
                <w:rtl w:val="true"/>
              </w:rPr>
              <w:t>:]</w:t>
              <w:tab/>
            </w:r>
            <w:r>
              <w:rPr>
                <w:rStyle w:val="IndexLink"/>
              </w:rPr>
              <w:t>539</w:t>
            </w:r>
          </w:hyperlink>
        </w:p>
        <w:p>
          <w:pPr>
            <w:pStyle w:val="Contents4"/>
            <w:tabs>
              <w:tab w:val="clear" w:pos="8176"/>
              <w:tab w:val="right" w:pos="9026" w:leader="dot"/>
            </w:tabs>
            <w:rPr/>
          </w:pPr>
          <w:hyperlink w:anchor="__RefHeading___Toc3055789_2314609296">
            <w:r>
              <w:rPr>
                <w:webHidden/>
                <w:rStyle w:val="IndexLink"/>
                <w:rtl w:val="true"/>
              </w:rPr>
              <w:t>[</w:t>
            </w:r>
            <w:r>
              <w:rPr>
                <w:rStyle w:val="IndexLink"/>
                <w:rtl w:val="true"/>
              </w:rPr>
              <w:t>حصیلة البحث</w:t>
            </w:r>
            <w:r>
              <w:rPr>
                <w:rStyle w:val="IndexLink"/>
                <w:rtl w:val="true"/>
              </w:rPr>
              <w:t>:]</w:t>
              <w:tab/>
            </w:r>
            <w:r>
              <w:rPr>
                <w:rStyle w:val="IndexLink"/>
              </w:rPr>
              <w:t>542</w:t>
            </w:r>
          </w:hyperlink>
        </w:p>
        <w:p>
          <w:pPr>
            <w:pStyle w:val="Contents4"/>
            <w:tabs>
              <w:tab w:val="clear" w:pos="8176"/>
              <w:tab w:val="right" w:pos="9026" w:leader="dot"/>
            </w:tabs>
            <w:rPr/>
          </w:pPr>
          <w:hyperlink w:anchor="__RefHeading___Toc3055791_2314609296">
            <w:r>
              <w:rPr>
                <w:webHidden/>
                <w:rStyle w:val="IndexLink"/>
                <w:rtl w:val="true"/>
              </w:rPr>
              <w:t>[</w:t>
            </w:r>
            <w:r>
              <w:rPr>
                <w:rStyle w:val="IndexLink"/>
                <w:rtl w:val="true"/>
              </w:rPr>
              <w:t>المقصود الأهمّ من وضع الرسالة</w:t>
            </w:r>
            <w:r>
              <w:rPr>
                <w:rStyle w:val="IndexLink"/>
                <w:rtl w:val="true"/>
              </w:rPr>
              <w:t>:]</w:t>
              <w:tab/>
            </w:r>
            <w:r>
              <w:rPr>
                <w:rStyle w:val="IndexLink"/>
              </w:rPr>
              <w:t>548</w:t>
            </w:r>
          </w:hyperlink>
        </w:p>
        <w:p>
          <w:pPr>
            <w:pStyle w:val="Contents4"/>
            <w:tabs>
              <w:tab w:val="clear" w:pos="8176"/>
              <w:tab w:val="right" w:pos="9026" w:leader="dot"/>
            </w:tabs>
            <w:rPr/>
          </w:pPr>
          <w:hyperlink w:anchor="__RefHeading___Toc3055793_2314609296">
            <w:r>
              <w:rPr>
                <w:webHidden/>
                <w:rStyle w:val="IndexLink"/>
                <w:rtl w:val="true"/>
              </w:rPr>
              <w:t>[</w:t>
            </w:r>
            <w:r>
              <w:rPr>
                <w:rStyle w:val="IndexLink"/>
                <w:rtl w:val="true"/>
              </w:rPr>
              <w:t>کلام الوحید البهبهانی فی إثبات کلّیة الکبری</w:t>
            </w:r>
            <w:r>
              <w:rPr>
                <w:rStyle w:val="IndexLink"/>
                <w:rtl w:val="true"/>
              </w:rPr>
              <w:t>:]</w:t>
              <w:tab/>
            </w:r>
            <w:r>
              <w:rPr>
                <w:rStyle w:val="IndexLink"/>
              </w:rPr>
              <w:t>550</w:t>
            </w:r>
          </w:hyperlink>
        </w:p>
        <w:p>
          <w:pPr>
            <w:pStyle w:val="Contents2"/>
            <w:tabs>
              <w:tab w:val="clear" w:pos="8743"/>
              <w:tab w:val="right" w:pos="9026" w:leader="dot"/>
            </w:tabs>
            <w:rPr/>
          </w:pPr>
          <w:hyperlink w:anchor="__RefHeading___Toc3055795_2314609296">
            <w:r>
              <w:rPr>
                <w:webHidden/>
                <w:rStyle w:val="IndexLink"/>
              </w:rPr>
              <w:t>7</w:t>
            </w:r>
            <w:r>
              <w:rPr>
                <w:rStyle w:val="IndexLink"/>
                <w:rtl w:val="true"/>
              </w:rPr>
              <w:t xml:space="preserve"> </w:t>
            </w:r>
            <w:r>
              <w:rPr>
                <w:rStyle w:val="IndexLink"/>
                <w:rtl w:val="true"/>
              </w:rPr>
              <w:t>التسامح فی أدلّة السنن</w:t>
            </w:r>
            <w:r>
              <w:rPr>
                <w:rStyle w:val="IndexLink"/>
                <w:rtl w:val="true"/>
              </w:rPr>
              <w:tab/>
            </w:r>
            <w:r>
              <w:rPr>
                <w:rStyle w:val="IndexLink"/>
              </w:rPr>
              <w:t>552</w:t>
            </w:r>
          </w:hyperlink>
        </w:p>
        <w:p>
          <w:pPr>
            <w:pStyle w:val="Contents3"/>
            <w:tabs>
              <w:tab w:val="clear" w:pos="8459"/>
              <w:tab w:val="right" w:pos="9026" w:leader="dot"/>
            </w:tabs>
            <w:rPr/>
          </w:pPr>
          <w:hyperlink w:anchor="__RefHeading___Toc3055797_2314609296">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3055799_2314609296">
            <w:r>
              <w:rPr>
                <w:webHidden/>
                <w:rStyle w:val="IndexLink"/>
                <w:rtl w:val="true"/>
              </w:rPr>
              <w:t>مقدّمة التحقیق</w:t>
            </w:r>
            <w:r>
              <w:rPr>
                <w:rStyle w:val="IndexLink"/>
                <w:rtl w:val="true"/>
              </w:rPr>
              <w:tab/>
            </w:r>
            <w:r>
              <w:rPr>
                <w:rStyle w:val="IndexLink"/>
              </w:rPr>
              <w:t>553</w:t>
            </w:r>
          </w:hyperlink>
        </w:p>
        <w:p>
          <w:pPr>
            <w:pStyle w:val="Contents4"/>
            <w:tabs>
              <w:tab w:val="clear" w:pos="8176"/>
              <w:tab w:val="right" w:pos="9026" w:leader="dot"/>
            </w:tabs>
            <w:rPr/>
          </w:pPr>
          <w:hyperlink w:anchor="__RefHeading___Toc3055801_2314609296">
            <w:r>
              <w:rPr>
                <w:webHidden/>
                <w:rStyle w:val="IndexLink"/>
                <w:rtl w:val="true"/>
              </w:rPr>
              <w:t>اشارة</w:t>
            </w:r>
            <w:r>
              <w:rPr>
                <w:rStyle w:val="IndexLink"/>
                <w:rtl w:val="true"/>
              </w:rPr>
              <w:tab/>
            </w:r>
            <w:r>
              <w:rPr>
                <w:rStyle w:val="IndexLink"/>
              </w:rPr>
              <w:t>553</w:t>
            </w:r>
          </w:hyperlink>
        </w:p>
        <w:p>
          <w:pPr>
            <w:pStyle w:val="Contents4"/>
            <w:tabs>
              <w:tab w:val="clear" w:pos="8176"/>
              <w:tab w:val="right" w:pos="9026" w:leader="dot"/>
            </w:tabs>
            <w:rPr/>
          </w:pPr>
          <w:hyperlink w:anchor="__RefHeading___Toc3055803_2314609296">
            <w:r>
              <w:rPr>
                <w:webHidden/>
                <w:rStyle w:val="IndexLink"/>
                <w:rtl w:val="true"/>
              </w:rPr>
              <w:t>الرسالة التی بین یدیک</w:t>
            </w:r>
            <w:r>
              <w:rPr>
                <w:rStyle w:val="IndexLink"/>
                <w:rtl w:val="true"/>
              </w:rPr>
              <w:tab/>
            </w:r>
            <w:r>
              <w:rPr>
                <w:rStyle w:val="IndexLink"/>
              </w:rPr>
              <w:t>557</w:t>
            </w:r>
          </w:hyperlink>
        </w:p>
        <w:p>
          <w:pPr>
            <w:pStyle w:val="Contents4"/>
            <w:tabs>
              <w:tab w:val="clear" w:pos="8176"/>
              <w:tab w:val="right" w:pos="9026" w:leader="dot"/>
            </w:tabs>
            <w:rPr/>
          </w:pPr>
          <w:hyperlink w:anchor="__RefHeading___Toc3055805_2314609296">
            <w:r>
              <w:rPr>
                <w:webHidden/>
                <w:rStyle w:val="IndexLink"/>
                <w:rtl w:val="true"/>
              </w:rPr>
              <w:t>نبذة فی ترجمة المؤلّف</w:t>
            </w:r>
            <w:r>
              <w:rPr>
                <w:rStyle w:val="IndexLink"/>
                <w:rtl w:val="true"/>
              </w:rPr>
              <w:tab/>
            </w:r>
            <w:r>
              <w:rPr>
                <w:rStyle w:val="IndexLink"/>
              </w:rPr>
              <w:t>558</w:t>
            </w:r>
          </w:hyperlink>
        </w:p>
        <w:p>
          <w:pPr>
            <w:pStyle w:val="Contents4"/>
            <w:tabs>
              <w:tab w:val="clear" w:pos="8176"/>
              <w:tab w:val="right" w:pos="9026" w:leader="dot"/>
            </w:tabs>
            <w:rPr/>
          </w:pPr>
          <w:hyperlink w:anchor="__RefHeading___Toc3055807_2314609296">
            <w:r>
              <w:rPr>
                <w:webHidden/>
                <w:rStyle w:val="IndexLink"/>
                <w:rtl w:val="true"/>
              </w:rPr>
              <w:t>نبذة من حیاته العلمیّة</w:t>
            </w:r>
            <w:r>
              <w:rPr>
                <w:rStyle w:val="IndexLink"/>
                <w:rtl w:val="true"/>
              </w:rPr>
              <w:tab/>
            </w:r>
            <w:r>
              <w:rPr>
                <w:rStyle w:val="IndexLink"/>
              </w:rPr>
              <w:t>560</w:t>
            </w:r>
          </w:hyperlink>
        </w:p>
        <w:p>
          <w:pPr>
            <w:pStyle w:val="Contents4"/>
            <w:tabs>
              <w:tab w:val="clear" w:pos="8176"/>
              <w:tab w:val="right" w:pos="9026" w:leader="dot"/>
            </w:tabs>
            <w:rPr/>
          </w:pPr>
          <w:hyperlink w:anchor="__RefHeading___Toc3055809_2314609296">
            <w:r>
              <w:rPr>
                <w:webHidden/>
                <w:rStyle w:val="IndexLink"/>
                <w:rtl w:val="true"/>
              </w:rPr>
              <w:t>فی ذکر مشایخه و من أخذ عنهم الإجازة</w:t>
            </w:r>
            <w:r>
              <w:rPr>
                <w:rStyle w:val="IndexLink"/>
                <w:rtl w:val="true"/>
              </w:rPr>
              <w:tab/>
            </w:r>
            <w:r>
              <w:rPr>
                <w:rStyle w:val="IndexLink"/>
              </w:rPr>
              <w:t>561</w:t>
            </w:r>
          </w:hyperlink>
        </w:p>
        <w:p>
          <w:pPr>
            <w:pStyle w:val="Contents4"/>
            <w:tabs>
              <w:tab w:val="clear" w:pos="8176"/>
              <w:tab w:val="right" w:pos="9026" w:leader="dot"/>
            </w:tabs>
            <w:rPr/>
          </w:pPr>
          <w:hyperlink w:anchor="__RefHeading___Toc3055811_2314609296">
            <w:r>
              <w:rPr>
                <w:webHidden/>
                <w:rStyle w:val="IndexLink"/>
                <w:rtl w:val="true"/>
              </w:rPr>
              <w:t>ذکری بعض خدماته الشریفة</w:t>
            </w:r>
            <w:r>
              <w:rPr>
                <w:rStyle w:val="IndexLink"/>
                <w:rtl w:val="true"/>
              </w:rPr>
              <w:tab/>
            </w:r>
            <w:r>
              <w:rPr>
                <w:rStyle w:val="IndexLink"/>
              </w:rPr>
              <w:t>562</w:t>
            </w:r>
          </w:hyperlink>
        </w:p>
        <w:p>
          <w:pPr>
            <w:pStyle w:val="Contents4"/>
            <w:tabs>
              <w:tab w:val="clear" w:pos="8176"/>
              <w:tab w:val="right" w:pos="9026" w:leader="dot"/>
            </w:tabs>
            <w:rPr/>
          </w:pPr>
          <w:hyperlink w:anchor="__RefHeading___Toc3055813_2314609296">
            <w:r>
              <w:rPr>
                <w:webHidden/>
                <w:rStyle w:val="IndexLink"/>
                <w:rtl w:val="true"/>
              </w:rPr>
              <w:t>مصنّفات المؤلّف</w:t>
            </w:r>
            <w:r>
              <w:rPr>
                <w:rStyle w:val="IndexLink"/>
                <w:rtl w:val="true"/>
              </w:rPr>
              <w:tab/>
            </w:r>
            <w:r>
              <w:rPr>
                <w:rStyle w:val="IndexLink"/>
              </w:rPr>
              <w:t>564</w:t>
            </w:r>
          </w:hyperlink>
        </w:p>
        <w:p>
          <w:pPr>
            <w:pStyle w:val="Contents5"/>
            <w:tabs>
              <w:tab w:val="clear" w:pos="7892"/>
              <w:tab w:val="right" w:pos="9026" w:leader="dot"/>
            </w:tabs>
            <w:rPr/>
          </w:pPr>
          <w:hyperlink w:anchor="__RefHeading___Toc3055815_2314609296">
            <w:r>
              <w:rPr>
                <w:webHidden/>
                <w:rStyle w:val="IndexLink"/>
                <w:rtl w:val="true"/>
              </w:rPr>
              <w:t>ألف</w:t>
            </w:r>
            <w:r>
              <w:rPr>
                <w:rStyle w:val="IndexLink"/>
                <w:rtl w:val="true"/>
              </w:rPr>
              <w:t xml:space="preserve">: </w:t>
            </w:r>
            <w:r>
              <w:rPr>
                <w:rStyle w:val="IndexLink"/>
                <w:rtl w:val="true"/>
              </w:rPr>
              <w:t>فی التفسیر و علوم القرآن</w:t>
            </w:r>
            <w:r>
              <w:rPr>
                <w:rStyle w:val="IndexLink"/>
                <w:rtl w:val="true"/>
              </w:rPr>
              <w:t>:</w:t>
              <w:tab/>
            </w:r>
            <w:r>
              <w:rPr>
                <w:rStyle w:val="IndexLink"/>
              </w:rPr>
              <w:t>564</w:t>
            </w:r>
          </w:hyperlink>
        </w:p>
        <w:p>
          <w:pPr>
            <w:pStyle w:val="Contents5"/>
            <w:tabs>
              <w:tab w:val="clear" w:pos="7892"/>
              <w:tab w:val="right" w:pos="9026" w:leader="dot"/>
            </w:tabs>
            <w:rPr/>
          </w:pPr>
          <w:hyperlink w:anchor="__RefHeading___Toc3055817_2314609296">
            <w:r>
              <w:rPr>
                <w:webHidden/>
                <w:rStyle w:val="IndexLink"/>
                <w:rtl w:val="true"/>
              </w:rPr>
              <w:t>ب</w:t>
            </w:r>
            <w:r>
              <w:rPr>
                <w:rStyle w:val="IndexLink"/>
                <w:rtl w:val="true"/>
              </w:rPr>
              <w:t xml:space="preserve">: </w:t>
            </w:r>
            <w:r>
              <w:rPr>
                <w:rStyle w:val="IndexLink"/>
                <w:rtl w:val="true"/>
              </w:rPr>
              <w:t>فی الحدیث و شرحه</w:t>
            </w:r>
            <w:r>
              <w:rPr>
                <w:rStyle w:val="IndexLink"/>
                <w:rtl w:val="true"/>
              </w:rPr>
              <w:t>:</w:t>
              <w:tab/>
            </w:r>
            <w:r>
              <w:rPr>
                <w:rStyle w:val="IndexLink"/>
              </w:rPr>
              <w:t>564</w:t>
            </w:r>
          </w:hyperlink>
        </w:p>
        <w:p>
          <w:pPr>
            <w:pStyle w:val="Contents5"/>
            <w:tabs>
              <w:tab w:val="clear" w:pos="7892"/>
              <w:tab w:val="right" w:pos="9026" w:leader="dot"/>
            </w:tabs>
            <w:rPr/>
          </w:pPr>
          <w:hyperlink w:anchor="__RefHeading___Toc3055819_2314609296">
            <w:r>
              <w:rPr>
                <w:webHidden/>
                <w:rStyle w:val="IndexLink"/>
                <w:rtl w:val="true"/>
              </w:rPr>
              <w:t>ج</w:t>
            </w:r>
            <w:r>
              <w:rPr>
                <w:rStyle w:val="IndexLink"/>
                <w:rtl w:val="true"/>
              </w:rPr>
              <w:t xml:space="preserve">: </w:t>
            </w:r>
            <w:r>
              <w:rPr>
                <w:rStyle w:val="IndexLink"/>
                <w:rtl w:val="true"/>
              </w:rPr>
              <w:t>فی التاریخ و المقتل و المناقب</w:t>
            </w:r>
            <w:r>
              <w:rPr>
                <w:rStyle w:val="IndexLink"/>
                <w:rtl w:val="true"/>
              </w:rPr>
              <w:t>:</w:t>
              <w:tab/>
            </w:r>
            <w:r>
              <w:rPr>
                <w:rStyle w:val="IndexLink"/>
              </w:rPr>
              <w:t>566</w:t>
            </w:r>
          </w:hyperlink>
        </w:p>
        <w:p>
          <w:pPr>
            <w:pStyle w:val="Contents5"/>
            <w:tabs>
              <w:tab w:val="clear" w:pos="7892"/>
              <w:tab w:val="right" w:pos="9026" w:leader="dot"/>
            </w:tabs>
            <w:rPr/>
          </w:pPr>
          <w:hyperlink w:anchor="__RefHeading___Toc3055821_2314609296">
            <w:r>
              <w:rPr>
                <w:webHidden/>
                <w:rStyle w:val="IndexLink"/>
                <w:rtl w:val="true"/>
              </w:rPr>
              <w:t>د</w:t>
            </w:r>
            <w:r>
              <w:rPr>
                <w:rStyle w:val="IndexLink"/>
                <w:rtl w:val="true"/>
              </w:rPr>
              <w:t xml:space="preserve">: </w:t>
            </w:r>
            <w:r>
              <w:rPr>
                <w:rStyle w:val="IndexLink"/>
                <w:rtl w:val="true"/>
              </w:rPr>
              <w:t>فی العقائد و الکلام</w:t>
            </w:r>
            <w:r>
              <w:rPr>
                <w:rStyle w:val="IndexLink"/>
                <w:rtl w:val="true"/>
              </w:rPr>
              <w:t>:</w:t>
              <w:tab/>
            </w:r>
            <w:r>
              <w:rPr>
                <w:rStyle w:val="IndexLink"/>
              </w:rPr>
              <w:t>566</w:t>
            </w:r>
          </w:hyperlink>
        </w:p>
        <w:p>
          <w:pPr>
            <w:pStyle w:val="Contents5"/>
            <w:tabs>
              <w:tab w:val="clear" w:pos="7892"/>
              <w:tab w:val="right" w:pos="9026" w:leader="dot"/>
            </w:tabs>
            <w:rPr/>
          </w:pPr>
          <w:hyperlink w:anchor="__RefHeading___Toc3055823_2314609296">
            <w:r>
              <w:rPr>
                <w:webHidden/>
                <w:rStyle w:val="IndexLink"/>
                <w:rtl w:val="true"/>
              </w:rPr>
              <w:t>ه</w:t>
            </w:r>
            <w:r>
              <w:rPr>
                <w:rStyle w:val="IndexLink"/>
                <w:rtl w:val="true"/>
              </w:rPr>
              <w:t xml:space="preserve">: </w:t>
            </w:r>
            <w:r>
              <w:rPr>
                <w:rStyle w:val="IndexLink"/>
                <w:rtl w:val="true"/>
              </w:rPr>
              <w:t>فی الفقه و القواعد الفقهیّة</w:t>
            </w:r>
            <w:r>
              <w:rPr>
                <w:rStyle w:val="IndexLink"/>
                <w:rtl w:val="true"/>
              </w:rPr>
              <w:t>:</w:t>
              <w:tab/>
            </w:r>
            <w:r>
              <w:rPr>
                <w:rStyle w:val="IndexLink"/>
              </w:rPr>
              <w:t>570</w:t>
            </w:r>
          </w:hyperlink>
        </w:p>
        <w:p>
          <w:pPr>
            <w:pStyle w:val="Contents5"/>
            <w:tabs>
              <w:tab w:val="clear" w:pos="7892"/>
              <w:tab w:val="right" w:pos="9026" w:leader="dot"/>
            </w:tabs>
            <w:rPr/>
          </w:pPr>
          <w:hyperlink w:anchor="__RefHeading___Toc3055825_2314609296">
            <w:r>
              <w:rPr>
                <w:webHidden/>
                <w:rStyle w:val="IndexLink"/>
                <w:rtl w:val="true"/>
              </w:rPr>
              <w:t>و</w:t>
            </w:r>
            <w:r>
              <w:rPr>
                <w:rStyle w:val="IndexLink"/>
                <w:rtl w:val="true"/>
              </w:rPr>
              <w:t xml:space="preserve">: </w:t>
            </w:r>
            <w:r>
              <w:rPr>
                <w:rStyle w:val="IndexLink"/>
                <w:rtl w:val="true"/>
              </w:rPr>
              <w:t>فی اصول الفقه</w:t>
            </w:r>
            <w:r>
              <w:rPr>
                <w:rStyle w:val="IndexLink"/>
                <w:rtl w:val="true"/>
              </w:rPr>
              <w:t>:</w:t>
              <w:tab/>
            </w:r>
            <w:r>
              <w:rPr>
                <w:rStyle w:val="IndexLink"/>
              </w:rPr>
              <w:t>573</w:t>
            </w:r>
          </w:hyperlink>
        </w:p>
        <w:p>
          <w:pPr>
            <w:pStyle w:val="Contents5"/>
            <w:tabs>
              <w:tab w:val="clear" w:pos="7892"/>
              <w:tab w:val="right" w:pos="9026" w:leader="dot"/>
            </w:tabs>
            <w:rPr/>
          </w:pPr>
          <w:hyperlink w:anchor="__RefHeading___Toc3055827_2314609296">
            <w:r>
              <w:rPr>
                <w:webHidden/>
                <w:rStyle w:val="IndexLink"/>
                <w:rtl w:val="true"/>
              </w:rPr>
              <w:t>ز</w:t>
            </w:r>
            <w:r>
              <w:rPr>
                <w:rStyle w:val="IndexLink"/>
                <w:rtl w:val="true"/>
              </w:rPr>
              <w:t xml:space="preserve">: </w:t>
            </w:r>
            <w:r>
              <w:rPr>
                <w:rStyle w:val="IndexLink"/>
                <w:rtl w:val="true"/>
              </w:rPr>
              <w:t>فی الرجال و الدرایة</w:t>
            </w:r>
            <w:r>
              <w:rPr>
                <w:rStyle w:val="IndexLink"/>
                <w:rtl w:val="true"/>
              </w:rPr>
              <w:t>:</w:t>
              <w:tab/>
            </w:r>
            <w:r>
              <w:rPr>
                <w:rStyle w:val="IndexLink"/>
              </w:rPr>
              <w:t>574</w:t>
            </w:r>
          </w:hyperlink>
        </w:p>
        <w:p>
          <w:pPr>
            <w:pStyle w:val="Contents5"/>
            <w:tabs>
              <w:tab w:val="clear" w:pos="7892"/>
              <w:tab w:val="right" w:pos="9026" w:leader="dot"/>
            </w:tabs>
            <w:rPr/>
          </w:pPr>
          <w:hyperlink w:anchor="__RefHeading___Toc3055829_2314609296">
            <w:r>
              <w:rPr>
                <w:webHidden/>
                <w:rStyle w:val="IndexLink"/>
                <w:rtl w:val="true"/>
              </w:rPr>
              <w:t>ح</w:t>
            </w:r>
            <w:r>
              <w:rPr>
                <w:rStyle w:val="IndexLink"/>
                <w:rtl w:val="true"/>
              </w:rPr>
              <w:t xml:space="preserve">: </w:t>
            </w:r>
            <w:r>
              <w:rPr>
                <w:rStyle w:val="IndexLink"/>
                <w:rtl w:val="true"/>
              </w:rPr>
              <w:t>فی معرفة الکتب</w:t>
            </w:r>
            <w:r>
              <w:rPr>
                <w:rStyle w:val="IndexLink"/>
                <w:rtl w:val="true"/>
              </w:rPr>
              <w:t>:</w:t>
              <w:tab/>
            </w:r>
            <w:r>
              <w:rPr>
                <w:rStyle w:val="IndexLink"/>
              </w:rPr>
              <w:t>575</w:t>
            </w:r>
          </w:hyperlink>
        </w:p>
        <w:p>
          <w:pPr>
            <w:pStyle w:val="Contents5"/>
            <w:tabs>
              <w:tab w:val="clear" w:pos="7892"/>
              <w:tab w:val="right" w:pos="9026" w:leader="dot"/>
            </w:tabs>
            <w:rPr/>
          </w:pPr>
          <w:hyperlink w:anchor="__RefHeading___Toc3055831_2314609296">
            <w:r>
              <w:rPr>
                <w:webHidden/>
                <w:rStyle w:val="IndexLink"/>
                <w:rtl w:val="true"/>
              </w:rPr>
              <w:t>ط</w:t>
            </w:r>
            <w:r>
              <w:rPr>
                <w:rStyle w:val="IndexLink"/>
                <w:rtl w:val="true"/>
              </w:rPr>
              <w:t xml:space="preserve">: </w:t>
            </w:r>
            <w:r>
              <w:rPr>
                <w:rStyle w:val="IndexLink"/>
                <w:rtl w:val="true"/>
              </w:rPr>
              <w:t>فی الحکمة و الفلسفة</w:t>
            </w:r>
            <w:r>
              <w:rPr>
                <w:rStyle w:val="IndexLink"/>
                <w:rtl w:val="true"/>
              </w:rPr>
              <w:t>:</w:t>
              <w:tab/>
            </w:r>
            <w:r>
              <w:rPr>
                <w:rStyle w:val="IndexLink"/>
              </w:rPr>
              <w:t>576</w:t>
            </w:r>
          </w:hyperlink>
        </w:p>
        <w:p>
          <w:pPr>
            <w:pStyle w:val="Contents5"/>
            <w:tabs>
              <w:tab w:val="clear" w:pos="7892"/>
              <w:tab w:val="right" w:pos="9026" w:leader="dot"/>
            </w:tabs>
            <w:rPr/>
          </w:pPr>
          <w:hyperlink w:anchor="__RefHeading___Toc3055833_2314609296">
            <w:r>
              <w:rPr>
                <w:webHidden/>
                <w:rStyle w:val="IndexLink"/>
                <w:rtl w:val="true"/>
              </w:rPr>
              <w:t>ی</w:t>
            </w:r>
            <w:r>
              <w:rPr>
                <w:rStyle w:val="IndexLink"/>
                <w:rtl w:val="true"/>
              </w:rPr>
              <w:t xml:space="preserve">: </w:t>
            </w:r>
            <w:r>
              <w:rPr>
                <w:rStyle w:val="IndexLink"/>
                <w:rtl w:val="true"/>
              </w:rPr>
              <w:t>فی النحو و الأدبیّات</w:t>
            </w:r>
            <w:r>
              <w:rPr>
                <w:rStyle w:val="IndexLink"/>
                <w:rtl w:val="true"/>
              </w:rPr>
              <w:t>:</w:t>
              <w:tab/>
            </w:r>
            <w:r>
              <w:rPr>
                <w:rStyle w:val="IndexLink"/>
              </w:rPr>
              <w:t>576</w:t>
            </w:r>
          </w:hyperlink>
        </w:p>
        <w:p>
          <w:pPr>
            <w:pStyle w:val="Contents5"/>
            <w:tabs>
              <w:tab w:val="clear" w:pos="7892"/>
              <w:tab w:val="right" w:pos="9026" w:leader="dot"/>
            </w:tabs>
            <w:rPr/>
          </w:pPr>
          <w:hyperlink w:anchor="__RefHeading___Toc3055835_2314609296">
            <w:r>
              <w:rPr>
                <w:webHidden/>
                <w:rStyle w:val="IndexLink"/>
                <w:rtl w:val="true"/>
              </w:rPr>
              <w:t>ک</w:t>
            </w:r>
            <w:r>
              <w:rPr>
                <w:rStyle w:val="IndexLink"/>
                <w:rtl w:val="true"/>
              </w:rPr>
              <w:t xml:space="preserve">: </w:t>
            </w:r>
            <w:r>
              <w:rPr>
                <w:rStyle w:val="IndexLink"/>
                <w:rtl w:val="true"/>
              </w:rPr>
              <w:t>فی الطبّ</w:t>
            </w:r>
            <w:r>
              <w:rPr>
                <w:rStyle w:val="IndexLink"/>
                <w:rtl w:val="true"/>
              </w:rPr>
              <w:t>:</w:t>
              <w:tab/>
            </w:r>
            <w:r>
              <w:rPr>
                <w:rStyle w:val="IndexLink"/>
              </w:rPr>
              <w:t>577</w:t>
            </w:r>
          </w:hyperlink>
        </w:p>
        <w:p>
          <w:pPr>
            <w:pStyle w:val="Contents5"/>
            <w:tabs>
              <w:tab w:val="clear" w:pos="7892"/>
              <w:tab w:val="right" w:pos="9026" w:leader="dot"/>
            </w:tabs>
            <w:rPr/>
          </w:pPr>
          <w:hyperlink w:anchor="__RefHeading___Toc3055837_2314609296">
            <w:r>
              <w:rPr>
                <w:webHidden/>
                <w:rStyle w:val="IndexLink"/>
                <w:rtl w:val="true"/>
              </w:rPr>
              <w:t>ل</w:t>
            </w:r>
            <w:r>
              <w:rPr>
                <w:rStyle w:val="IndexLink"/>
                <w:rtl w:val="true"/>
              </w:rPr>
              <w:t xml:space="preserve">: </w:t>
            </w:r>
            <w:r>
              <w:rPr>
                <w:rStyle w:val="IndexLink"/>
                <w:rtl w:val="true"/>
              </w:rPr>
              <w:t>فی السیاسة</w:t>
            </w:r>
            <w:r>
              <w:rPr>
                <w:rStyle w:val="IndexLink"/>
                <w:rtl w:val="true"/>
              </w:rPr>
              <w:t>:</w:t>
              <w:tab/>
            </w:r>
            <w:r>
              <w:rPr>
                <w:rStyle w:val="IndexLink"/>
              </w:rPr>
              <w:t>577</w:t>
            </w:r>
          </w:hyperlink>
        </w:p>
        <w:p>
          <w:pPr>
            <w:pStyle w:val="Contents5"/>
            <w:tabs>
              <w:tab w:val="clear" w:pos="7892"/>
              <w:tab w:val="right" w:pos="9026" w:leader="dot"/>
            </w:tabs>
            <w:rPr/>
          </w:pPr>
          <w:hyperlink w:anchor="__RefHeading___Toc3055839_2314609296">
            <w:r>
              <w:rPr>
                <w:webHidden/>
                <w:rStyle w:val="IndexLink"/>
                <w:rtl w:val="true"/>
              </w:rPr>
              <w:t>م</w:t>
            </w:r>
            <w:r>
              <w:rPr>
                <w:rStyle w:val="IndexLink"/>
                <w:rtl w:val="true"/>
              </w:rPr>
              <w:t xml:space="preserve">: </w:t>
            </w:r>
            <w:r>
              <w:rPr>
                <w:rStyle w:val="IndexLink"/>
                <w:rtl w:val="true"/>
              </w:rPr>
              <w:t>و سائر تألیفاته</w:t>
            </w:r>
            <w:r>
              <w:rPr>
                <w:rStyle w:val="IndexLink"/>
                <w:rtl w:val="true"/>
              </w:rPr>
              <w:t>:</w:t>
              <w:tab/>
            </w:r>
            <w:r>
              <w:rPr>
                <w:rStyle w:val="IndexLink"/>
              </w:rPr>
              <w:t>577</w:t>
            </w:r>
          </w:hyperlink>
        </w:p>
        <w:p>
          <w:pPr>
            <w:pStyle w:val="Contents4"/>
            <w:tabs>
              <w:tab w:val="clear" w:pos="8176"/>
              <w:tab w:val="right" w:pos="9026" w:leader="dot"/>
            </w:tabs>
            <w:rPr/>
          </w:pPr>
          <w:hyperlink w:anchor="__RefHeading___Toc3055841_2314609296">
            <w:r>
              <w:rPr>
                <w:webHidden/>
                <w:rStyle w:val="IndexLink"/>
                <w:rtl w:val="true"/>
              </w:rPr>
              <w:t>فی ذکر مستنسخات المصنّف</w:t>
            </w:r>
            <w:r>
              <w:rPr>
                <w:rStyle w:val="IndexLink"/>
                <w:rtl w:val="true"/>
              </w:rPr>
              <w:tab/>
            </w:r>
            <w:r>
              <w:rPr>
                <w:rStyle w:val="IndexLink"/>
              </w:rPr>
              <w:t>577</w:t>
            </w:r>
          </w:hyperlink>
        </w:p>
        <w:p>
          <w:pPr>
            <w:pStyle w:val="Contents4"/>
            <w:tabs>
              <w:tab w:val="clear" w:pos="8176"/>
              <w:tab w:val="right" w:pos="9026" w:leader="dot"/>
            </w:tabs>
            <w:rPr/>
          </w:pPr>
          <w:hyperlink w:anchor="__RefHeading___Toc3055843_2314609296">
            <w:r>
              <w:rPr>
                <w:webHidden/>
                <w:rStyle w:val="IndexLink"/>
                <w:rtl w:val="true"/>
              </w:rPr>
              <w:t>الخاتمة</w:t>
            </w:r>
            <w:r>
              <w:rPr>
                <w:rStyle w:val="IndexLink"/>
                <w:rtl w:val="true"/>
              </w:rPr>
              <w:tab/>
            </w:r>
            <w:r>
              <w:rPr>
                <w:rStyle w:val="IndexLink"/>
              </w:rPr>
              <w:t>580</w:t>
            </w:r>
          </w:hyperlink>
        </w:p>
        <w:p>
          <w:pPr>
            <w:pStyle w:val="Contents3"/>
            <w:tabs>
              <w:tab w:val="clear" w:pos="8459"/>
              <w:tab w:val="right" w:pos="9026" w:leader="dot"/>
            </w:tabs>
            <w:rPr/>
          </w:pPr>
          <w:hyperlink w:anchor="__RefHeading___Toc3055845_2314609296">
            <w:r>
              <w:rPr>
                <w:webHidden/>
                <w:rStyle w:val="IndexLink"/>
                <w:rtl w:val="true"/>
              </w:rPr>
              <w:t>[</w:t>
            </w:r>
            <w:r>
              <w:rPr>
                <w:rStyle w:val="IndexLink"/>
                <w:rtl w:val="true"/>
              </w:rPr>
              <w:t>التحقیق فی الکتاب التسامح فی أدلّة السنن</w:t>
            </w:r>
            <w:r>
              <w:rPr>
                <w:rStyle w:val="IndexLink"/>
                <w:rtl w:val="true"/>
              </w:rPr>
              <w:t>]</w:t>
              <w:tab/>
            </w:r>
            <w:r>
              <w:rPr>
                <w:rStyle w:val="IndexLink"/>
              </w:rPr>
              <w:t>583</w:t>
            </w:r>
          </w:hyperlink>
        </w:p>
        <w:p>
          <w:pPr>
            <w:pStyle w:val="Contents4"/>
            <w:tabs>
              <w:tab w:val="clear" w:pos="8176"/>
              <w:tab w:val="right" w:pos="9026" w:leader="dot"/>
            </w:tabs>
            <w:rPr/>
          </w:pPr>
          <w:hyperlink w:anchor="__RefHeading___Toc3055847_2314609296">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3055849_2314609296">
            <w:r>
              <w:rPr>
                <w:webHidden/>
                <w:rStyle w:val="IndexLink"/>
                <w:rtl w:val="true"/>
              </w:rPr>
              <w:t>[</w:t>
            </w:r>
            <w:r>
              <w:rPr>
                <w:rStyle w:val="IndexLink"/>
                <w:rtl w:val="true"/>
              </w:rPr>
              <w:t>قاعدة التسامح مسألة اصولیّة أم فقهیّة؟</w:t>
            </w:r>
            <w:r>
              <w:rPr>
                <w:rStyle w:val="IndexLink"/>
                <w:rtl w:val="true"/>
              </w:rPr>
              <w:t>]</w:t>
              <w:tab/>
            </w:r>
            <w:r>
              <w:rPr>
                <w:rStyle w:val="IndexLink"/>
              </w:rPr>
              <w:t>583</w:t>
            </w:r>
          </w:hyperlink>
        </w:p>
        <w:p>
          <w:pPr>
            <w:pStyle w:val="Contents4"/>
            <w:tabs>
              <w:tab w:val="clear" w:pos="8176"/>
              <w:tab w:val="right" w:pos="9026" w:leader="dot"/>
            </w:tabs>
            <w:rPr/>
          </w:pPr>
          <w:hyperlink w:anchor="__RefHeading___Toc3055851_2314609296">
            <w:r>
              <w:rPr>
                <w:webHidden/>
                <w:rStyle w:val="IndexLink"/>
                <w:rtl w:val="true"/>
              </w:rPr>
              <w:t>[</w:t>
            </w:r>
            <w:r>
              <w:rPr>
                <w:rStyle w:val="IndexLink"/>
                <w:rtl w:val="true"/>
              </w:rPr>
              <w:t>الأخبار التی یستدلّ بها فی قاعدة التسامح</w:t>
            </w:r>
            <w:r>
              <w:rPr>
                <w:rStyle w:val="IndexLink"/>
                <w:rtl w:val="true"/>
              </w:rPr>
              <w:t>]</w:t>
              <w:tab/>
            </w:r>
            <w:r>
              <w:rPr>
                <w:rStyle w:val="IndexLink"/>
              </w:rPr>
              <w:t>589</w:t>
            </w:r>
          </w:hyperlink>
        </w:p>
        <w:p>
          <w:pPr>
            <w:pStyle w:val="Contents4"/>
            <w:tabs>
              <w:tab w:val="clear" w:pos="8176"/>
              <w:tab w:val="right" w:pos="9026" w:leader="dot"/>
            </w:tabs>
            <w:rPr/>
          </w:pPr>
          <w:hyperlink w:anchor="__RefHeading___Toc3055853_2314609296">
            <w:r>
              <w:rPr>
                <w:webHidden/>
                <w:rStyle w:val="IndexLink"/>
                <w:rtl w:val="true"/>
              </w:rPr>
              <w:t>[</w:t>
            </w:r>
            <w:r>
              <w:rPr>
                <w:rStyle w:val="IndexLink"/>
                <w:rtl w:val="true"/>
              </w:rPr>
              <w:t>ما اورد علی التمسّک بالأخبار التی یستدلّ بها فی قاعدة التسامح</w:t>
            </w:r>
            <w:r>
              <w:rPr>
                <w:rStyle w:val="IndexLink"/>
                <w:rtl w:val="true"/>
              </w:rPr>
              <w:t>]</w:t>
              <w:tab/>
            </w:r>
            <w:r>
              <w:rPr>
                <w:rStyle w:val="IndexLink"/>
              </w:rPr>
              <w:t>591</w:t>
            </w:r>
          </w:hyperlink>
        </w:p>
        <w:p>
          <w:pPr>
            <w:pStyle w:val="Contents4"/>
            <w:tabs>
              <w:tab w:val="clear" w:pos="8176"/>
              <w:tab w:val="right" w:pos="9026" w:leader="dot"/>
            </w:tabs>
            <w:rPr/>
          </w:pPr>
          <w:hyperlink w:anchor="__RefHeading___Toc3055855_2314609296">
            <w:r>
              <w:rPr>
                <w:webHidden/>
                <w:rStyle w:val="IndexLink"/>
                <w:rtl w:val="true"/>
              </w:rPr>
              <w:t>[</w:t>
            </w:r>
            <w:r>
              <w:rPr>
                <w:rStyle w:val="IndexLink"/>
                <w:rtl w:val="true"/>
              </w:rPr>
              <w:t>تنبیهات</w:t>
            </w:r>
            <w:r>
              <w:rPr>
                <w:rStyle w:val="IndexLink"/>
                <w:rtl w:val="true"/>
              </w:rPr>
              <w:t>]</w:t>
              <w:tab/>
            </w:r>
            <w:r>
              <w:rPr>
                <w:rStyle w:val="IndexLink"/>
              </w:rPr>
              <w:t>598</w:t>
            </w:r>
          </w:hyperlink>
        </w:p>
        <w:p>
          <w:pPr>
            <w:pStyle w:val="Contents2"/>
            <w:tabs>
              <w:tab w:val="clear" w:pos="8743"/>
              <w:tab w:val="right" w:pos="9026" w:leader="dot"/>
            </w:tabs>
            <w:rPr/>
          </w:pPr>
          <w:hyperlink w:anchor="__RefHeading___Toc3055857_2314609296">
            <w:r>
              <w:rPr>
                <w:webHidden/>
                <w:rStyle w:val="IndexLink"/>
                <w:rtl w:val="true"/>
              </w:rPr>
              <w:t>فهرس الموضوعات</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19_193296"/>
      <w:bookmarkStart w:id="1" w:name="pg19819_193296"/>
      <w:bookmarkEnd w:id="1"/>
    </w:p>
    <w:p>
      <w:pPr>
        <w:pStyle w:val="Heading2"/>
        <w:numPr>
          <w:ilvl w:val="1"/>
          <w:numId w:val="1"/>
        </w:numPr>
        <w:rPr/>
      </w:pPr>
      <w:bookmarkStart w:id="2" w:name="pg19819_193296"/>
      <w:bookmarkStart w:id="3" w:name="__RefHeading___Toc3055395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الشیعه الفقهی و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 اشراف مهدی المهریزی ، محمد حسین الدرایتی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الفقه و الاصول المختصه،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باصول‌الفقه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درایتی، محمدحسین،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۱۶۲۶۹۸۸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5397_2314609296"/>
      <w:bookmarkStart w:id="6" w:name="_Toc2"/>
      <w:bookmarkEnd w:id="5"/>
      <w:r>
        <w:rPr>
          <w:rtl w:val="true"/>
        </w:rPr>
        <w:t>اشارة</w:t>
      </w:r>
      <w:bookmarkStart w:id="7" w:name="pg19819_193299"/>
      <w:bookmarkEnd w:id="6"/>
    </w:p>
    <w:p>
      <w:pPr>
        <w:pStyle w:val="Heading2"/>
        <w:numPr>
          <w:ilvl w:val="1"/>
          <w:numId w:val="1"/>
        </w:numPr>
        <w:rPr/>
      </w:pPr>
      <w:bookmarkStart w:id="8" w:name="__RefHeading___Toc3055399_2314609296"/>
      <w:bookmarkStart w:id="9" w:name="_Toc3"/>
      <w:bookmarkEnd w:id="7"/>
      <w:bookmarkEnd w:id="8"/>
      <w:r>
        <w:rPr>
          <w:rtl w:val="true"/>
        </w:rPr>
        <w:t>اشارة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10" w:name="pg19819_193300"/>
    </w:p>
    <w:p>
      <w:pPr>
        <w:pStyle w:val="Heading2"/>
        <w:numPr>
          <w:ilvl w:val="1"/>
          <w:numId w:val="1"/>
        </w:numPr>
        <w:rPr/>
      </w:pPr>
      <w:bookmarkStart w:id="11" w:name="__RefHeading___Toc3055401_2314609296"/>
      <w:bookmarkStart w:id="12" w:name="_Toc4"/>
      <w:bookmarkEnd w:id="10"/>
      <w:bookmarkEnd w:id="11"/>
      <w:r>
        <w:rPr>
          <w:rtl w:val="true"/>
        </w:rPr>
        <w:t>الفهرس الإجمالی</w:t>
      </w:r>
      <w:bookmarkEnd w:id="12"/>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موازین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الأسترابادی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المهریزی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نخبة العقول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الکشفی الدارابی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المهریزی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مختار الگلپایگانی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الکریمی و محمّد حسین الدرایتی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ماجد بن هاشم الجدّ حفصیّ البحرانی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الأحمدی الجلفائی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الأسماع فی حکم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الدرایتی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الطباطبائی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الفاضلی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البهاری الهمدانی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الأحمدی الجلفائی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617</w:t>
      </w:r>
      <w:bookmarkStart w:id="13" w:name="pg19819_193302"/>
    </w:p>
    <w:p>
      <w:pPr>
        <w:pStyle w:val="Heading2"/>
        <w:numPr>
          <w:ilvl w:val="1"/>
          <w:numId w:val="1"/>
        </w:numPr>
        <w:rPr/>
      </w:pPr>
      <w:bookmarkStart w:id="14" w:name="__RefHeading___Toc3055403_2314609296"/>
      <w:bookmarkStart w:id="15" w:name="_Toc5"/>
      <w:bookmarkEnd w:id="13"/>
      <w:bookmarkEnd w:id="14"/>
      <w:r>
        <w:rPr>
          <w:rtl w:val="true"/>
        </w:rPr>
        <w:t>تمهید</w:t>
      </w:r>
      <w:bookmarkEnd w:id="15"/>
    </w:p>
    <w:p>
      <w:pPr>
        <w:pStyle w:val="BookText"/>
        <w:rPr/>
      </w:pPr>
      <w:r>
        <w:rPr>
          <w:rFonts w:ascii="IRNazanin" w:hAnsi="IRNazanin" w:eastAsia="IRNazanin"/>
          <w:color w:val="111111"/>
          <w:sz w:val="28"/>
          <w:sz w:val="28"/>
          <w:szCs w:val="28"/>
          <w:rtl w:val="true"/>
          <w:lang w:bidi="fa-IR"/>
        </w:rPr>
        <w:t>یعتبر علم الفقه من أسبق العلوم الإسلامیة و أوسعها،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 من فروع و ما یرتبط به من علوم مثل اصول الفقه و القواعد الفقهیة و مقاصد الشریعة و المسائل الخلافیة و الفقه المقارن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قسما عظیما من التراث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توسّع الطباعة و نشر الکثیر من الکتب و الرسائل الفقهیة إلّا أنّ ما لم یطبع منها لیس بقلیل، سواء کان مدرجا فی کتب الفهارس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أحصاه و أثبته أحد المراکز العلمیّة أنّ عدد النسخ الخطیّة الموجودة فی إیران یقارب</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تشکّل النسخ الخطّیة الفقهیة و الاصولیة منها ما یقارب</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لوحظت النسخ المتکرّرة منها، و هی ما یعادل أربع نسخ لکلّ عنوان، فتکون فی إیران من الآثار الفقهیة و الاصولیة ما یقارب</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المعلومات المتوفّرة لدینا أنّ أکثر من نصف هذه العناوین لم یصلها نور الطباعة و لم تخرج إلی سماء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الاهتمام بهذه النسخ الخطّیة و إحیاءها و تحقیقها طبق قواعد التصحیح المعروفة یعتبر رسالة عظیمة و کبیرة ملقاة علی عاتق النخب الحوزویة و الجامعیة و مفکّریهم؛ إذ بإحیاء هذه النسخ تحصل الکثیر من الفوائد و التی نشیر إلی بعضها فیما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الاعتناء بالتراث القدیم و إحیاءه یساعد کثیرا علی تقویة الهویة الثقافیة للمجتمع، و یقوّی الجذور الأصلیة للامم، و ذلک لأنّ الامّة التی تکون ذات تراث</w:t>
      </w:r>
    </w:p>
    <w:p>
      <w:pPr>
        <w:pStyle w:val="BookText"/>
        <w:rPr/>
      </w:pPr>
      <w:r>
        <w:rPr>
          <w:rFonts w:ascii="IRNazanin" w:hAnsi="IRNazanin" w:eastAsia="IRNazanin"/>
          <w:color w:val="111111"/>
          <w:sz w:val="28"/>
          <w:sz w:val="28"/>
          <w:szCs w:val="28"/>
          <w:rtl w:val="true"/>
          <w:lang w:bidi="fa-IR"/>
        </w:rPr>
        <w:t>قدیم و قد اهتمّت به و أحیته و حفظته تکون ذات ثقافة عالیة بین المجتمعات، و علی ذلک یبیّن و یقدّر التفاوت فی ثقافة المجتمعات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التراث القدیم المکتوب أحد المصادر الغنیة لمعرفة التأریخ القدیم و الحکم الصحیح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فإنّ کتابة تأریخ أحد الفروع العلمیة کالفقه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شاملا و جامعا إلّا إذا کان الکاتب عارفا و مطّلعا علی تأریخ ذلک العلم اطّلاعا شاملا و قد واکب تطوّراته و کانت تحت اختیاره، هذا من ناحیة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ناحیة اخری إنّ لعلم الفقه و العلوم المتّصلة به ارتباطا وثیقا بحیاة المسلمین، فهو مورد ابتلاء جمیع الطبقات، و لا فرق فی ذلک بین الصغیر و الکبیر، العالم و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 بعض العلوم علی العکس من ذلک؛ إذ هی کثیرا ما ترتبط بعمل بعض النخب و خواصّ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إلی الاختلافات و التناقضات الثقافیة و السیاسیة الواقعة فی البحوث و الأحکام الفقهیة فی یومنا الحاضر، فإنّ الاستفادة الصحیحة من التراث القدیم و من بعض النظریات المختلفة یمکن أن یؤثّر فی حلّ الکثیر من المسائل الجاریة بین المسلمین، و تکون الجذور القدیمة لبعض الآراء مما یزیل الشکّ لتأثّرها من بعض الثقافات الحدیثة و شرائطها المفروضة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الفقه و الاصول قسما هامّا من وظائف الحوزات العلمیّة، و مع الاعتناء بهذا التراث و إحیائه یمکن الاستفادة الحسنة من فرص و ظروف الحوزات العلمیة المبارکة، کما و أنّ الاستفادة الجیّدة من المتون الفقهیة و الاصولیة توجب ارتقاء الدروس الحوزویة ممّا یجعلها مفیدة للغایة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الربع الأوّل من هذا القرن اهتمام جدّی فی إحیاء التراث الفقهی و الاصولی، و لقد قام بذلک عدّة مراکز علمیة تحقیقیة و جمع من المحقّقین الکبار و الذین لهم تجربة طویلة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هذا الاهتمام اقتصر علی الکتب الفقهیة المشهورة و المتداولة، و لم یشمل الکثیر من الرسائل الفقهیة و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ما تقدّم ذکره من الفوائد الحاصلة من إحیاء التراث الفقهی و الاصولی، مضافا إلی عدم الاعتناء الکافی بالرسائل و المخطوطات المختصرة و صغیرة الحجم، کلّ هذا کان باعثا علی التفکیر فی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الشیعة الفقهی و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السعی فی هذه الموسوعة أن تحقّق الرسائل و الکرّاسات المختصرة فی الفقه و ما یرتبط به من علوم علی شکل مجلّدات سهلة 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کثرة هذه الرسائل و سعتها جعلنا معیارا خاصّا للأولویة فی إحیاء هذه الرسائل، و هو عبارة عمّا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موضوع الرسالة محلّ ابتلاء المکلّفین؛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للرسالة تأثیر علمیا؛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العلمی للمؤلّف؛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لقد سعینا أن تحقّق و تبیّن عدّة محاور فی هذه الموسوعة ضمن الرسائل التی تناولتها أیدینا، و هذه المحاور هی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و المباحث الفقهیة؛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إجازات الاجتهاد؛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بالنسخ؛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أحوال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تنظیم کلّ مجلّد ذکرت عدّة طرق و قد ناقشها الأخوة المتصدّین،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الکتابة الموضوعیة، بمعنی أن یحتوی کلّ مجلّد جمیع الرسائل الواردة فی موضوع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الکتابة القائمة طبق المؤلّف، بمعنی أن نذکر عدّة رسائل لمؤلّف واحد فی مجلّد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الکتابة القائمة علی الزمان، بمعنی أن الرسائل التی کتبت فی فترة زمنیة معیّنة تجمع فی مجلّد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الطریقة المتبعة فی بدایة العمل و التی بنی علیها العمل هی الطریقة الموضوعیّة فی کلّ مجلّد، أی یتمّ انتخاب و إحیاء رسائل ذات موضوعات مرتبطة لمؤلّفین مختلفین، و صدرت فی فترات زمنیة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نرجو أن یکون هذا السعی لإحیاء التراث الشیعی و خدمة علوم أهل البیت علیهم السّلام و معارفهم ذا حظّ وافر، و نأمل من إخوتنا المفکّرین و أصحاب القلم أن لا یبخلوا علینا بإرشاداتهم و ملاحظاتهم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w:t>
      </w:r>
    </w:p>
    <w:p>
      <w:pPr>
        <w:pStyle w:val="BookText"/>
        <w:rPr/>
      </w:pPr>
      <w:r>
        <w:rPr>
          <w:rFonts w:ascii="IRNazanin" w:hAnsi="IRNazanin" w:eastAsia="IRNazanin"/>
          <w:color w:val="111111"/>
          <w:sz w:val="28"/>
          <w:sz w:val="28"/>
          <w:szCs w:val="28"/>
          <w:rtl w:val="true"/>
          <w:lang w:bidi="fa-IR"/>
        </w:rPr>
        <w:t>مهدی المهریزی</w:t>
      </w:r>
    </w:p>
    <w:p>
      <w:pPr>
        <w:pStyle w:val="BookText"/>
        <w:rPr/>
      </w:pPr>
      <w:r>
        <w:rPr>
          <w:rFonts w:ascii="IRNazanin" w:hAnsi="IRNazanin" w:eastAsia="IRNazanin"/>
          <w:color w:val="111111"/>
          <w:sz w:val="28"/>
          <w:sz w:val="28"/>
          <w:szCs w:val="28"/>
          <w:rtl w:val="true"/>
          <w:lang w:bidi="fa-IR"/>
        </w:rPr>
        <w:t xml:space="preserve">أربعین الإمام الحسین علیه السّلام سنة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المصادف 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bookmarkStart w:id="16" w:name="pg19819_193306"/>
    </w:p>
    <w:p>
      <w:pPr>
        <w:pStyle w:val="Heading2"/>
        <w:numPr>
          <w:ilvl w:val="1"/>
          <w:numId w:val="1"/>
        </w:numPr>
        <w:rPr/>
      </w:pPr>
      <w:bookmarkStart w:id="17" w:name="__RefHeading___Toc3055405_2314609296"/>
      <w:bookmarkStart w:id="18" w:name="_Toc6"/>
      <w:bookmarkEnd w:id="16"/>
      <w:bookmarkEnd w:id="17"/>
      <w:r>
        <w:rPr/>
        <w:t>1</w:t>
      </w:r>
      <w:r>
        <w:rPr>
          <w:rtl w:val="true"/>
        </w:rPr>
        <w:t xml:space="preserve"> </w:t>
      </w:r>
      <w:r>
        <w:rPr>
          <w:rtl w:val="true"/>
        </w:rPr>
        <w:t>موازین الأحکام</w:t>
      </w:r>
      <w:bookmarkEnd w:id="18"/>
    </w:p>
    <w:p>
      <w:pPr>
        <w:pStyle w:val="Heading3"/>
        <w:numPr>
          <w:ilvl w:val="2"/>
          <w:numId w:val="1"/>
        </w:numPr>
        <w:rPr/>
      </w:pPr>
      <w:bookmarkStart w:id="19" w:name="__RefHeading___Toc3055407_2314609296"/>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محمّد جعفر الأسترابادی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المهریزی</w:t>
      </w:r>
      <w:bookmarkStart w:id="21" w:name="pg19819_193308"/>
    </w:p>
    <w:p>
      <w:pPr>
        <w:pStyle w:val="Heading3"/>
        <w:numPr>
          <w:ilvl w:val="2"/>
          <w:numId w:val="1"/>
        </w:numPr>
        <w:rPr/>
      </w:pPr>
      <w:bookmarkStart w:id="22" w:name="__RefHeading___Toc3055409_2314609296"/>
      <w:bookmarkStart w:id="23" w:name="_Toc8"/>
      <w:bookmarkEnd w:id="21"/>
      <w:bookmarkEnd w:id="22"/>
      <w:r>
        <w:rPr>
          <w:rtl w:val="true"/>
        </w:rPr>
        <w:t>مقدّمة التحقیق</w:t>
      </w:r>
      <w:bookmarkEnd w:id="23"/>
    </w:p>
    <w:p>
      <w:pPr>
        <w:pStyle w:val="Heading4"/>
        <w:numPr>
          <w:ilvl w:val="3"/>
          <w:numId w:val="1"/>
        </w:numPr>
        <w:rPr/>
      </w:pPr>
      <w:bookmarkStart w:id="24" w:name="__RefHeading___Toc3055411_2314609296"/>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یعتبر الملّا محمّد جعفر شریعتمدار الاسترآبادی من فقهاء الإمامیة الکبار فی القرن الثالث عشر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ولد سنة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فی مدینة استرآباد، و توفّی فی سنة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سافر إلی کربلاء لطلب العلم، و سکن فیها إلی زمن محاصرتها من قبل داود باشا، و فیها هدم مرقد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ذهب إلی مدینة الری و مکث فیها ما یقارب عشرین عاما، حیث انشغل بالإمامة و التدریس و القضاء و الإفتاء حتّی توفّی فیها، و نقل جثمانه المبارک إلی النجف الأشرف و دفن فی الإیوان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إیوان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 الاسترآبادی من فضلاء طلّاب السیّد علیّ الطباطبائی البهبهانی صاحب الریاض، و کان عالما کثیر التألیف و التصنیف فی علوم مختلفة حتّی عدّت مؤلّفاته من کتب و رسائل بما یقارب أحد و ثمانین مؤلّفا</w:t>
      </w:r>
      <w:r>
        <w:rPr>
          <w:rFonts w:eastAsia="IRNazanin" w:cs="IRNazanin"/>
          <w:color w:val="111111"/>
          <w:sz w:val="28"/>
          <w:szCs w:val="28"/>
          <w:rtl w:val="true"/>
          <w:lang w:bidi="fa-IR"/>
        </w:rPr>
        <w:t>.</w:t>
      </w:r>
    </w:p>
    <w:p>
      <w:pPr>
        <w:pStyle w:val="Heading4"/>
        <w:numPr>
          <w:ilvl w:val="3"/>
          <w:numId w:val="1"/>
        </w:numPr>
        <w:rPr/>
      </w:pPr>
      <w:bookmarkStart w:id="26" w:name="__RefHeading___Toc3055413_2314609296"/>
      <w:bookmarkStart w:id="27" w:name="_Toc10"/>
      <w:bookmarkEnd w:id="26"/>
      <w:r>
        <w:rPr>
          <w:rtl w:val="true"/>
        </w:rPr>
        <w:t>و یمکن تقسیم مؤلفاته إلی اثنی عشر علما</w:t>
      </w:r>
      <w:r>
        <w:rPr>
          <w:rtl w:val="true"/>
        </w:rPr>
        <w:t>:</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و العقائد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 و 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علوم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و الأدعیة و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الدرایة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w:t>
      </w:r>
      <w:bookmarkStart w:id="28" w:name="pg19819_193309"/>
    </w:p>
    <w:p>
      <w:pPr>
        <w:pStyle w:val="BookText"/>
        <w:rPr/>
      </w:pPr>
      <w:bookmarkEnd w:id="2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واحد؛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الریاضیات و 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واحد</w:t>
      </w:r>
      <w:r>
        <w:rPr>
          <w:rFonts w:eastAsia="IRNazanin" w:cs="IRNazanin"/>
          <w:color w:val="111111"/>
          <w:sz w:val="28"/>
          <w:szCs w:val="28"/>
          <w:rtl w:val="true"/>
          <w:lang w:bidi="fa-IR"/>
        </w:rPr>
        <w:t>.</w:t>
      </w:r>
    </w:p>
    <w:p>
      <w:pPr>
        <w:pStyle w:val="Heading4"/>
        <w:numPr>
          <w:ilvl w:val="3"/>
          <w:numId w:val="1"/>
        </w:numPr>
        <w:rPr/>
      </w:pPr>
      <w:bookmarkStart w:id="29" w:name="__RefHeading___Toc3055415_2314609296"/>
      <w:bookmarkStart w:id="30" w:name="_Toc11"/>
      <w:bookmarkEnd w:id="29"/>
      <w:r>
        <w:rPr>
          <w:rtl w:val="true"/>
        </w:rPr>
        <w:t>فهرسة مؤلفاته الفقهیة و الاصولیة</w:t>
      </w:r>
      <w:r>
        <w:rPr>
          <w:rtl w:val="true"/>
        </w:rPr>
        <w:t>:</w:t>
      </w:r>
      <w:bookmarkEnd w:id="30"/>
    </w:p>
    <w:p>
      <w:pPr>
        <w:pStyle w:val="Heading5"/>
        <w:numPr>
          <w:ilvl w:val="4"/>
          <w:numId w:val="1"/>
        </w:numPr>
        <w:rPr/>
      </w:pPr>
      <w:bookmarkStart w:id="31" w:name="__RefHeading___Toc3055417_2314609296"/>
      <w:bookmarkStart w:id="32" w:name="_Toc12"/>
      <w:bookmarkEnd w:id="31"/>
      <w:r>
        <w:rPr>
          <w:rtl w:val="true"/>
        </w:rPr>
        <w:t>المؤلّفات الفقهیة</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إبراء الأب زوجة ابنه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الرقم </w:t>
      </w:r>
      <w:r>
        <w:rPr>
          <w:rFonts w:eastAsia="IRNazanin" w:cs="IRNazanin"/>
          <w:color w:val="111111"/>
          <w:sz w:val="28"/>
          <w:szCs w:val="28"/>
          <w:lang w:bidi="fa-IR"/>
        </w:rPr>
        <w:t>3851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المفقود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الرقم </w:t>
      </w:r>
      <w:r>
        <w:rPr>
          <w:rFonts w:eastAsia="IRNazanin" w:cs="IRNazanin"/>
          <w:color w:val="111111"/>
          <w:sz w:val="28"/>
          <w:szCs w:val="28"/>
          <w:lang w:bidi="fa-IR"/>
        </w:rPr>
        <w:t>3850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w:t>
      </w:r>
      <w:r>
        <w:rPr>
          <w:rFonts w:eastAsia="IRNazanin" w:cs="IRNazanin"/>
          <w:color w:val="111111"/>
          <w:sz w:val="28"/>
          <w:szCs w:val="28"/>
          <w:lang w:bidi="fa-IR"/>
        </w:rPr>
        <w:t>3854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الرقم </w:t>
      </w:r>
      <w:r>
        <w:rPr>
          <w:rFonts w:eastAsia="IRNazanin" w:cs="IRNazanin"/>
          <w:color w:val="111111"/>
          <w:sz w:val="28"/>
          <w:szCs w:val="28"/>
          <w:lang w:bidi="fa-IR"/>
        </w:rPr>
        <w:t>3061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الرقم </w:t>
      </w:r>
      <w:r>
        <w:rPr>
          <w:rFonts w:eastAsia="IRNazanin" w:cs="IRNazanin"/>
          <w:color w:val="111111"/>
          <w:sz w:val="28"/>
          <w:szCs w:val="28"/>
          <w:lang w:bidi="fa-IR"/>
        </w:rPr>
        <w:t>3066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شوارع الأنام فی شرح 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الرقم </w:t>
      </w:r>
      <w:r>
        <w:rPr>
          <w:rFonts w:eastAsia="IRNazanin" w:cs="IRNazanin"/>
          <w:color w:val="111111"/>
          <w:sz w:val="28"/>
          <w:szCs w:val="28"/>
          <w:lang w:bidi="fa-IR"/>
        </w:rPr>
        <w:t>3074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الرقم </w:t>
      </w:r>
      <w:r>
        <w:rPr>
          <w:rFonts w:eastAsia="IRNazanin" w:cs="IRNazanin"/>
          <w:color w:val="111111"/>
          <w:sz w:val="28"/>
          <w:szCs w:val="28"/>
          <w:lang w:bidi="fa-IR"/>
        </w:rPr>
        <w:t>3078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إشارات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الصلاة و مقارناتها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الرقم </w:t>
      </w:r>
      <w:r>
        <w:rPr>
          <w:rFonts w:eastAsia="IRNazanin" w:cs="IRNazanin"/>
          <w:color w:val="111111"/>
          <w:sz w:val="28"/>
          <w:szCs w:val="28"/>
          <w:lang w:bidi="fa-IR"/>
        </w:rPr>
        <w:t>3081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الرقم </w:t>
      </w:r>
      <w:r>
        <w:rPr>
          <w:rFonts w:eastAsia="IRNazanin" w:cs="IRNazanin"/>
          <w:color w:val="111111"/>
          <w:sz w:val="28"/>
          <w:szCs w:val="28"/>
          <w:lang w:bidi="fa-IR"/>
        </w:rPr>
        <w:t>3082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إجازة اجتهاد منحها للمیرزا مهدی بن علیّ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مجلس الشوری الإسلامی، الرقم </w:t>
      </w:r>
      <w:r>
        <w:rPr>
          <w:rFonts w:eastAsia="IRNazanin" w:cs="IRNazanin"/>
          <w:color w:val="111111"/>
          <w:sz w:val="28"/>
          <w:szCs w:val="28"/>
          <w:lang w:bidi="fa-IR"/>
        </w:rPr>
        <w:t>13733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اجازة اجتهاد منحها للملّا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المرعشی، الرقم </w:t>
      </w:r>
      <w:r>
        <w:rPr>
          <w:rFonts w:eastAsia="IRNazanin" w:cs="IRNazanin"/>
          <w:color w:val="111111"/>
          <w:sz w:val="28"/>
          <w:szCs w:val="28"/>
          <w:lang w:bidi="fa-IR"/>
        </w:rPr>
        <w:t>3861</w:t>
      </w:r>
      <w:r>
        <w:rPr>
          <w:rFonts w:eastAsia="IRNazanin" w:cs="IRNazanin"/>
          <w:color w:val="111111"/>
          <w:sz w:val="28"/>
          <w:szCs w:val="28"/>
          <w:rtl w:val="true"/>
          <w:lang w:bidi="fa-IR"/>
        </w:rPr>
        <w:t>.</w:t>
      </w:r>
      <w:bookmarkStart w:id="33" w:name="pg19819_193310"/>
    </w:p>
    <w:p>
      <w:pPr>
        <w:pStyle w:val="BookText"/>
        <w:rPr/>
      </w:pPr>
      <w:bookmarkEnd w:id="33"/>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تسهیل الصعاب من امور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فهرسة لأبواب و فصول کتب الفقه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السیّد محمّد علی القاضی فی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باللغة الفارسیّة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صیغ النکاح و الطلاق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أسئلة فقهیة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صیغ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1332</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مقالید الجعفریة فی القواعد الفقهیة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موالید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فقه المذاهب الخمسة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الهدایة الاولی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تناول تربة سیّد الشهداء</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34" w:name="__RefHeading___Toc3055419_2314609296"/>
      <w:bookmarkStart w:id="35" w:name="_Toc13"/>
      <w:bookmarkEnd w:id="34"/>
      <w:r>
        <w:rPr>
          <w:rtl w:val="true"/>
        </w:rPr>
        <w:t>المؤلّفات الاصولیّة</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الرقم </w:t>
      </w:r>
      <w:r>
        <w:rPr>
          <w:rFonts w:eastAsia="IRNazanin" w:cs="IRNazanin"/>
          <w:color w:val="111111"/>
          <w:sz w:val="28"/>
          <w:szCs w:val="28"/>
          <w:lang w:bidi="fa-IR"/>
        </w:rPr>
        <w:t>3085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مشارع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الرقم </w:t>
      </w:r>
      <w:r>
        <w:rPr>
          <w:rFonts w:eastAsia="IRNazanin" w:cs="IRNazanin"/>
          <w:color w:val="111111"/>
          <w:sz w:val="28"/>
          <w:szCs w:val="28"/>
          <w:lang w:bidi="fa-IR"/>
        </w:rPr>
        <w:t>3072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خزائن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فیه عن مسائل عامّة یحتاجها المجتهد فی عملیّة الاستنباط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موازین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التی بین یدیک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علما مؤثّرا فی الاجتهاد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حجّیّة المظنّة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الفروق بین الاصولی و الأخباری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ملاذ الأوتاد فی تقریر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دروس السیّد علیّ صاحب الریاض</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موائد العوائد فی بیان القواعد و الفوائد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نظرة عابرة إلی عناوین المؤلّفات الفقهیة و الاصولیة للاسترآبادی تعرّفنا علی أنّه قدّس سرّه مضافا إلی دخوله فی أعماق هذه العلوم و فروعها، کانت له نظرة خارجیة عمیقة بعیدة عن التقوقع و الجمود، فتراه فی عملیة الاجتهاد و الاستنباط یقوم بتنظیم جمیع ما یحتاج إلیه من علوم و فنون، و یستقصی کلّ ما له دخل فی الاجتهاد و یؤثّر فیه حتّی یکون قابلا للتعلیم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یقوم بتبویب مطالب الفقه و مباحثه کما أنّه یعتنی بفقه الخلافیات، و کلّ ذلک خیر دلیل و شاهد علی تلک النظرة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صدق ما ذکرنا مراجعة هذه العناوین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تسهیل الصعاب من امور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فهرسة لأبواب و فصول کتب الفقه و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مقالید الجعفریة فی القواعد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موالید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المذاهب الخمسة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خزائن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اللازمة فی عملیة الاستنباط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موازین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التی بین یدیک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علما مؤثّرا فی الاجتهاد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الفروق بین الاصولی و الأخباری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موائد الفوائد فی بیان القواعد و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یمکن أن یعدّ الاسترآبادی عالما مستوعبا لجمیع زوایا المسائل، و ما تألیفه فی اثنی عشر علما إلّا خیر دلیل علی ما نقول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له نظرة خارجیة إلی العلوم و فروعها بعیدة عن التحجّر و الجمود، خصوصا فی مجال الفقه و الاصول، و قد تقدّم ذکر الشواهد الدالّة علیه</w:t>
      </w:r>
      <w:r>
        <w:rPr>
          <w:rFonts w:eastAsia="IRNazanin" w:cs="IRNazanin"/>
          <w:color w:val="111111"/>
          <w:sz w:val="28"/>
          <w:szCs w:val="28"/>
          <w:rtl w:val="true"/>
          <w:lang w:bidi="fa-IR"/>
        </w:rPr>
        <w:t>.</w:t>
      </w:r>
      <w:bookmarkStart w:id="36" w:name="pg19819_193312"/>
    </w:p>
    <w:p>
      <w:pPr>
        <w:pStyle w:val="Heading4"/>
        <w:numPr>
          <w:ilvl w:val="3"/>
          <w:numId w:val="1"/>
        </w:numPr>
        <w:rPr/>
      </w:pPr>
      <w:bookmarkStart w:id="37" w:name="__RefHeading___Toc3055421_2314609296"/>
      <w:bookmarkStart w:id="38" w:name="_Toc14"/>
      <w:bookmarkEnd w:id="36"/>
      <w:bookmarkEnd w:id="37"/>
      <w:r>
        <w:rPr>
          <w:rtl w:val="true"/>
        </w:rPr>
        <w:t>رسالة موازین الأحکام</w:t>
      </w:r>
      <w:bookmarkEnd w:id="38"/>
    </w:p>
    <w:p>
      <w:pPr>
        <w:pStyle w:val="BookText"/>
        <w:rPr/>
      </w:pPr>
      <w:r>
        <w:rPr>
          <w:rFonts w:ascii="IRNazanin" w:hAnsi="IRNazanin" w:eastAsia="IRNazanin"/>
          <w:color w:val="111111"/>
          <w:sz w:val="28"/>
          <w:sz w:val="28"/>
          <w:szCs w:val="28"/>
          <w:rtl w:val="true"/>
          <w:lang w:bidi="fa-IR"/>
        </w:rPr>
        <w:t xml:space="preserve">أحد مؤلّفات شریعتمدار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موازین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استنسخت هذه الرسالة فی حیاته عدّة مرّات، فقد استنسخت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محمّد قلی الکجوری، و استنسخت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الآقا بابا بن محمّد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صرّح کاتب الرسالة بأنّ عملیّة استنباط الأحکام الشرعیة لا تتمّ إلّا عن طریق منهج خاصّ و قالب معیّن، و من لم یتّبع ذلک المنهج فإنّه یسیر فی ظلمات هالکة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کلّ ذلک کتب هذه الرسالة، و قد رتّبها فی خمسة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المستدلّ أن یلاحظ خمسة امور فی کلّ عنوان من عناوین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 اللغوی و الاصطلاحی لذلک 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تقسیمات 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أحوال 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الأحکام الشرعیّة للعنوان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الالتفات إلی خمسة أمور لتترتّب الثمرة و یتمّ إحقاق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تخلیة الذهن عن الشبهات و المعانی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الالتفات الکامل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الإدراک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جمیع هذه الامور لا بدّ أن تلاحظ آداب المناظرة أثناء عملیّة الاستنباط و الاستدلال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علی أقسام خمسة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المجمع علیها حقیقة أو حکما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الخلافیة مع عدم الاعتناء بالمخالف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الخلافیة، و المخالف معتنی به، و لکن الثمرة غیر معتدّ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الخلافیة، مع الاعتناء بالمخالف و أنّ الثمرة معتدّ بها، لکنّ الدلیل علی الخلاف لا یعتمد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الخلافیة مع أنّ المخالف معتنی به و أنّ للمسألة ثمرة معتدّ بها مع وجود دلیل معتمد علی الرأی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علی أقسام خمسة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الأخصر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أقصر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کالعقل و الإجماع و السیرة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المختصر، کالآیة و الروایة المقبولة و أمثالهما ممّا یحتاج ملاحظة دلالته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المتوسّط، کالروایة الصحیحة المحتاجة إلی ملاحظة المتن و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المبسوط، بمعنی ملاحظة أدلّة الأقوال و النسبة بینها، و تحرّی أقواها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الأبسط، بمعنی ملاحظة جمیع ما یصلح دلیلا علی جمیع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المستدلّ أن یراعی خمسة مواقف و خمس مراحل و اثنی عشر 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محلّ النزاع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الأقوال أو الوجوه المحتملة فی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الثمرة المترتّبة علی النزاع</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الأصل فی المسألة، سواء کان أصلا عقلیا أو بمعنی الغلبة و الرجحان، أو</w:t>
      </w:r>
    </w:p>
    <w:p>
      <w:pPr>
        <w:pStyle w:val="BookText"/>
        <w:rPr/>
      </w:pPr>
      <w:r>
        <w:rPr>
          <w:rFonts w:ascii="IRNazanin" w:hAnsi="IRNazanin" w:eastAsia="IRNazanin"/>
          <w:color w:val="111111"/>
          <w:sz w:val="28"/>
          <w:sz w:val="28"/>
          <w:szCs w:val="28"/>
          <w:rtl w:val="true"/>
          <w:lang w:bidi="fa-IR"/>
        </w:rPr>
        <w:t>بمعنی أصالة البراءة و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الأدلّة و حجج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و ترتیب کلّ ما یمکن أن یصلح دلیلا علی المسألة، بإعمال علم الکلام و التفسیر و علم الحدیث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ملاحظة السند فی مقام الانضباط و الاضطراب، و مقام 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ملاحظة المتن فی مقام الانضباط و الاضطراب، و مقام 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ملاحظة الدلالة من ناحیة المعنی الإفرادی و المعنی الترکیبی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ملاحظة التعارض و الترجیح و التعادل بین الأدلّة فی مقام الحکم الاجتهادی و مقام الحکم الفقاهتی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 طرح خمسة مباحث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التعادل و التعارض و الترجیح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المرجّحات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المنصوص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الاجتهادی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السندی، المرجّح المتنی، المرجّح الدلالتی، المرجّح المدلولی، المرجّح الخارجی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المتعارضة إمّا أن یکون أحدها ذات مرجّح فیعمل به، و إمّا أن لا یکون مرجّح فی البین، و معه إمّا أن یکون هناک شاهد جمع أو لا یکون، فعلی الأوّل لا بدّ من الجمع، و یکون الجمع علی أقسام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الداخلی، الشاهد الشرعی، الشاهد العرفی، الشاهد الخارجی واردا للجمع، الشاهد الخارجی المقتضی للجمع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 عدم وجود شاهد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أمکن أولی من الطرح، و عدم الجمع</w:t>
      </w:r>
      <w:r>
        <w:rPr>
          <w:rFonts w:eastAsia="IRNazanin" w:cs="IRNazanin"/>
          <w:color w:val="111111"/>
          <w:sz w:val="28"/>
          <w:szCs w:val="28"/>
          <w:rtl w:val="true"/>
          <w:lang w:bidi="fa-IR"/>
        </w:rPr>
        <w:t>.</w:t>
      </w:r>
      <w:bookmarkStart w:id="39" w:name="pg19819_193315"/>
    </w:p>
    <w:p>
      <w:pPr>
        <w:pStyle w:val="BookText"/>
        <w:rPr/>
      </w:pPr>
      <w:bookmarkEnd w:id="3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بعد استفراغ وسعه فی الحصول علی الدلیل تحصل له أحوال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الحصول علی الدلیل الخالی عن المعارض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الحصول علی الدلیل المتعارض الراجح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الحصول علی الدلیل المتعارض و لا مرجّح له إلّا أنّ له شاهد 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الحصول علی الدلیل المتعارض بلا مرجّح له و بدون شاهد علی الجمع، أی عدم الظفر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الحالات الثلاث الاولی یکون المجتهد ذا حکم اجتهادی، و فی الحالتین الأخیرتین یکون ذا حکم فقاهتی یرجع إلی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بدّ من الإشارة إلی أنّ المقامات الاثنی عشر التی طرحت فی بدایة هذا المقصد لم تبیّن بصورة مستقلّة، بل ذکرت ضمن بیان المواقف و المراحل الخمسة،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ملاحظة السند مقامان، و فی مرحلة ملاحظة المتن مقامان، و فی مرحلة ملاحظة الدلالة ستّة مقامات، و فی مهلة التعادل و التراجیح مقامان</w:t>
      </w:r>
      <w:r>
        <w:rPr>
          <w:rFonts w:eastAsia="IRNazanin" w:cs="IRNazanin"/>
          <w:color w:val="111111"/>
          <w:sz w:val="28"/>
          <w:szCs w:val="28"/>
          <w:rtl w:val="true"/>
          <w:lang w:bidi="fa-IR"/>
        </w:rPr>
        <w:t>.</w:t>
      </w:r>
    </w:p>
    <w:p>
      <w:pPr>
        <w:pStyle w:val="Heading4"/>
        <w:numPr>
          <w:ilvl w:val="3"/>
          <w:numId w:val="1"/>
        </w:numPr>
        <w:rPr/>
      </w:pPr>
      <w:bookmarkStart w:id="40" w:name="__RefHeading___Toc3055423_2314609296"/>
      <w:bookmarkStart w:id="41" w:name="_Toc15"/>
      <w:bookmarkEnd w:id="40"/>
      <w:r>
        <w:rPr>
          <w:rtl w:val="true"/>
        </w:rPr>
        <w:t>النسخ المعتمدة</w:t>
      </w:r>
      <w:r>
        <w:rPr>
          <w:rtl w:val="true"/>
        </w:rPr>
        <w:t>:</w:t>
      </w:r>
      <w:bookmarkEnd w:id="41"/>
    </w:p>
    <w:p>
      <w:pPr>
        <w:pStyle w:val="BookText"/>
        <w:rPr/>
      </w:pPr>
      <w:r>
        <w:rPr>
          <w:rFonts w:ascii="IRNazanin" w:hAnsi="IRNazanin" w:eastAsia="IRNazanin"/>
          <w:color w:val="111111"/>
          <w:sz w:val="28"/>
          <w:sz w:val="28"/>
          <w:szCs w:val="28"/>
          <w:rtl w:val="true"/>
          <w:lang w:bidi="fa-IR"/>
        </w:rPr>
        <w:t>و قد اعتمدنا فی تصحیح هذه الرسالة علی النسخ الثلاث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الموجودة فی مکتبة آیة اللّه السیّد المرعشی، و هی الرسالة السابعة من المجموعة المرقّمة </w:t>
      </w: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الآقا بابا ابن محمّد مهدی الشهمیرزادی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بتأریخ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الموجودة فی مرکز إحیاء التراث الإسلامی، و هی الرسالة الثانیة من المجموعة المرقّمة </w:t>
      </w: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قلی الکجوری، کتبها بتأریخ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النسخة الموجودة فی مرکز إحیاء التراث الإسلامی، الرسالة الثالثة من المجموعة المرقّمة </w:t>
      </w:r>
      <w:r>
        <w:rPr>
          <w:rFonts w:eastAsia="IRNazanin" w:cs="IRNazanin"/>
          <w:color w:val="111111"/>
          <w:sz w:val="28"/>
          <w:szCs w:val="28"/>
          <w:lang w:bidi="fa-IR"/>
        </w:rPr>
        <w:t>3753</w:t>
      </w:r>
      <w:r>
        <w:rPr>
          <w:rFonts w:ascii="IRNazanin" w:hAnsi="IRNazanin" w:eastAsia="IRNazanin"/>
          <w:color w:val="111111"/>
          <w:sz w:val="28"/>
          <w:sz w:val="28"/>
          <w:szCs w:val="28"/>
          <w:rtl w:val="true"/>
          <w:lang w:bidi="fa-IR"/>
        </w:rPr>
        <w:t>، کتبت فی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bookmarkStart w:id="42" w:name="pg19819_193320"/>
    </w:p>
    <w:p>
      <w:pPr>
        <w:pStyle w:val="Heading3"/>
        <w:numPr>
          <w:ilvl w:val="2"/>
          <w:numId w:val="1"/>
        </w:numPr>
        <w:rPr/>
      </w:pPr>
      <w:bookmarkStart w:id="43" w:name="__RefHeading___Toc3055425_2314609296"/>
      <w:bookmarkStart w:id="44" w:name="_Toc16"/>
      <w:bookmarkEnd w:id="42"/>
      <w:bookmarkEnd w:id="43"/>
      <w:r>
        <w:rPr>
          <w:rtl w:val="true"/>
        </w:rPr>
        <w:t>[</w:t>
      </w:r>
      <w:r>
        <w:rPr>
          <w:rtl w:val="true"/>
        </w:rPr>
        <w:t>التحقیق فی الکتاب موازین الاحکام</w:t>
      </w:r>
      <w:r>
        <w:rPr>
          <w:rtl w:val="true"/>
        </w:rPr>
        <w:t>]</w:t>
      </w:r>
      <w:bookmarkEnd w:id="44"/>
    </w:p>
    <w:p>
      <w:pPr>
        <w:pStyle w:val="Heading4"/>
        <w:numPr>
          <w:ilvl w:val="3"/>
          <w:numId w:val="1"/>
        </w:numPr>
        <w:rPr/>
      </w:pPr>
      <w:bookmarkStart w:id="45" w:name="__RefHeading___Toc3055427_2314609296"/>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موازین الأحکام بسم اللّه الرحمن الرحیم الحمد للّه علی نواله، و الصلاة و السلام علی رسوله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خادم بساتین المذهب الجعفری من مذاهب الشرع المحمّدی محمّد جعفر الأسترابادی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عواقب اموره خیرا من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رسالة فی بیان کیفیّة الاستدلال و استنباط الأحکام الشرعیّة الفرعیّة النظریّة عن أدلّتها التفصیلیّة المعهودة، ألّفتها تسهیلا</w:t>
      </w:r>
      <w:r>
        <w:rPr>
          <w:rStyle w:val="FootnoteAnchor"/>
          <w:rtl w:val="true"/>
        </w:rPr>
        <w:footnoteReference w:id="16"/>
      </w:r>
      <w:r>
        <w:rPr>
          <w:rFonts w:ascii="IRNazanin" w:hAnsi="IRNazanin" w:eastAsia="IRNazanin"/>
          <w:color w:val="111111"/>
          <w:sz w:val="28"/>
          <w:sz w:val="28"/>
          <w:szCs w:val="28"/>
          <w:rtl w:val="true"/>
          <w:lang w:bidi="fa-IR"/>
        </w:rPr>
        <w:t xml:space="preserve">لأمر المحصّلین و عدم المشی علی العمیاء فی أمر الدین؛ إذ لم أجد من تعرّض لبیانها مع أنّه من أهمّ المهمّات، و رتّبتها علی مقاصد خمسة، و سمّیتها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 الأحکام فی استنباط الأحکام</w:t>
      </w:r>
      <w:r>
        <w:rPr>
          <w:rFonts w:eastAsia="IRNazanin" w:cs="IRNazanin"/>
          <w:color w:val="111111"/>
          <w:sz w:val="28"/>
          <w:szCs w:val="28"/>
          <w:rtl w:val="true"/>
          <w:lang w:bidi="fa-IR"/>
        </w:rPr>
        <w:t>».</w:t>
      </w:r>
    </w:p>
    <w:p>
      <w:pPr>
        <w:pStyle w:val="Heading4"/>
        <w:numPr>
          <w:ilvl w:val="3"/>
          <w:numId w:val="1"/>
        </w:numPr>
        <w:rPr/>
      </w:pPr>
      <w:bookmarkStart w:id="47" w:name="__RefHeading___Toc3055429_2314609296"/>
      <w:bookmarkStart w:id="48" w:name="_Toc18"/>
      <w:bookmarkEnd w:id="47"/>
      <w:r>
        <w:rPr>
          <w:rtl w:val="true"/>
        </w:rPr>
        <w:t>المقصد الأوّل</w:t>
      </w:r>
      <w:r>
        <w:rPr>
          <w:rtl w:val="true"/>
        </w:rPr>
        <w:t xml:space="preserve">: </w:t>
      </w:r>
      <w:r>
        <w:rPr>
          <w:rtl w:val="true"/>
        </w:rPr>
        <w:t>أنّه لا بدّ للمستدلّ فی کلّ عنوان من عنوانات المسائل من ملاحظة امور خمسة</w:t>
      </w:r>
      <w:r>
        <w:rPr>
          <w:rtl w:val="true"/>
        </w:rPr>
        <w:t>:</w:t>
      </w:r>
      <w:bookmarkEnd w:id="48"/>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أنّه لا بدّ للمستدلّ فی کلّ عنوان من عنوانات المسائل من ملاحظة امور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لغة و اصطلاحا، و التقسیم، و بیان الأحوال و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الوضعیّة و التکلیفیّة مثلا، و التفریع</w:t>
      </w:r>
      <w:r>
        <w:rPr>
          <w:rStyle w:val="FootnoteAnchor"/>
          <w:rtl w:val="true"/>
        </w:rPr>
        <w:footnoteReference w:id="18"/>
      </w:r>
      <w:r>
        <w:rPr>
          <w:rFonts w:ascii="IRNazanin" w:hAnsi="IRNazanin" w:eastAsia="IRNazanin"/>
          <w:color w:val="111111"/>
          <w:sz w:val="28"/>
          <w:sz w:val="28"/>
          <w:szCs w:val="28"/>
          <w:rtl w:val="true"/>
          <w:lang w:bidi="fa-IR"/>
        </w:rPr>
        <w:t>بذکر فروعات متفرّعة علی ما ذکر</w:t>
      </w:r>
      <w:r>
        <w:rPr>
          <w:rFonts w:eastAsia="IRNazanin" w:cs="IRNazanin"/>
          <w:color w:val="111111"/>
          <w:sz w:val="28"/>
          <w:szCs w:val="28"/>
          <w:rtl w:val="true"/>
          <w:lang w:bidi="fa-IR"/>
        </w:rPr>
        <w:t>.</w:t>
      </w:r>
    </w:p>
    <w:p>
      <w:pPr>
        <w:pStyle w:val="Heading4"/>
        <w:numPr>
          <w:ilvl w:val="3"/>
          <w:numId w:val="1"/>
        </w:numPr>
        <w:rPr/>
      </w:pPr>
      <w:bookmarkStart w:id="49" w:name="__RefHeading___Toc3055431_2314609296"/>
      <w:bookmarkStart w:id="50" w:name="_Toc19"/>
      <w:bookmarkEnd w:id="49"/>
      <w:r>
        <w:rPr>
          <w:rtl w:val="true"/>
        </w:rPr>
        <w:t>المقصد الثانی</w:t>
      </w:r>
      <w:r>
        <w:rPr>
          <w:rtl w:val="true"/>
        </w:rPr>
        <w:t xml:space="preserve">: </w:t>
      </w:r>
      <w:r>
        <w:rPr>
          <w:rtl w:val="true"/>
        </w:rPr>
        <w:t>أنّه لا بدّ فی ترتّب ثمرة الاستدلال و إحقاق الحقّ و إبطال الباطل من امور خمسة</w:t>
      </w:r>
      <w:r>
        <w:rPr>
          <w:rtl w:val="true"/>
        </w:rPr>
        <w:t>:</w:t>
      </w:r>
      <w:bookmarkEnd w:id="50"/>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أنّه لا بدّ فی ترتّب ثمرة الاستدلال و إحقاق الحقّ و إبطال الباطل من امور خمسة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الإنصات، و التخلیة عن الشبهات، و الالتفات، و الإدراک و الإنصاف، مضافا إلی إعمال آداب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الاعتراض عند نقل المذهب إلّا فی صورة الشبهة و معرفة أنّ عدم تسلیم مقدّمة معیّنة منع غیر محتاج إلی السند إلّا علی سبیل التفضّل و التبرّع، و عدم التسلیم إجمالا نقض إجمالی محتاج إلی بیان الخلل بالنقض بوجود مقتضی الدلیل فیما لا یقول به المستدلّ، أو الحلّ و إبطال الدلیل</w:t>
      </w:r>
      <w:bookmarkStart w:id="51" w:name="pg19819_193321"/>
    </w:p>
    <w:p>
      <w:pPr>
        <w:pStyle w:val="BookText"/>
        <w:rPr/>
      </w:pPr>
      <w:bookmarkEnd w:id="51"/>
      <w:r>
        <w:rPr>
          <w:rFonts w:ascii="IRNazanin" w:hAnsi="IRNazanin" w:eastAsia="IRNazanin"/>
          <w:color w:val="111111"/>
          <w:sz w:val="28"/>
          <w:sz w:val="28"/>
          <w:szCs w:val="28"/>
          <w:rtl w:val="true"/>
          <w:lang w:bidi="fa-IR"/>
        </w:rPr>
        <w:t>بالبرهان، و أنّ الإتیان بدلیل مثبت لخلاف مدّعی المستدلّ یسمّی معارضة صرفة، أو مع المنع</w:t>
      </w:r>
      <w:r>
        <w:rPr>
          <w:rFonts w:eastAsia="IRNazanin" w:cs="IRNazanin"/>
          <w:color w:val="111111"/>
          <w:sz w:val="28"/>
          <w:szCs w:val="28"/>
          <w:rtl w:val="true"/>
          <w:lang w:bidi="fa-IR"/>
        </w:rPr>
        <w:t>.</w:t>
      </w:r>
    </w:p>
    <w:p>
      <w:pPr>
        <w:pStyle w:val="Heading4"/>
        <w:numPr>
          <w:ilvl w:val="3"/>
          <w:numId w:val="1"/>
        </w:numPr>
        <w:rPr/>
      </w:pPr>
      <w:bookmarkStart w:id="52" w:name="__RefHeading___Toc3055433_2314609296"/>
      <w:bookmarkStart w:id="53" w:name="_Toc20"/>
      <w:bookmarkEnd w:id="52"/>
      <w:r>
        <w:rPr>
          <w:rtl w:val="true"/>
        </w:rPr>
        <w:t>المقصد الثالث</w:t>
      </w:r>
      <w:r>
        <w:rPr>
          <w:rtl w:val="true"/>
        </w:rPr>
        <w:t xml:space="preserve">: </w:t>
      </w:r>
      <w:r>
        <w:rPr>
          <w:rtl w:val="true"/>
        </w:rPr>
        <w:t>أنّ المسائل علی أقسام خمسة</w:t>
      </w:r>
      <w:r>
        <w:rPr>
          <w:rtl w:val="true"/>
        </w:rPr>
        <w:t>:</w:t>
      </w:r>
      <w:bookmarkEnd w:id="5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إجماعیّ حقیقة أو حکما کالوفاقیّة من غیر کشف، و ما فیه إجماع سکوتی، أو فیه ظهور عدم الخلاف، أو عدم ظهور الخلاف، أو ما هو المعروف من مذهب الأصحاب</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خلافی و لکنّ المخالف غیر معتنی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خلافی و المخالف معتنی به، و لکنّ الثمرة غیر معتدّ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خلافی و المخالف معتنی به، و الثمرة معتدّ بها، و لکنّ الدلیل علی الخلاف غیر معتمد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خلافی و المخالف معتنی به، و الثمرة معتدّ بها، و الدلیل علی الخلاف معتمد علیه، سواء کان مع التفاوت المقتضی لتحقّق الحکم الاجتهادی، أم کان مع التعادل الموجب لتحقّق الحکم الفقاهتی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أهمّ الأقسام، و لا بدّ فیه من بسط الکلام علی الوجه الأتمّ أو التامّ</w:t>
      </w:r>
      <w:r>
        <w:rPr>
          <w:rFonts w:eastAsia="IRNazanin" w:cs="IRNazanin"/>
          <w:color w:val="111111"/>
          <w:sz w:val="28"/>
          <w:szCs w:val="28"/>
          <w:rtl w:val="true"/>
          <w:lang w:bidi="fa-IR"/>
        </w:rPr>
        <w:t>.</w:t>
      </w:r>
    </w:p>
    <w:p>
      <w:pPr>
        <w:pStyle w:val="Heading4"/>
        <w:numPr>
          <w:ilvl w:val="3"/>
          <w:numId w:val="1"/>
        </w:numPr>
        <w:rPr/>
      </w:pPr>
      <w:bookmarkStart w:id="54" w:name="__RefHeading___Toc3055435_2314609296"/>
      <w:bookmarkStart w:id="55" w:name="_Toc21"/>
      <w:bookmarkEnd w:id="54"/>
      <w:r>
        <w:rPr>
          <w:rtl w:val="true"/>
        </w:rPr>
        <w:t>المقصد الرابع</w:t>
      </w:r>
      <w:r>
        <w:rPr>
          <w:rtl w:val="true"/>
        </w:rPr>
        <w:t xml:space="preserve">: </w:t>
      </w:r>
      <w:r>
        <w:rPr>
          <w:rtl w:val="true"/>
        </w:rPr>
        <w:t>أنّ الدلائل علی أقسام خمسة</w:t>
      </w:r>
      <w:r>
        <w:rPr>
          <w:rtl w:val="true"/>
        </w:rPr>
        <w:t>:</w:t>
      </w:r>
      <w:bookmarkEnd w:id="55"/>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الدلائل</w:t>
      </w:r>
      <w:r>
        <w:rPr>
          <w:rStyle w:val="FootnoteAnchor"/>
          <w:rtl w:val="true"/>
        </w:rPr>
        <w:footnoteReference w:id="21"/>
      </w:r>
      <w:r>
        <w:rPr>
          <w:rFonts w:ascii="IRNazanin" w:hAnsi="IRNazanin" w:eastAsia="IRNazanin"/>
          <w:color w:val="111111"/>
          <w:sz w:val="28"/>
          <w:sz w:val="28"/>
          <w:szCs w:val="28"/>
          <w:rtl w:val="true"/>
          <w:lang w:bidi="fa-IR"/>
        </w:rPr>
        <w:t>علی أقسام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الأخصر، کالعقل و الإجماع و السیرة، فإنّه لا یحتاج إلّا إلی الفحص الموجب للعلم بتحقّقه و توجّهه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المختصر، کالآیة و الروایة المقبولة و نحوهما ممّا یحتاج إلی تحصیله و ملاحظة دلالته، بدون الحاجة إلی ملاحظة السند، أو معها من غیر أن یکون له معارض و نحوه</w:t>
      </w:r>
      <w:r>
        <w:rPr>
          <w:rFonts w:eastAsia="IRNazanin" w:cs="IRNazanin"/>
          <w:color w:val="111111"/>
          <w:sz w:val="28"/>
          <w:szCs w:val="28"/>
          <w:rtl w:val="true"/>
          <w:lang w:bidi="fa-IR"/>
        </w:rPr>
        <w:t>.</w:t>
      </w:r>
      <w:r>
        <w:rPr>
          <w:rStyle w:val="FootnoteAnchor"/>
          <w:rtl w:val="true"/>
        </w:rPr>
        <w:footnoteReference w:id="22"/>
      </w:r>
      <w:bookmarkStart w:id="56" w:name="pg19819_193322"/>
    </w:p>
    <w:p>
      <w:pPr>
        <w:pStyle w:val="BookText"/>
        <w:rPr/>
      </w:pPr>
      <w:bookmarkEnd w:id="56"/>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المتوسّط بذکر دلیل ما اختاره المستدلّ، کالروایة الصحیحة المحتاجة إلی ما ذکر و ملاحظة السند و اعتباره و وضوح دلالته علی المدّعی، سواء کان عامّا أم</w:t>
      </w:r>
      <w:r>
        <w:rPr>
          <w:rStyle w:val="FootnoteAnchor"/>
          <w:rtl w:val="true"/>
        </w:rPr>
        <w:footnoteReference w:id="23"/>
      </w:r>
      <w:r>
        <w:rPr>
          <w:rFonts w:ascii="Amiri" w:hAnsi="Amiri" w:eastAsia="Amiri" w:cs="Amiri"/>
          <w:color w:val="111111"/>
          <w:sz w:val="28"/>
          <w:sz w:val="28"/>
          <w:szCs w:val="28"/>
          <w:rtl w:val="true"/>
          <w:lang w:bidi="ar-SA"/>
        </w:rPr>
        <w:t>خاصّا</w:t>
      </w:r>
      <w:r>
        <w:rPr>
          <w:rStyle w:val="FootnoteAnchor"/>
          <w:rtl w:val="true"/>
        </w:rPr>
        <w:footnoteReference w:id="24"/>
      </w:r>
      <w:r>
        <w:rPr>
          <w:rFonts w:ascii="IRNazanin" w:hAnsi="IRNazanin" w:eastAsia="IRNazanin"/>
          <w:color w:val="111111"/>
          <w:sz w:val="28"/>
          <w:sz w:val="28"/>
          <w:szCs w:val="28"/>
          <w:rtl w:val="true"/>
          <w:lang w:bidi="fa-IR"/>
        </w:rPr>
        <w:t>و لو بالضمیمة، مع دفع معارضه و ما یرد علیه ظاهرا بنحو السؤال 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المبسوط، کما إذا لوحظ أقوی الأدلّة</w:t>
      </w:r>
      <w:r>
        <w:rPr>
          <w:rStyle w:val="FootnoteAnchor"/>
          <w:rtl w:val="true"/>
        </w:rPr>
        <w:footnoteReference w:id="25"/>
      </w:r>
      <w:r>
        <w:rPr>
          <w:rFonts w:ascii="IRNazanin" w:hAnsi="IRNazanin" w:eastAsia="IRNazanin"/>
          <w:color w:val="111111"/>
          <w:sz w:val="28"/>
          <w:sz w:val="28"/>
          <w:szCs w:val="28"/>
          <w:rtl w:val="true"/>
          <w:lang w:bidi="fa-IR"/>
        </w:rPr>
        <w:t>لکلّ قول من أقوال المسألة، و المرجّحات المنصوصة و الاجتهادیّة، و تعارضها مع التفاوت أو التعادل لعدم اختیار المذهب إلّا بعد الترجیح و نحوه لئلّا یتوجّه أنّ حبّ الشی‌ء یعمی و یصمّ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الأبسط، بملاحظة جمیع ما یصلح أن یجعل دلیلا لجمیع الأقوال بملاحظة الأدلّة الخمسة</w:t>
      </w:r>
      <w:r>
        <w:rPr>
          <w:rStyle w:val="FootnoteAnchor"/>
          <w:rtl w:val="true"/>
        </w:rPr>
        <w:footnoteReference w:id="26"/>
      </w:r>
      <w:r>
        <w:rPr>
          <w:rFonts w:ascii="IRNazanin" w:hAnsi="IRNazanin" w:eastAsia="IRNazanin"/>
          <w:color w:val="111111"/>
          <w:sz w:val="28"/>
          <w:sz w:val="28"/>
          <w:szCs w:val="28"/>
          <w:rtl w:val="true"/>
          <w:lang w:bidi="fa-IR"/>
        </w:rPr>
        <w:t>الاتّفاقیّة،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الإجماع و السیرة و الکتاب و السنّة؛ و الأدلّة الخمسة الاختلافیّة،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و الإجماع المنقول و الشهرة و الرؤیا و الاعتبارات العقلیّة کالقیاس و الاستحسان و المصالح المرسلة و لو من جهة فائدة الترجیح فی مقام إعمال المرجّحات الاجتهادیّة، مع ملاحظة أنّ الدلیل عامّ بالنسبة إلی المدّعی، أو خاصّ، أو أعمّ، أو أخصّ بلا ضمیمة متمّمة للدلیل و موجبة</w:t>
      </w:r>
      <w:r>
        <w:rPr>
          <w:rStyle w:val="FootnoteAnchor"/>
          <w:rtl w:val="true"/>
        </w:rPr>
        <w:footnoteReference w:id="27"/>
      </w:r>
      <w:r>
        <w:rPr>
          <w:rFonts w:ascii="IRNazanin" w:hAnsi="IRNazanin" w:eastAsia="IRNazanin"/>
          <w:color w:val="111111"/>
          <w:sz w:val="28"/>
          <w:sz w:val="28"/>
          <w:szCs w:val="28"/>
          <w:rtl w:val="true"/>
          <w:lang w:bidi="fa-IR"/>
        </w:rPr>
        <w:t>للتطابق أو معها، أو مباین غیر مناسب، أو أدلّ علی خلاف المدّعی؛ فإنّ النافع هو الدلیل العامّ و الخاصّ، لا الأعمّ و الأخصّ إلّا مع الضمیمة، و لا المباین، سیّما إذا کان علی خلاف المدّعی أدلّ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لا بدّ من ملاحظة تعارض کلّ واحد مع ما یعارضه مع ملاحظة أقسام التعارض و المرجّحات کما أشرنا</w:t>
      </w:r>
      <w:r>
        <w:rPr>
          <w:rFonts w:eastAsia="IRNazanin" w:cs="IRNazanin"/>
          <w:color w:val="111111"/>
          <w:sz w:val="28"/>
          <w:szCs w:val="28"/>
          <w:rtl w:val="true"/>
          <w:lang w:bidi="fa-IR"/>
        </w:rPr>
        <w:t>.</w:t>
      </w:r>
    </w:p>
    <w:p>
      <w:pPr>
        <w:pStyle w:val="Heading4"/>
        <w:numPr>
          <w:ilvl w:val="3"/>
          <w:numId w:val="1"/>
        </w:numPr>
        <w:rPr/>
      </w:pPr>
      <w:bookmarkStart w:id="57" w:name="__RefHeading___Toc3055437_2314609296"/>
      <w:bookmarkStart w:id="58" w:name="_Toc22"/>
      <w:bookmarkEnd w:id="57"/>
      <w:r>
        <w:rPr>
          <w:rtl w:val="true"/>
        </w:rPr>
        <w:t>المقصد الخامس</w:t>
      </w:r>
      <w:r>
        <w:rPr>
          <w:rtl w:val="true"/>
        </w:rPr>
        <w:t xml:space="preserve">: </w:t>
      </w:r>
      <w:r>
        <w:rPr>
          <w:rtl w:val="true"/>
        </w:rPr>
        <w:t>فی کیفیّة الاستدلال علی وجه الإجمال</w:t>
      </w:r>
      <w:r>
        <w:rPr>
          <w:rtl w:val="true"/>
        </w:rPr>
        <w:t>.</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بعون اللّه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المستدلّ لا بدّ له من إعمال النظر فی خمسة</w:t>
      </w:r>
      <w:r>
        <w:rPr>
          <w:rStyle w:val="FootnoteAnchor"/>
          <w:rtl w:val="true"/>
        </w:rPr>
        <w:footnoteReference w:id="28"/>
      </w:r>
      <w:r>
        <w:rPr>
          <w:rFonts w:ascii="IRNazanin" w:hAnsi="IRNazanin" w:eastAsia="IRNazanin"/>
          <w:color w:val="111111"/>
          <w:sz w:val="28"/>
          <w:sz w:val="28"/>
          <w:szCs w:val="28"/>
          <w:rtl w:val="true"/>
          <w:lang w:bidi="fa-IR"/>
        </w:rPr>
        <w:t>مواقف، و خمس مراحل، و اثنی عشر 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 و تعیین محلّ</w:t>
      </w:r>
      <w:r>
        <w:rPr>
          <w:rStyle w:val="FootnoteAnchor"/>
          <w:rtl w:val="true"/>
        </w:rPr>
        <w:footnoteReference w:id="29"/>
      </w:r>
      <w:r>
        <w:rPr>
          <w:rFonts w:ascii="IRNazanin" w:hAnsi="IRNazanin" w:eastAsia="IRNazanin"/>
          <w:color w:val="111111"/>
          <w:sz w:val="28"/>
          <w:sz w:val="28"/>
          <w:szCs w:val="28"/>
          <w:rtl w:val="true"/>
          <w:lang w:bidi="fa-IR"/>
        </w:rPr>
        <w:t>الکلام؛ لئلّا یصیر النزاع لفظیا سفهائیا بتوجّه</w:t>
      </w:r>
      <w:r>
        <w:rPr>
          <w:rStyle w:val="FootnoteAnchor"/>
          <w:rtl w:val="true"/>
        </w:rPr>
        <w:footnoteReference w:id="30"/>
      </w:r>
      <w:r>
        <w:rPr>
          <w:rFonts w:ascii="IRNazanin" w:hAnsi="IRNazanin" w:eastAsia="IRNazanin"/>
          <w:color w:val="111111"/>
          <w:sz w:val="28"/>
          <w:sz w:val="28"/>
          <w:szCs w:val="28"/>
          <w:rtl w:val="true"/>
          <w:lang w:bidi="fa-IR"/>
        </w:rPr>
        <w:t>النفی و الإثبات إلی اللفظ الواحد مع إرادة کلّ معنی یغایر معنی أراده</w:t>
      </w:r>
      <w:r>
        <w:rPr>
          <w:rStyle w:val="FootnoteAnchor"/>
          <w:rtl w:val="true"/>
        </w:rPr>
        <w:footnoteReference w:id="31"/>
      </w:r>
      <w:r>
        <w:rPr>
          <w:rFonts w:ascii="IRNazanin" w:hAnsi="IRNazanin" w:eastAsia="IRNazanin"/>
          <w:color w:val="111111"/>
          <w:sz w:val="28"/>
          <w:sz w:val="28"/>
          <w:szCs w:val="28"/>
          <w:rtl w:val="true"/>
          <w:lang w:bidi="fa-IR"/>
        </w:rPr>
        <w:t>الآخر، کالصلاة بمعنی الدعاء و الأفعال المعهودة، أو توجّه أحد الإثباتین إلی لفظ، و الآخر إلی الآخر مع اتّحاد المعنی، کالإنسان و البشر أو نحو</w:t>
      </w:r>
      <w:r>
        <w:rPr>
          <w:rStyle w:val="FootnoteAnchor"/>
          <w:rtl w:val="true"/>
        </w:rPr>
        <w:footnoteReference w:id="32"/>
      </w:r>
      <w:r>
        <w:rPr>
          <w:rFonts w:ascii="IRNazanin" w:hAnsi="IRNazanin" w:eastAsia="IRNazanin"/>
          <w:color w:val="111111"/>
          <w:sz w:val="28"/>
          <w:sz w:val="28"/>
          <w:szCs w:val="28"/>
          <w:rtl w:val="true"/>
          <w:lang w:bidi="fa-IR"/>
        </w:rPr>
        <w:t>ذلک ممّا فیه تضییع للعمر و القلم و المداد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موقوف علی ملاحظة موضوع المسألة بجنسه و نوعه و صنفه و وصفه و شخصه، و ملاحظة متعلّق الموضوع کذلک، و المحمول کذلک، و متعلّقه کذلک، وجهة القضیّة بأنواعها العشرة،</w:t>
      </w:r>
      <w:r>
        <w:rPr>
          <w:rStyle w:val="FootnoteAnchor"/>
          <w:rtl w:val="true"/>
        </w:rPr>
        <w:footnoteReference w:id="33"/>
      </w:r>
      <w:r>
        <w:rPr>
          <w:rFonts w:ascii="IRNazanin" w:hAnsi="IRNazanin" w:eastAsia="IRNazanin"/>
          <w:color w:val="111111"/>
          <w:sz w:val="28"/>
          <w:sz w:val="28"/>
          <w:szCs w:val="28"/>
          <w:rtl w:val="true"/>
          <w:lang w:bidi="fa-IR"/>
        </w:rPr>
        <w:t>و تعیین ما یمکن أن یکون محلّ الکلام و ما لا یمکن، و ما هو محلّ الکلام و ما لا یکون محلّ الکلام، و ما ینبغی أن یکون محلّ الکلام و ما لا ینبغی،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الیومیّة فی المکان المباح واجبة بالوجوب التأصّلی الشرعی النفسی العینی المطلق علی جمیع</w:t>
      </w:r>
      <w:r>
        <w:rPr>
          <w:rStyle w:val="FootnoteAnchor"/>
          <w:rtl w:val="true"/>
        </w:rPr>
        <w:footnoteReference w:id="34"/>
      </w:r>
      <w:r>
        <w:rPr>
          <w:rFonts w:ascii="IRNazanin" w:hAnsi="IRNazanin" w:eastAsia="IRNazanin"/>
          <w:color w:val="111111"/>
          <w:sz w:val="28"/>
          <w:sz w:val="28"/>
          <w:szCs w:val="28"/>
          <w:rtl w:val="true"/>
          <w:lang w:bidi="fa-IR"/>
        </w:rPr>
        <w:t>المکلّفین بالدوام؛ فلا بدّ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الأقوال أو وجوه الاحتمال</w:t>
      </w:r>
      <w:r>
        <w:rPr>
          <w:rStyle w:val="FootnoteAnchor"/>
          <w:rtl w:val="true"/>
        </w:rPr>
        <w:footnoteReference w:id="35"/>
      </w:r>
      <w:r>
        <w:rPr>
          <w:rFonts w:ascii="Amiri" w:hAnsi="Amiri" w:eastAsia="Amiri" w:cs="Amiri"/>
          <w:color w:val="111111"/>
          <w:sz w:val="28"/>
          <w:sz w:val="28"/>
          <w:szCs w:val="28"/>
          <w:rtl w:val="true"/>
          <w:lang w:bidi="ar-SA"/>
        </w:rPr>
        <w:t>بالتتبّع أو التصرّف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الثمرة المترتّبة علی النزاع و الاختلاف، مضافا إلی الثمرة العلمیّة بسبب کون العلم صفة کمال، و کونه أولی من الجهل إن لم یترتّب علیه المفسدة الموجبة لصیرورة الحسن بالذات قبیحا بالعرض، و کذا الثمرة الاعتقادیّة بسبب تصحیح العقیدة، و الثمرة التوصّلیّة بسبب حصول القوّة أو تشحیذ الذهن الموجب لزیادة القوّة و حصول الأعلمیّة، أعنی الثمرة الفقهیّة العامّة، أو عامّة العامّة، أو الخاصّة، أو خاصّة الخاصّة، أو الأخصّ بسبب ارتباطها بأفعال المکلّفین عموما أو خصوصا، کالضمان و وجوب الصلاة و مسائل الأمر بالمعروف و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علی أقسام ثمانیة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العلمیّة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الفقهیة التی هی عامّة العامّة بتعلّقها بالمکلّفین بلا واسطة أو بواسطة، کالضمان عند تلف مال الغیر، و لو کان مستندا إلی الدابّة فی صورة تفریط المالک فی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الفقهیّة العامّة، کالوجوب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الفقهیّة الخاصّة، کوجوب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الفقهیّة التی هی خاصّة الخاصّة، کوجوب الأمر بالمعروف و النهی عن المنکر و أحکام القضاء و الشهادات المخصوصة بالمجتهدین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الفقهیّة التی هی الأخصّ، کمسائل الحدود المخصوصة بالمجتهد الأعلم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العمدة ملاحظة الثمرة الکلامیّة أو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 بأن یلاحظ أوّلا الأصل بمعنی القاعدة الکلیّة من العقلیّة من باب العلّیّة أو المعلولیّة أو الحسن و القبح، و النقلیّة اللبیّة القولیّة، أو الفعلیّة، أو اللفظیّة الکتابیّة أو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بمعنی الغالب الراجح الظاهر عند کون الکثرة معتدّا بها، و کون الغلبة من باب الکثیر و الیسیر، لا الکثیر و الأکثر، و کونها مفیدة للظنّ المخصوص الذی علیه بناء العمل، سواء کانت جنسیّة أو نوعیّة أو صنفیّة أو وصفیّة أو شخصیّة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بمعنی أصالة البراءة</w:t>
      </w:r>
      <w:r>
        <w:rPr>
          <w:rStyle w:val="FootnoteAnchor"/>
          <w:rtl w:val="true"/>
        </w:rPr>
        <w:footnoteReference w:id="37"/>
      </w:r>
      <w:r>
        <w:rPr>
          <w:rFonts w:ascii="IRNazanin" w:hAnsi="IRNazanin" w:eastAsia="IRNazanin"/>
          <w:color w:val="111111"/>
          <w:sz w:val="28"/>
          <w:sz w:val="28"/>
          <w:szCs w:val="28"/>
          <w:rtl w:val="true"/>
          <w:lang w:bidi="fa-IR"/>
        </w:rPr>
        <w:t>فی الوجوب و الحرمة، لا البراءة الأصلیّة النوعیّة، أو الشخصیّة الموقوفة علی ملاحظة الحالة السابقة علی البعثة أو حصول</w:t>
      </w:r>
    </w:p>
    <w:p>
      <w:pPr>
        <w:pStyle w:val="BookText"/>
        <w:rPr/>
      </w:pPr>
      <w:r>
        <w:rPr>
          <w:rFonts w:ascii="IRNazanin" w:hAnsi="IRNazanin" w:eastAsia="IRNazanin"/>
          <w:color w:val="111111"/>
          <w:sz w:val="28"/>
          <w:sz w:val="28"/>
          <w:szCs w:val="28"/>
          <w:rtl w:val="true"/>
          <w:lang w:bidi="fa-IR"/>
        </w:rPr>
        <w:t>شرائط التکلیف، سواء کانت أصلیّة أو تبعیّة، کما فی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بمعنی الاستصحاب الوجودی أو العدمی، أصلیا کان أم عارضیا کما فی أصل الاشتغال، سواء کان حال العقل أو النقل؛ فیلاحظ أنّ الأصل متوجّه أم غیر متوجّه، و علی الأوّل متّحد أم متعدّد، و علی تقدیر التعدّد یلاحظ أنّ الاصول متعاضدة أم متعارضة، و علی تقدیر التعارض متطاریة یکون الوارد و الطاری منها مقدّما أم متواردة، و علی تقدیر التوارد متفاوتة أم متعادلة؛ فعند تعیین</w:t>
      </w:r>
      <w:r>
        <w:rPr>
          <w:rStyle w:val="FootnoteAnchor"/>
          <w:rtl w:val="true"/>
        </w:rPr>
        <w:footnoteReference w:id="38"/>
      </w:r>
      <w:r>
        <w:rPr>
          <w:rFonts w:ascii="IRNazanin" w:hAnsi="IRNazanin" w:eastAsia="IRNazanin"/>
          <w:color w:val="111111"/>
          <w:sz w:val="28"/>
          <w:sz w:val="28"/>
          <w:szCs w:val="28"/>
          <w:rtl w:val="true"/>
          <w:lang w:bidi="fa-IR"/>
        </w:rPr>
        <w:t>الأصل یجعله نصب عینیه و مقتضاه بین یدیه حتّی یلاحظ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مطابق لما ذکر أو مخالف له، فیعمل علی ما هو المقرّر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الأدلّة و حجج الأقوال و الترجیح و إحقاق الحقّ و إبطال الباطل؛ و ذلک لا بدّ أن یکون فی خمس مراحل، و اثنی عشر مقاما، و ثمانیة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تحصیل ما یصلح أن یجعل دلیلا بإعمال علم الکلام و التفسیر المتعلّق بآیات الأحکام و الفقه للاطّلاع علی نحو الإجماع و علم الحدیث بنحو الرجوع إلی الأصل و الزیادة و مواضع عدم التقطیع و التعلیل و التفریع و الاستطراد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ملاحظة السند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الانضباط و الاضطراب، و مقام الاعتبار و الردّ بإعمال علم الحدیث و الرجال،</w:t>
      </w:r>
      <w:r>
        <w:rPr>
          <w:rStyle w:val="FootnoteAnchor"/>
          <w:rtl w:val="true"/>
        </w:rPr>
        <w:footnoteReference w:id="39"/>
      </w:r>
      <w:r>
        <w:rPr>
          <w:rFonts w:ascii="IRNazanin" w:hAnsi="IRNazanin" w:eastAsia="IRNazanin"/>
          <w:color w:val="111111"/>
          <w:sz w:val="28"/>
          <w:sz w:val="28"/>
          <w:szCs w:val="28"/>
          <w:rtl w:val="true"/>
          <w:lang w:bidi="fa-IR"/>
        </w:rPr>
        <w:t>بل الدرایة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فی مقامین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الانضباط و الاضطراب، و مقام الفصاحة و الرکاکة بإعمال علم الحدیث و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فی مقامات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المعنی الإفرادی المادّی الوضعی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المعنی الإفرادی المادّی المرادی بأنّه علی وفق المعنی الوضعی أو علی خلافه بسبب وجود القرینة الصارفة و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المعنی الإفرادی الصوری الوضعی، کمعانی هیئات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المعنی الإفرادی الصوری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المعنی الترکیبی الوضعی الانتزاعی من أجزاء الکلام أو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المعنی الترکیبی الإرادی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جعل تلک المقامات الستّة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المعنی الإفرادی؛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المعنی الترکیبی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تلک المقامات من إعمال العلوم</w:t>
      </w:r>
      <w:r>
        <w:rPr>
          <w:rStyle w:val="FootnoteAnchor"/>
          <w:rtl w:val="true"/>
        </w:rPr>
        <w:footnoteReference w:id="40"/>
      </w:r>
      <w:r>
        <w:rPr>
          <w:rFonts w:ascii="IRNazanin" w:hAnsi="IRNazanin" w:eastAsia="IRNazanin"/>
          <w:color w:val="111111"/>
          <w:sz w:val="28"/>
          <w:sz w:val="28"/>
          <w:szCs w:val="28"/>
          <w:rtl w:val="true"/>
          <w:lang w:bidi="fa-IR"/>
        </w:rPr>
        <w:t>العربیّة و الاصول و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التعارض و الترجیح و التعادل، و فی هذه المرحلة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الحکم الاجتهادی؛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الحکم الفقاهتی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معرفة ذلک من بیان امور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عبارة عن تنافی مدلولی الدلیلین باشتمالهما علی حکمین متنافیین، و التعادل عبارة عن تساوی الدلیلین فی الاعتبار و القوّة و الاعتضاد و نحو ذلک، و الترجیح عبارة عن تقدیم المجتهد أحد الدلیلین بمرجّح داخلی أو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التعارض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المثبتین أو النافیین أو</w:t>
      </w:r>
      <w:r>
        <w:rPr>
          <w:rStyle w:val="FootnoteAnchor"/>
          <w:rtl w:val="true"/>
        </w:rPr>
        <w:footnoteReference w:id="41"/>
      </w:r>
      <w:r>
        <w:rPr>
          <w:rFonts w:ascii="IRNazanin" w:hAnsi="IRNazanin" w:eastAsia="IRNazanin"/>
          <w:color w:val="111111"/>
          <w:sz w:val="28"/>
          <w:sz w:val="28"/>
          <w:szCs w:val="28"/>
          <w:rtl w:val="true"/>
          <w:lang w:bidi="fa-IR"/>
        </w:rPr>
        <w:t>المثبت و النافی بالنفی بمعنی عدم الوجدان أو وجدان العدم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علی وجه التباین الکلّی بأن لم یکن لشی‌ء منهما مادّة لم یکن فیها التعارض؛ أو العموم من وجه، بأن کان لکلّ منهما مادّة لم یکن الآخر معارضا له فیها و کان مادّة تعارضا فیها؛ أو العموم المطلق، بأن کان لأحدهما مادّة الافتراق فی التعارض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النصّین، أو الظاهرین، أو النصّ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القطعیین، أو الظنّیین، أو القطعی و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المتعادلین، أو المتفاوتین بالرجحان الداخلی، أو الخارجی،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المرجّحات المنصوصة الواردة فی الأخبار المرویّة عن الأئمّة الأطهار علیهم السّلام؛ الثانی</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المرجّحات الاجتهادیّة التی استنبطها المجتهدون من التصرّف و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المرجّحات المنصوصة اثنی عشر،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الأعدلیّة، و منها الأفقهیّة، و منها الأصدقیّة فی الحدیث، و منها الأورعیّة، و منها موافقة المشهور، و منها موافقة الکتاب، و منها موافقة السنّة، و منها مخالفة العامّة؛ لکون ما خالف العامّة لبیان الحقّ، و ما وافقهم للتقیّة، أو الاتّقاء و المصلحة، و منها میل حکّامهم، و منها موافقة أخبار الأئمّة علیهم السّلام، و منها موافقة الاحتیاط، و منها تأخّر أحدهما؛ کما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العلاجیّة الواردة فی بیان المرجّحات المنصوصة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عن أبی عبد اللّه علیه السّلام الواردة فی التحاکم إلی رجلین مختلفین فی الحدیث، ففیها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أفقههما و أصدقهما فی الحدیث و أورعهما، و لا یلتفت إلی ما یحکم به الآخر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فیما وافق حکمه حکم الکتاب و السنّة و خالف</w:t>
      </w:r>
    </w:p>
    <w:p>
      <w:pPr>
        <w:pStyle w:val="BookText"/>
        <w:rPr/>
      </w:pPr>
      <w:r>
        <w:rPr>
          <w:rFonts w:ascii="IRNazanin" w:hAnsi="IRNazanin" w:eastAsia="IRNazanin"/>
          <w:color w:val="111111"/>
          <w:sz w:val="28"/>
          <w:sz w:val="28"/>
          <w:szCs w:val="28"/>
          <w:rtl w:val="true"/>
          <w:lang w:bidi="fa-IR"/>
        </w:rPr>
        <w:t>العامّة فیؤخذ به، و یترک ما خالف حکمه 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رأیت إن کان الفقیهان عرفا حکمه من الکتاب و السنّة، و وجدنا أحد الخبرین موافقا للعامّة و الآخر مخالفا لهم، بأیّ الخبرین یؤخذ؟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وافقهما الخبران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هم إلیه أمیل حکّامهم و قضاتهم فیترک، و 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فأرجه حتّی تلقی إمامک، فإنّ 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رأیتک لو حدّثتک بحدیث العامّ، ثمّ جئتنی من قابل، فحدّثتک بخلافه، بأیّهما کنت تأخذ؟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آخذ بالأخیر،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مثله الآخر المشتمل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کنت تأخذ؟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 علی</w:t>
      </w:r>
      <w:r>
        <w:rPr>
          <w:rStyle w:val="FootnoteAnchor"/>
          <w:rtl w:val="true"/>
        </w:rPr>
        <w:footnoteReference w:id="45"/>
      </w:r>
      <w:r>
        <w:rPr>
          <w:rFonts w:ascii="IRNazanin" w:hAnsi="IRNazanin" w:eastAsia="IRNazanin"/>
          <w:color w:val="111111"/>
          <w:sz w:val="28"/>
          <w:sz w:val="28"/>
          <w:szCs w:val="28"/>
          <w:rtl w:val="true"/>
          <w:lang w:bidi="fa-IR"/>
        </w:rPr>
        <w:t>الآخر،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أصبت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المعلّی بن خنیس عنه علیه السّلام إذا جاء حدیث عن أوّلکم و حدیث عن آخرکم بأیّهما نأخذ؟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به حتّی یبلغکم عن الحیّ، فإن بلغکم عن الحیّ فخذوا به</w:t>
      </w:r>
      <w:r>
        <w:rPr>
          <w:rFonts w:eastAsia="IRNazanin" w:cs="IRNazanin"/>
          <w:color w:val="111111"/>
          <w:sz w:val="28"/>
          <w:szCs w:val="28"/>
          <w:rtl w:val="true"/>
          <w:lang w:bidi="fa-IR"/>
        </w:rPr>
        <w:t>».</w:t>
      </w:r>
      <w:r>
        <w:rPr>
          <w:rStyle w:val="FootnoteAnchor"/>
          <w:rtl w:val="true"/>
        </w:rPr>
        <w:footnoteReference w:id="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 فوجدتم له شاهدا من کتاب اللّه عزّ و جلّ أو من قول رسول اللّه صلّی اللّه علیه و آله، و إلّا فالذی جاءکم به أولی به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مثله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إلی الکتاب و السنّة، و کلّ حدیث لا یوافق کتاب اللّه فهو زخرف</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الباقر علیه السّلام عن الخبرین المتعارضین،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 و دع الشاذّ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مشهوران عنکم،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یقول به أعدلهما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عدلان مرضیّان،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وافق منهما العامّة فاترکه، و خذ بما خالفهم، فإنّ الحقّ فیما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کانا موافقین لهم أو مخالفین،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فخذ بما فیه الحائط لدینک، و اترک ما خالف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موافقان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فتخیّر أحدهما</w:t>
      </w:r>
      <w:r>
        <w:rPr>
          <w:rFonts w:eastAsia="IRNazanin" w:cs="IRNazanin"/>
          <w:color w:val="111111"/>
          <w:sz w:val="28"/>
          <w:szCs w:val="28"/>
          <w:rtl w:val="true"/>
          <w:lang w:bidi="fa-IR"/>
        </w:rPr>
        <w:t>».</w:t>
      </w:r>
      <w:r>
        <w:rPr>
          <w:rStyle w:val="FootnoteAnchor"/>
          <w:rtl w:val="true"/>
        </w:rPr>
        <w:footnoteReference w:id="5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الرضا علیه السّلام فی الحدیثین المتعارضین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اعرضهما علی کتاب اللّه و أحادیثنا، فإن کان یشبههما فهو منّا، و إلّا فلیس منّا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إلی غیر ذلک من الأخبار المتعارضة المتدافعة المتنافیة؛ من جهة دلالة بعضها علی تقدیم بعضها کالأعدلیّة علی آخر کالموافقة للشهرة، و دلالة بعضها علی العکس، و دلالة بعضها علی عدم اعتبار ما دلّ غیره علی اعتباره، و نحو ذلک من وجوه للمنافاة؛</w:t>
      </w:r>
      <w:r>
        <w:rPr>
          <w:rStyle w:val="FootnoteAnchor"/>
          <w:rtl w:val="true"/>
        </w:rPr>
        <w:footnoteReference w:id="53"/>
      </w:r>
      <w:r>
        <w:rPr>
          <w:rFonts w:ascii="IRNazanin" w:hAnsi="IRNazanin" w:eastAsia="IRNazanin"/>
          <w:color w:val="111111"/>
          <w:sz w:val="28"/>
          <w:sz w:val="28"/>
          <w:szCs w:val="28"/>
          <w:rtl w:val="true"/>
          <w:lang w:bidi="fa-IR"/>
        </w:rPr>
        <w:t>مضافا إلی عدم البلوغ إلی حدّ ما یوجب</w:t>
      </w:r>
      <w:r>
        <w:rPr>
          <w:rStyle w:val="FootnoteAnchor"/>
          <w:rtl w:val="true"/>
        </w:rPr>
        <w:footnoteReference w:id="54"/>
      </w:r>
      <w:r>
        <w:rPr>
          <w:rFonts w:ascii="IRNazanin" w:hAnsi="IRNazanin" w:eastAsia="IRNazanin"/>
          <w:color w:val="111111"/>
          <w:sz w:val="28"/>
          <w:sz w:val="28"/>
          <w:szCs w:val="28"/>
          <w:rtl w:val="true"/>
          <w:lang w:bidi="fa-IR"/>
        </w:rPr>
        <w:t>العمل بها تعبّدا؛ و لهذا عدل المجتهدون عن العمل بتلک الأخبار و بنوا</w:t>
      </w:r>
      <w:bookmarkStart w:id="59" w:name="pg19819_193330"/>
    </w:p>
    <w:p>
      <w:pPr>
        <w:pStyle w:val="BookText"/>
        <w:rPr/>
      </w:pPr>
      <w:bookmarkEnd w:id="59"/>
      <w:r>
        <w:rPr>
          <w:rFonts w:ascii="IRNazanin" w:hAnsi="IRNazanin" w:eastAsia="IRNazanin"/>
          <w:color w:val="111111"/>
          <w:sz w:val="28"/>
          <w:sz w:val="28"/>
          <w:szCs w:val="28"/>
          <w:rtl w:val="true"/>
          <w:lang w:bidi="fa-IR"/>
        </w:rPr>
        <w:t>علی العمل بالمرجّحات الاجتهادیّة</w:t>
      </w:r>
      <w:r>
        <w:rPr>
          <w:rFonts w:eastAsia="IRNazanin" w:cs="IRNazanin"/>
          <w:color w:val="111111"/>
          <w:sz w:val="28"/>
          <w:szCs w:val="28"/>
          <w:rtl w:val="true"/>
          <w:lang w:bidi="fa-IR"/>
        </w:rPr>
        <w:t>.</w:t>
      </w:r>
    </w:p>
    <w:p>
      <w:pPr>
        <w:pStyle w:val="Heading4"/>
        <w:numPr>
          <w:ilvl w:val="3"/>
          <w:numId w:val="1"/>
        </w:numPr>
        <w:rPr/>
      </w:pPr>
      <w:bookmarkStart w:id="60" w:name="__RefHeading___Toc3055439_2314609296"/>
      <w:bookmarkStart w:id="61" w:name="_Toc23"/>
      <w:bookmarkEnd w:id="60"/>
      <w:r>
        <w:rPr>
          <w:rtl w:val="true"/>
        </w:rPr>
        <w:t>و أمّا المرجّحات الاجتهادیّة فهی خمسة فی خمسة</w:t>
      </w:r>
      <w:r>
        <w:rPr>
          <w:rtl w:val="true"/>
        </w:rPr>
        <w:t>:</w:t>
      </w:r>
      <w:bookmarkEnd w:id="6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السندی، الذی یرتقی إلی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قطعیّة السند و ظنّیّته، مثل أن یکون أحد الدلیلین من الأخبار المتواترة اللفظیّة، و الآخر من الأخبار الصحیحة الظنّیّة، و لم یکن فرق بینهما إلّا من هذه الجهة، أو کان و لکن لم یلاحظ، أو عورضت تلک الجهة مع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الإسناد؛ لقلّة الواسطة بین المخبر له و المخبر عنه فی أحد الدلیلین، و دنوّه بکثرتها فی الآخر علی الوجه المذکور، فإنّ کثرة الواسطة تقتضی کثرة احتمال الخطأ، و قلّتها تقتضی قلّته و الظنّ مع أقلّ احتمالا للخطإ بحسب الصدور عن مصدر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عدد الرواة فی کلّ مرتبة من مراتب الرواة،</w:t>
      </w:r>
      <w:r>
        <w:rPr>
          <w:rStyle w:val="FootnoteAnchor"/>
          <w:rtl w:val="true"/>
        </w:rPr>
        <w:footnoteReference w:id="55"/>
      </w:r>
      <w:r>
        <w:rPr>
          <w:rFonts w:ascii="IRNazanin" w:hAnsi="IRNazanin" w:eastAsia="IRNazanin"/>
          <w:color w:val="111111"/>
          <w:sz w:val="28"/>
          <w:sz w:val="28"/>
          <w:szCs w:val="28"/>
          <w:rtl w:val="true"/>
          <w:lang w:bidi="fa-IR"/>
        </w:rPr>
        <w:t>أو بعضها فی أحد الدلیلین و قلّته کذلک فی الآخر، فإنّ الکثرة المزبورة تقتضی قوّة الظنّ بالصدور عمّن قبلها؛ فیصیر الآخر موهوما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راوی أحد الدلیلین فی وصف من الأوصاف الموجبة لحصول الظنّ و قوّته، کالعلم و العدالة و الضبط و الفطانة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راوی أحدهما بالروایة بکونه سائلا أو مباشرا لعمل ورد به النصّ أو بالمرویّ عنه؛ لکونه</w:t>
      </w:r>
      <w:r>
        <w:rPr>
          <w:rStyle w:val="FootnoteAnchor"/>
          <w:rtl w:val="true"/>
        </w:rPr>
        <w:footnoteReference w:id="56"/>
      </w:r>
      <w:r>
        <w:rPr>
          <w:rFonts w:ascii="IRNazanin" w:hAnsi="IRNazanin" w:eastAsia="IRNazanin"/>
          <w:color w:val="111111"/>
          <w:sz w:val="28"/>
          <w:sz w:val="28"/>
          <w:szCs w:val="28"/>
          <w:rtl w:val="true"/>
          <w:lang w:bidi="fa-IR"/>
        </w:rPr>
        <w:t>من خواصّ أصحابه عالما بسیاقه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المتنی، الذی یکون خمسة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أحدهما منقولا باللفظ، دون الآخر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أحدهما متحمّلا بالسماع مثلا،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المتنین معلّلا مشتملا علی علّة الحکم و سببه،</w:t>
      </w:r>
      <w:r>
        <w:rPr>
          <w:rStyle w:val="FootnoteAnchor"/>
          <w:rtl w:val="true"/>
        </w:rPr>
        <w:footnoteReference w:id="57"/>
      </w:r>
      <w:r>
        <w:rPr>
          <w:rFonts w:ascii="IRNazanin" w:hAnsi="IRNazanin" w:eastAsia="IRNazanin"/>
          <w:color w:val="111111"/>
          <w:sz w:val="28"/>
          <w:sz w:val="28"/>
          <w:szCs w:val="28"/>
          <w:rtl w:val="true"/>
          <w:lang w:bidi="fa-IR"/>
        </w:rPr>
        <w:t>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المعلّل بمعنی ما اشتمل علی علّة خفیّة فی متنه أو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المصطلح عند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أحدهما متأکّدا بنحو القسم، أو تعدّد موضع الدلالة ممّا هو کالتأکید اللفظی و المعنوی،</w:t>
      </w:r>
      <w:r>
        <w:rPr>
          <w:rStyle w:val="FootnoteAnchor"/>
          <w:rtl w:val="true"/>
        </w:rPr>
        <w:footnoteReference w:id="58"/>
      </w:r>
      <w:r>
        <w:rPr>
          <w:rFonts w:ascii="IRNazanin" w:hAnsi="IRNazanin" w:eastAsia="IRNazanin"/>
          <w:color w:val="111111"/>
          <w:sz w:val="28"/>
          <w:sz w:val="28"/>
          <w:szCs w:val="28"/>
          <w:rtl w:val="true"/>
          <w:lang w:bidi="fa-IR"/>
        </w:rPr>
        <w:t>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الفصاحة التالیة لحدّ الإعجاز، کما فی خطب نهج البلاغة و الصحیفة السجّادیّة و نحوهما ممّا یفید رجحان کون أحد المتنین من أهل العصمة، دون الآخر؛ من جهة احتمال الخطأ دون الافتراء المنافی</w:t>
      </w:r>
      <w:r>
        <w:rPr>
          <w:rStyle w:val="FootnoteAnchor"/>
          <w:rtl w:val="true"/>
        </w:rPr>
        <w:footnoteReference w:id="59"/>
      </w:r>
      <w:r>
        <w:rPr>
          <w:rFonts w:ascii="IRNazanin" w:hAnsi="IRNazanin" w:eastAsia="IRNazanin"/>
          <w:color w:val="111111"/>
          <w:sz w:val="28"/>
          <w:sz w:val="28"/>
          <w:szCs w:val="28"/>
          <w:rtl w:val="true"/>
          <w:lang w:bidi="fa-IR"/>
        </w:rPr>
        <w:t>للعدالة الکاملة، أو کلیهما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بحسب الدلالة، و هو أیضا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دلالة أحد الدلیلین دون الآخر؛ بکون أحدهما نصّا و الآخر ظاهرا بکثرة الاستعمال فی المعنی المجازی و نحوها، أو کون أحدهما قولا و الآخر فعلا، أو کون أحدهما أقلّ تخصیصا، و الآخر أکثر تخصیصا، أو کون حقیقة أحدهما اختصاصیّة، و الآخر اشتراکیّة، أو کون العموم فی أحدهما أصرح، أو کون أحد العامّین أقرب إلی المقصود، أو کون إحدی الحقیقتین اتّفاقیّة، و الاخری اجتهادیّة راجحة بالاجتهاد مع الاختلاف، أو کثرة ناقلی أحدهما، أو کون أحدهما</w:t>
      </w:r>
      <w:r>
        <w:rPr>
          <w:rStyle w:val="FootnoteAnchor"/>
          <w:rtl w:val="true"/>
        </w:rPr>
        <w:footnoteReference w:id="60"/>
      </w:r>
      <w:r>
        <w:rPr>
          <w:rFonts w:ascii="IRNazanin" w:hAnsi="IRNazanin" w:eastAsia="IRNazanin"/>
          <w:color w:val="111111"/>
          <w:sz w:val="28"/>
          <w:sz w:val="28"/>
          <w:szCs w:val="28"/>
          <w:rtl w:val="true"/>
          <w:lang w:bidi="fa-IR"/>
        </w:rPr>
        <w:t>خاصّا، و الآخر عامّا عند عدم ورود الخاصّ بعد حضور وقت العمل بالعامّ و کون العامّ مصداقیا لا موردیا وقع التعارض بالنسبة إلی مورد السؤال فی العامّ و عدم کون مورد التعارض مقصودا أصلیا، أو أظهر أفراد العامّ و عدم ترجّح العامّ علی وجه العموم بنحو الدلیلین عمل الجل و السیرة إلی غیر ذلک من أسباب القوّة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أن یعرف أنّ حمل العامّ علی الخاصّ لیس علی وجه العموم، بل علی وجه الخصوص بنحو المخصّصات المزبورة، کما أنّ حمل المطلق علی المقیّد لیس</w:t>
      </w:r>
    </w:p>
    <w:p>
      <w:pPr>
        <w:pStyle w:val="BookText"/>
        <w:rPr/>
      </w:pPr>
      <w:r>
        <w:rPr>
          <w:rFonts w:ascii="IRNazanin" w:hAnsi="IRNazanin" w:eastAsia="IRNazanin"/>
          <w:color w:val="111111"/>
          <w:sz w:val="28"/>
          <w:sz w:val="28"/>
          <w:szCs w:val="28"/>
          <w:rtl w:val="true"/>
          <w:lang w:bidi="fa-IR"/>
        </w:rPr>
        <w:t>مطلقا مقیّد بنحو تحقّق وحدات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المکلّف، وحدة المکلّف، وحدة المکلّف به، وحدة المکلّف فیه، وحدة المکلّف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أحد الدلیلین بالنسبة إلی المدّعی و عدم حاجته إلی الضمیمة، کون الآخر أخصّ محتاجا إلی الضمیمة کالإجماع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الدلیلین علی وجه الحقیقة، و الآخر علی وجه المجاز، و إن کان ظهور المعنی المجازی کالحقیقی أو أقوی؛ لکثرة التکلّم علی وجه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دلالة</w:t>
      </w:r>
      <w:r>
        <w:rPr>
          <w:rStyle w:val="FootnoteAnchor"/>
          <w:rtl w:val="true"/>
        </w:rPr>
        <w:footnoteReference w:id="61"/>
      </w:r>
      <w:r>
        <w:rPr>
          <w:rFonts w:ascii="IRNazanin" w:hAnsi="IRNazanin" w:eastAsia="IRNazanin"/>
          <w:color w:val="111111"/>
          <w:sz w:val="28"/>
          <w:sz w:val="28"/>
          <w:szCs w:val="28"/>
          <w:rtl w:val="true"/>
          <w:lang w:bidi="fa-IR"/>
        </w:rPr>
        <w:t>أحد الدلیلین بالمطابقة، و الآخر بالالتزام؛ لأنّ عدم اعتبار الالتزام لا یستلزم الطرح، بخلاف عدم اعتبار المطابقة؛ و لا ریب أنّ الطرح خلاف الأصل 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دلالة أحد الدلیلین بالمنطوق، و الآخر بالمفهوم لمثل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المدلولی، و هو أیضا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النسخ فی الکتاب و الخبر النبوی صلّی اللّه علیه و آله و احتمال التقیّة فی الخبر الإمامی بالنسبة إلی أحد الدلیلین، دون الآخر؛ لحصول الظنّ بأنّ حکم اللّه هو ما لا یحتمل شیئا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مدلول أحدهما من المضامین العالیة التی یبعد صدورها من غیر أهل العصمة سیّما من غیر رویّة،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مدلول أحدهما من المسائل الغامضة التی یبعد بیانها من غیر أهل العصمة،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مدلول أحدهما من المطالب الخفیّة التی یبعد بیانها سیّما علی وجه الخطأ من</w:t>
      </w:r>
      <w:r>
        <w:rPr>
          <w:rStyle w:val="FootnoteAnchor"/>
          <w:rtl w:val="true"/>
        </w:rPr>
        <w:footnoteReference w:id="62"/>
      </w:r>
      <w:r>
        <w:rPr>
          <w:rFonts w:ascii="IRNazanin" w:hAnsi="IRNazanin" w:eastAsia="IRNazanin"/>
          <w:color w:val="111111"/>
          <w:sz w:val="28"/>
          <w:sz w:val="28"/>
          <w:szCs w:val="28"/>
          <w:rtl w:val="true"/>
          <w:lang w:bidi="fa-IR"/>
        </w:rPr>
        <w:t>غیر أهل العصمة، دون الآخر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مدلول أحدهما أنسب بطریقة الشارع و نوّابه و أوفق بالسیاق</w:t>
      </w:r>
      <w:r>
        <w:rPr>
          <w:rStyle w:val="FootnoteAnchor"/>
          <w:rtl w:val="true"/>
        </w:rPr>
        <w:footnoteReference w:id="63"/>
      </w:r>
      <w:r>
        <w:rPr>
          <w:rFonts w:ascii="IRNazanin" w:hAnsi="IRNazanin" w:eastAsia="IRNazanin"/>
          <w:color w:val="111111"/>
          <w:sz w:val="28"/>
          <w:sz w:val="28"/>
          <w:szCs w:val="28"/>
          <w:rtl w:val="true"/>
          <w:lang w:bidi="fa-IR"/>
        </w:rPr>
        <w:t>و المذاق</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لأهل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الخارجی، و هو أیضا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أحدهما بدلیل آخر،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أحدهما للشهرة المطلقة العظیمة أو الحدیثة أو القدیمة، حسیّة کانت أم حدسیّة حاصلة من عدم نقل خلاف إلّا عن</w:t>
      </w:r>
      <w:r>
        <w:rPr>
          <w:rStyle w:val="FootnoteAnchor"/>
          <w:rtl w:val="true"/>
        </w:rPr>
        <w:footnoteReference w:id="65"/>
      </w:r>
      <w:r>
        <w:rPr>
          <w:rFonts w:ascii="IRNazanin" w:hAnsi="IRNazanin" w:eastAsia="IRNazanin"/>
          <w:color w:val="111111"/>
          <w:sz w:val="28"/>
          <w:sz w:val="28"/>
          <w:szCs w:val="28"/>
          <w:rtl w:val="true"/>
          <w:lang w:bidi="fa-IR"/>
        </w:rPr>
        <w:t>شاذّ مثلا ممّن دیدنه ذکر کلّ قول و قائل أو نحو ذلک، سواء کانت بحسب الروایة أو الفتوی علی وجه الاستناد، أو التطابق علی الأصحّ لحجّیّة الظنّ للمطمئنّ،</w:t>
      </w:r>
      <w:r>
        <w:rPr>
          <w:rStyle w:val="FootnoteAnchor"/>
          <w:rtl w:val="true"/>
        </w:rPr>
        <w:footnoteReference w:id="66"/>
      </w:r>
      <w:r>
        <w:rPr>
          <w:rFonts w:ascii="IRNazanin" w:hAnsi="IRNazanin" w:eastAsia="IRNazanin"/>
          <w:color w:val="111111"/>
          <w:sz w:val="28"/>
          <w:sz w:val="28"/>
          <w:szCs w:val="28"/>
          <w:rtl w:val="true"/>
          <w:lang w:bidi="fa-IR"/>
        </w:rPr>
        <w:t>و کون الآخر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الأصل الاجتهادی، کالقاعدة العقلیّة أو النقلیّة، أو الغالب الراجح مع جهل التاریخ فی النبوی صلّی اللّه علیه و آله و مطلقا فی الإمامی؛ فیقدّم الموافق للأصل علی غیره؛ لحصول الظنّ، فلو علم التاریخ فی النبوی قدّم المتأخّر الوارد بعد حضور وقت العمل بالآخر مطلقا؛ لإمکان النسخ و عدم احتمال التقیّة؛ فیکون المتقدّم مشکوکا، و المتأخّر مظنونا، و لو کان الأصل من الاصول الفقاهیّة کأصل البراءة و الاستصحاب و لم یکن مرجّح اجتهادی یتوقّف فی مقام الاجتهاد لعدم تحقّق الترجیح حینئذ بالأصل الذی لا دخل له ببیان حکم اللّه یوم الصدور، و یرجع إلی الأصل فی مقام الفقاهة و العمل، فعند کون الشکّ فی التکلیف البدوی أو مطلقا علی وجه یرجع إلی أصل البراءة، و عند کون الشکّ فی المکلّف به مع التضادّ یعمل بالتخییر، و کذا مع عدم التضادّ و عدم القدرة علی الإتیان بجمیع المحتملات، و عند کون الشکّ فی المکلّف به مع عدم التضادّ و القدرة علی الإتیان بجمیع المحتملات و العلم بکون المکلّف به معیّنا عند اللّه و صیرورته مبهما عندنا، یجب الاحتیاط بالإتیان بجمیع المحتملات بقصد کون واحد لا علی التعیین واجبا بالأصالة، و ما عداه واجبا من باب المقدّمة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العامّة، فإنّ الرشد فی خلافهم؛ للاستقراء، مضافا إلی أنّ الاختلاف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من الأئمّة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لکونه أبقی لنا و لهم من جهة اقتضاء الاتّفاق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التصلّب فی المذهب الموجب لشدّة اهتمامهم علی الإیذاء و الدفع، و اقتضاء الاختلاف اعتقادهم سخافة مذهبنا و عدم الاعتناء بشأننا و ترک إیذائنا، فیکون ما وافقهم لکونه مقتضیا لترک إیذائنا واردا من جهة الاتّقاء أو التقیّة و المصلحة، و ما خالفهم لبیان الحکم الواقعی و لو علی وجه المظنّة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الاعتبار العقلی من جهة القیاس أو الاستحسان أو المصالح المرسلة، فإنّ عدم حجّیّتها علی وجه الاستقلال بضرورة المذهب و نحوها لا یستلزم عدم کونها من المرجّحات؛ لکون الظنّ الحاصل من الدلیل الموافق للاعتبار العقلی حجّة لعموم الدلیل العقلی الدالّ علی حجّیّة المظنّة فی الأحکام الشرعیّة الفرعیّة،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المتعارضة إذا کانت مع ترجیح بعض علی الوجه المعتبر، یعمل بالراجح، و یجوز صرف المرجوح إلی ما یناسبه بالجمع التبرّعی، کما هو دیدن الشیخ الطوسی کثیرا ما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 عدم الترجیح و إمکان الجمع بالتصرّف فی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کحمل العام علی الخاصّ أو فی نفس الحکم کحمل ما دلّ علی الوجوب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p>
    <w:p>
      <w:pPr>
        <w:pStyle w:val="BookText"/>
        <w:rPr/>
      </w:pP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شاهد جمع؛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له شاهد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لا بدّ من الجمع، و هو الجمع اللزومی، و هو علی أقسام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w:t>
      </w:r>
      <w:r>
        <w:rPr>
          <w:rStyle w:val="FootnoteAnchor"/>
          <w:rtl w:val="true"/>
        </w:rPr>
        <w:footnoteReference w:id="67"/>
      </w:r>
      <w:r>
        <w:rPr>
          <w:rFonts w:ascii="IRNazanin" w:hAnsi="IRNazanin" w:eastAsia="IRNazanin"/>
          <w:color w:val="111111"/>
          <w:sz w:val="28"/>
          <w:sz w:val="28"/>
          <w:szCs w:val="28"/>
          <w:rtl w:val="true"/>
          <w:lang w:bidi="fa-IR"/>
        </w:rPr>
        <w:t>الشاهد داخلیا حاصلا من ملاحظة نفس الخبرین الموجبة لحصول الظنّ بالمراد مثلا علی وجه یقتضی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شاهد الجمع فیه شرعیا قطعیا، کالإجماع علی المراد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شاهد الجمع فیه عرفیا ظنّیا، کما فی العامّ و الخاصّ المتنافیین ظاهرا عند عدم ورود الخاصّ بعد حضور وقت العمل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شاهد الجمع فیه خارجیا واردا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شاهد الجمع فیه خارجیا مقتضیا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فیه شاهد الجمع بوجه من الوجوه الخمسة، اختلف فی لزوم الجمع و عدمه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لزومه کما عن المشهور؛ لقاعدة أنّ الجمع مهما أمکن أولی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لأنّ الجمع بلا شاهد طرح للدلیلین، فإنّ أحدهما إذا دلّ علی وجوب شی‌ء مطلقا مثلا، و الآخر علی حرمته کذلک، فلو جمع بحمل الوجوب علی صورة و الحرمة علی اخری مثلا، یلزم طرح الدلیلین؛ فلا أولویّة له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هو الأصحّ وفاقا للسیّد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بعد استفراغ وسعه فی تحصیل الدلیل یحصل له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الدلیل السالم عن المعارض</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الدلیل المتعارض الراجح بالمرجّح السالم عن المعارض أو المرجّح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الدلیل المتعارض الذی لا مرجّح له</w:t>
      </w:r>
      <w:r>
        <w:rPr>
          <w:rStyle w:val="FootnoteAnchor"/>
          <w:rtl w:val="true"/>
        </w:rPr>
        <w:footnoteReference w:id="69"/>
      </w:r>
      <w:r>
        <w:rPr>
          <w:rFonts w:ascii="IRNazanin" w:hAnsi="IRNazanin" w:eastAsia="IRNazanin"/>
          <w:color w:val="111111"/>
          <w:sz w:val="28"/>
          <w:sz w:val="28"/>
          <w:szCs w:val="28"/>
          <w:rtl w:val="true"/>
          <w:lang w:bidi="fa-IR"/>
        </w:rPr>
        <w:t>و لکن له شاهد الجمع اللزومی،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الظفر علی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الدلیل المتعارض</w:t>
      </w:r>
      <w:r>
        <w:rPr>
          <w:rStyle w:val="FootnoteAnchor"/>
          <w:rtl w:val="true"/>
        </w:rPr>
        <w:footnoteReference w:id="70"/>
      </w:r>
      <w:r>
        <w:rPr>
          <w:rFonts w:ascii="IRNazanin" w:hAnsi="IRNazanin" w:eastAsia="IRNazanin"/>
          <w:color w:val="111111"/>
          <w:sz w:val="28"/>
          <w:sz w:val="28"/>
          <w:szCs w:val="28"/>
          <w:rtl w:val="true"/>
          <w:lang w:bidi="fa-IR"/>
        </w:rPr>
        <w:t>من غیر شاهد الجمع؛ و ذلک لأنّ المجتهد إذا تفحّص و استفرغ وسعه فإمّا أن یطّلع علی دلیل معتبر أم لا، و علی الأوّل إمّا أن یکون الدلیل سالما عن المعارض سیّما إذا کان مع التعدّد و التعاضد، أم یکون معارضا لدلیل آخر؛ و عند التعارض یلاحظ المرجّحات المذکورة بأنّ المرجّح متوجّه أم لا، و علی الأوّل یلاحظ أنّه متّحد أو متعدّد، و علی تقدیر التعدّد أنّه مع التعاضد أو التعارض، و عند التعارض أنّه مع التفاوت أو مع التعادل، إذ قد یحصل التعارض بین المرجّحات، فلا بدّ من بذل الجهد و عدم الغفلة و تحصیل الحجّة؛ فلعلّ مؤلّف کتاب قطعی معتبر أخذ الخبر من کتاب آخر کذلک و ذکر السند تیمّنا بإیصال السلسلة إلی المعصوم علیه السّلام و اقتداء بالسلف، فلا یقدح ضعف الوسائط حینئذ</w:t>
      </w:r>
      <w:r>
        <w:rPr>
          <w:rFonts w:eastAsia="IRNazanin" w:cs="IRNazanin"/>
          <w:color w:val="111111"/>
          <w:sz w:val="28"/>
          <w:szCs w:val="28"/>
          <w:rtl w:val="true"/>
          <w:lang w:bidi="fa-IR"/>
        </w:rPr>
        <w:t>.</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ذلک فاعلم أنّ المجتهد فی الأحوال الثلاث الاول یکون ذا حکم اجتهادی، فإنّه یحکم بمقتضی الدلیل السالم أو الراجح أو الجمع، و فی الحالتین الأخیرتین یکون ذا حکم فقاهتی بالرجوع إلی أصل البراءة عند کون الشکّ فی التکلیف مطلقا أو بدوا بالتعارض و التساقط أو بعدم الظفر علی الدلیل، و کذا إن کان فی تعیین أحد الحکمین المتضادّین من</w:t>
      </w:r>
      <w:r>
        <w:rPr>
          <w:rStyle w:val="FootnoteAnchor"/>
          <w:rtl w:val="true"/>
        </w:rPr>
        <w:footnoteReference w:id="72"/>
      </w:r>
      <w:r>
        <w:rPr>
          <w:rFonts w:ascii="IRNazanin" w:hAnsi="IRNazanin" w:eastAsia="IRNazanin"/>
          <w:color w:val="111111"/>
          <w:sz w:val="28"/>
          <w:sz w:val="28"/>
          <w:szCs w:val="28"/>
          <w:rtl w:val="true"/>
          <w:lang w:bidi="fa-IR"/>
        </w:rPr>
        <w:t>کلّ جهة کالوجوب و الحرمة، و إن کان الشکّ فی فصل وجودی لأحد الحکمین المشترکین فی جنس کالوجوب و الاستحباب و الحرمة و الکراهة یتوقّف اجتهادا و یؤخذ بالقدر المشترک و یضمّ إلیه عدم ذلک الفصل الوجودی الذی یکون مقتضی الأصل، فیحصل الاستحباب الفقاهتی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الکراهة الفقاهتیّة أو الإباحة الفقاهتیّة، و إن کان الشکّ فی تعیین المکلّف به، فمع التضادّ یحکم بالتخییر البدوی الفقاهتی؛ لامتناع الارتفاع و الاجتماع و ترجیح أحدهما علی الآخر من غیر مرجّح، و عدم الدلیل علی التخییر بعد الأخذ و ارتفاع الضرورة، و کذا مع عدم القدرة علی الإتیان بجمیع المحتملات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عدم التضادّ و القدرة علی ما ذکر، فیجب الإتیان بجمیع المحتملات کما أشرنا، فیکون الواحد المبهم منها واجبا بالأصالة، و ما عداه واجبا من باب المقدّمة</w:t>
      </w:r>
      <w:r>
        <w:rPr>
          <w:rFonts w:eastAsia="IRNazanin" w:cs="IRNazanin"/>
          <w:color w:val="111111"/>
          <w:sz w:val="28"/>
          <w:szCs w:val="28"/>
          <w:rtl w:val="true"/>
          <w:lang w:bidi="fa-IR"/>
        </w:rPr>
        <w:t>.</w:t>
      </w:r>
      <w:bookmarkStart w:id="62" w:name="pg19819_193338"/>
    </w:p>
    <w:p>
      <w:pPr>
        <w:pStyle w:val="Heading2"/>
        <w:numPr>
          <w:ilvl w:val="1"/>
          <w:numId w:val="1"/>
        </w:numPr>
        <w:rPr/>
      </w:pPr>
      <w:bookmarkStart w:id="63" w:name="__RefHeading___Toc3055441_2314609296"/>
      <w:bookmarkStart w:id="64" w:name="_Toc24"/>
      <w:bookmarkEnd w:id="62"/>
      <w:bookmarkEnd w:id="63"/>
      <w:r>
        <w:rPr/>
        <w:t>2</w:t>
      </w:r>
      <w:r>
        <w:rPr>
          <w:rtl w:val="true"/>
        </w:rPr>
        <w:t xml:space="preserve"> </w:t>
      </w:r>
      <w:r>
        <w:rPr>
          <w:rtl w:val="true"/>
        </w:rPr>
        <w:t>نخبة العقول فی علم الاصول</w:t>
      </w:r>
      <w:bookmarkEnd w:id="64"/>
    </w:p>
    <w:p>
      <w:pPr>
        <w:pStyle w:val="Heading3"/>
        <w:numPr>
          <w:ilvl w:val="2"/>
          <w:numId w:val="1"/>
        </w:numPr>
        <w:rPr/>
      </w:pPr>
      <w:bookmarkStart w:id="65" w:name="__RefHeading___Toc3055443_2314609296"/>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السیّد جعفر الکشفی الدارابی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المهریزی</w:t>
      </w:r>
      <w:bookmarkStart w:id="67" w:name="pg19819_193340"/>
    </w:p>
    <w:p>
      <w:pPr>
        <w:pStyle w:val="Heading3"/>
        <w:numPr>
          <w:ilvl w:val="2"/>
          <w:numId w:val="1"/>
        </w:numPr>
        <w:rPr/>
      </w:pPr>
      <w:bookmarkStart w:id="68" w:name="__RefHeading___Toc3055445_2314609296"/>
      <w:bookmarkStart w:id="69" w:name="_Toc26"/>
      <w:bookmarkEnd w:id="67"/>
      <w:bookmarkEnd w:id="68"/>
      <w:r>
        <w:rPr>
          <w:rtl w:val="true"/>
        </w:rPr>
        <w:t>مقدّمة التحقیق</w:t>
      </w:r>
      <w:bookmarkEnd w:id="69"/>
    </w:p>
    <w:p>
      <w:pPr>
        <w:pStyle w:val="Heading4"/>
        <w:numPr>
          <w:ilvl w:val="3"/>
          <w:numId w:val="1"/>
        </w:numPr>
        <w:rPr/>
      </w:pPr>
      <w:bookmarkStart w:id="70" w:name="__RefHeading___Toc3055447_2314609296"/>
      <w:bookmarkStart w:id="71" w:name="_Toc27"/>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 xml:space="preserve">ولد السیّد جعفر بن أبی إسحاق الدارابی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اصطهبانات من توابع فارس، و توفّی فی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بروجرد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أباه و هو فی السابعة من عمره و بدأ بالدراسة فی اصطهبانات، ثمّ سافر إلی یزد للدراسة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 أو أربع سنوات قضاها فی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إلی النجف الأشرف لإکمال دراسته هناک إلّا أنّه عاد إلی إیران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 الهجوم الذی شنّة الوهّابیون علی کربلاء و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هاجر و للمرّة الثانیة إلی النجف الأشرف فی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و عاد إلی إیران فی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و بقی فیها إلی آخر عمره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بسفرات متوالیة إلی اصفهان و یزد و اصطهبانات، و استقرّ فی نهایة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بإلحاح من محمّد تقی میرزا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أولاد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بروجرد، و توفّی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 فی النجف الأشرف درس السیّد محمّد مهدی بحر العلوم رحمه اللّه و کان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الأعظم و السناد الأقوم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آقا بزرک الطهرانی فی أعلام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جعفر الدارابی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بالکشفی، من أعاظم علماء الإمامیة فی هذا القرن، متبحّر محقّق و جامع متقن و مصنّف جلیل، ولد فی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 علی حبّ العلم، فغاص بحاره و اقتحم لججه حتی جمع بین العلم و الإیقان، و الذوق و العرفان، و أصبح أوحدیا من عباقرة الامّة و فی الرعیل الأوّل من حاملی ألویة العلم، و ناشری أحکام الدین و المروّجین للشرع المطهّر، و هو من أعاجیب الزمان و أغالیط الدهر، فقد کان وحید عصره فی فنون التفسیر و العرفان، و له آثار تکاد غرة ناصعة فی جبین الدهر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کتب المیرزا حسن الحسینی الفسائی فی بیان المقام العلمی و العرفانی للکشفی بعد مدحه،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 به ریاضات شاقه مشغول گردید و ابواب مکاشفه را بر خود باز دید و به تدریج در هر علمی به تألیف و تصنیف کتابی مرغوب همت گماشت و شهره آفاق گردید و نسخه تألیفاتش بین الانام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یکی از اماکن می‌گردید جماعتی از اهل علم برای استفاده و استفاضه جمع می‌شدند و به حسب ظاهر برگ کتابی در کتابخانه و نزد خویش نداشت و همه مطالب را از حفظ می‌گفت و بیشتر اوقات، آیه‌ای از کلام اللّه را، عنوان و پیرامون آن به استدلال عقلی و نقلی مشغول می‌گشت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کما کتب فی حقّه الشیخ معصوم علی‌شاه نائب الصدر الشیرازی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السند، و العالم المعتمد، و منبع الاسرار، و مطلع الانوار، کشّاف الآیات و الخبر، آقا سید جعفر الحسینی المشتهر بالکشفی ثم الاصطهباناتی، والد ماجدش از داراب، رفع علایق نمود و به اصطهبانات متوطن گردید و در حدود سال هزار و صد و هشتاد و اندی، حضرت باری، وی را به آن مولود مفتخر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سن رشد و تمیز به نجف اشرف مشرف گشته و پس از تکمیل</w:t>
      </w:r>
    </w:p>
    <w:p>
      <w:pPr>
        <w:pStyle w:val="BookText"/>
        <w:rPr/>
      </w:pPr>
      <w:r>
        <w:rPr>
          <w:rFonts w:ascii="IRNazanin" w:hAnsi="IRNazanin" w:eastAsia="IRNazanin"/>
          <w:color w:val="111111"/>
          <w:sz w:val="28"/>
          <w:sz w:val="28"/>
          <w:szCs w:val="28"/>
          <w:rtl w:val="true"/>
          <w:lang w:bidi="fa-IR"/>
        </w:rPr>
        <w:t>علم رسمی، مشغول به ریاضات و عبادات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مکاشفه بر دیده دلش گشوده گشت و بر مسند تعلیم و تعلم نشست و در ترجمه آیات قرآن مجید و معانی اخبار صعاب، قیام نمود و سه شهر و یک قصبه را مرکز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سال، هر جا توقف می‌نمود، بروجرد، اصفهان، یزد، اصطهبانات و عاقبت الامر در بروجرد، روانش به عالم باقی شتافت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قال عنه محمّد حسن خان اعتماد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انطباعات فی العهد الناصری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أجلّة العلماء الجامعین ما بین العلم و الإیقان و الذوق و العرفان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الشیرازی کان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علماء العصر و زبدة فضلاء الدهر الذی کان فی الاجتهاد و الفتوی شهیر، و فی علم التفسیر و الحدیث بلا نظیر</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عاصر الحکومة الزندیة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حکومة آغا محمّد خان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فتحعلی شاه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شاه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فی عصر الحکومة الزندیّة و شاهد الفوضی التی حصلت فی ذلک العصر، و أیضا أربعة سلاطین من ملوک القاجار، و شاهد الفتن الداخلیة فی إیران، و حروب إیران مع الروس، و المجابهات التی کانت تحصل بین إیران و الدولة العثمانیة، و لعل هذا هو الذی دعاه لتألیف کتابیه تحفة الملوک، و میزان الملوک و الطوائف و الصراط المستقیم فی سلوک الخلائف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و کما جاء فی کلام بعض کتّاب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المرتاضین و العبّاد،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من أهل الکشف و الشهود و الکرامات</w:t>
      </w:r>
      <w:r>
        <w:rPr>
          <w:rFonts w:eastAsia="IRNazanin" w:cs="IRNazanin"/>
          <w:color w:val="111111"/>
          <w:sz w:val="28"/>
          <w:szCs w:val="28"/>
          <w:rtl w:val="true"/>
          <w:lang w:bidi="fa-IR"/>
        </w:rPr>
        <w:t>.</w:t>
      </w:r>
      <w:r>
        <w:rPr>
          <w:rStyle w:val="FootnoteAnchor"/>
          <w:rtl w:val="true"/>
        </w:rPr>
        <w:footnoteReference w:id="7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مجدّا فی التعلّم و التعلیم و التدریس و التحقیق و التألیف</w:t>
      </w:r>
      <w:r>
        <w:rPr>
          <w:rFonts w:eastAsia="IRNazanin" w:cs="IRNazanin"/>
          <w:color w:val="111111"/>
          <w:sz w:val="28"/>
          <w:szCs w:val="28"/>
          <w:rtl w:val="true"/>
          <w:lang w:bidi="fa-IR"/>
        </w:rPr>
        <w:t>.</w:t>
      </w:r>
      <w:bookmarkStart w:id="72" w:name="pg19819_193343"/>
    </w:p>
    <w:p>
      <w:pPr>
        <w:pStyle w:val="Heading4"/>
        <w:numPr>
          <w:ilvl w:val="3"/>
          <w:numId w:val="1"/>
        </w:numPr>
        <w:rPr/>
      </w:pPr>
      <w:bookmarkStart w:id="73" w:name="__RefHeading___Toc3055449_2314609296"/>
      <w:bookmarkStart w:id="74" w:name="_Toc28"/>
      <w:bookmarkEnd w:id="72"/>
      <w:bookmarkEnd w:id="73"/>
      <w:r>
        <w:rPr>
          <w:rtl w:val="true"/>
        </w:rPr>
        <w:t>آثاره و تألیفاته</w:t>
      </w:r>
      <w:r>
        <w:rPr>
          <w:rtl w:val="true"/>
        </w:rPr>
        <w:t>:</w:t>
      </w:r>
      <w:bookmarkEnd w:id="74"/>
    </w:p>
    <w:p>
      <w:pPr>
        <w:pStyle w:val="Heading5"/>
        <w:numPr>
          <w:ilvl w:val="4"/>
          <w:numId w:val="1"/>
        </w:numPr>
        <w:rPr/>
      </w:pPr>
      <w:bookmarkStart w:id="75" w:name="__RefHeading___Toc3055451_2314609296"/>
      <w:bookmarkStart w:id="76" w:name="_Toc29"/>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 xml:space="preserve">ترک المحقّق الکشفی سبعة عشر کتابا و رسالة، ألّفها ما بین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بدأ الکتابة و التألیف من سن العشرین، و أوّل تألیف صدر له هو منظومة فی علم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تألیفاته متنوّعة جدّا من ناحیة المواضیع، فقد کتب فی مواضیع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 و المنطق و الکلام و العقائد و السیاسة و الحکومة و اصول الفقه و الفقه و الحدیث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بعض هذه الکتب و الرسائل فی النجف الأشرف، و بعضها الآخر فی إیران، و بعض هذه التألیفات کتبها باللغة العربیّة و بعضها الآخر باللغة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فهرسة لتألیفاته حسب سنة التألیف</w:t>
      </w:r>
      <w:r>
        <w:rPr>
          <w:rFonts w:eastAsia="IRNazanin" w:cs="IRNazanin"/>
          <w:color w:val="111111"/>
          <w:sz w:val="28"/>
          <w:szCs w:val="28"/>
          <w:rtl w:val="true"/>
          <w:lang w:bidi="fa-IR"/>
        </w:rPr>
        <w:t>.</w:t>
      </w:r>
    </w:p>
    <w:p>
      <w:pPr>
        <w:pStyle w:val="Heading5"/>
        <w:numPr>
          <w:ilvl w:val="4"/>
          <w:numId w:val="1"/>
        </w:numPr>
        <w:rPr/>
      </w:pPr>
      <w:bookmarkStart w:id="77" w:name="__RefHeading___Toc3055453_2314609296"/>
      <w:bookmarkStart w:id="78" w:name="_Toc30"/>
      <w:bookmarkEnd w:id="77"/>
      <w:r>
        <w:rPr/>
        <w:t>1</w:t>
      </w:r>
      <w:r>
        <w:rPr>
          <w:rtl w:val="true"/>
        </w:rPr>
        <w:t xml:space="preserve">- </w:t>
      </w:r>
      <w:r>
        <w:rPr>
          <w:rtl w:val="true"/>
        </w:rPr>
        <w:t>الشریفیة</w:t>
      </w:r>
      <w:r>
        <w:rPr>
          <w:rtl w:val="true"/>
        </w:rPr>
        <w:t>:</w:t>
      </w:r>
      <w:bookmarkEnd w:id="78"/>
    </w:p>
    <w:p>
      <w:pPr>
        <w:pStyle w:val="BookText"/>
        <w:rPr/>
      </w:pPr>
      <w:r>
        <w:rPr>
          <w:rFonts w:ascii="IRNazanin" w:hAnsi="IRNazanin" w:eastAsia="IRNazanin"/>
          <w:color w:val="111111"/>
          <w:sz w:val="28"/>
          <w:sz w:val="28"/>
          <w:szCs w:val="28"/>
          <w:rtl w:val="true"/>
          <w:lang w:bidi="fa-IR"/>
        </w:rPr>
        <w:t xml:space="preserve">منظومة تقع 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کتبها فی قواعد المنطق و تشتمل علی عشرة أبواب و خاتمة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 تألیف هذه المنظومة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و هی موجودة ضمن مجموعة النسخ الخطیّة فی مکتبة آیة اللّه النجفی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رقم</w:t>
      </w:r>
      <w:r>
        <w:rPr>
          <w:rFonts w:eastAsia="IRNazanin" w:cs="IRNazanin"/>
          <w:color w:val="111111"/>
          <w:sz w:val="28"/>
          <w:szCs w:val="28"/>
          <w:rtl w:val="true"/>
          <w:lang w:bidi="fa-IR"/>
        </w:rPr>
        <w:t xml:space="preserve">: </w:t>
      </w:r>
      <w:r>
        <w:rPr>
          <w:rFonts w:eastAsia="IRNazanin" w:cs="IRNazanin"/>
          <w:color w:val="111111"/>
          <w:sz w:val="28"/>
          <w:szCs w:val="28"/>
          <w:lang w:bidi="fa-IR"/>
        </w:rPr>
        <w:t>6024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Heading5"/>
        <w:numPr>
          <w:ilvl w:val="4"/>
          <w:numId w:val="1"/>
        </w:numPr>
        <w:rPr/>
      </w:pPr>
      <w:bookmarkStart w:id="79" w:name="__RefHeading___Toc3055455_2314609296"/>
      <w:bookmarkStart w:id="80" w:name="_Toc31"/>
      <w:bookmarkEnd w:id="79"/>
      <w:r>
        <w:rPr/>
        <w:t>2</w:t>
      </w:r>
      <w:r>
        <w:rPr>
          <w:rtl w:val="true"/>
        </w:rPr>
        <w:t xml:space="preserve">- </w:t>
      </w:r>
      <w:r>
        <w:rPr>
          <w:rtl w:val="true"/>
        </w:rPr>
        <w:t>نخبة العقول فی علم الأصول</w:t>
      </w:r>
      <w:r>
        <w:rPr>
          <w:rtl w:val="true"/>
        </w:rPr>
        <w:t>:</w:t>
      </w:r>
      <w:bookmarkEnd w:id="80"/>
    </w:p>
    <w:p>
      <w:pPr>
        <w:pStyle w:val="BookText"/>
        <w:rPr/>
      </w:pPr>
      <w:r>
        <w:rPr>
          <w:rFonts w:ascii="IRNazanin" w:hAnsi="IRNazanin" w:eastAsia="IRNazanin"/>
          <w:color w:val="111111"/>
          <w:sz w:val="28"/>
          <w:sz w:val="28"/>
          <w:szCs w:val="28"/>
          <w:rtl w:val="true"/>
          <w:lang w:bidi="fa-IR"/>
        </w:rPr>
        <w:t xml:space="preserve">ألّفت هذه الرسالة فی النجف الأشرف 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و ستطبع ضمن هذه المجموعة، و سوف نتکلّم حولها بشی‌ء من التفصیل</w:t>
      </w:r>
      <w:r>
        <w:rPr>
          <w:rFonts w:eastAsia="IRNazanin" w:cs="IRNazanin"/>
          <w:color w:val="111111"/>
          <w:sz w:val="28"/>
          <w:szCs w:val="28"/>
          <w:rtl w:val="true"/>
          <w:lang w:bidi="fa-IR"/>
        </w:rPr>
        <w:t>.</w:t>
      </w:r>
    </w:p>
    <w:p>
      <w:pPr>
        <w:pStyle w:val="Heading5"/>
        <w:numPr>
          <w:ilvl w:val="4"/>
          <w:numId w:val="1"/>
        </w:numPr>
        <w:rPr/>
      </w:pPr>
      <w:bookmarkStart w:id="81" w:name="__RefHeading___Toc3055457_2314609296"/>
      <w:bookmarkStart w:id="82" w:name="_Toc32"/>
      <w:bookmarkEnd w:id="81"/>
      <w:r>
        <w:rPr/>
        <w:t>3</w:t>
      </w:r>
      <w:r>
        <w:rPr>
          <w:rtl w:val="true"/>
        </w:rPr>
        <w:t xml:space="preserve">- </w:t>
      </w:r>
      <w:r>
        <w:rPr>
          <w:rtl w:val="true"/>
        </w:rPr>
        <w:t>منظومة فی علم الصرف</w:t>
      </w:r>
      <w:r>
        <w:rPr>
          <w:rtl w:val="true"/>
        </w:rPr>
        <w:t>:</w:t>
      </w:r>
      <w:bookmarkEnd w:id="82"/>
    </w:p>
    <w:p>
      <w:pPr>
        <w:pStyle w:val="BookText"/>
        <w:rPr/>
      </w:pPr>
      <w:r>
        <w:rPr>
          <w:rFonts w:ascii="IRNazanin" w:hAnsi="IRNazanin" w:eastAsia="IRNazanin"/>
          <w:color w:val="111111"/>
          <w:sz w:val="28"/>
          <w:sz w:val="28"/>
          <w:szCs w:val="28"/>
          <w:rtl w:val="true"/>
          <w:lang w:bidi="fa-IR"/>
        </w:rPr>
        <w:t>أنشأ المحقّق الکشفی هذه المنظومة فی النجف الأشرف</w:t>
      </w:r>
      <w:r>
        <w:rPr>
          <w:rFonts w:eastAsia="IRNazanin" w:cs="IRNazanin"/>
          <w:color w:val="111111"/>
          <w:sz w:val="28"/>
          <w:szCs w:val="28"/>
          <w:rtl w:val="true"/>
          <w:lang w:bidi="fa-IR"/>
        </w:rPr>
        <w:t>.</w:t>
      </w:r>
    </w:p>
    <w:p>
      <w:pPr>
        <w:pStyle w:val="Heading5"/>
        <w:numPr>
          <w:ilvl w:val="4"/>
          <w:numId w:val="1"/>
        </w:numPr>
        <w:rPr/>
      </w:pPr>
      <w:bookmarkStart w:id="83" w:name="__RefHeading___Toc3055459_2314609296"/>
      <w:bookmarkStart w:id="84" w:name="_Toc33"/>
      <w:bookmarkEnd w:id="83"/>
      <w:r>
        <w:rPr/>
        <w:t>4</w:t>
      </w:r>
      <w:r>
        <w:rPr>
          <w:rtl w:val="true"/>
        </w:rPr>
        <w:t xml:space="preserve">- </w:t>
      </w:r>
      <w:r>
        <w:rPr>
          <w:rtl w:val="true"/>
        </w:rPr>
        <w:t>البلد الأمین فی اصول الدین</w:t>
      </w:r>
      <w:r>
        <w:rPr>
          <w:rtl w:val="true"/>
        </w:rPr>
        <w:t>:</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تقع فی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نظم فیها المؤلّف آراءه الکلامیة عند ما کان مقیما فی</w:t>
      </w:r>
      <w:bookmarkStart w:id="85" w:name="pg19819_193344"/>
    </w:p>
    <w:p>
      <w:pPr>
        <w:pStyle w:val="BookText"/>
        <w:rPr/>
      </w:pPr>
      <w:bookmarkEnd w:id="85"/>
      <w:r>
        <w:rPr>
          <w:rFonts w:ascii="IRNazanin" w:hAnsi="IRNazanin" w:eastAsia="IRNazanin"/>
          <w:color w:val="111111"/>
          <w:sz w:val="28"/>
          <w:sz w:val="28"/>
          <w:szCs w:val="28"/>
          <w:rtl w:val="true"/>
          <w:lang w:bidi="fa-IR"/>
        </w:rPr>
        <w:t>النجف الأشرف، و هی موجودة ضمن مجموعة النسخ الخطّیة فی مکتبة النجفی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قام السیّد مهدی بن إسماعیل الحسینی 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باستنساخ أحد هذه النسخ الخطیّة، و هی التی تحمل رقم </w:t>
      </w:r>
      <w:r>
        <w:rPr>
          <w:rFonts w:eastAsia="IRNazanin" w:cs="IRNazanin"/>
          <w:color w:val="111111"/>
          <w:sz w:val="28"/>
          <w:szCs w:val="28"/>
          <w:lang w:bidi="fa-IR"/>
        </w:rPr>
        <w:t>6637</w:t>
      </w:r>
      <w:r>
        <w:rPr>
          <w:rFonts w:eastAsia="IRNazanin" w:cs="IRNazanin"/>
          <w:color w:val="111111"/>
          <w:sz w:val="28"/>
          <w:szCs w:val="28"/>
          <w:rtl w:val="true"/>
          <w:lang w:bidi="fa-IR"/>
        </w:rPr>
        <w:t>.</w:t>
      </w:r>
    </w:p>
    <w:p>
      <w:pPr>
        <w:pStyle w:val="Heading5"/>
        <w:numPr>
          <w:ilvl w:val="4"/>
          <w:numId w:val="1"/>
        </w:numPr>
        <w:rPr/>
      </w:pPr>
      <w:bookmarkStart w:id="86" w:name="__RefHeading___Toc3055461_2314609296"/>
      <w:bookmarkStart w:id="87" w:name="_Toc34"/>
      <w:bookmarkEnd w:id="86"/>
      <w:r>
        <w:rPr/>
        <w:t>5</w:t>
      </w:r>
      <w:r>
        <w:rPr>
          <w:rtl w:val="true"/>
        </w:rPr>
        <w:t xml:space="preserve">- </w:t>
      </w:r>
      <w:r>
        <w:rPr>
          <w:rtl w:val="true"/>
        </w:rPr>
        <w:t>الشرق و البرق</w:t>
      </w:r>
      <w:r>
        <w:rPr>
          <w:rtl w:val="true"/>
        </w:rPr>
        <w:t>:</w:t>
      </w:r>
      <w:bookmarkEnd w:id="87"/>
    </w:p>
    <w:p>
      <w:pPr>
        <w:pStyle w:val="BookText"/>
        <w:rPr/>
      </w:pPr>
      <w:r>
        <w:rPr>
          <w:rFonts w:ascii="IRNazanin" w:hAnsi="IRNazanin" w:eastAsia="IRNazanin"/>
          <w:color w:val="111111"/>
          <w:sz w:val="28"/>
          <w:sz w:val="28"/>
          <w:szCs w:val="28"/>
          <w:rtl w:val="true"/>
          <w:lang w:bidi="fa-IR"/>
        </w:rPr>
        <w:t xml:space="preserve">و بحث المحقّق الکشفی فی هذه الرسالة حول الحسن و القبح العقلیین، و فرغ من تألیفها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کتبت هذه الرسالة باللغة العربیّة، و هی موجودة ضمن مجموعة النسخ الخطیّة فی مکتبة آیة اللّه النجفی المرعشی رحمه اللّه و تحمل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6686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5117</w:t>
      </w:r>
      <w:r>
        <w:rPr>
          <w:rFonts w:eastAsia="IRNazanin" w:cs="IRNazanin"/>
          <w:color w:val="111111"/>
          <w:sz w:val="28"/>
          <w:szCs w:val="28"/>
          <w:rtl w:val="true"/>
          <w:lang w:bidi="fa-IR"/>
        </w:rPr>
        <w:t>.</w:t>
      </w:r>
    </w:p>
    <w:p>
      <w:pPr>
        <w:pStyle w:val="Heading5"/>
        <w:numPr>
          <w:ilvl w:val="4"/>
          <w:numId w:val="1"/>
        </w:numPr>
        <w:rPr/>
      </w:pPr>
      <w:bookmarkStart w:id="88" w:name="__RefHeading___Toc3055463_2314609296"/>
      <w:bookmarkStart w:id="89" w:name="_Toc35"/>
      <w:bookmarkEnd w:id="88"/>
      <w:r>
        <w:rPr/>
        <w:t>6</w:t>
      </w:r>
      <w:r>
        <w:rPr>
          <w:rtl w:val="true"/>
        </w:rPr>
        <w:t xml:space="preserve">- </w:t>
      </w:r>
      <w:r>
        <w:rPr>
          <w:rtl w:val="true"/>
        </w:rPr>
        <w:t>إجابة المضطرّین فی بیان الاصول و الفروع</w:t>
      </w:r>
      <w:r>
        <w:rPr>
          <w:rtl w:val="true"/>
        </w:rPr>
        <w:t>:</w:t>
      </w:r>
      <w:bookmarkEnd w:id="89"/>
    </w:p>
    <w:p>
      <w:pPr>
        <w:pStyle w:val="BookText"/>
        <w:rPr/>
      </w:pPr>
      <w:r>
        <w:rPr>
          <w:rFonts w:ascii="IRNazanin" w:hAnsi="IRNazanin" w:eastAsia="IRNazanin"/>
          <w:color w:val="111111"/>
          <w:sz w:val="28"/>
          <w:sz w:val="28"/>
          <w:szCs w:val="28"/>
          <w:rtl w:val="true"/>
          <w:lang w:bidi="fa-IR"/>
        </w:rPr>
        <w:t xml:space="preserve">بدأ المحقّق الکشفی بتألیف هذه الکتاب بعد عودته من النجف الأشرف، فی سفره إلی المشهد الرضوی، بطلب من حسام السلطنة و انتهی منه فی أوّل ربیع الأوّل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قری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فی هذه الکتاب حول مواضیع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الدین، القوی الإنسانیّة، الوجه فی مدح الدنیا و ذمّها، الذنوب الکبیرة، إعانة السلطان الجائر، نوع التعامل مع السلطة القاجاریة، خصائص المجتهد و شرائطه، البحث عن الحوادث التی تقع قبل ظهور الإمام الحجّة 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طبع هذا الکتاب 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الهند و إیران، و أیضا توجد نسخته الخطّیة ضمن مجموعة النسخ الخطیّة فی مکتبة آیة اللّه النجفی المرعشی رحمه اللّه و تحمل رقم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3010</w:t>
      </w:r>
      <w:r>
        <w:rPr>
          <w:rFonts w:ascii="IRNazanin" w:hAnsi="IRNazanin" w:eastAsia="IRNazanin"/>
          <w:color w:val="111111"/>
          <w:sz w:val="28"/>
          <w:sz w:val="28"/>
          <w:szCs w:val="28"/>
          <w:rtl w:val="true"/>
          <w:lang w:bidi="fa-IR"/>
        </w:rPr>
        <w:t xml:space="preserve">، و قام جعفر بن أحمد عرب عصیده باستنساخ أحد نسخ الکتاب 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0" w:name="pg19819_193345"/>
    </w:p>
    <w:p>
      <w:pPr>
        <w:pStyle w:val="Heading5"/>
        <w:numPr>
          <w:ilvl w:val="4"/>
          <w:numId w:val="1"/>
        </w:numPr>
        <w:rPr/>
      </w:pPr>
      <w:bookmarkStart w:id="91" w:name="__RefHeading___Toc3055465_2314609296"/>
      <w:bookmarkStart w:id="92" w:name="_Toc36"/>
      <w:bookmarkEnd w:id="90"/>
      <w:bookmarkEnd w:id="91"/>
      <w:r>
        <w:rPr/>
        <w:t>7</w:t>
      </w:r>
      <w:r>
        <w:rPr>
          <w:rtl w:val="true"/>
        </w:rPr>
        <w:t xml:space="preserve">- </w:t>
      </w:r>
      <w:r>
        <w:rPr>
          <w:rtl w:val="true"/>
        </w:rPr>
        <w:t>الرقّ المنشور فی معراج نبیّنا المنصور</w:t>
      </w:r>
      <w:r>
        <w:rPr>
          <w:rtl w:val="true"/>
        </w:rPr>
        <w:t>:</w:t>
      </w:r>
      <w:bookmarkEnd w:id="92"/>
    </w:p>
    <w:p>
      <w:pPr>
        <w:pStyle w:val="BookText"/>
        <w:rPr/>
      </w:pPr>
      <w:r>
        <w:rPr>
          <w:rFonts w:ascii="IRNazanin" w:hAnsi="IRNazanin" w:eastAsia="IRNazanin"/>
          <w:color w:val="111111"/>
          <w:sz w:val="28"/>
          <w:sz w:val="28"/>
          <w:szCs w:val="28"/>
          <w:rtl w:val="true"/>
          <w:lang w:bidi="fa-IR"/>
        </w:rPr>
        <w:t xml:space="preserve">وقع البحث فی هذه الرسالة حول إثبات المعراج الجسمانی لنبیّ الإسلام صلّی اللّه علیه و آله، کتبها المحقّق الکشفی رحمه اللّه فی سفره الثانی إلی النجف الأشرف سنة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کتبت هذه الرسالة باللغة العربیة، و هی موجودة ضمن مجموعة النسخ الخطّیة لمکتبة آیة اللّه النجفی المرعشی رحمه اللّه و تحمل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7360</w:t>
      </w:r>
      <w:r>
        <w:rPr>
          <w:rFonts w:eastAsia="IRNazanin" w:cs="IRNazanin"/>
          <w:color w:val="111111"/>
          <w:sz w:val="28"/>
          <w:szCs w:val="28"/>
          <w:rtl w:val="true"/>
          <w:lang w:bidi="fa-IR"/>
        </w:rPr>
        <w:t>.</w:t>
      </w:r>
    </w:p>
    <w:p>
      <w:pPr>
        <w:pStyle w:val="Heading5"/>
        <w:numPr>
          <w:ilvl w:val="4"/>
          <w:numId w:val="1"/>
        </w:numPr>
        <w:rPr/>
      </w:pPr>
      <w:bookmarkStart w:id="93" w:name="__RefHeading___Toc3055467_2314609296"/>
      <w:bookmarkStart w:id="94" w:name="_Toc37"/>
      <w:bookmarkEnd w:id="93"/>
      <w:r>
        <w:rPr/>
        <w:t>8</w:t>
      </w:r>
      <w:r>
        <w:rPr>
          <w:rtl w:val="true"/>
        </w:rPr>
        <w:t xml:space="preserve">- </w:t>
      </w:r>
      <w:r>
        <w:rPr>
          <w:rtl w:val="true"/>
        </w:rPr>
        <w:t>صید البحر</w:t>
      </w:r>
      <w:r>
        <w:rPr>
          <w:rtl w:val="true"/>
        </w:rPr>
        <w:t>:</w:t>
      </w:r>
      <w:bookmarkEnd w:id="94"/>
    </w:p>
    <w:p>
      <w:pPr>
        <w:pStyle w:val="BookText"/>
        <w:rPr/>
      </w:pPr>
      <w:r>
        <w:rPr>
          <w:rFonts w:ascii="IRNazanin" w:hAnsi="IRNazanin" w:eastAsia="IRNazanin"/>
          <w:color w:val="111111"/>
          <w:sz w:val="28"/>
          <w:sz w:val="28"/>
          <w:szCs w:val="28"/>
          <w:rtl w:val="true"/>
          <w:lang w:bidi="fa-IR"/>
        </w:rPr>
        <w:t>بحث المؤلّف فی هذه الرسالة حول نقاط علمیة متفرقة، تحت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أیضا بحث حول بعض المسائل العقائدیة و الکلامیة و الفلسفیة، و شرح بعض الآیات الکریمة و الروایات و النقاط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هذه الرسالة کتبت قبل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و ذلک لأنّ المؤلّف قد أشار إلیها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موجودة ضمن مجموعة النسخ الخطیة لمکتبة آیة اللّه المرعشی النجفی رحمه اللّه و تحمل رقم</w:t>
      </w:r>
      <w:r>
        <w:rPr>
          <w:rFonts w:eastAsia="IRNazanin" w:cs="IRNazanin"/>
          <w:color w:val="111111"/>
          <w:sz w:val="28"/>
          <w:szCs w:val="28"/>
          <w:rtl w:val="true"/>
          <w:lang w:bidi="fa-IR"/>
        </w:rPr>
        <w:t xml:space="preserve">: </w:t>
      </w:r>
      <w:r>
        <w:rPr>
          <w:rFonts w:eastAsia="IRNazanin" w:cs="IRNazanin"/>
          <w:color w:val="111111"/>
          <w:sz w:val="28"/>
          <w:szCs w:val="28"/>
          <w:lang w:bidi="fa-IR"/>
        </w:rPr>
        <w:t>3837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الکشفی حول مباحث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بعضها تمّ الوصول من التقلید إلی الوجدان، و فی بعضها الآخر من الوجدان إلی العیان، و فی القسم الأخیر من العیان إلی المعیّة</w:t>
      </w:r>
      <w:r>
        <w:rPr>
          <w:rFonts w:eastAsia="IRNazanin" w:cs="IRNazanin"/>
          <w:color w:val="111111"/>
          <w:sz w:val="28"/>
          <w:szCs w:val="28"/>
          <w:rtl w:val="true"/>
          <w:lang w:bidi="fa-IR"/>
        </w:rPr>
        <w:t>.</w:t>
      </w:r>
    </w:p>
    <w:p>
      <w:pPr>
        <w:pStyle w:val="Heading5"/>
        <w:numPr>
          <w:ilvl w:val="4"/>
          <w:numId w:val="1"/>
        </w:numPr>
        <w:rPr/>
      </w:pPr>
      <w:bookmarkStart w:id="95" w:name="__RefHeading___Toc3055469_2314609296"/>
      <w:bookmarkStart w:id="96" w:name="_Toc38"/>
      <w:bookmarkEnd w:id="95"/>
      <w:r>
        <w:rPr/>
        <w:t>9</w:t>
      </w:r>
      <w:r>
        <w:rPr>
          <w:rtl w:val="true"/>
        </w:rPr>
        <w:t xml:space="preserve">- </w:t>
      </w:r>
      <w:r>
        <w:rPr>
          <w:rtl w:val="true"/>
        </w:rPr>
        <w:t>تحفة الملوک</w:t>
      </w:r>
      <w:r>
        <w:rPr>
          <w:rtl w:val="true"/>
        </w:rPr>
        <w:t>:</w:t>
      </w:r>
      <w:bookmarkEnd w:id="96"/>
    </w:p>
    <w:p>
      <w:pPr>
        <w:pStyle w:val="BookText"/>
        <w:rPr/>
      </w:pPr>
      <w:r>
        <w:rPr>
          <w:rFonts w:ascii="IRNazanin" w:hAnsi="IRNazanin" w:eastAsia="IRNazanin"/>
          <w:color w:val="111111"/>
          <w:sz w:val="28"/>
          <w:sz w:val="28"/>
          <w:szCs w:val="28"/>
          <w:rtl w:val="true"/>
          <w:lang w:bidi="fa-IR"/>
        </w:rPr>
        <w:t xml:space="preserve">ألّف هذا الکتاب فی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من حسام السلطنة، و یتألّف من مجلّدین، و یعدّ من التألیفات المهمّة و القیّمة للمحقّق الکشفی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طبع هذا الکتاب قبل عشرات السنین طبعة 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 خطیة منه ضمن مجموعة النسخ الخطیة لمکتبة آیة اللّه النجفی المرعشی رحمه اللّه و تحمل رقم</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5615</w:t>
      </w:r>
      <w:r>
        <w:rPr>
          <w:rFonts w:ascii="IRNazanin" w:hAnsi="IRNazanin" w:eastAsia="IRNazanin"/>
          <w:color w:val="111111"/>
          <w:sz w:val="28"/>
          <w:sz w:val="28"/>
          <w:szCs w:val="28"/>
          <w:rtl w:val="true"/>
          <w:lang w:bidi="fa-IR"/>
        </w:rPr>
        <w:t>، و فی مکتبة مجلس الشوری الإسلامی، و تحمل رقم</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مکتبة</w:t>
      </w:r>
      <w:bookmarkStart w:id="97" w:name="pg19819_193346"/>
    </w:p>
    <w:p>
      <w:pPr>
        <w:pStyle w:val="BookText"/>
        <w:rPr/>
      </w:pPr>
      <w:bookmarkEnd w:id="97"/>
      <w:r>
        <w:rPr>
          <w:rFonts w:ascii="IRNazanin" w:hAnsi="IRNazanin" w:eastAsia="IRNazanin"/>
          <w:color w:val="111111"/>
          <w:sz w:val="28"/>
          <w:sz w:val="28"/>
          <w:szCs w:val="28"/>
          <w:rtl w:val="true"/>
          <w:lang w:bidi="fa-IR"/>
        </w:rPr>
        <w:t>حرم السیّدة المعصومة علیها السّلام و تحمل رقم</w:t>
      </w:r>
      <w:r>
        <w:rPr>
          <w:rFonts w:eastAsia="IRNazanin" w:cs="IRNazanin"/>
          <w:color w:val="111111"/>
          <w:sz w:val="28"/>
          <w:szCs w:val="28"/>
          <w:rtl w:val="true"/>
          <w:lang w:bidi="fa-IR"/>
        </w:rPr>
        <w:t xml:space="preserve">: </w:t>
      </w:r>
      <w:r>
        <w:rPr>
          <w:rFonts w:eastAsia="IRNazanin" w:cs="IRNazanin"/>
          <w:color w:val="111111"/>
          <w:sz w:val="28"/>
          <w:szCs w:val="28"/>
          <w:lang w:bidi="fa-IR"/>
        </w:rPr>
        <w:t>5858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یتألّف هذا الکتاب من ثلاثة أطباق و خاتمة، و یتألّف کلّ طبق من فصول متعدّدة، أطلق المؤلف علی کلّ فصل منها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حقیقة العقل و ما یرتبط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البحث فیه عن کیفیّة ارتباط العقل بالموجودات، و المسائل المتفرّعة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البحث فیه عن خواصّ و علامات العقل و ما یرتبط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المؤلّف فی الخاتمة عن إدارة شئون الرعیّة أو سیاسة المدن فی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تمّ نشر هذه الکتاب جدیدا بعد تصحیحه من قبل الفاضل عبد الوهاب الفراتی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فی مجلدین</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98" w:name="__RefHeading___Toc3055471_2314609296"/>
      <w:bookmarkStart w:id="99" w:name="_Toc39"/>
      <w:bookmarkEnd w:id="98"/>
      <w:r>
        <w:rPr/>
        <w:t>10</w:t>
      </w:r>
      <w:r>
        <w:rPr>
          <w:rtl w:val="true"/>
        </w:rPr>
        <w:t xml:space="preserve">- </w:t>
      </w:r>
      <w:r>
        <w:rPr>
          <w:rtl w:val="true"/>
        </w:rPr>
        <w:t>میزان الملوک و الطوائف و صراط المستقیم فی سلوک الخلائف</w:t>
      </w:r>
      <w:r>
        <w:rPr>
          <w:rtl w:val="true"/>
        </w:rPr>
        <w:t>:</w:t>
      </w:r>
      <w:bookmarkEnd w:id="99"/>
    </w:p>
    <w:p>
      <w:pPr>
        <w:pStyle w:val="BookText"/>
        <w:rPr/>
      </w:pPr>
      <w:r>
        <w:rPr>
          <w:rFonts w:ascii="IRNazanin" w:hAnsi="IRNazanin" w:eastAsia="IRNazanin"/>
          <w:color w:val="111111"/>
          <w:sz w:val="28"/>
          <w:sz w:val="28"/>
          <w:szCs w:val="28"/>
          <w:rtl w:val="true"/>
          <w:lang w:bidi="fa-IR"/>
        </w:rPr>
        <w:t xml:space="preserve">ألّف المحقّق الکشفی هذا الکتاب فی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یتألّف میزان الملوک من مقدّمة و عشرة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المؤلّف خلالها عن مواضیع؛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 الخلافة، و کیفیة سلوک ولاة و عمّال الدولة، و العلماء، و الوعّاظ، و القضاة، و أصحاب الرأسمال و الثروة، و الفلاحون، و الإقطاعیون، و الکسبة و التجّار، و أصحاب المهن و الصنائع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نسختان من هذا الکتاب ضمن مجموعة النسخ الخطیة لمکتبة آیة اللّه المرعشی، تحمل رقم</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5775</w:t>
      </w:r>
      <w:r>
        <w:rPr>
          <w:rFonts w:ascii="IRNazanin" w:hAnsi="IRNazanin" w:eastAsia="IRNazanin"/>
          <w:color w:val="111111"/>
          <w:sz w:val="28"/>
          <w:sz w:val="28"/>
          <w:szCs w:val="28"/>
          <w:rtl w:val="true"/>
          <w:lang w:bidi="fa-IR"/>
        </w:rPr>
        <w:t>، و نسخة ثالثة بخطّ سید مصطفی ابن المحقّق الکشفی، و هی موجودة عند أحفاده</w:t>
      </w:r>
      <w:r>
        <w:rPr>
          <w:rFonts w:eastAsia="IRNazanin" w:cs="IRNazanin"/>
          <w:color w:val="111111"/>
          <w:sz w:val="28"/>
          <w:szCs w:val="28"/>
          <w:rtl w:val="true"/>
          <w:lang w:bidi="fa-IR"/>
        </w:rPr>
        <w:t>.</w:t>
      </w:r>
      <w:r>
        <w:rPr>
          <w:rStyle w:val="FootnoteAnchor"/>
          <w:rtl w:val="true"/>
        </w:rPr>
        <w:footnoteReference w:id="8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صحّح هذا الکتاب أیضا الفاضل عبد الوهاب الفراتی، و طبع فی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w:t>
      </w:r>
      <w:bookmarkStart w:id="100" w:name="pg19819_193347"/>
    </w:p>
    <w:p>
      <w:pPr>
        <w:pStyle w:val="BookText"/>
        <w:rPr/>
      </w:pPr>
      <w:bookmarkEnd w:id="100"/>
      <w:r>
        <w:rPr>
          <w:rFonts w:ascii="IRNazanin" w:hAnsi="IRNazanin" w:eastAsia="IRNazanin"/>
          <w:color w:val="111111"/>
          <w:sz w:val="28"/>
          <w:sz w:val="28"/>
          <w:szCs w:val="28"/>
          <w:rtl w:val="true"/>
          <w:lang w:bidi="fa-IR"/>
        </w:rPr>
        <w:t>قبل دار النشر التابعة لمکتب الإعلام الاسلامی</w:t>
      </w:r>
      <w:r>
        <w:rPr>
          <w:rFonts w:eastAsia="IRNazanin" w:cs="IRNazanin"/>
          <w:color w:val="111111"/>
          <w:sz w:val="28"/>
          <w:szCs w:val="28"/>
          <w:rtl w:val="true"/>
          <w:lang w:bidi="fa-IR"/>
        </w:rPr>
        <w:t>.</w:t>
      </w:r>
    </w:p>
    <w:p>
      <w:pPr>
        <w:pStyle w:val="Heading5"/>
        <w:numPr>
          <w:ilvl w:val="4"/>
          <w:numId w:val="1"/>
        </w:numPr>
        <w:rPr/>
      </w:pPr>
      <w:bookmarkStart w:id="101" w:name="__RefHeading___Toc3055473_2314609296"/>
      <w:bookmarkStart w:id="102" w:name="_Toc40"/>
      <w:bookmarkEnd w:id="101"/>
      <w:r>
        <w:rPr/>
        <w:t>11</w:t>
      </w:r>
      <w:r>
        <w:rPr>
          <w:rtl w:val="true"/>
        </w:rPr>
        <w:t xml:space="preserve">- </w:t>
      </w:r>
      <w:r>
        <w:rPr>
          <w:rtl w:val="true"/>
        </w:rPr>
        <w:t>کفایة الأیتام</w:t>
      </w:r>
      <w:r>
        <w:rPr>
          <w:rtl w:val="true"/>
        </w:rPr>
        <w:t>:</w:t>
      </w:r>
      <w:bookmarkEnd w:id="102"/>
    </w:p>
    <w:p>
      <w:pPr>
        <w:pStyle w:val="BookText"/>
        <w:rPr/>
      </w:pPr>
      <w:r>
        <w:rPr>
          <w:rFonts w:ascii="IRNazanin" w:hAnsi="IRNazanin" w:eastAsia="IRNazanin"/>
          <w:color w:val="111111"/>
          <w:sz w:val="28"/>
          <w:sz w:val="28"/>
          <w:szCs w:val="28"/>
          <w:rtl w:val="true"/>
          <w:lang w:bidi="fa-IR"/>
        </w:rPr>
        <w:t xml:space="preserve">هذا الکتاب دورة فقهیة کاملة باللغة الفارسیة فی أربعة مجلّدات، و هو کتاب شامل و مستدلّ، قلّ نظیره فی آثار الفقهاء، و قد تمّ الفراغ من تألیفه فی شعبان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المؤلف بعض آرائه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الفقهیة فی مواضیع من هذا الکتاب القیّم، من قبیل مباحث القضاء، و الجهاد، و صلاة الجمعة، و الأراضی المفتوحة عنوة، و الأمر بالمعروف و النهی عن المنکر، و المتاجر</w:t>
      </w:r>
      <w:r>
        <w:rPr>
          <w:rFonts w:eastAsia="IRNazanin" w:cs="IRNazanin"/>
          <w:color w:val="111111"/>
          <w:sz w:val="28"/>
          <w:szCs w:val="28"/>
          <w:rtl w:val="true"/>
          <w:lang w:bidi="fa-IR"/>
        </w:rPr>
        <w:t>.</w:t>
      </w:r>
    </w:p>
    <w:p>
      <w:pPr>
        <w:pStyle w:val="Heading5"/>
        <w:numPr>
          <w:ilvl w:val="4"/>
          <w:numId w:val="1"/>
        </w:numPr>
        <w:rPr/>
      </w:pPr>
      <w:bookmarkStart w:id="103" w:name="__RefHeading___Toc3055475_2314609296"/>
      <w:bookmarkStart w:id="104" w:name="_Toc41"/>
      <w:bookmarkEnd w:id="103"/>
      <w:r>
        <w:rPr/>
        <w:t>12</w:t>
      </w:r>
      <w:r>
        <w:rPr>
          <w:rtl w:val="true"/>
        </w:rPr>
        <w:t xml:space="preserve">- </w:t>
      </w:r>
      <w:r>
        <w:rPr>
          <w:rtl w:val="true"/>
        </w:rPr>
        <w:t>سنابرق فی شرح البارق من الشرق</w:t>
      </w:r>
      <w:r>
        <w:rPr>
          <w:rtl w:val="true"/>
        </w:rPr>
        <w:t>:</w:t>
      </w:r>
      <w:bookmarkEnd w:id="104"/>
    </w:p>
    <w:p>
      <w:pPr>
        <w:pStyle w:val="BookText"/>
        <w:rPr/>
      </w:pPr>
      <w:r>
        <w:rPr>
          <w:rFonts w:ascii="IRNazanin" w:hAnsi="IRNazanin" w:eastAsia="IRNazanin"/>
          <w:color w:val="111111"/>
          <w:sz w:val="28"/>
          <w:sz w:val="28"/>
          <w:szCs w:val="28"/>
          <w:rtl w:val="true"/>
          <w:lang w:bidi="fa-IR"/>
        </w:rPr>
        <w:t xml:space="preserve">هذا الکتاب شرح عرفانی و فلسفی للدعاء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المؤلّف بتألیفه فی یزد فی رمضان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و فرغ منه فی بروجرد فی آخر ذی القعدة الحرام من نفس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موجود ضمن مجموعة النسخ الخطّیة لمکتبة آیة اللّه المرعشی رحمه اللّه تحت 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5925</w:t>
      </w:r>
      <w:r>
        <w:rPr>
          <w:rFonts w:eastAsia="IRNazanin" w:cs="IRNazanin"/>
          <w:color w:val="111111"/>
          <w:sz w:val="28"/>
          <w:szCs w:val="28"/>
          <w:rtl w:val="true"/>
          <w:lang w:bidi="fa-IR"/>
        </w:rPr>
        <w:t>.</w:t>
      </w:r>
    </w:p>
    <w:p>
      <w:pPr>
        <w:pStyle w:val="Heading5"/>
        <w:numPr>
          <w:ilvl w:val="4"/>
          <w:numId w:val="1"/>
        </w:numPr>
        <w:rPr/>
      </w:pPr>
      <w:bookmarkStart w:id="105" w:name="__RefHeading___Toc3055477_2314609296"/>
      <w:bookmarkStart w:id="106" w:name="_Toc42"/>
      <w:bookmarkEnd w:id="105"/>
      <w:r>
        <w:rPr/>
        <w:t>13</w:t>
      </w:r>
      <w:r>
        <w:rPr>
          <w:rtl w:val="true"/>
        </w:rPr>
        <w:t xml:space="preserve">- </w:t>
      </w:r>
      <w:r>
        <w:rPr>
          <w:rtl w:val="true"/>
        </w:rPr>
        <w:t>عکوس ملکیة و شموس فلکیة</w:t>
      </w:r>
      <w:r>
        <w:rPr>
          <w:rtl w:val="true"/>
        </w:rPr>
        <w:t>:</w:t>
      </w:r>
      <w:bookmarkEnd w:id="106"/>
    </w:p>
    <w:p>
      <w:pPr>
        <w:pStyle w:val="BookText"/>
        <w:rPr/>
      </w:pPr>
      <w:r>
        <w:rPr>
          <w:rFonts w:ascii="IRNazanin" w:hAnsi="IRNazanin" w:eastAsia="IRNazanin"/>
          <w:color w:val="111111"/>
          <w:sz w:val="28"/>
          <w:sz w:val="28"/>
          <w:szCs w:val="28"/>
          <w:rtl w:val="true"/>
          <w:lang w:bidi="fa-IR"/>
        </w:rPr>
        <w:t>هذه الرسالة حول تنزیه الإمام علیه السّلام عن أ کلّ الحرام، کتبت عناوینها حسب الاصطلاحات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نور، نهار، کسوف، انجلاء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للمؤلف بحث مختصر فی بدایة الرسالة حول علم الإمام علیه السّلام ثمّ بحث حول عظمة الإمام و ارتباطه بعالم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کتبت الرسالة قبل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و هی موجودة ضمن مجموعة النسخ الخطیّة لمکتبة آیة اللّه المرعشی رحمه اللّه و تحمل رقم</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6686</w:t>
      </w:r>
      <w:r>
        <w:rPr>
          <w:rFonts w:eastAsia="IRNazanin" w:cs="IRNazanin"/>
          <w:color w:val="111111"/>
          <w:sz w:val="28"/>
          <w:szCs w:val="28"/>
          <w:rtl w:val="true"/>
          <w:lang w:bidi="fa-IR"/>
        </w:rPr>
        <w:t>.</w:t>
      </w:r>
    </w:p>
    <w:p>
      <w:pPr>
        <w:pStyle w:val="Heading5"/>
        <w:numPr>
          <w:ilvl w:val="4"/>
          <w:numId w:val="1"/>
        </w:numPr>
        <w:rPr/>
      </w:pPr>
      <w:bookmarkStart w:id="107" w:name="__RefHeading___Toc3055479_2314609296"/>
      <w:bookmarkStart w:id="108" w:name="_Toc43"/>
      <w:bookmarkEnd w:id="107"/>
      <w:r>
        <w:rPr/>
        <w:t>14</w:t>
      </w:r>
      <w:r>
        <w:rPr>
          <w:rtl w:val="true"/>
        </w:rPr>
        <w:t xml:space="preserve">- </w:t>
      </w:r>
      <w:r>
        <w:rPr>
          <w:rtl w:val="true"/>
        </w:rPr>
        <w:t>الرطب الیابس فی الإجماع المتخالف المتعاکس</w:t>
      </w:r>
      <w:r>
        <w:rPr>
          <w:rtl w:val="true"/>
        </w:rPr>
        <w:t>.</w:t>
      </w:r>
      <w:bookmarkEnd w:id="10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9" w:name="__RefHeading___Toc3055481_2314609296"/>
      <w:bookmarkStart w:id="110" w:name="_Toc44"/>
      <w:bookmarkEnd w:id="109"/>
      <w:r>
        <w:rPr/>
        <w:t>15</w:t>
      </w:r>
      <w:r>
        <w:rPr>
          <w:rtl w:val="true"/>
        </w:rPr>
        <w:t xml:space="preserve">- </w:t>
      </w:r>
      <w:r>
        <w:rPr>
          <w:rtl w:val="true"/>
        </w:rPr>
        <w:t>جمع الشتات المتفرقة فی الإجماعات المحقّة المحقّقة</w:t>
      </w:r>
      <w:r>
        <w:rPr>
          <w:rtl w:val="true"/>
        </w:rPr>
        <w:t>.</w:t>
      </w:r>
      <w:bookmarkStart w:id="111" w:name="pg19819_193348"/>
      <w:bookmarkEnd w:id="110"/>
    </w:p>
    <w:p>
      <w:pPr>
        <w:pStyle w:val="Heading5"/>
        <w:numPr>
          <w:ilvl w:val="4"/>
          <w:numId w:val="1"/>
        </w:numPr>
        <w:rPr/>
      </w:pPr>
      <w:bookmarkStart w:id="112" w:name="__RefHeading___Toc3055483_2314609296"/>
      <w:bookmarkStart w:id="113" w:name="_Toc45"/>
      <w:bookmarkEnd w:id="111"/>
      <w:bookmarkEnd w:id="112"/>
      <w:r>
        <w:rPr/>
        <w:t>16</w:t>
      </w:r>
      <w:r>
        <w:rPr>
          <w:rtl w:val="true"/>
        </w:rPr>
        <w:t xml:space="preserve">- </w:t>
      </w:r>
      <w:r>
        <w:rPr>
          <w:rtl w:val="true"/>
        </w:rPr>
        <w:t>التنزیل فی معنی التأویل</w:t>
      </w:r>
      <w:r>
        <w:rPr>
          <w:rtl w:val="true"/>
        </w:rPr>
        <w:t>:</w:t>
      </w:r>
      <w:bookmarkEnd w:id="113"/>
    </w:p>
    <w:p>
      <w:pPr>
        <w:pStyle w:val="BookText"/>
        <w:rPr/>
      </w:pPr>
      <w:r>
        <w:rPr>
          <w:rFonts w:ascii="IRNazanin" w:hAnsi="IRNazanin" w:eastAsia="IRNazanin"/>
          <w:color w:val="111111"/>
          <w:sz w:val="28"/>
          <w:sz w:val="28"/>
          <w:szCs w:val="28"/>
          <w:rtl w:val="true"/>
          <w:lang w:bidi="fa-IR"/>
        </w:rPr>
        <w:t xml:space="preserve">یحتمل أنّ هذه الکتب الثلاثة الأخیرة ألّفت قبل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و ذلک لورود أسمائها فی الشهب القابوس المکرم و الأبواب القاموس المعظّم</w:t>
      </w:r>
      <w:r>
        <w:rPr>
          <w:rFonts w:eastAsia="IRNazanin" w:cs="IRNazanin"/>
          <w:color w:val="111111"/>
          <w:sz w:val="28"/>
          <w:szCs w:val="28"/>
          <w:rtl w:val="true"/>
          <w:lang w:bidi="fa-IR"/>
        </w:rPr>
        <w:t>.</w:t>
      </w:r>
    </w:p>
    <w:p>
      <w:pPr>
        <w:pStyle w:val="Heading5"/>
        <w:numPr>
          <w:ilvl w:val="4"/>
          <w:numId w:val="1"/>
        </w:numPr>
        <w:rPr/>
      </w:pPr>
      <w:bookmarkStart w:id="114" w:name="__RefHeading___Toc3055485_2314609296"/>
      <w:bookmarkStart w:id="115" w:name="_Toc46"/>
      <w:bookmarkEnd w:id="114"/>
      <w:r>
        <w:rPr/>
        <w:t>17</w:t>
      </w:r>
      <w:r>
        <w:rPr>
          <w:rtl w:val="true"/>
        </w:rPr>
        <w:t xml:space="preserve">- </w:t>
      </w:r>
      <w:r>
        <w:rPr>
          <w:rtl w:val="true"/>
        </w:rPr>
        <w:t>الشهب القابوس المکرم و الأبواب القاموس المعظم</w:t>
      </w:r>
      <w:r>
        <w:rPr>
          <w:rtl w:val="true"/>
        </w:rPr>
        <w:t>:</w:t>
      </w:r>
      <w:bookmarkEnd w:id="115"/>
    </w:p>
    <w:p>
      <w:pPr>
        <w:pStyle w:val="BookText"/>
        <w:rPr/>
      </w:pPr>
      <w:r>
        <w:rPr>
          <w:rFonts w:ascii="IRNazanin" w:hAnsi="IRNazanin" w:eastAsia="IRNazanin"/>
          <w:color w:val="111111"/>
          <w:sz w:val="28"/>
          <w:sz w:val="28"/>
          <w:szCs w:val="28"/>
          <w:rtl w:val="true"/>
          <w:lang w:bidi="fa-IR"/>
        </w:rPr>
        <w:t>وقع البحث فی هذا الکتاب حول حقّانیة مذهب الشیعة، و بیان معنی النفاق، و الشوری،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 المحقّق الکشفی بتألیفه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شعبان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موجودة ضمن مجموعة النسخ الخطّیة لمکتبة آیة اللّه النجفی المرعشی رحمه اللّه و تحمل رقم</w:t>
      </w:r>
      <w:r>
        <w:rPr>
          <w:rFonts w:eastAsia="IRNazanin" w:cs="IRNazanin"/>
          <w:color w:val="111111"/>
          <w:sz w:val="28"/>
          <w:szCs w:val="28"/>
          <w:rtl w:val="true"/>
          <w:lang w:bidi="fa-IR"/>
        </w:rPr>
        <w:t xml:space="preserve">: </w:t>
      </w:r>
      <w:r>
        <w:rPr>
          <w:rFonts w:eastAsia="IRNazanin" w:cs="IRNazanin"/>
          <w:color w:val="111111"/>
          <w:sz w:val="28"/>
          <w:szCs w:val="28"/>
          <w:lang w:bidi="fa-IR"/>
        </w:rPr>
        <w:t>6977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المحقّق الکشفی اسم هذا الکتاب فی سنابرق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تاریخ تألیف الشهب سنتین بعد سنابرق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السیّد روح اللّه الکشفی أنّ المؤلّف أجری بعض التغییرات علی سنابرق بعد تألیفه، فیکون ذکره فی سنابرق إشارة إلیه بعد تلک التغییرات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16" w:name="__RefHeading___Toc3055487_2314609296"/>
      <w:bookmarkStart w:id="117" w:name="_Toc47"/>
      <w:bookmarkEnd w:id="116"/>
      <w:r>
        <w:rPr>
          <w:rtl w:val="true"/>
        </w:rPr>
        <w:t>حول نخبة العقول</w:t>
      </w:r>
      <w:r>
        <w:rPr>
          <w:rtl w:val="true"/>
        </w:rPr>
        <w:t>:</w:t>
      </w:r>
      <w:bookmarkEnd w:id="117"/>
    </w:p>
    <w:p>
      <w:pPr>
        <w:pStyle w:val="BookText"/>
        <w:rPr/>
      </w:pPr>
      <w:r>
        <w:rPr>
          <w:rFonts w:ascii="IRNazanin" w:hAnsi="IRNazanin" w:eastAsia="IRNazanin"/>
          <w:color w:val="111111"/>
          <w:sz w:val="28"/>
          <w:sz w:val="28"/>
          <w:szCs w:val="28"/>
          <w:rtl w:val="true"/>
          <w:lang w:bidi="fa-IR"/>
        </w:rPr>
        <w:t xml:space="preserve">باب المحقّق الکشفی فی هذه الرسالة مباحث علم الاصول باختصار و سمّاها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تتألّف من مقدّمة و خمسة أبواب و خاتمة، بالترتیب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أربعة تنبیهات و مناران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هذه الرسالة المختصرة نقدا علی کتب علم الاصول المتداولة و الأسالیب المتبعة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بالنظر إلی منهج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الزیادات التی لا ثمرة فیها فی هذا العلم، و أشار إلی هذه النقطة فی مواطن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المؤلّف المقدّمة بدراسة مناهج علم الاصول، فذکر أربع نقاط مهمّة ضمن أربعة تنبیهات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التأکید علی أنّ معظم مباحث علم الاصول هی من سنخ الدلالات، و طریق إثباتها أو نفیها هو النقل و التبادر، و لا مجال للاستدلالات العقلیة و الکلامیة فی هذا العلم، قال فی ذیل هذا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إیراد الاحتمالات العقلیة المخالفة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و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إبطالا و لا نقضا، و أنّه کثر فی هذا العلم عما ذکرت لک من المنکرات حتی صار أکثر اغتشاش هذا العلم من أجلها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الخلافات الکثیرة فی مباحث علم الاصول یرجع إلی تسعة امور، واحد منها صحیح و فی محلّه؛ و هو اختلاف الأدلّة و اختلاف الاستفادة منها، و أمّا بقیة الامور الثمانیة، فتعتبر من ناحیة منهجیة امور خارجیة و غیر دخیلة فی علم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فیه المؤلّف إلی المطالب الزائدة و الاستطرادیة من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و التعریفات؛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الموضوعیة، التی یبحث عنها فی علوم اخری؛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الخیالات المحضة؛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التی لا یمکن الوصول إلیها؛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التی امرنا بالسکوت عنها؛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 التی لا ثمرة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فیه المؤلّف عن هذه النقطة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الکثیرین لم یحصلوا علی شی‌ء و لا فائدة فی علمهم رغم الجهود التی یبذلونها، و السبب فی ذلک هو الابتعاد عن المنهج الصحیح، و هو الاهتمام بالامور المعنویة و أیضا أخلاق طلب العلم، و قد أشار إلی موارد کثیرة منها استنادا إلی الآیات و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المنار الأوّل من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المطالب المتداولة فی علم الاصول علی ثلاثة 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و فضول و لا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 أصلیة و مطالب زائدة و مطالب غیر معقولة،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جئت فی هذه الرسالة بالاصول و سمّیته بالنخبة، و الفضول و اللامعقول 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ترکته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الجمع بین الأقوال المختلفة، و المحاکمة بینها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المنار الثانی بیّن هیکلیة الرسالة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علم بفروع الدین علی أساس الدلیل، و أدلّة الفقه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و الإجماع و العقل، و شیّد علم الاصول للبحث عن أحوال هذه 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خصّص ثلاثة أبواب للمباحث المشترکة بین الکتاب و السنّة من قبیل مباحث الألفاظ و مباحث التعارض، و المباحث المربوطة بکیفیّة التحمّل و النقل، و بابین للإجماع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تنقسم مباحث الرسالة إلی خمسة أبواب و خاتمة، کما تقدّم ذکره فی بدایة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الشروع فی الباب الأوّل،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عن حقیقة الشرعیّة و استعمال اللفظ المشترک فی عدّة معانی، و بحث أیضا الأصل الأوّلی فی المجاز، و الاشتراک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الباب الأوّل عرّف الواجب ابتداء، و یری أنّ الأمر یدلّ علی الوجوب و الفور</w:t>
      </w:r>
    </w:p>
    <w:p>
      <w:pPr>
        <w:pStyle w:val="BookText"/>
        <w:rPr/>
      </w:pPr>
      <w:r>
        <w:rPr>
          <w:rFonts w:ascii="IRNazanin" w:hAnsi="IRNazanin" w:eastAsia="IRNazanin"/>
          <w:color w:val="111111"/>
          <w:sz w:val="28"/>
          <w:sz w:val="28"/>
          <w:szCs w:val="28"/>
          <w:rtl w:val="true"/>
          <w:lang w:bidi="fa-IR"/>
        </w:rPr>
        <w:t>و المرّة، و یری أنّ مقدّمة الواجب واجبة و أنّ الأمر بالشی‌ء یستلزم النهی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أنّ صیغة النهی حقیقة فی التحریم و الفور و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أنّ الاختلاف فی اجتماع الأمر و النهی ناشئ من الاختلاف فی تلقّی طرفی النزاع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الباب الثانی یذکر ابتداء تعریف العام و الخاص، و تعریف بقیة العناوین، ثمّ ینتهی إلی أنّ صیغ العموم حقیقة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یتطرّق إلی بعض مباحث العام و الخاص من قبیل المخصّص المتّصل و المنفصل و الضمیر الراجع إلی بعض العام، و العمل بالعام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یتعرّض إلی بعض المباحث المطلق و المقیّد و المجمل و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النسخ فهو یری جواز نسخ الکتاب بالکتاب و بالسنّة المتواترة، کما أنّه یجوّز نسخ السنّة بالکتاب و السنّة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عدم جواز النسخ بالخبر الواحد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یذکر تعریف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إلی أنّ اختلاف القدماء و المتأخّرین فی العمل بخبر الواحد یبتنی علی إمکان تحصیل العلم فی السابق و عدم إمکانه فی العصور المتأخّرة، أو یرجع إلی وجود المعارض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یناقش فی تعریف المشهور للمتواتر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شرح الاصطلاحات الأربعة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 الحسن و الموثّق و الضعیف، و تکلّم إجمالا عن طرق تحمّل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جواز النقل بالمعنی، و أنّ جواز الاستدلال به منحصر فی حدود الظهور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تعرّض اجمالا فی نهایة هذا الباب إلی التعارض و التعادل و التراجیح، و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المرجّحات السندیّة و المتنیّة و الخارجیّة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الباب الرابع فهو مختصّ بالإجماع، و قال فی تعریفه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علماء الاثنی</w:t>
      </w:r>
    </w:p>
    <w:p>
      <w:pPr>
        <w:pStyle w:val="BookText"/>
        <w:rPr/>
      </w:pPr>
      <w:r>
        <w:rPr>
          <w:rFonts w:ascii="IRNazanin" w:hAnsi="IRNazanin" w:eastAsia="IRNazanin"/>
          <w:color w:val="111111"/>
          <w:sz w:val="28"/>
          <w:sz w:val="28"/>
          <w:szCs w:val="28"/>
          <w:rtl w:val="true"/>
          <w:lang w:bidi="fa-IR"/>
        </w:rPr>
        <w:t>عشریة فی عصر علی مسألة من المسائل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له بالروایات المنقولة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 الإمام، فإنّ شأنه أجلّ من ذلک؛ فإنّه یذهب إلی أنّ حصول الإجماع لا یتوقّف علی دخول و انضمام الإمام علیه السّلام، و بهذا یبطل کلام المشهور فی الدلیل علی حجیّة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یبحث فی الباب الخامس عن الدلیل العقلی، و یری أنّ التمثیل و الاستصحاب هما من مصادیق 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أنّ التمثیل هو القیاس الجامع لشرائط الحجّیة؛ فهو إثبات حکم معلوم لمعلوم آخر لأولویة أو تساویه فی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قیام الدلیل العقلی و النقلی علی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خاتمة الرسالة فهی مختصّة بالاجتهاد و التقلید، و یری أنّ المجتهد هو من یعلم العلوم العربیة و المنطق و الاصول و التفسیر و الحدیث و الرجال و الإجماعات و لغة الفقه، و یتمتّع بقوّة ردّ الفروع إلی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المتجزّئ لیس مجتهدا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بإمکان غیر المجتهد الوصول إلی دلیل المسألة و لو بالسعی و السؤال من المجتهد، فلا یجوز له التقلید، و عند تعدّد المجتهدین و اختلافهم یجب تقلید الأفقه و الأعدل و الأورع و الأصدق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یذهب إلی عدم جواز تقلید المیّت إلّا إذا اطمأنّت النفس بالمیّت دون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هذه الرسالة رغم صغر حجمها تحتوی علی عمدة مباحث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الموارد ذکر المستند و الدلیل بصورة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إبداعات المؤلّف أنّه و من أجل اختصار المباحث نراه بحث الموارد التی یکون البحث فیها مشترکا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کالمباحث المشترکة بین الکتاب و السنّة و الأوامر و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واحد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یمکن لهذه الرسالة أن تکون انموذجا لقراءة جدیدة فی علم</w:t>
      </w:r>
    </w:p>
    <w:p>
      <w:pPr>
        <w:pStyle w:val="BookText"/>
        <w:rPr/>
      </w:pPr>
      <w:r>
        <w:rPr>
          <w:rFonts w:ascii="IRNazanin" w:hAnsi="IRNazanin" w:eastAsia="IRNazanin"/>
          <w:color w:val="111111"/>
          <w:sz w:val="28"/>
          <w:sz w:val="28"/>
          <w:szCs w:val="28"/>
          <w:rtl w:val="true"/>
          <w:lang w:bidi="fa-IR"/>
        </w:rPr>
        <w:t>الاصول فی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نشیر إلی النسخ التی اعتمدنا علیها فی تصحیح هذه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آیة اللّه السید المرعشی، الرسالة الاولی من مجموعة رقم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تاریخ الکتابة</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آیة اللّه السیّد المرعشی، رقم النسخة </w:t>
      </w:r>
      <w:r>
        <w:rPr>
          <w:rFonts w:eastAsia="IRNazanin" w:cs="IRNazanin"/>
          <w:color w:val="111111"/>
          <w:sz w:val="28"/>
          <w:szCs w:val="28"/>
          <w:lang w:bidi="fa-IR"/>
        </w:rPr>
        <w:t>3645</w:t>
      </w:r>
      <w:r>
        <w:rPr>
          <w:rFonts w:ascii="IRNazanin" w:hAnsi="IRNazanin" w:eastAsia="IRNazanin"/>
          <w:color w:val="111111"/>
          <w:sz w:val="28"/>
          <w:sz w:val="28"/>
          <w:szCs w:val="28"/>
          <w:rtl w:val="true"/>
          <w:lang w:bidi="fa-IR"/>
        </w:rPr>
        <w:t>،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اللّه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بروجرد، لیلة الأربعاء، الاسبوع الأوّل من ربیع الأوّل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نسخ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الرسالة فی مکتبة آیة اللّه السیّد المرعشی و تحمل الأرقام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الورقة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الورقة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118" w:name="pg19819_193358"/>
    </w:p>
    <w:p>
      <w:pPr>
        <w:pStyle w:val="Heading3"/>
        <w:numPr>
          <w:ilvl w:val="2"/>
          <w:numId w:val="1"/>
        </w:numPr>
        <w:rPr/>
      </w:pPr>
      <w:bookmarkStart w:id="119" w:name="__RefHeading___Toc3055489_2314609296"/>
      <w:bookmarkStart w:id="120" w:name="_Toc48"/>
      <w:bookmarkEnd w:id="118"/>
      <w:bookmarkEnd w:id="119"/>
      <w:r>
        <w:rPr>
          <w:rtl w:val="true"/>
        </w:rPr>
        <w:t>[</w:t>
      </w:r>
      <w:r>
        <w:rPr>
          <w:rtl w:val="true"/>
        </w:rPr>
        <w:t>التحقیق فی الکتاب نخبة العقول فی علم الاصول</w:t>
      </w:r>
      <w:r>
        <w:rPr>
          <w:rtl w:val="true"/>
        </w:rPr>
        <w:t>]</w:t>
      </w:r>
      <w:bookmarkEnd w:id="120"/>
    </w:p>
    <w:p>
      <w:pPr>
        <w:pStyle w:val="Heading4"/>
        <w:numPr>
          <w:ilvl w:val="3"/>
          <w:numId w:val="1"/>
        </w:numPr>
        <w:rPr/>
      </w:pPr>
      <w:bookmarkStart w:id="121" w:name="__RefHeading___Toc3055491_2314609296"/>
      <w:bookmarkStart w:id="122" w:name="_Toc49"/>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نخبة العقول فی علم الاصول بسم اللّه الرّحمن الرّحیم</w:t>
      </w:r>
    </w:p>
    <w:p>
      <w:pPr>
        <w:pStyle w:val="BookText"/>
        <w:rPr/>
      </w:pPr>
      <w:r>
        <w:rPr>
          <w:rFonts w:ascii="IRNazanin" w:hAnsi="IRNazanin" w:eastAsia="IRNazanin"/>
          <w:color w:val="111111"/>
          <w:sz w:val="28"/>
          <w:sz w:val="28"/>
          <w:szCs w:val="28"/>
          <w:rtl w:val="true"/>
          <w:lang w:bidi="fa-IR"/>
        </w:rPr>
        <w:t>الحمد للّه الأوّل فلم یقاربه البدایة، و الآخر فلا یناسبه النهایة، الذی صنع لنا اصولا، فجعلنا من الذین بها یفقهون، و فرّع لنا فروعا، فجنّبنا من الذین فی طغیانهم یعمهون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وحده لا شریک له، لا یستطیع العقول علی الاهتداء لتحدید صفته، و لا علی الانزواء عمّا أوجب علیه من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محمّدا صلّی اللّه علیه و آله عبده و رسوله المنتجب، لا یقارن فضله، و لا یوازن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الأئمّة من بعده امراء المؤمنین، و حجج اللّه علی العالمین صلوات اللّه علیهم أجمعین شهادات السرّ فیها وفق الإعلان، و القلب فیها طبق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فإنّی قد رتّبت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العقول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مقدّمة، و أبواب، و خاتمة معتصما باللّه، هو مولای، نعم المولی، و نعم النصیر</w:t>
      </w:r>
      <w:r>
        <w:rPr>
          <w:rFonts w:eastAsia="IRNazanin" w:cs="IRNazanin"/>
          <w:color w:val="111111"/>
          <w:sz w:val="28"/>
          <w:szCs w:val="28"/>
          <w:rtl w:val="true"/>
          <w:lang w:bidi="fa-IR"/>
        </w:rPr>
        <w:t>.</w:t>
      </w:r>
    </w:p>
    <w:p>
      <w:pPr>
        <w:pStyle w:val="Heading4"/>
        <w:numPr>
          <w:ilvl w:val="3"/>
          <w:numId w:val="1"/>
        </w:numPr>
        <w:rPr/>
      </w:pPr>
      <w:bookmarkStart w:id="123" w:name="__RefHeading___Toc3055493_2314609296"/>
      <w:bookmarkStart w:id="124" w:name="_Toc50"/>
      <w:bookmarkEnd w:id="123"/>
      <w:r>
        <w:rPr>
          <w:rtl w:val="true"/>
        </w:rPr>
        <w:t>أمّا المقدّمة</w:t>
      </w:r>
      <w:bookmarkEnd w:id="12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فیذکر فیها تنبیهات لا بدّ منها، و لطائف لم یسبق إلیها، مسبوقة بتنبیهة</w:t>
      </w:r>
      <w:r>
        <w:rPr>
          <w:rStyle w:val="FootnoteAnchor"/>
          <w:rtl w:val="true"/>
        </w:rPr>
        <w:footnoteReference w:id="83"/>
      </w:r>
      <w:r>
        <w:rPr>
          <w:rFonts w:ascii="IRNazanin" w:hAnsi="IRNazanin" w:eastAsia="IRNazanin"/>
          <w:color w:val="111111"/>
          <w:sz w:val="28"/>
          <w:sz w:val="28"/>
          <w:szCs w:val="28"/>
          <w:rtl w:val="true"/>
          <w:lang w:bidi="fa-IR"/>
        </w:rPr>
        <w:t>اعتذاریّة، و هی أنّی کاتب هذه الأسطر فی غبری الغریّ فی غریب</w:t>
      </w:r>
      <w:r>
        <w:rPr>
          <w:rStyle w:val="FootnoteAnchor"/>
          <w:rtl w:val="true"/>
        </w:rPr>
        <w:footnoteReference w:id="84"/>
      </w:r>
      <w:r>
        <w:rPr>
          <w:rFonts w:ascii="IRNazanin" w:hAnsi="IRNazanin" w:eastAsia="IRNazanin"/>
          <w:color w:val="111111"/>
          <w:sz w:val="28"/>
          <w:sz w:val="28"/>
          <w:szCs w:val="28"/>
          <w:rtl w:val="true"/>
          <w:lang w:bidi="fa-IR"/>
        </w:rPr>
        <w:t>السنة و أنا غریب السنّ و أئیب</w:t>
      </w:r>
    </w:p>
    <w:p>
      <w:pPr>
        <w:pStyle w:val="BookText"/>
        <w:rPr/>
      </w:pPr>
      <w:r>
        <w:rPr>
          <w:rFonts w:ascii="IRNazanin" w:hAnsi="IRNazanin" w:eastAsia="IRNazanin"/>
          <w:color w:val="111111"/>
          <w:sz w:val="28"/>
          <w:sz w:val="28"/>
          <w:szCs w:val="28"/>
          <w:rtl w:val="true"/>
          <w:lang w:bidi="fa-IR"/>
        </w:rPr>
        <w:t>الابن</w:t>
      </w:r>
      <w:r>
        <w:rPr>
          <w:rStyle w:val="FootnoteAnchor"/>
          <w:rtl w:val="true"/>
        </w:rPr>
        <w:footnoteReference w:id="85"/>
      </w:r>
      <w:r>
        <w:rPr>
          <w:rFonts w:ascii="IRNazanin" w:hAnsi="IRNazanin" w:eastAsia="IRNazanin"/>
          <w:color w:val="111111"/>
          <w:sz w:val="28"/>
          <w:sz w:val="28"/>
          <w:szCs w:val="28"/>
          <w:rtl w:val="true"/>
          <w:lang w:bidi="fa-IR"/>
        </w:rPr>
        <w:t>، و الغریب معذور، و الأئیب حرور جسور؛ لأنّه غیر مستأنس بالسلیقة المعروفة، و لا مستأنس للطریقة المألوفة،</w:t>
      </w:r>
      <w:r>
        <w:rPr>
          <w:rStyle w:val="FootnoteAnchor"/>
          <w:rtl w:val="true"/>
        </w:rPr>
        <w:footnoteReference w:id="86"/>
      </w:r>
      <w:r>
        <w:rPr>
          <w:rFonts w:ascii="IRNazanin" w:hAnsi="IRNazanin" w:eastAsia="IRNazanin"/>
          <w:color w:val="111111"/>
          <w:sz w:val="28"/>
          <w:sz w:val="28"/>
          <w:szCs w:val="28"/>
          <w:rtl w:val="true"/>
          <w:lang w:bidi="fa-IR"/>
        </w:rPr>
        <w:t>فإن عثرتم زللا أو خللا</w:t>
      </w:r>
      <w:r>
        <w:rPr>
          <w:rStyle w:val="FootnoteAnchor"/>
          <w:rtl w:val="true"/>
        </w:rPr>
        <w:footnoteReference w:id="87"/>
      </w:r>
      <w:r>
        <w:rPr>
          <w:rFonts w:ascii="Amiri" w:hAnsi="Amiri" w:eastAsia="Amiri" w:cs="Amiri"/>
          <w:color w:val="111111"/>
          <w:sz w:val="28"/>
          <w:sz w:val="28"/>
          <w:szCs w:val="28"/>
          <w:rtl w:val="true"/>
          <w:lang w:bidi="ar-SA"/>
        </w:rPr>
        <w:t>فاعتذرونی فهو خیر عملا إِنْ تُبْدُوا خَیْراً أَوْ تُخْفُوهُ أَوْ تَعْفُوا عَنْ سُوءٍ فَإِنَّ اللَّهَ کانَ عَفُوًّا قَدِیراً</w:t>
      </w:r>
      <w:r>
        <w:rPr>
          <w:rStyle w:val="FootnoteAnchor"/>
          <w:rtl w:val="true"/>
        </w:rPr>
        <w:footnoteReference w:id="88"/>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اعلم أنّ معظم مباحث هذا العلم إنّما هی دلالات الألفاظ، و لا سبیل لنا إلی ثبوتها و تحقّقها إلّا النقل أو التبادر و الظهور عند القوّة الذهنیّة و لو بالتأمّل و النظر کما فی صورة الدلالات الالتزامیّة، فمهما لم یوجد فیها تبادر و لا ظهور، فإثباتها بالاستدلالات العقلیّة و الکلمات الوهمیّة تحکّم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حصل شی‌ء منهما، فالاستدلال علی خلافهما من التجاهل و الغرور، و علی وفاقهما بالتمسّک بأشیاء أخر زیادة مستغنی عنها، إلّا إذا افتقر إلی مؤیّد لضعفهما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القدر من التبادر و الظهور کاف فی إثبات الدلالات؛ لأنّ بناء إثباتها علی ما تسمّیه</w:t>
      </w:r>
      <w:r>
        <w:rPr>
          <w:rStyle w:val="FootnoteAnchor"/>
          <w:rtl w:val="true"/>
        </w:rPr>
        <w:footnoteReference w:id="91"/>
      </w:r>
      <w:r>
        <w:rPr>
          <w:rFonts w:ascii="IRNazanin" w:hAnsi="IRNazanin" w:eastAsia="IRNazanin"/>
          <w:color w:val="111111"/>
          <w:sz w:val="28"/>
          <w:sz w:val="28"/>
          <w:szCs w:val="28"/>
          <w:rtl w:val="true"/>
          <w:lang w:bidi="fa-IR"/>
        </w:rPr>
        <w:t>الظنّ و الرجحان، لا البتّ و الیقین العقلی،</w:t>
      </w:r>
      <w:r>
        <w:rPr>
          <w:rStyle w:val="FootnoteAnchor"/>
          <w:rtl w:val="true"/>
        </w:rPr>
        <w:footnoteReference w:id="92"/>
      </w:r>
      <w:r>
        <w:rPr>
          <w:rFonts w:ascii="IRNazanin" w:hAnsi="IRNazanin" w:eastAsia="IRNazanin"/>
          <w:color w:val="111111"/>
          <w:sz w:val="28"/>
          <w:sz w:val="28"/>
          <w:szCs w:val="28"/>
          <w:rtl w:val="true"/>
          <w:lang w:bidi="fa-IR"/>
        </w:rPr>
        <w:t>بل و لا یمکن إثباتها بغیرهما؛ لأنّ منشأها إنّما هو الوضع لا غیر، و لا سبیل لنا إلیه إلّا النقل أو</w:t>
      </w:r>
      <w:r>
        <w:rPr>
          <w:rStyle w:val="FootnoteAnchor"/>
          <w:rtl w:val="true"/>
        </w:rPr>
        <w:footnoteReference w:id="93"/>
      </w:r>
      <w:r>
        <w:rPr>
          <w:rFonts w:ascii="IRNazanin" w:hAnsi="IRNazanin" w:eastAsia="IRNazanin"/>
          <w:color w:val="111111"/>
          <w:sz w:val="28"/>
          <w:sz w:val="28"/>
          <w:szCs w:val="28"/>
          <w:rtl w:val="true"/>
          <w:lang w:bidi="fa-IR"/>
        </w:rPr>
        <w:t>التبادر، و لا یفیدان القطع إلّا نادرا؛ فعلی هذا إیراد الاحتمالات العقلیّة المخالفة لهما لا یصیر إبطالا و لا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کثر فی هذا العلم ممّا ذکرت لک من المنکرات حتّی صار أکثر اغتشاش هذا العلم من أجلها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إنّها لیست إلّا من جهل و جدال، أو عناد و ضلال، أو تفاخر و تکاثر فی أندیة</w:t>
      </w:r>
      <w:r>
        <w:rPr>
          <w:rStyle w:val="FootnoteAnchor"/>
          <w:rtl w:val="true"/>
        </w:rPr>
        <w:footnoteReference w:id="94"/>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اختلاف عظیم فی هذا العلم بحیث ما سلم منه مسألة حتّی کاد أن یزول من کثرته عن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الشدید و تدوینه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جهة أنّ المسألة محلّ خلاف و موقعه، لاختلاف أدلّتها و حصول الترجیح لبعض فی بعض صورها، و لبعض آخر فی بعض آخر، و هذا هو الخلاف الحقیقی الذی یضطرب بسببه المسألة، و لا یحصل معه الاتّفاق، و لا ینعقد مع وجوده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من جهة أنّه قد یذکر</w:t>
      </w:r>
      <w:r>
        <w:rPr>
          <w:rStyle w:val="FootnoteAnchor"/>
          <w:rtl w:val="true"/>
        </w:rPr>
        <w:footnoteReference w:id="96"/>
      </w:r>
      <w:r>
        <w:rPr>
          <w:rFonts w:ascii="IRNazanin" w:hAnsi="IRNazanin" w:eastAsia="IRNazanin"/>
          <w:color w:val="111111"/>
          <w:sz w:val="28"/>
          <w:sz w:val="28"/>
          <w:szCs w:val="28"/>
          <w:rtl w:val="true"/>
          <w:lang w:bidi="fa-IR"/>
        </w:rPr>
        <w:t>إظهارا لبشاعته</w:t>
      </w:r>
      <w:r>
        <w:rPr>
          <w:rStyle w:val="FootnoteAnchor"/>
          <w:rtl w:val="true"/>
        </w:rPr>
        <w:footnoteReference w:id="97"/>
      </w:r>
      <w:r>
        <w:rPr>
          <w:rFonts w:ascii="IRNazanin" w:hAnsi="IRNazanin" w:eastAsia="IRNazanin"/>
          <w:color w:val="111111"/>
          <w:sz w:val="28"/>
          <w:sz w:val="28"/>
          <w:szCs w:val="28"/>
          <w:rtl w:val="true"/>
          <w:lang w:bidi="fa-IR"/>
        </w:rPr>
        <w:t>و فضاحته، و تعرّضا لردّه و إبطاله و إن لم یکن فی الحقیقة خلافا یعتدّ به، أو أنّه قد یذکر و یستکثر منه تنبیها للغیر، أو إظهارا للفضیلة و الإحاطة بالمسألة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المعاندة مع القائل، کما فی بعض المسائل عنادا للأشاعرة أو غیرهم و إن کان قولهم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إنّه ذکر علی سبیل الوجه و الاحتمال دون أن یقول به أحد و یتّخذه مذهبا، حتّی أنّه قد یتبرّأ عنه کلّ طائفة، کتعیین الواجب عند اللّه تبارک و تعالی من دون تعیینه عند المکلّف</w:t>
      </w:r>
      <w:r>
        <w:rPr>
          <w:rStyle w:val="FootnoteAnchor"/>
          <w:rtl w:val="true"/>
        </w:rPr>
        <w:footnoteReference w:id="98"/>
      </w:r>
      <w:r>
        <w:rPr>
          <w:rFonts w:ascii="IRNazanin" w:hAnsi="IRNazanin" w:eastAsia="IRNazanin"/>
          <w:color w:val="111111"/>
          <w:sz w:val="28"/>
          <w:sz w:val="28"/>
          <w:szCs w:val="28"/>
          <w:rtl w:val="true"/>
          <w:lang w:bidi="fa-IR"/>
        </w:rPr>
        <w:t>فی خصال الکفّارات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قد یتوهّم من ظاهر عبارات بعضهم دون تنصیصهم کتخصیص الوجوب بأوّل الوقت فی الواجب الموسّع علی ما توهّم من ظاهر عبارة المفید رحمه اللّه</w:t>
      </w:r>
      <w:r>
        <w:rPr>
          <w:rStyle w:val="FootnoteAnchor"/>
          <w:rtl w:val="true"/>
        </w:rPr>
        <w:footnoteReference w:id="99"/>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للخلاف فی الحقیقة و نفس الأمر قائلا و لکن لا اعتماد بشأنه من جهة شذوذه أو جهل حاله أو غیر ذلک، کبشر المریسی فی مسألة التصویب،</w:t>
      </w:r>
      <w:r>
        <w:rPr>
          <w:rStyle w:val="FootnoteAnchor"/>
          <w:rtl w:val="true"/>
        </w:rPr>
        <w:footnoteReference w:id="100"/>
      </w:r>
      <w:r>
        <w:rPr>
          <w:rFonts w:ascii="IRNazanin" w:hAnsi="IRNazanin" w:eastAsia="IRNazanin"/>
          <w:color w:val="111111"/>
          <w:sz w:val="28"/>
          <w:sz w:val="28"/>
          <w:szCs w:val="28"/>
          <w:rtl w:val="true"/>
          <w:lang w:bidi="fa-IR"/>
        </w:rPr>
        <w:t>و کعبّاد فی مسألة</w:t>
      </w:r>
    </w:p>
    <w:p>
      <w:pPr>
        <w:pStyle w:val="BookText"/>
        <w:rPr/>
      </w:pPr>
      <w:r>
        <w:rPr>
          <w:rFonts w:ascii="IRNazanin" w:hAnsi="IRNazanin" w:eastAsia="IRNazanin"/>
          <w:color w:val="111111"/>
          <w:sz w:val="28"/>
          <w:sz w:val="28"/>
          <w:szCs w:val="28"/>
          <w:rtl w:val="true"/>
          <w:lang w:bidi="fa-IR"/>
        </w:rPr>
        <w:t>وضع الألفاظ</w:t>
      </w:r>
      <w:r>
        <w:rPr>
          <w:rStyle w:val="FootnoteAnchor"/>
          <w:rtl w:val="true"/>
        </w:rPr>
        <w:footnoteReference w:id="101"/>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جهة أنّه فی الکلام تقیید و إطلاق، أو عموم و خصوص، أو إجمال و بیان کما فی بعض المقامات، و لا یخفی علی المتدرّب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جهة عدم فهم المراد من بعض العبارات من جهة النقص و عدم التدبّر، أو حبّ إیقاع التفرقة و الخلاف فی البین کما هو مقتضی الطبائع الشیطانیّة، کما فی مسألة کون العلم علّة؛ أو اشتباه محلّ النزاع، أو غیر ذلک کما فی مقدّمة الواجب حیث اسند الخلاف إلی السیّد رحمه اللّه</w:t>
      </w:r>
      <w:r>
        <w:rPr>
          <w:rStyle w:val="FootnoteAnchor"/>
          <w:rtl w:val="true"/>
        </w:rPr>
        <w:footnoteReference w:id="102"/>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جهة عدم استهدائهم إلی وجه التخلّص عن حیرة وقعوا فیها، فتمسّکوا ببعض المنکرات اضطرارا، کالقول بأنّ ما یجوز ترکه یجب فعله، و کالقول بوجوب العزم فی الواجب الموسّع؛ فرقا بینه و بین المندوب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جهة الغفلة عن الجهات و الحیثیّات، کما فی الشّبهة الکعبیّة، و کما فی مسألة اقتضاء الأمر الإجزاء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محض الافتراء، کافتراءات الواقعة بین الأشاعرة و المعتزلة، و بین العامّة و الخاصّة، کافتراء المخالفین علینا باشتراطنا دخول المعصوم فی إفادة المتواتر القطع،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محض أن یجعل لنفسه مذهبا غیر مذهب الناس من دون دلیل، بل باتّباع هوی نفسه، مضافا إلی غیر ذلک من الأسباب المذکورة فی اللطیفة الاولی کما لا یخفی علی المنصف</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أعدّ؟ و کم اقول؟ فإنّهم لا یزالون مختلفین إلّا من رحم ربّک،</w:t>
      </w:r>
      <w:r>
        <w:rPr>
          <w:rStyle w:val="FootnoteAnchor"/>
          <w:rtl w:val="true"/>
        </w:rPr>
        <w:footnoteReference w:id="103"/>
      </w:r>
      <w:r>
        <w:rPr>
          <w:rFonts w:ascii="IRNazanin" w:hAnsi="IRNazanin" w:eastAsia="IRNazanin"/>
          <w:color w:val="111111"/>
          <w:sz w:val="28"/>
          <w:sz w:val="28"/>
          <w:szCs w:val="28"/>
          <w:rtl w:val="true"/>
          <w:lang w:bidi="fa-IR"/>
        </w:rPr>
        <w:t>و لکن ما اختلف</w:t>
      </w:r>
    </w:p>
    <w:p>
      <w:pPr>
        <w:pStyle w:val="BookText"/>
        <w:rPr/>
      </w:pPr>
      <w:r>
        <w:rPr>
          <w:rFonts w:ascii="IRNazanin" w:hAnsi="IRNazanin" w:eastAsia="IRNazanin"/>
          <w:color w:val="111111"/>
          <w:sz w:val="28"/>
          <w:sz w:val="28"/>
          <w:szCs w:val="28"/>
          <w:rtl w:val="true"/>
          <w:lang w:bidi="fa-IR"/>
        </w:rPr>
        <w:t>فیه إلّا الّذین اوتوه من بعد ما جاءهم العلم،</w:t>
      </w:r>
      <w:r>
        <w:rPr>
          <w:rStyle w:val="FootnoteAnchor"/>
          <w:rtl w:val="true"/>
        </w:rPr>
        <w:footnoteReference w:id="104"/>
      </w:r>
      <w:r>
        <w:rPr>
          <w:rFonts w:ascii="IRNazanin" w:hAnsi="IRNazanin" w:eastAsia="IRNazanin"/>
          <w:color w:val="111111"/>
          <w:sz w:val="28"/>
          <w:sz w:val="28"/>
          <w:szCs w:val="28"/>
          <w:rtl w:val="true"/>
          <w:lang w:bidi="fa-IR"/>
        </w:rPr>
        <w:t>فجعل کلّ هذه خلافات، و عدّت جمیعها أقوالات، مع أنّ هذه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عند العقلاء شیئا، کیف؟</w:t>
      </w:r>
    </w:p>
    <w:p>
      <w:pPr>
        <w:pStyle w:val="BookText"/>
        <w:rPr/>
      </w:pPr>
      <w:r>
        <w:rPr>
          <w:rFonts w:ascii="IRNazanin" w:hAnsi="IRNazanin" w:eastAsia="IRNazanin"/>
          <w:color w:val="111111"/>
          <w:sz w:val="28"/>
          <w:sz w:val="28"/>
          <w:szCs w:val="28"/>
          <w:rtl w:val="true"/>
          <w:lang w:bidi="fa-IR"/>
        </w:rPr>
        <w:t>و لو عدّت أمثال هذه الأشیاء خلافا، لما بقی شی‌ء متّفق علیه حتّی أبده البدیهیّات کضوء الشمس، فإنّه قد ینکره الذی فی عینه رمد، و کذلک الذی فی قلبه مرض ینکر حقائق محکمة، و یتّبع طرائق مظلمة، بل الذی فی قلبه مرض أعظم داء، و أبعد شفاء؛ لأنّ مرض الجوارح ربّما یعترف به صاحبه و لا یزیده شیئا، و مرض القلوب لا یعترف به صاحبه، و یزیده وعرا و إعضالا و زیغا و إضلالا حتّی یجعل صدره ضیّقا حرجا کأنّما یصّعّد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صاحب القلب السلیم، و الناظر بعین الإنصاف و الرأی المستقیم، فهداه اللّه لما اختلفوا فیه من الحقّ بإذنه، و اللّه یهدی من یشاء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فی هذا العلم فی جمیع أبوابه التعرّض و البحث عن أشیاء لا تلیق بالتعرّض، و لا یمکن البحث عنها لکونها بدیهیّات تعرّضا مجاوزا عن الحدّ، لا سیّما فی باب الحدود و التعریفات، کالتعرّض لتعریف کتاب اللّه و أمثاله، و کالتعرّض لتحقیق معنی الواجب المخیّر و الکفائی و الموسّع و أمثاله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البیّن أنّ استخفاء البدیهیّات و الإغماض عن نور بداهتها ثمّ البحث عن أحوالها و التعرّض لتحدیدها من الحماقة البیّنة؛ لأنّهما مختصّان بالنظریّات الخفیّة، و لا یجاوزان إلی البدیهیّات الجلیّة، و لهذا لا یزداد صاحبه إلّا حیرة و إشکالا، و ظلمة و ضلالا، کمن أغمض عینه عن ضوء النهار و الشمس، و مشی بظلمة وهمه و خیاله باللمس و الهمس،</w:t>
      </w:r>
      <w:r>
        <w:rPr>
          <w:rStyle w:val="FootnoteAnchor"/>
          <w:rtl w:val="true"/>
        </w:rPr>
        <w:footnoteReference w:id="105"/>
      </w:r>
      <w:r>
        <w:rPr>
          <w:rFonts w:ascii="IRNazanin" w:hAnsi="IRNazanin" w:eastAsia="IRNazanin"/>
          <w:color w:val="111111"/>
          <w:sz w:val="28"/>
          <w:sz w:val="28"/>
          <w:szCs w:val="28"/>
          <w:rtl w:val="true"/>
          <w:lang w:bidi="fa-IR"/>
        </w:rPr>
        <w:t>و کذلک قد یتعرّض لأشیاء لا مدخل لها فی هذا العلم أصلا، أو لها مدخل و لکنّه قد بحث عن أحوالها فی علوم أخر موضوعة لأجلها؛ و کذلک</w:t>
      </w:r>
    </w:p>
    <w:p>
      <w:pPr>
        <w:pStyle w:val="BookText"/>
        <w:rPr/>
      </w:pPr>
      <w:r>
        <w:rPr>
          <w:rFonts w:ascii="IRNazanin" w:hAnsi="IRNazanin" w:eastAsia="IRNazanin"/>
          <w:color w:val="111111"/>
          <w:sz w:val="28"/>
          <w:sz w:val="28"/>
          <w:szCs w:val="28"/>
          <w:rtl w:val="true"/>
          <w:lang w:bidi="fa-IR"/>
        </w:rPr>
        <w:t>قد یتعرّض لأشیاء لا حقیقة لها، بل هی محض خیالات فاسدة، و تفکّرات غیر راشدة، أو لا سبیل لنا إلیه أبدا و إن صرفنا جهدنا و بذلنا طاقتنا، أو ما کلّفنا بها بل کلّفنا بالسکوت عنها، أو لا تثمر ثمرة بل و لا تفید علما، و هل هذه إلّا إبعاد القریب، و استصعاب السهل الیسیر، و استعظام الشی‌ء الحقیر، و استکثار القلیل، المورث لزیادة مرض العلیل، و حرقة الغلیل، فهل یهلک إلّا القوم العادون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من ذلک کلّه أنّه قد یتکلّم بکلامات لا نعرف</w:t>
      </w:r>
      <w:r>
        <w:rPr>
          <w:rStyle w:val="FootnoteAnchor"/>
          <w:rtl w:val="true"/>
        </w:rPr>
        <w:footnoteReference w:id="106"/>
      </w:r>
      <w:r>
        <w:rPr>
          <w:rFonts w:ascii="IRNazanin" w:hAnsi="IRNazanin" w:eastAsia="IRNazanin"/>
          <w:color w:val="111111"/>
          <w:sz w:val="28"/>
          <w:sz w:val="28"/>
          <w:szCs w:val="28"/>
          <w:rtl w:val="true"/>
          <w:lang w:bidi="fa-IR"/>
        </w:rPr>
        <w:t>من یتکلّم بها و لا غیره، فإن کان هذه الأشیاء علما و تحقیقا، و استفسارا و تدقیقا، و بها صاروا عالمین محقّقین مدقّقین، فهنیئا لهم خاصّة، فإنّا منهم برآء و ممّا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عسر التحصیل فی هذه الأزمان علی أکثر المحصّلین مع کثرة اشتغالهم و بذل جهدهم و طاقتهم، و ذلک لعدم استهدائهم إلی طریقته و عدم الأخذ بطوره و سیرته، و أنا أشیر فی هذه التنبیهة</w:t>
      </w:r>
      <w:r>
        <w:rPr>
          <w:rStyle w:val="FootnoteAnchor"/>
          <w:rtl w:val="true"/>
        </w:rPr>
        <w:footnoteReference w:id="107"/>
      </w:r>
      <w:r>
        <w:rPr>
          <w:rFonts w:ascii="IRNazanin" w:hAnsi="IRNazanin" w:eastAsia="IRNazanin"/>
          <w:color w:val="111111"/>
          <w:sz w:val="28"/>
          <w:sz w:val="28"/>
          <w:szCs w:val="28"/>
          <w:rtl w:val="true"/>
          <w:lang w:bidi="fa-IR"/>
        </w:rPr>
        <w:t>إلی بعض طرقه، فمن شاء فلیؤمن، و من شاء فلیکفر،</w:t>
      </w:r>
      <w:r>
        <w:rPr>
          <w:rStyle w:val="FootnoteAnchor"/>
          <w:rtl w:val="true"/>
        </w:rPr>
        <w:footnoteReference w:id="108"/>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شرف العلم و عزّته و عظمه و جلالته إنّما هو لأجل أدائه إلی غایة هی غایة الغایات و نهایة الحاجات؛ و أعظم المهمّات رضوان اللّه تعالی الذی هو الفوز العظیم، و الثواب الجسیم، و المنجی من العذاب الألیم، بواسطة معرفته و الإیمان به بالقلب السلیم، و الخوض فی الأعمال الصالحة خالصا لوجهه الکریم، و العلم الذی إلی شی‌ء منها لا یؤدّیک، و لا إلی طریقها یهدیک لیس علما، بل هو جهل فی انحطاط رتبته و سفلیّة درجته؛ فلیکن تحصیلک للعلوم و اشتغالک بالرسوم لوجه اللّه، و طلبا لمرضاته، و نیلا لثوابه، لا لأغراض فاسدة، و غایات غیر مقتصدة کالتکاثر و التفاخر، و التطوّل و التکبّر، و المراء و المجادلة، و المناقشة و المقاولة، فقد روی عن النبیّ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العلم للکثرة مات جاهلا؛ و من تعلّم العلم للتکبّر و الطول مات زندیقا؛ و من تعلّم العلم للمجادلة مات منافقا؛ و من تعلّم العلم للمقالة مات عاصیا؛ و من تعلّم العلم للعمل مات مؤمنا مخلصا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اکتساب العلوم بالقلوب لیس کاکتساب المنافع بالجوارح، بل إنّما العلم نور یقذفه اللّه فی قلب من یشاء</w:t>
      </w:r>
      <w:r>
        <w:rPr>
          <w:rStyle w:val="FootnoteAnchor"/>
          <w:rtl w:val="true"/>
        </w:rPr>
        <w:footnoteReference w:id="110"/>
      </w:r>
      <w:r>
        <w:rPr>
          <w:rFonts w:ascii="IRNazanin" w:hAnsi="IRNazanin" w:eastAsia="IRNazanin"/>
          <w:color w:val="111111"/>
          <w:sz w:val="28"/>
          <w:sz w:val="28"/>
          <w:szCs w:val="28"/>
          <w:rtl w:val="true"/>
          <w:lang w:bidi="fa-IR"/>
        </w:rPr>
        <w:t>من عباده الصالحین و أولیائه المتّقین؛ فکن فی جمیع أحوالک معتصما باللّه مولاک، منقطعا عن غیره بظاهرک و باطنک، عاملا بما علمت من فرائضه و نوافله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الفرائض الصلوات الخمس، فراعها حقّ رعایتها بتعاهدک أمرها، و تقرّبک إلی اللّه تعالی بها، و محافظتک علی أوقاتها و أفعالها و أقوالها؛ فإنّ الصلاة کانت علی المؤمنین کتابا موقوتا،</w:t>
      </w:r>
      <w:r>
        <w:rPr>
          <w:rStyle w:val="FootnoteAnchor"/>
          <w:rtl w:val="true"/>
        </w:rPr>
        <w:footnoteReference w:id="111"/>
      </w:r>
      <w:r>
        <w:rPr>
          <w:rFonts w:ascii="IRNazanin" w:hAnsi="IRNazanin" w:eastAsia="IRNazanin"/>
          <w:color w:val="111111"/>
          <w:sz w:val="28"/>
          <w:sz w:val="28"/>
          <w:szCs w:val="28"/>
          <w:rtl w:val="true"/>
          <w:lang w:bidi="fa-IR"/>
        </w:rPr>
        <w:t>و إنّها معراج کلّ مؤمن تقیّ؛ فإیّاک و أن یراک ربّک فی أوقاتها مشغولا بغیرها فتکون مرجوما من رحمته، مطرودا من حضرته، فاجعلها قرّة لعینک، و حمّة</w:t>
      </w:r>
      <w:r>
        <w:rPr>
          <w:rStyle w:val="FootnoteAnchor"/>
          <w:rtl w:val="true"/>
        </w:rPr>
        <w:footnoteReference w:id="112"/>
      </w:r>
      <w:r>
        <w:rPr>
          <w:rFonts w:ascii="IRNazanin" w:hAnsi="IRNazanin" w:eastAsia="IRNazanin"/>
          <w:color w:val="111111"/>
          <w:sz w:val="28"/>
          <w:sz w:val="28"/>
          <w:szCs w:val="28"/>
          <w:rtl w:val="true"/>
          <w:lang w:bidi="fa-IR"/>
        </w:rPr>
        <w:t>لدرنک،</w:t>
      </w:r>
      <w:r>
        <w:rPr>
          <w:rStyle w:val="FootnoteAnchor"/>
          <w:rtl w:val="true"/>
        </w:rPr>
        <w:footnoteReference w:id="113"/>
      </w:r>
      <w:r>
        <w:rPr>
          <w:rFonts w:ascii="Amiri" w:hAnsi="Amiri" w:eastAsia="Amiri" w:cs="Amiri"/>
          <w:color w:val="111111"/>
          <w:sz w:val="28"/>
          <w:sz w:val="28"/>
          <w:szCs w:val="28"/>
          <w:rtl w:val="true"/>
          <w:lang w:bidi="ar-SA"/>
        </w:rPr>
        <w:t>و اعرف حقّها کما عرفته الذین وصف اللّه فی کتابه،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المحافظة علیها الإتیان بنوافلها؛ فإنّها جعلت ذریعة لإکمالها و جبیرة لانکسارها، فلا ینبغی لک ترکها، فإن ترکت فأنت المضیّع للصلوات، و المتّبع للشهوات، فأخذ منها حظّک، و أقمها فی آناء اللیل و أطراف النهار، فإنّ العبد یتقرّب إلی اللّه تعالی بالنوافل حتّی یحبّه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هو حبل اللّه المتین، و سبیله الأمین، و واعظه الناصح، و بیانه الواضح، و هادیه الذی لا یضلّ، و محدّثه الذی لا یکذب، و عهده بین عباده، فانظر فیه کلّ یومک، و اجعله ربیع قلبک، و شفاء لما فی صدرک، و هدی لضلالتک، و أنیسا لوحدتک، و انسا لوحشتک، و تذکرة لغفلتک، و دلیلا علی ربّک، و شافعا لذنوبک، و نصیحا لنفسک، و راعه حقّ رعایته، و کن من أهله و حرثته، و اتله حقّ تلاوته بترتیلک لأجزائه، و تطهیر قلبک عند قراءته، و تفکّرک فی آیاته و إصغاء مسامع قلبک إلیه، و ائتمارک بأوامره، و انتهائک بنواهیه، و ارتعادک عند تخویفه، و رکونک إلی تشویقه، و تحلیلک حلاله، و تحریمک حرامه، و رضاک بحدوده و أحکامه، و الاعتبار بقصصه، و الاتّعاظ بمواعظه، و تعظیمک إیّاه، و تصغیرک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إذا انتصف اللیل، فهی أفضل الأوقات لمن اشتاق إلی المناجاة، و عرض الحاجات، و نیل الطلبات، فلا تترک قیامها حیث کنت، و علی أیّ حال أنت، فإنّ ناشئة اللیل هی أشدّ وطئا و أقوم قیلا،</w:t>
      </w:r>
      <w:r>
        <w:rPr>
          <w:rStyle w:val="FootnoteAnchor"/>
          <w:rtl w:val="true"/>
        </w:rPr>
        <w:footnoteReference w:id="116"/>
      </w:r>
      <w:r>
        <w:rPr>
          <w:rFonts w:ascii="IRNazanin" w:hAnsi="IRNazanin" w:eastAsia="IRNazanin"/>
          <w:color w:val="111111"/>
          <w:sz w:val="28"/>
          <w:sz w:val="28"/>
          <w:szCs w:val="28"/>
          <w:rtl w:val="true"/>
          <w:lang w:bidi="fa-IR"/>
        </w:rPr>
        <w:t>و إنّ لیلة الجمعة هی لیلة غرّاء أفضل اللیالی، و یومها و هو یوم أزهر أفضل الأیّام، فاجعل لک فی لیلتها و یومها حظّا من القربات زیادة علی سائر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نفسک هی العزیزة التی لا ثمن لها إلّا الجنّة، فاعرف قدرها، فقد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من عرف قدره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فراقبها علی الدوام، و حاسبها فی جمیع الأیّام، و اشغلها بعملها، و أرها أجلها، و کذّب أملها؛ فإنّ فیها سدّ جرأتها، و کسر شوکتها، و قمع شهوتها، و بها حصول کمالها، و إصلاح حالها، و استمالتها إلی مآلها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لا تکلّف إلّا نفسک، فإیّاک و التفکّر فی امور الناس و التعرّض لمساویهم أو محاسنهم، و التجسّس لعیوبهم، و التعییر بذنوبهم؛ فإنّ المسلم من سلم</w:t>
      </w:r>
    </w:p>
    <w:p>
      <w:pPr>
        <w:pStyle w:val="BookText"/>
        <w:rPr/>
      </w:pPr>
      <w:r>
        <w:rPr>
          <w:rFonts w:ascii="IRNazanin" w:hAnsi="IRNazanin" w:eastAsia="IRNazanin"/>
          <w:color w:val="111111"/>
          <w:sz w:val="28"/>
          <w:sz w:val="28"/>
          <w:szCs w:val="28"/>
          <w:rtl w:val="true"/>
          <w:lang w:bidi="fa-IR"/>
        </w:rPr>
        <w:t>المسلمون من یده و لسانه، و أنّ من شغل نفسه بغیر نفسه تحیّر فی الظلمات و ارتبک فی الهلکات، و مدّت به شیاطینه فی طغیانه، و زیّنت له سیّئ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مؤدّب نفسک، فإنّ مؤدّب النفس أحقّ بالإجلال من مؤدّب الناس، و إنّ فی شغل نفسک کفایة عن شغل غیرک، فلتکن نفسک منک فی تعب و الناس منک فی راحة، فإنّ اللّه ربّک و ربّهم أولی بهم، و ما أنت علیهم بحفیظ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أنّهم لا یرضون منک أبدا؛ لأنّ آراءهم مختلفة، و قلوبهم غیر متآلفة، و لا یملکون لک خیرا، و لا یصرفون عنک شرّا؛ فلا تعمل لرضاهم، و لا ترج منهم خیرا، و لا تخف منهم شرّا، بل جاهد فی اللّه حقّ جهاده، و لا تخف لومة لائم، و لا ترج إلّا من ربّک، و لا تخف إلّا من ذنبک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لن تبرأ من التقصیر فی حقّک، و الإسراف علی نفسک؛ فجنّب الإصرار و الاستصغار، و الزم التوبة و الاستغفار، لا سیّما عند محاسبة نفسک فی آخر النهار، و إبرازها بین یدی ربّک فی 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اللّه تبارک و تعالی جعلک عبدا لنفسه بمعنی أنّه جعل روحک فی قبضته و حیاتک بقدرته، و رزقک بیده، و قضاء حاجتک من عنده، و حصول مآربک لدیه، و رجوعک إلیه، و حسابک علیه؛ فلیکن فیه طمعک، و منه طلب رزقک، و عنده استقضاء حاجتک، و به انسک و استیناسک، و منه خوفک و خشیتک، و لا تطمع فی غیره، و لا تجعل نفسک عبدا لمن سواه، فإنّه لیس من فی السماوات و الأرض إلّا آتی الرحمن عبدا، و کلّهم عباد أمثالک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تسأل أحدا أبدا و لو متّ جوعا، فقد ورد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شیعتنا من لم یسأل أحدا و لو مات جوعا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کذلک مدح به إبراهیم علیه السّلام؛ بل اعتصم بالذی خلقک و سوّاک</w:t>
      </w:r>
    </w:p>
    <w:p>
      <w:pPr>
        <w:pStyle w:val="BookText"/>
        <w:rPr/>
      </w:pPr>
      <w:r>
        <w:rPr>
          <w:rFonts w:ascii="IRNazanin" w:hAnsi="IRNazanin" w:eastAsia="IRNazanin"/>
          <w:color w:val="111111"/>
          <w:sz w:val="28"/>
          <w:sz w:val="28"/>
          <w:szCs w:val="28"/>
          <w:rtl w:val="true"/>
          <w:lang w:bidi="fa-IR"/>
        </w:rPr>
        <w:t>ثمّ رزقک و هداک، و لیکن له تعبّدک، و إلیه رغبتک، و منه خشیتک، فإنّ بیده خزائن السماوات و الأرض، و قد أذن لک فی الدعاء، و تکفّل بالإجابة، و أمرک أن تسأله لیعطیک، و تسترحمه لیرحمک، و لم یجعل بینه و بینک من یحجبه عنک، و لم یلجئک إلی من یشفع لک إلیه، و إن أسأت فلم یمنعک من التوبة، و لم یعرک بالإنابة، و لم یعاجلک بالنقمة، و لم یؤیسک من الرحمة، بل جعل نزوعک عن الذنب حسنة، و حسب سیّئتک واحدة، و حسنتک عشرا، و فتح لک باب المتاب، فإذا نادیته سمع نداک، و إذا ناجیته علم نجواک، فاطلب منه حاجتک، و اشک إلیه همومک، و استکشف منه کروبک، و استعنه علی جمیع امورک، و اسأل من رحمته ما لا یقدر علی إعطائه غیره من زیادة عمرک، و صحّة بدنک، وسعة رزقک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تبارک و تعالی أعطی بیدک مفاتیح خزائنه، و أذن لک فی مسألته، فمتی شئت استفتحت بالدعاء أبواب نعمه، و استمطرت سحائب رحمته، و لا یقنطنّک إبطاء إجابته، فإنّ العطیّة علی قدر النیّة، و ربّما تؤخّر الإجابة لیکون أعظم لأجر السائل، و أجزل لعطاء الآمل، و ربّما تسأل شیئا و لا تؤتاه، و اوتیت خیرا منه عاجلا و آجلا، أو صرف عنک ما هو خیر لک؛ فلربّ أمر قد طلبته و فیه هلاک دینک لو أوتیته، و لیکن مسألتک فیما یبقی</w:t>
      </w:r>
      <w:r>
        <w:rPr>
          <w:rStyle w:val="FootnoteAnchor"/>
          <w:rtl w:val="true"/>
        </w:rPr>
        <w:footnoteReference w:id="119"/>
      </w:r>
      <w:r>
        <w:rPr>
          <w:rFonts w:ascii="IRNazanin" w:hAnsi="IRNazanin" w:eastAsia="IRNazanin"/>
          <w:color w:val="111111"/>
          <w:sz w:val="28"/>
          <w:sz w:val="28"/>
          <w:szCs w:val="28"/>
          <w:rtl w:val="true"/>
          <w:lang w:bidi="fa-IR"/>
        </w:rPr>
        <w:t>لک جماله، و ینفی عنک وباله، فإنّ المال و أمثاله لا یبقی لک و لا تبقی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ما جعل واسطة بینک و بینه إلّا من هو أهل الوساطة، و لائق الشفاعة من کتابه المبین، و رسوله الأمین محمّد صلّی اللّه علیه و آله و عترته الطاهرین؛ فحیثما أردت السؤال فتوسّل بمحمّد صلّی اللّه علیه و آله و عترته الطاهرین و بالقرآن و حرمته، فإنّهم أئمّتک و قادتک و شفعاؤک لیوم فقرک و فاقتک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تبارک و تعالی لا یزال یذکرک و لا ینساک، و ما ودّعک ربّک و ما قلاک،</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حیث کنت و بأیّ عمل أنت فهو معک و شاهد عملک کما أخبرک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تَعْمَلُونَ مِنْ عَمَلٍ إِلَّا کُنَّا عَلَیْکُمْ شُهُوداً</w:t>
      </w:r>
      <w:r>
        <w:rPr>
          <w:rStyle w:val="FootnoteAnchor"/>
          <w:rtl w:val="true"/>
        </w:rPr>
        <w:footnoteReference w:id="121"/>
      </w:r>
      <w:r>
        <w:rPr>
          <w:rFonts w:ascii="Amiri" w:hAnsi="Amiri" w:eastAsia="Amiri" w:cs="Amiri"/>
          <w:color w:val="111111"/>
          <w:sz w:val="28"/>
          <w:sz w:val="28"/>
          <w:szCs w:val="28"/>
          <w:rtl w:val="true"/>
          <w:lang w:bidi="ar-SA"/>
        </w:rPr>
        <w:t>و هُوَ مَعَهُمْ أَیْنَ ما کانُوا</w:t>
      </w:r>
      <w:r>
        <w:rPr>
          <w:rStyle w:val="FootnoteAnchor"/>
          <w:rtl w:val="true"/>
        </w:rPr>
        <w:footnoteReference w:id="122"/>
      </w:r>
      <w:r>
        <w:rPr>
          <w:rFonts w:ascii="IRNazanin" w:hAnsi="IRNazanin" w:eastAsia="IRNazanin"/>
          <w:color w:val="111111"/>
          <w:sz w:val="28"/>
          <w:sz w:val="28"/>
          <w:szCs w:val="28"/>
          <w:rtl w:val="true"/>
          <w:lang w:bidi="fa-IR"/>
        </w:rPr>
        <w:t>فإیّاک و الغفلة، و اصرف عمرک فی خدمته مصاحبا لجناب أحدیّته، مستدرکا لفیض صحبته، معتکفا فی مقام خشیته، مستغرقا فی بحر معرفته، معتزلا عمّن سواه فی زاویة طاعته، مستفرغا لعبادته، متفکّرا فی آثار قدرته، مستکینا لجلالته و عظمته، مستسلما لسلطانه و عزّته، ذاکرا لجمیع</w:t>
      </w:r>
      <w:r>
        <w:rPr>
          <w:rStyle w:val="FootnoteAnchor"/>
          <w:rtl w:val="true"/>
        </w:rPr>
        <w:footnoteReference w:id="123"/>
      </w:r>
      <w:r>
        <w:rPr>
          <w:rFonts w:ascii="IRNazanin" w:hAnsi="IRNazanin" w:eastAsia="IRNazanin"/>
          <w:color w:val="111111"/>
          <w:sz w:val="28"/>
          <w:sz w:val="28"/>
          <w:szCs w:val="28"/>
          <w:rtl w:val="true"/>
          <w:lang w:bidi="fa-IR"/>
        </w:rPr>
        <w:t>ما أحاط بک من خیره و نعمته و لمقرّبی حضرته من رسله و أنبیائه و ملائکته لا سیّما محمّد صلّی اللّه علیه و آله و عترته، شاکرا لآلائه و نعمائه کما هو أهل لحضرته، حامدا لجمیع أفعاله و صفاته، غیر آئس من روحه و رحمته و لا مأمونا من مکره و حیلته، و الاستدراج و الإتراف عند توفّر الخیر و کثرته، محتسبا للاختیار عند إمساکه و منعته، متنبّها عند استفساره و فتنته، راضیا بقضائه و حکمته فی نفسک و فی سائر بریّته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عمرک عبارة عن سنین معیّنة التی أنت تعیش فیها، و هی عبارة عن الشهور، و الشهور عبارة عن الأیّام، و الأیّام عبارة عن الساعات، و هی عبارة عن الدقائق، و الدقائق عبارة عن أنفاس لک معدودة، 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الذی مضی و لست تدرکه، و الذی بعدک و لا تدری ما ذا عاقبته؛ ففی الحقیقة لیس عمرک إلّا النفس الذی أنت فیه، فلا تصرفه إلّا فیما فیه منفعتک، و به نجاتک، و إلیه حاجتک، و منه استعانتک، و لا تشغله فی الأباطیل، و لا تجعله محلّا للأقاویل، و دع الفضول، و التکلّم بغیر المعقول، و القول فیما لا یعرف، و الخطاب بما لا تکلّف؛ فإنّ الأقوال من جملة الأعمال و ما یَلْفِظُ مِنْ قَوْلٍ إِلَّا لَدَیْهِ رَقِیبٌ عَتِیدٌ</w:t>
      </w:r>
      <w:r>
        <w:rPr>
          <w:rStyle w:val="FootnoteAnchor"/>
          <w:rtl w:val="true"/>
        </w:rPr>
        <w:footnoteReference w:id="124"/>
      </w:r>
      <w:r>
        <w:rPr>
          <w:rFonts w:ascii="IRNazanin" w:hAnsi="IRNazanin" w:eastAsia="IRNazanin"/>
          <w:color w:val="111111"/>
          <w:sz w:val="28"/>
          <w:sz w:val="28"/>
          <w:szCs w:val="28"/>
          <w:rtl w:val="true"/>
          <w:lang w:bidi="fa-IR"/>
        </w:rPr>
        <w:t>و لا تقل ما لا تعلم و إن قلّ ما تعلم، فإنّ الوقوف عند الشبهات أسهل من الارتباک فی الهلکات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العلم إلّا ما علمته بعین بصیرتک، و تحمّلته بنور معرفتک، فإیّاک</w:t>
      </w:r>
    </w:p>
    <w:p>
      <w:pPr>
        <w:pStyle w:val="BookText"/>
        <w:rPr/>
      </w:pPr>
      <w:r>
        <w:rPr>
          <w:rFonts w:ascii="IRNazanin" w:hAnsi="IRNazanin" w:eastAsia="IRNazanin"/>
          <w:color w:val="111111"/>
          <w:sz w:val="28"/>
          <w:sz w:val="28"/>
          <w:szCs w:val="28"/>
          <w:rtl w:val="true"/>
          <w:lang w:bidi="fa-IR"/>
        </w:rPr>
        <w:t>و تصدیق الرجال من غیر تعقّل، و اتّباع الأقوال من دون تأمّل، بل ابدأ أوّلا بالاستعانة بإلهک، و الرغبة إلیه فی توفیقک، ثمّ تأمّل فیما تریده حقّ تأمّلک بعد أن تجد أهلیّة التأمّل من نفسک، فإن وجدته صحیحا فاقبله و إن کان من الأذلّاء، و إن وجدته سقیما فاردده و إن کان من الأجلّاء، فإنّ کلامهم إذا کان صوابا کان دواء، و إذا کان خطاء کان داء، و احذر عن</w:t>
      </w:r>
      <w:r>
        <w:rPr>
          <w:rStyle w:val="FootnoteAnchor"/>
          <w:rtl w:val="true"/>
        </w:rPr>
        <w:footnoteReference w:id="125"/>
      </w:r>
      <w:r>
        <w:rPr>
          <w:rFonts w:ascii="IRNazanin" w:hAnsi="IRNazanin" w:eastAsia="IRNazanin"/>
          <w:color w:val="111111"/>
          <w:sz w:val="28"/>
          <w:sz w:val="28"/>
          <w:szCs w:val="28"/>
          <w:rtl w:val="true"/>
          <w:lang w:bidi="fa-IR"/>
        </w:rPr>
        <w:t>التنازع و الشقاق، و الزیغ و الانعماق ممّا أشرت لک فی التنبیهات الاول الثلاثة، 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تعمّق لم ینل</w:t>
      </w:r>
      <w:r>
        <w:rPr>
          <w:rStyle w:val="FootnoteAnchor"/>
          <w:rtl w:val="true"/>
        </w:rPr>
        <w:footnoteReference w:id="126"/>
      </w:r>
      <w:r>
        <w:rPr>
          <w:rFonts w:ascii="IRNazanin" w:hAnsi="IRNazanin" w:eastAsia="IRNazanin"/>
          <w:color w:val="111111"/>
          <w:sz w:val="28"/>
          <w:sz w:val="28"/>
          <w:szCs w:val="28"/>
          <w:rtl w:val="true"/>
          <w:lang w:bidi="fa-IR"/>
        </w:rPr>
        <w:t>إلی الحقّ، و من کثر نزاعه دام عماه عن الحقّ، و من زاغ ساءت عنده الحسنة و حسنت عنده السیّئة، و سکر سکر الضلالة، و من شاقّ وعرت علیه طرقه، و أعضل علیه أمره، و ضاق مخرجه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خلقت للآخرة لا للدنیا، و للفناء لا للبقاء، و للعمل لا للأمل، فابتغ فیما آتاک اللّه الدار الآخرة، و لا تنس نصیبک من الدنیا، و أحسن إلی نفسک کما أحسن اللّه إلیک، و لا تصرف عمرک فیما یفارقک و لا یجامعک، و ینقطع عنک و لا یشایعک، و یضرّک و لا ینفعک، و یضلّک و لا یهدیک، و إلی شی‌ء من منافعک لا یؤدّیک، کجمع الکتب و استکثارها، و استکتاب الحواشی و استفسارها، و إصلاح ظاهرک و أمثالها ممّا أنت أعلم به لاشتغالک بأعمالها، و لا یغویک الاستطالة فی المجادلات، و التفاخر فی المکالمات، و التفوّق فی الاجتماعات، و طلب الدرجات، و المیل إلی التفضیلات، فإنّ الآخرة أکبر درجات، و أکبر تفضیلا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یحملنّک علی الخوض فی الشبهات و التورّط فی الظلمات قول فلان محقّق مدقّق،</w:t>
      </w:r>
      <w:r>
        <w:rPr>
          <w:rStyle w:val="FootnoteAnchor"/>
          <w:rtl w:val="true"/>
        </w:rPr>
        <w:footnoteReference w:id="128"/>
      </w:r>
      <w:r>
        <w:rPr>
          <w:rFonts w:ascii="IRNazanin" w:hAnsi="IRNazanin" w:eastAsia="IRNazanin"/>
          <w:color w:val="111111"/>
          <w:sz w:val="28"/>
          <w:sz w:val="28"/>
          <w:szCs w:val="28"/>
          <w:rtl w:val="true"/>
          <w:lang w:bidi="fa-IR"/>
        </w:rPr>
        <w:t>و لا یوهننّک عمّا أنت فیه قول فلان صاف صادق؛ فإنّ اشتهارک فی الملأ الأعلی أحسن منه فی الملأ الدنیا، و علم ربّک بحالک خیر من علمهم بقالک، و رضا</w:t>
      </w:r>
    </w:p>
    <w:p>
      <w:pPr>
        <w:pStyle w:val="BookText"/>
        <w:rPr/>
      </w:pPr>
      <w:r>
        <w:rPr>
          <w:rFonts w:ascii="IRNazanin" w:hAnsi="IRNazanin" w:eastAsia="IRNazanin"/>
          <w:color w:val="111111"/>
          <w:sz w:val="28"/>
          <w:sz w:val="28"/>
          <w:szCs w:val="28"/>
          <w:rtl w:val="true"/>
          <w:lang w:bidi="fa-IR"/>
        </w:rPr>
        <w:t>ربّک بأعمالک أنفع لک</w:t>
      </w:r>
      <w:r>
        <w:rPr>
          <w:rStyle w:val="FootnoteAnchor"/>
          <w:rtl w:val="true"/>
        </w:rPr>
        <w:footnoteReference w:id="129"/>
      </w:r>
      <w:r>
        <w:rPr>
          <w:rFonts w:ascii="IRNazanin" w:hAnsi="IRNazanin" w:eastAsia="IRNazanin"/>
          <w:color w:val="111111"/>
          <w:sz w:val="28"/>
          <w:sz w:val="28"/>
          <w:szCs w:val="28"/>
          <w:rtl w:val="true"/>
          <w:lang w:bidi="fa-IR"/>
        </w:rPr>
        <w:t>من رضاهم بأفعالک، فلا تجاوز عمّا کلّفت به؛ فإنّ فیه کفایة و شغلا عمّا منعت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و إن عظم فی نظر الجهّال، و جسم فی صدور</w:t>
      </w:r>
      <w:r>
        <w:rPr>
          <w:rStyle w:val="FootnoteAnchor"/>
          <w:rtl w:val="true"/>
        </w:rPr>
        <w:footnoteReference w:id="130"/>
      </w:r>
      <w:r>
        <w:rPr>
          <w:rFonts w:ascii="IRNazanin" w:hAnsi="IRNazanin" w:eastAsia="IRNazanin"/>
          <w:color w:val="111111"/>
          <w:sz w:val="28"/>
          <w:sz w:val="28"/>
          <w:szCs w:val="28"/>
          <w:rtl w:val="true"/>
          <w:lang w:bidi="fa-IR"/>
        </w:rPr>
        <w:t>أهل الضلال الذین رضوا بالحیاة الدنیا و اطمأنّوا بها کالأطفال، و لکنّه أوّل مرتبة من مراتب التکلیف و العبادة، و أوّل مرحلة من وادی العمی و الجهالة، فلا یغرّنّک شهرته عند الناس، و کبرته عند أهل التقلید و الوسواس، و لا یکون هذا نهایة قصدک و غایة جهدک، فإنّ وراءه شیئا أعلی منه و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الدنیا مزرعة الآخرة، فکلّ شی‌ء زرعته و عملته فیها حصدته و رأیته فی الآخرة، فاصرف علمک فی عملک، و شغلک فی زراعتک، و لا تصرفه فی زهرة الحیاة</w:t>
      </w:r>
      <w:r>
        <w:rPr>
          <w:rStyle w:val="FootnoteAnchor"/>
          <w:rtl w:val="true"/>
        </w:rPr>
        <w:footnoteReference w:id="131"/>
      </w:r>
      <w:r>
        <w:rPr>
          <w:rFonts w:ascii="IRNazanin" w:hAnsi="IRNazanin" w:eastAsia="IRNazanin"/>
          <w:color w:val="111111"/>
          <w:sz w:val="28"/>
          <w:sz w:val="28"/>
          <w:szCs w:val="28"/>
          <w:rtl w:val="true"/>
          <w:lang w:bidi="fa-IR"/>
        </w:rPr>
        <w:t>الدنیا و زخرفتها، و لا تجعله مکسبا لمالها و جیفتها، فقد صرفت باقیتک فی فانیتک، و اشتریت دنیاک بآخرتک، و أکلت فی أوّل مرحلتک</w:t>
      </w:r>
      <w:r>
        <w:rPr>
          <w:rStyle w:val="FootnoteAnchor"/>
          <w:rtl w:val="true"/>
        </w:rPr>
        <w:footnoteReference w:id="132"/>
      </w:r>
      <w:r>
        <w:rPr>
          <w:rFonts w:ascii="IRNazanin" w:hAnsi="IRNazanin" w:eastAsia="IRNazanin"/>
          <w:color w:val="111111"/>
          <w:sz w:val="28"/>
          <w:sz w:val="28"/>
          <w:szCs w:val="28"/>
          <w:rtl w:val="true"/>
          <w:lang w:bidi="fa-IR"/>
        </w:rPr>
        <w:t>ما فی سفرتک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یغویک تعظیم الناس، فإنّ وراءه تحقیرا، و لا مدحتهم فإنّ وراءها مذلّة، و لا رضاهم فإنّ وراءه سخطا؛ و لا یهمّک أمر رزقک، فإنّ الذی خلق الموت و الحیاة قدّر أن لا تموت نفس قبل استکمال رزقها، و لا یستکمل رزقها قبل استکمال عدّتها، و قد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علما یقینا أنّ اللّه لم یجعل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عظمت حیلته، و اشتدّت طلبته، و قویت مکیدته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ممّا سمّی له فی الذکر الحکیم، و لم یحل بین العبد فی ضعفه و قلّة حیلته و بین أن یبلغ ما سمّی له فی الذکر الحکیم؛ و العارف بهذا</w:t>
      </w:r>
      <w:r>
        <w:rPr>
          <w:rStyle w:val="FootnoteAnchor"/>
          <w:rtl w:val="true"/>
        </w:rPr>
        <w:footnoteReference w:id="133"/>
      </w:r>
      <w:r>
        <w:rPr>
          <w:rFonts w:ascii="IRNazanin" w:hAnsi="IRNazanin" w:eastAsia="IRNazanin"/>
          <w:color w:val="111111"/>
          <w:sz w:val="28"/>
          <w:sz w:val="28"/>
          <w:szCs w:val="28"/>
          <w:rtl w:val="true"/>
          <w:lang w:bidi="fa-IR"/>
        </w:rPr>
        <w:t>العامل به أعظم الناس راحة فی منفعة، و التارک له الشاکّ فیه أعظم الناس شغلا فی مضرّة</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اوصیک ألّا تصادق أحدا إلّا بعد الاختبار، و لا تناصح أحدا إلّا بعد الاستفسار، و لا تتمسّک بکلّ شی‌ء قبل الاستبصار، فإنّ الشیطان قد یتلبّس بالإنسان، و الظالم بالعالم، و المجرم بالمحرم، و البور بالنور، و السنّور بالسمور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لیکن آخر کلامی أن أقول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مِنْ دُونِ اللَّهِ ما لا یَنْفَعُکَ وَ لا یَضُرُّکَ فَإِنْ فَعَلْتَ فَإِنَّکَ إِذاً مِنَ الظَّالِمِینَ،</w:t>
      </w:r>
      <w:r>
        <w:rPr>
          <w:rStyle w:val="FootnoteAnchor"/>
          <w:rtl w:val="true"/>
        </w:rPr>
        <w:footnoteReference w:id="135"/>
      </w:r>
      <w:r>
        <w:rPr>
          <w:rFonts w:ascii="IRNazanin" w:hAnsi="IRNazanin" w:eastAsia="IRNazanin"/>
          <w:color w:val="111111"/>
          <w:sz w:val="28"/>
          <w:sz w:val="28"/>
          <w:szCs w:val="28"/>
          <w:rtl w:val="true"/>
          <w:lang w:bidi="fa-IR"/>
        </w:rPr>
        <w:t>و لا تکن کالذین قالوا سمعنا و هم لا یسمعون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فإن وجدت فی قلبک خشوعا ممّا قلت، و فی رأیک قبولا لما ذکرت، و إلّا فاعلم أنّک لفی ضلالک القدیم، و أنّی نفخت بمزمار الموعظة عند أهل القبور، و ضربت بدفّ النصیحة عند أهل الاستبداد و الزور، و دققت بطبل التذکرة عند من لا یتذکّر إلّا یوم ینفخ فی الصور، فالصواب سکونی عن حرکتی، و سکوتی عن موعظتی، فإنّ هذا قباء لم یخط بقدّ کلّ ذی قدّ، و عطاء لم یجده کلّ ذی جدّ ذلِکَ فَضْلُ اللَّهِ یُؤْتِیهِ مَنْ یَشاءُ</w:t>
      </w:r>
      <w:r>
        <w:rPr>
          <w:rStyle w:val="FootnoteAnchor"/>
          <w:rtl w:val="true"/>
        </w:rPr>
        <w:footnoteReference w:id="137"/>
      </w:r>
      <w:r>
        <w:rPr>
          <w:rFonts w:ascii="IRNazanin" w:hAnsi="IRNazanin" w:eastAsia="IRNazanin"/>
          <w:color w:val="111111"/>
          <w:sz w:val="28"/>
          <w:sz w:val="28"/>
          <w:szCs w:val="28"/>
          <w:rtl w:val="true"/>
          <w:lang w:bidi="fa-IR"/>
        </w:rPr>
        <w:t>و من طلبه فعلیه بالنور المستور، فی رقّ منشور، فإنّ فیه لبلاغا لقوم عابدین، و هذا أو ان اختتام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وجدت بعد مجالا، ختمتها بمنارین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أنّی وجدت ما قیل فی هذا العلم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فضول، و لا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 یکن اصولها خالیة عن الخلاف، و کان رفعه ممکنا فی أکثر المواضع علی ما یرتضیه أهل الإنصاف، جمعت بین أقوالها، و رفعت من البین خلافها مع أنّ فریقا من المؤمنین لکارهون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سمّیت اصولها بالنخبة، و جمع أقوالها بالمحاکمة، و فضولها و لا معقولها بالبالوعة، و اقتصرت فی هذا الکتاب بذکر نخباتها و محاکماتها،</w:t>
      </w:r>
      <w:r>
        <w:rPr>
          <w:rStyle w:val="FootnoteAnchor"/>
          <w:rtl w:val="true"/>
        </w:rPr>
        <w:footnoteReference w:id="138"/>
      </w:r>
      <w:r>
        <w:rPr>
          <w:rFonts w:ascii="IRNazanin" w:hAnsi="IRNazanin" w:eastAsia="IRNazanin"/>
          <w:color w:val="111111"/>
          <w:sz w:val="28"/>
          <w:sz w:val="28"/>
          <w:szCs w:val="28"/>
          <w:rtl w:val="true"/>
          <w:lang w:bidi="fa-IR"/>
        </w:rPr>
        <w:t>و أحلت ما سواهما علی موضعهما، فمن اقتصر علی قدر حاجته و تکلیفه، فلیواثر نخباته، و من أراد إصلاح ذات البین، فلینظر فی محاکماته، و من عمره طویل و له صکّ من ربّ جلیل</w:t>
      </w:r>
    </w:p>
    <w:p>
      <w:pPr>
        <w:pStyle w:val="BookText"/>
        <w:rPr/>
      </w:pPr>
      <w:r>
        <w:rPr>
          <w:rFonts w:ascii="IRNazanin" w:hAnsi="IRNazanin" w:eastAsia="IRNazanin"/>
          <w:color w:val="111111"/>
          <w:sz w:val="28"/>
          <w:sz w:val="28"/>
          <w:szCs w:val="28"/>
          <w:rtl w:val="true"/>
          <w:lang w:bidi="fa-IR"/>
        </w:rPr>
        <w:t>علی تضییع عمره و مخالفة</w:t>
      </w:r>
      <w:r>
        <w:rPr>
          <w:rStyle w:val="FootnoteAnchor"/>
          <w:rtl w:val="true"/>
        </w:rPr>
        <w:footnoteReference w:id="139"/>
      </w:r>
      <w:r>
        <w:rPr>
          <w:rFonts w:ascii="IRNazanin" w:hAnsi="IRNazanin" w:eastAsia="IRNazanin"/>
          <w:color w:val="111111"/>
          <w:sz w:val="28"/>
          <w:sz w:val="28"/>
          <w:szCs w:val="28"/>
          <w:rtl w:val="true"/>
          <w:lang w:bidi="fa-IR"/>
        </w:rPr>
        <w:t>أمره و الإعراض عن</w:t>
      </w:r>
      <w:r>
        <w:rPr>
          <w:rStyle w:val="FootnoteAnchor"/>
          <w:rtl w:val="true"/>
        </w:rPr>
        <w:footnoteReference w:id="140"/>
      </w:r>
      <w:r>
        <w:rPr>
          <w:rFonts w:ascii="IRNazanin" w:hAnsi="IRNazanin" w:eastAsia="IRNazanin"/>
          <w:color w:val="111111"/>
          <w:sz w:val="28"/>
          <w:sz w:val="28"/>
          <w:szCs w:val="28"/>
          <w:rtl w:val="true"/>
          <w:lang w:bidi="fa-IR"/>
        </w:rPr>
        <w:t>ذکره و نسیان شکره فلیدور فی بالوعاته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الفقه هو العلم بفروع الدین عن الدلیل، و هو هاهنا الکتاب و السنّة و الإجماع و 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بالسنّة ما استحدث من الشارع دالّا علی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هذا العلم موضوع للبحث عن أحوال هذه الأربعة، و أنّ البحث فی الأوّلین مرّة فی دلالة ألفاظهما التی تستنبط منها الأحکام کالأوامر و النواهی، و مرّة فی أحوالها</w:t>
      </w:r>
      <w:r>
        <w:rPr>
          <w:rStyle w:val="FootnoteAnchor"/>
          <w:rtl w:val="true"/>
        </w:rPr>
        <w:footnoteReference w:id="141"/>
      </w:r>
      <w:r>
        <w:rPr>
          <w:rFonts w:ascii="IRNazanin" w:hAnsi="IRNazanin" w:eastAsia="IRNazanin"/>
          <w:color w:val="111111"/>
          <w:sz w:val="28"/>
          <w:sz w:val="28"/>
          <w:szCs w:val="28"/>
          <w:rtl w:val="true"/>
          <w:lang w:bidi="fa-IR"/>
        </w:rPr>
        <w:t>من جهة تعارضها و تخالفها، و مرّة فی أحوالها من جهة تحمّلها و نقلها؛ فصار أبواب هذا العلم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 الخاصّ، و المطلق و المقیّد، و المجمل و المبیّن، و الناسخ 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للباب الاوّل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لفظ استعمله الشارع</w:t>
      </w:r>
      <w:r>
        <w:rPr>
          <w:rStyle w:val="FootnoteAnchor"/>
          <w:rtl w:val="true"/>
        </w:rPr>
        <w:footnoteReference w:id="142"/>
      </w:r>
      <w:r>
        <w:rPr>
          <w:rFonts w:ascii="IRNazanin" w:hAnsi="IRNazanin" w:eastAsia="IRNazanin"/>
          <w:color w:val="111111"/>
          <w:sz w:val="28"/>
          <w:sz w:val="28"/>
          <w:szCs w:val="28"/>
          <w:rtl w:val="true"/>
          <w:lang w:bidi="fa-IR"/>
        </w:rPr>
        <w:t>حتّی صار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و الدلیل</w:t>
      </w:r>
    </w:p>
    <w:p>
      <w:pPr>
        <w:pStyle w:val="BookText"/>
        <w:rPr/>
      </w:pPr>
      <w:r>
        <w:rPr>
          <w:rFonts w:ascii="IRNazanin" w:hAnsi="IRNazanin" w:eastAsia="IRNazanin"/>
          <w:color w:val="111111"/>
          <w:sz w:val="28"/>
          <w:sz w:val="28"/>
          <w:szCs w:val="28"/>
          <w:rtl w:val="true"/>
          <w:lang w:bidi="fa-IR"/>
        </w:rPr>
        <w:t>ثبوتها فی الجملة، و تسمیتها بالعرفیّة لفظیّة، و لم یحصل</w:t>
      </w:r>
      <w:r>
        <w:rPr>
          <w:rStyle w:val="FootnoteAnchor"/>
          <w:rtl w:val="true"/>
        </w:rPr>
        <w:footnoteReference w:id="143"/>
      </w:r>
      <w:r>
        <w:rPr>
          <w:rFonts w:ascii="IRNazanin" w:hAnsi="IRNazanin" w:eastAsia="IRNazanin"/>
          <w:color w:val="111111"/>
          <w:sz w:val="28"/>
          <w:sz w:val="28"/>
          <w:szCs w:val="28"/>
          <w:rtl w:val="true"/>
          <w:lang w:bidi="fa-IR"/>
        </w:rPr>
        <w:t>إلّا باستعماله</w:t>
      </w:r>
      <w:r>
        <w:rPr>
          <w:rStyle w:val="FootnoteAnchor"/>
          <w:rtl w:val="true"/>
        </w:rPr>
        <w:footnoteReference w:id="144"/>
      </w:r>
      <w:r>
        <w:rPr>
          <w:rFonts w:ascii="IRNazanin" w:hAnsi="IRNazanin" w:eastAsia="IRNazanin"/>
          <w:color w:val="111111"/>
          <w:sz w:val="28"/>
          <w:sz w:val="28"/>
          <w:szCs w:val="28"/>
          <w:rtl w:val="true"/>
          <w:lang w:bidi="fa-IR"/>
        </w:rPr>
        <w:t>کذلک، و أعمّیّة الاستعمال إن کانت قبل الاشتهار فلا حقیقة و لا مجاز، أو بعده فحقیقة لا مجاز، فلا معنی لها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محاکمة للمنصفین بین المثبتین و النافین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فی ثبوتها عند المتشرّعة، و کذلک لا ینبغی عند الشارع؛ لاستعماله کثیرا، و المنکر مکابر، و کثرته مستلزمة للشهرة المستلزمة للتبادر، فلا محلّ له</w:t>
      </w:r>
      <w:r>
        <w:rPr>
          <w:rStyle w:val="FootnoteAnchor"/>
          <w:rtl w:val="true"/>
        </w:rPr>
        <w:footnoteReference w:id="146"/>
      </w:r>
      <w:r>
        <w:rPr>
          <w:rFonts w:ascii="IRNazanin" w:hAnsi="IRNazanin" w:eastAsia="IRNazanin"/>
          <w:color w:val="111111"/>
          <w:sz w:val="28"/>
          <w:sz w:val="28"/>
          <w:szCs w:val="28"/>
          <w:rtl w:val="true"/>
          <w:lang w:bidi="fa-IR"/>
        </w:rPr>
        <w:t>إلّا أوّل الاستعمال، و من المعلوم أنّ اللفظ إذا کان مرتجلا لا یصیر فی أوّل الوضع قبل الاشتهار حقیقة، فضلا عن أن یکون منقولا، فلا محلّ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شجرة و علیها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اللّه تعالی و الرسول صلّی اللّه علیه و آله و الأئمّة علیهم السّلام المتعلّق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یسمّونه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الحقیقة الشرعیّة، و إن لم توجد فعلی العرفیّة الغالبة علی اللغویّة، و إلّا فهو مشترک مجمل، و إن لم توجد فعلی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اللفظ المشترک فی أکثر من معنی لا یجوز مطلقا</w:t>
      </w:r>
      <w:r>
        <w:rPr>
          <w:rStyle w:val="FootnoteAnchor"/>
          <w:rtl w:val="true"/>
        </w:rPr>
        <w:footnoteReference w:id="147"/>
      </w:r>
      <w:r>
        <w:rPr>
          <w:rFonts w:ascii="IRNazanin" w:hAnsi="IRNazanin" w:eastAsia="IRNazanin"/>
          <w:color w:val="111111"/>
          <w:sz w:val="28"/>
          <w:sz w:val="28"/>
          <w:szCs w:val="28"/>
          <w:rtl w:val="true"/>
          <w:lang w:bidi="fa-IR"/>
        </w:rPr>
        <w:t>إذا کان مفردا أو</w:t>
      </w:r>
      <w:r>
        <w:rPr>
          <w:rStyle w:val="FootnoteAnchor"/>
          <w:rtl w:val="true"/>
        </w:rPr>
        <w:footnoteReference w:id="148"/>
      </w:r>
      <w:r>
        <w:rPr>
          <w:rFonts w:ascii="IRNazanin" w:hAnsi="IRNazanin" w:eastAsia="IRNazanin"/>
          <w:color w:val="111111"/>
          <w:sz w:val="28"/>
          <w:sz w:val="28"/>
          <w:szCs w:val="28"/>
          <w:rtl w:val="true"/>
          <w:lang w:bidi="fa-IR"/>
        </w:rPr>
        <w:t>واقعا فی إثبات، و یجوز</w:t>
      </w:r>
      <w:r>
        <w:rPr>
          <w:rStyle w:val="FootnoteAnchor"/>
          <w:rtl w:val="true"/>
        </w:rPr>
        <w:footnoteReference w:id="149"/>
      </w:r>
      <w:r>
        <w:rPr>
          <w:rFonts w:ascii="IRNazanin" w:hAnsi="IRNazanin" w:eastAsia="IRNazanin"/>
          <w:color w:val="111111"/>
          <w:sz w:val="28"/>
          <w:sz w:val="28"/>
          <w:szCs w:val="28"/>
          <w:rtl w:val="true"/>
          <w:lang w:bidi="fa-IR"/>
        </w:rPr>
        <w:t>حقیقة إذا کان تثنیة أو جمعا أو واقعا فی نفی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فإنّه لمّا لم تکن المعیّة</w:t>
      </w:r>
      <w:r>
        <w:rPr>
          <w:rStyle w:val="FootnoteAnchor"/>
          <w:rtl w:val="true"/>
        </w:rPr>
        <w:footnoteReference w:id="150"/>
      </w:r>
      <w:r>
        <w:rPr>
          <w:rFonts w:ascii="IRNazanin" w:hAnsi="IRNazanin" w:eastAsia="IRNazanin"/>
          <w:color w:val="111111"/>
          <w:sz w:val="28"/>
          <w:sz w:val="28"/>
          <w:szCs w:val="28"/>
          <w:rtl w:val="true"/>
          <w:lang w:bidi="fa-IR"/>
        </w:rPr>
        <w:t>داخلة فی الموضوع له و لا بین المعنیین علاقة مصحّحة</w:t>
      </w:r>
      <w:r>
        <w:rPr>
          <w:rStyle w:val="FootnoteAnchor"/>
          <w:rtl w:val="true"/>
        </w:rPr>
        <w:footnoteReference w:id="151"/>
      </w:r>
      <w:r>
        <w:rPr>
          <w:rFonts w:ascii="IRNazanin" w:hAnsi="IRNazanin" w:eastAsia="IRNazanin"/>
          <w:color w:val="111111"/>
          <w:sz w:val="28"/>
          <w:sz w:val="28"/>
          <w:szCs w:val="28"/>
          <w:rtl w:val="true"/>
          <w:lang w:bidi="fa-IR"/>
        </w:rPr>
        <w:t>لا جرم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فإنّه حینئذ مستعمل فی الموضوع له و هو الاثنان و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فلأنّ فهم الاستغراق من النکرة المنفیّة شی‌ء و لا ینکره إلّا منکر، و العموم البدلی کاف لثبوته بل هو محلّه فی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 للسامعین بین المجوّزین و المانعین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المنع لو جاز للزم التجامع بین الوحدة و الجمعیّة، و مقتضاه عدم شموله للتثنیة و الجمع و لا المنفیّ مطلقا، فمحلّ النزاع إنّما هو المفرد</w:t>
      </w:r>
      <w:r>
        <w:rPr>
          <w:rStyle w:val="FootnoteAnchor"/>
          <w:rtl w:val="true"/>
        </w:rPr>
        <w:footnoteReference w:id="152"/>
      </w:r>
      <w:r>
        <w:rPr>
          <w:rFonts w:ascii="IRNazanin" w:hAnsi="IRNazanin" w:eastAsia="IRNazanin"/>
          <w:color w:val="111111"/>
          <w:sz w:val="28"/>
          <w:sz w:val="28"/>
          <w:szCs w:val="28"/>
          <w:rtl w:val="true"/>
          <w:lang w:bidi="fa-IR"/>
        </w:rPr>
        <w:t>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المجوّز بطریق المجاز لا یقول ببقاء الوحدة حتّی یلزم التناقض، و إنّما یلزم علی القول بطریق الحقیقة، و دلیله ضعیف مدخول، مع أنّ الوحدة لو سلّمت أمر اعتباری لا حقیقة لها حتّی یناقض الجمعیّة، مع أنّا لا نقول بها؛ لأنّ الموضوع له إنّما هو الماهیّة لا بشرط، و الوحدة المتبادرة لیست شیئا وراء الماهیّة قیدا لها، بل إنّما هو معنی نفی 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ثمرة من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المجازیّة و الاشتراک و النقل و التخصیص و الإضمار علی خلاف الأصل، و إذا تعارضت فالمجاز أولی من الاشتراک و النقل؛ لأکثریّته و هی مناط الفهم، و مساو للتخصیص و الإضمار؛ لکثرتهما أیضا، فهما خیر منهما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تساوی الاشتراک مع النقل، أو ترجیحه لکثرته بالنسبة إلی النقل، أو ترجیح النقل باعتبار وحدة الحقیقة المقتضیة لعدم الإخلال تردّد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التخصیص و الإضمار متساویان؛ لکثرة ورودهما علی السواء فهذه عشرة، و لکن بهذه الترجیحات لا تثبت الأحکام الشرعیّة کما لا یخفی، فالتوقّف حتّی یطلع الفجر</w:t>
      </w:r>
      <w:r>
        <w:rPr>
          <w:rFonts w:eastAsia="IRNazanin" w:cs="IRNazanin"/>
          <w:color w:val="111111"/>
          <w:sz w:val="28"/>
          <w:szCs w:val="28"/>
          <w:rtl w:val="true"/>
          <w:lang w:bidi="fa-IR"/>
        </w:rPr>
        <w:t>.</w:t>
      </w:r>
      <w:bookmarkStart w:id="125" w:name="pg19819_193375"/>
    </w:p>
    <w:p>
      <w:pPr>
        <w:pStyle w:val="Heading4"/>
        <w:numPr>
          <w:ilvl w:val="3"/>
          <w:numId w:val="1"/>
        </w:numPr>
        <w:rPr/>
      </w:pPr>
      <w:bookmarkStart w:id="126" w:name="__RefHeading___Toc3055495_2314609296"/>
      <w:bookmarkStart w:id="127" w:name="_Toc51"/>
      <w:bookmarkEnd w:id="125"/>
      <w:bookmarkEnd w:id="126"/>
      <w:r>
        <w:rPr>
          <w:rtl w:val="true"/>
        </w:rPr>
        <w:t>الباب الأوّل فی الأوامر و النواهی</w:t>
      </w:r>
      <w:bookmarkEnd w:id="127"/>
    </w:p>
    <w:p>
      <w:pPr>
        <w:pStyle w:val="Heading5"/>
        <w:numPr>
          <w:ilvl w:val="4"/>
          <w:numId w:val="1"/>
        </w:numPr>
        <w:rPr/>
      </w:pPr>
      <w:bookmarkStart w:id="128" w:name="__RefHeading___Toc3055497_2314609296"/>
      <w:bookmarkStart w:id="129" w:name="_Toc52"/>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دهلیز فیه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الراجح فعله الممنوع نقضه</w:t>
      </w:r>
      <w:r>
        <w:rPr>
          <w:rStyle w:val="FootnoteAnchor"/>
          <w:rtl w:val="true"/>
        </w:rPr>
        <w:footnoteReference w:id="153"/>
      </w:r>
      <w:r>
        <w:rPr>
          <w:rFonts w:ascii="IRNazanin" w:hAnsi="IRNazanin" w:eastAsia="IRNazanin"/>
          <w:color w:val="111111"/>
          <w:sz w:val="28"/>
          <w:sz w:val="28"/>
          <w:szCs w:val="28"/>
          <w:rtl w:val="true"/>
          <w:lang w:bidi="fa-IR"/>
        </w:rPr>
        <w:t>یسمّی واجبا، و جائزه مندوبا، و عکس الأوّل حراما، و الثانی مکروها، و المساوی طرفاه مباحا، و المأمور به فی الأخبار مرادف الواجب و هو فیها أعمّ، و المنهیّ عنه فیها مرادف الحرام و هو لیس أعمّ</w:t>
      </w:r>
      <w:r>
        <w:rPr>
          <w:rFonts w:eastAsia="IRNazanin" w:cs="IRNazanin"/>
          <w:color w:val="111111"/>
          <w:sz w:val="28"/>
          <w:szCs w:val="28"/>
          <w:rtl w:val="true"/>
          <w:lang w:bidi="fa-IR"/>
        </w:rPr>
        <w:t>.</w:t>
      </w:r>
    </w:p>
    <w:p>
      <w:pPr>
        <w:pStyle w:val="Heading5"/>
        <w:numPr>
          <w:ilvl w:val="4"/>
          <w:numId w:val="1"/>
        </w:numPr>
        <w:rPr/>
      </w:pPr>
      <w:bookmarkStart w:id="130" w:name="__RefHeading___Toc3055499_2314609296"/>
      <w:bookmarkStart w:id="131" w:name="_Toc53"/>
      <w:bookmarkEnd w:id="130"/>
      <w:r>
        <w:rPr>
          <w:rtl w:val="true"/>
        </w:rPr>
        <w:t>نخبة</w:t>
      </w:r>
      <w:r>
        <w:rPr>
          <w:rtl w:val="true"/>
        </w:rPr>
        <w:t xml:space="preserve">: </w:t>
      </w:r>
      <w:r>
        <w:rPr>
          <w:rtl w:val="true"/>
        </w:rPr>
        <w:t xml:space="preserve">صیغة </w:t>
      </w:r>
      <w:r>
        <w:rPr>
          <w:rtl w:val="true"/>
        </w:rPr>
        <w:t>«</w:t>
      </w:r>
      <w:r>
        <w:rPr>
          <w:rtl w:val="true"/>
        </w:rPr>
        <w:t>افعل</w:t>
      </w:r>
      <w:r>
        <w:rPr>
          <w:rtl w:val="true"/>
        </w:rPr>
        <w:t xml:space="preserve">» </w:t>
      </w:r>
      <w:r>
        <w:rPr>
          <w:rtl w:val="true"/>
        </w:rPr>
        <w:t>و ما فی معناها حقیقة فی الإیجاب</w:t>
      </w:r>
      <w:r>
        <w:rPr>
          <w:rtl w:val="true"/>
        </w:rPr>
        <w:t>.</w:t>
      </w:r>
      <w:bookmarkEnd w:id="131"/>
    </w:p>
    <w:p>
      <w:pPr>
        <w:pStyle w:val="BookText"/>
        <w:rPr/>
      </w:pPr>
      <w:r>
        <w:rPr>
          <w:rFonts w:ascii="IRNazanin" w:hAnsi="IRNazanin" w:eastAsia="IRNazanin"/>
          <w:color w:val="111111"/>
          <w:sz w:val="28"/>
          <w:sz w:val="28"/>
          <w:szCs w:val="28"/>
          <w:rtl w:val="true"/>
          <w:lang w:bidi="fa-IR"/>
        </w:rPr>
        <w:t>و الدلیل تبادره عند الإطلاق و تسمیتها صیغة الأمر، و الإضافة للاختصاص، و لا معنی للأمر سوی الوجوب، و غیرهما ممّا لا 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 لمن له إدراک بین أهل الاختصاص و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الاشتراک الاستعمال؛ و الأصل الحقیقة و هو حقّ، و أعمّیّة الاستعمال لا تعارضه، بل هو محلّ أجزائه و لکن لا منافاة؛ لإمکان کون اللفظ مشترکا مع تبادر معنی من معانیه عند الإطلاق، و بجعله قرینة، أو لأکثریّة الاستعمال فیه کما فی العین، بل و لا یمکن استواء الاستعمال فی الجمیع عادة، و کذلک لا منافاة بین کون اللفظ موضوعا للقدر المشترک و بین تبادر فرد من أفراده کما فی المشکّک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باختصاصها بالندب فشاذّ، و دلیله ضعیف مدخول بل مقلوب علیه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الوارد بعد الحظر علی ما سوی الإذن غیر معلومة، و وجود المقتضی للإیجاب و هو الأمر عین المتنازع فیه، و لهذا لم یقل به هنا کلّ من قال به هناک</w:t>
      </w:r>
      <w:r>
        <w:rPr>
          <w:rFonts w:eastAsia="IRNazanin" w:cs="IRNazanin"/>
          <w:color w:val="111111"/>
          <w:sz w:val="28"/>
          <w:szCs w:val="28"/>
          <w:rtl w:val="true"/>
          <w:lang w:bidi="fa-IR"/>
        </w:rPr>
        <w:t>.</w:t>
      </w:r>
      <w:bookmarkStart w:id="132" w:name="pg19819_193376"/>
    </w:p>
    <w:p>
      <w:pPr>
        <w:pStyle w:val="Heading5"/>
        <w:numPr>
          <w:ilvl w:val="4"/>
          <w:numId w:val="1"/>
        </w:numPr>
        <w:rPr/>
      </w:pPr>
      <w:bookmarkStart w:id="133" w:name="__RefHeading___Toc3055501_2314609296"/>
      <w:bookmarkStart w:id="134" w:name="_Toc54"/>
      <w:bookmarkEnd w:id="132"/>
      <w:bookmarkEnd w:id="133"/>
      <w:r>
        <w:rPr>
          <w:rtl w:val="true"/>
        </w:rPr>
        <w:t>نخبة</w:t>
      </w:r>
      <w:r>
        <w:rPr>
          <w:rtl w:val="true"/>
        </w:rPr>
        <w:t xml:space="preserve">: </w:t>
      </w:r>
      <w:r>
        <w:rPr>
          <w:rtl w:val="true"/>
        </w:rPr>
        <w:t>الأمر حقیقة فی الفور</w:t>
      </w:r>
      <w:bookmarkEnd w:id="134"/>
    </w:p>
    <w:p>
      <w:pPr>
        <w:pStyle w:val="BookText"/>
        <w:rPr/>
      </w:pPr>
      <w:r>
        <w:rPr>
          <w:rFonts w:ascii="IRNazanin" w:hAnsi="IRNazanin" w:eastAsia="IRNazanin"/>
          <w:color w:val="111111"/>
          <w:sz w:val="28"/>
          <w:sz w:val="28"/>
          <w:szCs w:val="28"/>
          <w:rtl w:val="true"/>
          <w:lang w:bidi="fa-IR"/>
        </w:rPr>
        <w:t>کما یقول الشیخ</w:t>
      </w:r>
      <w:r>
        <w:rPr>
          <w:rStyle w:val="FootnoteAnchor"/>
          <w:rtl w:val="true"/>
        </w:rPr>
        <w:footnoteReference w:id="154"/>
      </w:r>
      <w:r>
        <w:rPr>
          <w:rFonts w:ascii="IRNazanin" w:hAnsi="IRNazanin" w:eastAsia="IRNazanin"/>
          <w:color w:val="111111"/>
          <w:sz w:val="28"/>
          <w:sz w:val="28"/>
          <w:szCs w:val="28"/>
          <w:rtl w:val="true"/>
          <w:lang w:bidi="fa-IR"/>
        </w:rPr>
        <w:t>و التابعون،</w:t>
      </w:r>
      <w:r>
        <w:rPr>
          <w:rStyle w:val="FootnoteAnchor"/>
          <w:rtl w:val="true"/>
        </w:rPr>
        <w:footnoteReference w:id="155"/>
      </w:r>
      <w:r>
        <w:rPr>
          <w:rFonts w:ascii="IRNazanin" w:hAnsi="IRNazanin" w:eastAsia="IRNazanin"/>
          <w:color w:val="111111"/>
          <w:sz w:val="28"/>
          <w:sz w:val="28"/>
          <w:szCs w:val="28"/>
          <w:rtl w:val="true"/>
          <w:lang w:bidi="fa-IR"/>
        </w:rPr>
        <w:t>و نعم القول و القائلون هداهم اللّه فهم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الأمر الطلب الخارجی، و هو ینافی التراخی و التبادر، و خروج الفور الخارجی عن الطلب الذهنی لا یستلزم خروجه عن الطلب الخارجی، و عدم تبادرکم له لغفلتکم عن محلّه و هو الطلب، و طلبکم عن خارجه و هو عین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 لمن فی قلبه السلامة بین الشیخ و العلّامة</w:t>
      </w:r>
      <w:r>
        <w:rPr>
          <w:rStyle w:val="FootnoteAnchor"/>
          <w:rtl w:val="true"/>
        </w:rPr>
        <w:footnoteReference w:id="156"/>
      </w:r>
      <w:r>
        <w:rPr>
          <w:rFonts w:ascii="IRNazanin" w:hAnsi="IRNazanin" w:eastAsia="IRNazanin"/>
          <w:color w:val="111111"/>
          <w:sz w:val="28"/>
          <w:sz w:val="28"/>
          <w:szCs w:val="28"/>
          <w:rtl w:val="true"/>
          <w:lang w:bidi="fa-IR"/>
        </w:rPr>
        <w:t>و دلیله رحمه اللّه أنّ الفور خارج عن حقیقة الأمر کالتراخی، فلا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حقّ، و لکن بناؤه علی الحقیقة الأوّلیّة التی هی الصورة الذهنیّة، فإنّ الفور المتنازع فیه خارج عنها، و بناء الشیخ رحمه اللّه علی الحقیقة الثانویّة و هو الطلب الخارجی، فإنّه عین معنی الفور، و من هنا یعلم عدم النزاع بینه و بین السیّد رحمه اللّه حیث یقول بالاشتراک اللفظی لأصل الاستعمال؛</w:t>
      </w:r>
      <w:r>
        <w:rPr>
          <w:rStyle w:val="FootnoteAnchor"/>
          <w:rtl w:val="true"/>
        </w:rPr>
        <w:footnoteReference w:id="157"/>
      </w:r>
      <w:r>
        <w:rPr>
          <w:rFonts w:ascii="IRNazanin" w:hAnsi="IRNazanin" w:eastAsia="IRNazanin"/>
          <w:color w:val="111111"/>
          <w:sz w:val="28"/>
          <w:sz w:val="28"/>
          <w:szCs w:val="28"/>
          <w:rtl w:val="true"/>
          <w:lang w:bidi="fa-IR"/>
        </w:rPr>
        <w:t>لأنّه عند الدلیل علی تعیین أحد المعنیین لا یحکم بالأصل؛ علی أنّا قد بیّنّا عدم المنافاة بین الاشتراک و بین تبادر معنی من المعانی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ثمرة و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أخّر المکلّف الفعل بحیث یعدّ متساهلا فقد عصی، و یجب علیه فی الوقت الثانی؛ لأنّ معنی الفور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فی الوقت الأوّل، فإن عصیت ففی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هذا هو الفرق بینه و بین المضیّق؛ و للاستصحاب أیضا</w:t>
      </w:r>
      <w:r>
        <w:rPr>
          <w:rFonts w:eastAsia="IRNazanin" w:cs="IRNazanin"/>
          <w:color w:val="111111"/>
          <w:sz w:val="28"/>
          <w:szCs w:val="28"/>
          <w:rtl w:val="true"/>
          <w:lang w:bidi="fa-IR"/>
        </w:rPr>
        <w:t>.</w:t>
      </w:r>
      <w:bookmarkStart w:id="135" w:name="pg19819_193377"/>
    </w:p>
    <w:p>
      <w:pPr>
        <w:pStyle w:val="Heading5"/>
        <w:numPr>
          <w:ilvl w:val="4"/>
          <w:numId w:val="1"/>
        </w:numPr>
        <w:rPr/>
      </w:pPr>
      <w:bookmarkStart w:id="136" w:name="__RefHeading___Toc3055503_2314609296"/>
      <w:bookmarkStart w:id="137" w:name="_Toc55"/>
      <w:bookmarkEnd w:id="135"/>
      <w:bookmarkEnd w:id="136"/>
      <w:r>
        <w:rPr>
          <w:rtl w:val="true"/>
        </w:rPr>
        <w:t>نخبة</w:t>
      </w:r>
      <w:r>
        <w:rPr>
          <w:rtl w:val="true"/>
        </w:rPr>
        <w:t xml:space="preserve">: </w:t>
      </w:r>
      <w:r>
        <w:rPr>
          <w:rtl w:val="true"/>
        </w:rPr>
        <w:t>الأمر حقیقة فی المرّة</w:t>
      </w:r>
      <w:bookmarkEnd w:id="137"/>
    </w:p>
    <w:p>
      <w:pPr>
        <w:pStyle w:val="BookText"/>
        <w:rPr/>
      </w:pPr>
      <w:r>
        <w:rPr>
          <w:rFonts w:ascii="IRNazanin" w:hAnsi="IRNazanin" w:eastAsia="IRNazanin"/>
          <w:color w:val="111111"/>
          <w:sz w:val="28"/>
          <w:sz w:val="28"/>
          <w:szCs w:val="28"/>
          <w:rtl w:val="true"/>
          <w:lang w:bidi="fa-IR"/>
        </w:rPr>
        <w:t>، لا فی التکرار، و لا فی المشترک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ما سلفا فی الفور، لا ما قاله القائل بها؛ و أعمّیّته بالنسبة إلی التکرار قول من غیر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 لذوی مرّة بین أهل الاشتراک و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أهل الاشتراک علی الفرد و الأفراد و عمومیّته بالنسبة إلیهما حقّ کما یقول، و لکنّهما غیر المرّة و التکرار، فإنّ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معنی الماهیّة الخارجیّة المقصودة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الفرد، و کذلک التکرار أعمّ من الأفراد، و الأفراد أعمّ منه؛ فلا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باختصاصه بالتکرار فشاذّ و أدلّته ضعیفة؛ فلا 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المتعلّق بما یفید العلّیّة دائما یتکرّر بتکرّرها؛ ضرورة وجوب وجود المعلول عند العلّة،</w:t>
      </w:r>
      <w:r>
        <w:rPr>
          <w:rStyle w:val="FootnoteAnchor"/>
          <w:rtl w:val="true"/>
        </w:rPr>
        <w:footnoteReference w:id="158"/>
      </w:r>
      <w:r>
        <w:rPr>
          <w:rFonts w:ascii="IRNazanin" w:hAnsi="IRNazanin" w:eastAsia="IRNazanin"/>
          <w:color w:val="111111"/>
          <w:sz w:val="28"/>
          <w:sz w:val="28"/>
          <w:szCs w:val="28"/>
          <w:rtl w:val="true"/>
          <w:lang w:bidi="fa-IR"/>
        </w:rPr>
        <w:t>کما فی العبادات المتکرّرة</w:t>
      </w:r>
      <w:r>
        <w:rPr>
          <w:rFonts w:eastAsia="IRNazanin" w:cs="IRNazanin"/>
          <w:color w:val="111111"/>
          <w:sz w:val="28"/>
          <w:szCs w:val="28"/>
          <w:rtl w:val="true"/>
          <w:lang w:bidi="fa-IR"/>
        </w:rPr>
        <w:t>.</w:t>
      </w:r>
    </w:p>
    <w:p>
      <w:pPr>
        <w:pStyle w:val="Heading5"/>
        <w:numPr>
          <w:ilvl w:val="4"/>
          <w:numId w:val="1"/>
        </w:numPr>
        <w:rPr/>
      </w:pPr>
      <w:bookmarkStart w:id="138" w:name="__RefHeading___Toc3055505_2314609296"/>
      <w:bookmarkStart w:id="139" w:name="_Toc56"/>
      <w:bookmarkEnd w:id="138"/>
      <w:r>
        <w:rPr>
          <w:rtl w:val="true"/>
        </w:rPr>
        <w:t>نخبة</w:t>
      </w:r>
      <w:r>
        <w:rPr>
          <w:rtl w:val="true"/>
        </w:rPr>
        <w:t xml:space="preserve">: </w:t>
      </w:r>
      <w:r>
        <w:rPr>
          <w:rtl w:val="true"/>
        </w:rPr>
        <w:t>الأمر بالشی‌ء یستلزم الأمر بما لا یتمّ</w:t>
      </w:r>
      <w:bookmarkEnd w:id="139"/>
    </w:p>
    <w:p>
      <w:pPr>
        <w:pStyle w:val="BookText"/>
        <w:rPr/>
      </w:pPr>
      <w:r>
        <w:rPr>
          <w:rFonts w:ascii="IRNazanin" w:hAnsi="IRNazanin" w:eastAsia="IRNazanin"/>
          <w:color w:val="111111"/>
          <w:sz w:val="28"/>
          <w:sz w:val="28"/>
          <w:szCs w:val="28"/>
          <w:rtl w:val="true"/>
          <w:lang w:bidi="fa-IR"/>
        </w:rPr>
        <w:t xml:space="preserve">إلّا به، و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ترکه یستلزم جواز ترک المأمور به و هو ینافی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بدیهیّ، و منع الاستلزام مکابرة، و لا نعرف فیه مخالفا، و تفصیل السیّد رحمه اللّه غیر محقّق</w:t>
      </w:r>
      <w:r>
        <w:rPr>
          <w:rFonts w:eastAsia="IRNazanin" w:cs="IRNazanin"/>
          <w:color w:val="111111"/>
          <w:sz w:val="28"/>
          <w:szCs w:val="28"/>
          <w:rtl w:val="true"/>
          <w:lang w:bidi="fa-IR"/>
        </w:rPr>
        <w:t>.</w:t>
      </w:r>
      <w:r>
        <w:rPr>
          <w:rStyle w:val="FootnoteAnchor"/>
          <w:rtl w:val="true"/>
        </w:rPr>
        <w:footnoteReference w:id="15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محاکمة لأهل الفهم بین العقل</w:t>
      </w:r>
      <w:r>
        <w:rPr>
          <w:rStyle w:val="FootnoteAnchor"/>
          <w:rtl w:val="true"/>
        </w:rPr>
        <w:footnoteReference w:id="160"/>
      </w:r>
      <w:r>
        <w:rPr>
          <w:rFonts w:ascii="IRNazanin" w:hAnsi="IRNazanin" w:eastAsia="IRNazanin"/>
          <w:color w:val="111111"/>
          <w:sz w:val="28"/>
          <w:sz w:val="28"/>
          <w:szCs w:val="28"/>
          <w:rtl w:val="true"/>
          <w:lang w:bidi="fa-IR"/>
        </w:rPr>
        <w:t>و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الوهم من عدم ترتّب الذمّ علی ترکه إلی عدم وجوبه و هو فی محلّه، و لکن عدم وجوبه من حیث هو هو، لا من حیث کونه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ینکره العقل، بل لیس عنده معنی کون الشی‌ء مقدّمة إلّا هذا</w:t>
      </w:r>
      <w:r>
        <w:rPr>
          <w:rFonts w:eastAsia="IRNazanin" w:cs="IRNazanin"/>
          <w:color w:val="111111"/>
          <w:sz w:val="28"/>
          <w:szCs w:val="28"/>
          <w:rtl w:val="true"/>
          <w:lang w:bidi="fa-IR"/>
        </w:rPr>
        <w:t>.</w:t>
      </w:r>
      <w:bookmarkStart w:id="140" w:name="pg19819_193378"/>
    </w:p>
    <w:p>
      <w:pPr>
        <w:pStyle w:val="Heading5"/>
        <w:numPr>
          <w:ilvl w:val="4"/>
          <w:numId w:val="1"/>
        </w:numPr>
        <w:rPr/>
      </w:pPr>
      <w:bookmarkStart w:id="141" w:name="__RefHeading___Toc3055507_2314609296"/>
      <w:bookmarkStart w:id="142" w:name="_Toc57"/>
      <w:bookmarkEnd w:id="140"/>
      <w:bookmarkEnd w:id="141"/>
      <w:r>
        <w:rPr>
          <w:rtl w:val="true"/>
        </w:rPr>
        <w:t>نخبة</w:t>
      </w:r>
      <w:r>
        <w:rPr>
          <w:rtl w:val="true"/>
        </w:rPr>
        <w:t xml:space="preserve">: </w:t>
      </w:r>
      <w:r>
        <w:rPr>
          <w:rtl w:val="true"/>
        </w:rPr>
        <w:t>الأمر بالشی‌ء یتضمّن النهی عن ترکه</w:t>
      </w:r>
      <w:bookmarkEnd w:id="142"/>
    </w:p>
    <w:p>
      <w:pPr>
        <w:pStyle w:val="BookText"/>
        <w:rPr/>
      </w:pPr>
      <w:r>
        <w:rPr>
          <w:rFonts w:ascii="IRNazanin" w:hAnsi="IRNazanin" w:eastAsia="IRNazanin"/>
          <w:color w:val="111111"/>
          <w:sz w:val="28"/>
          <w:sz w:val="28"/>
          <w:szCs w:val="28"/>
          <w:rtl w:val="true"/>
          <w:lang w:bidi="fa-IR"/>
        </w:rPr>
        <w:t>، و هو المسمّی بالضدّ العامّ؛ و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یستلزم النهی عن الأضداد الوجودیّة، و هو المسمّی بالضدّ الخاصّ إذا ثبتت علّیّتها لترکه،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w:t>
      </w:r>
      <w:r>
        <w:rPr>
          <w:rStyle w:val="FootnoteAnchor"/>
          <w:rtl w:val="true"/>
        </w:rPr>
        <w:footnoteReference w:id="161"/>
      </w:r>
      <w:r>
        <w:rPr>
          <w:rFonts w:ascii="IRNazanin" w:hAnsi="IRNazanin" w:eastAsia="IRNazanin"/>
          <w:color w:val="111111"/>
          <w:sz w:val="28"/>
          <w:sz w:val="28"/>
          <w:szCs w:val="28"/>
          <w:rtl w:val="true"/>
          <w:lang w:bidi="fa-IR"/>
        </w:rPr>
        <w:t>هذا مراد المجمل؛ فلا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قد یقع الخیار فی أفراده فمخیّر، أو المکلّفین به فکفائی، و یقابلان بالعینی؛ أو أوقاته فموسّع، و یقابل بالمضیّق، و معنی الکلّ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إیجاب العزم حیرة، و المفعول فی وقته أداء، و ثانیا إعادة، و فی خارجه قضاء منوط بوجوب السبب و أمر جدید، و ظانّ الفوت عاص بتأخیره، فإذا استدرکه فأداء، و الظنّ لا یؤثّر فی التضییق، و العصیان لا یستلزمه، و المترتّب علیه أثره صحیح مطلقا، و الإجزاء أخصّ منه،</w:t>
      </w:r>
      <w:r>
        <w:rPr>
          <w:rStyle w:val="FootnoteAnchor"/>
          <w:rtl w:val="true"/>
        </w:rPr>
        <w:footnoteReference w:id="162"/>
      </w:r>
      <w:r>
        <w:rPr>
          <w:rFonts w:ascii="IRNazanin" w:hAnsi="IRNazanin" w:eastAsia="IRNazanin"/>
          <w:color w:val="111111"/>
          <w:sz w:val="28"/>
          <w:sz w:val="28"/>
          <w:szCs w:val="28"/>
          <w:rtl w:val="true"/>
          <w:lang w:bidi="fa-IR"/>
        </w:rPr>
        <w:t>و یقابل بالباطل و الفاسد، و المأذون فیه مع وجود المانع رخصة، و یقابل بالعزیمة، و اقتضاء الأمر الإجزاء ظاهر، و إتمام الحجّ الفاسد مجز بالنسبة إلی أمره الذی هو من جهة الإفساد، و ما یجوز ترکه لا یجب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الکعبی فی قوله بوجوب المباح</w:t>
      </w:r>
      <w:r>
        <w:rPr>
          <w:rStyle w:val="FootnoteAnchor"/>
          <w:rtl w:val="true"/>
        </w:rPr>
        <w:footnoteReference w:id="163"/>
      </w:r>
      <w:r>
        <w:rPr>
          <w:rFonts w:ascii="IRNazanin" w:hAnsi="IRNazanin" w:eastAsia="IRNazanin"/>
          <w:color w:val="111111"/>
          <w:sz w:val="28"/>
          <w:sz w:val="28"/>
          <w:szCs w:val="28"/>
          <w:rtl w:val="true"/>
          <w:lang w:bidi="fa-IR"/>
        </w:rPr>
        <w:t>علی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الفقهاء بوجوب صوم المسافر</w:t>
      </w:r>
      <w:r>
        <w:rPr>
          <w:rStyle w:val="FootnoteAnchor"/>
          <w:rtl w:val="true"/>
        </w:rPr>
        <w:footnoteReference w:id="164"/>
      </w:r>
      <w:r>
        <w:rPr>
          <w:rFonts w:ascii="Amiri" w:hAnsi="Amiri" w:eastAsia="Amiri" w:cs="Amiri"/>
          <w:color w:val="111111"/>
          <w:sz w:val="28"/>
          <w:sz w:val="28"/>
          <w:szCs w:val="28"/>
          <w:rtl w:val="true"/>
          <w:lang w:bidi="ar-SA"/>
        </w:rPr>
        <w:t>من جهة وجوب قضائه غفلة عن</w:t>
      </w:r>
      <w:r>
        <w:rPr>
          <w:rStyle w:val="FootnoteAnchor"/>
          <w:rtl w:val="true"/>
        </w:rPr>
        <w:footnoteReference w:id="165"/>
      </w:r>
      <w:r>
        <w:rPr>
          <w:rFonts w:ascii="IRNazanin" w:hAnsi="IRNazanin" w:eastAsia="IRNazanin"/>
          <w:color w:val="111111"/>
          <w:sz w:val="28"/>
          <w:sz w:val="28"/>
          <w:szCs w:val="28"/>
          <w:rtl w:val="true"/>
          <w:lang w:bidi="fa-IR"/>
        </w:rPr>
        <w:t>مناط القضاء</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الأمر بالمشروط مع علم الآمر بعدم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المجوّز علی الأمر الصوری، و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بقاء الجواز بعد نسخ الوجوب لو کان بالأصل فمسلّم و لا کلّیّة، و إن کان بمقتضی الأمر الموجب فخیال</w:t>
      </w:r>
      <w:r>
        <w:rPr>
          <w:rFonts w:eastAsia="IRNazanin" w:cs="IRNazanin"/>
          <w:color w:val="111111"/>
          <w:sz w:val="28"/>
          <w:szCs w:val="28"/>
          <w:rtl w:val="true"/>
          <w:lang w:bidi="fa-IR"/>
        </w:rPr>
        <w:t>.</w:t>
      </w:r>
      <w:bookmarkStart w:id="143" w:name="pg19819_193379"/>
    </w:p>
    <w:p>
      <w:pPr>
        <w:pStyle w:val="Heading5"/>
        <w:numPr>
          <w:ilvl w:val="4"/>
          <w:numId w:val="1"/>
        </w:numPr>
        <w:rPr/>
      </w:pPr>
      <w:bookmarkStart w:id="144" w:name="__RefHeading___Toc3055509_2314609296"/>
      <w:bookmarkStart w:id="145" w:name="_Toc58"/>
      <w:bookmarkEnd w:id="143"/>
      <w:bookmarkEnd w:id="144"/>
      <w:r>
        <w:rPr>
          <w:rtl w:val="true"/>
        </w:rPr>
        <w:t>نخبة</w:t>
      </w:r>
      <w:r>
        <w:rPr>
          <w:rtl w:val="true"/>
        </w:rPr>
        <w:t xml:space="preserve">: </w:t>
      </w:r>
      <w:r>
        <w:rPr>
          <w:rtl w:val="true"/>
        </w:rPr>
        <w:t xml:space="preserve">صیغة </w:t>
      </w:r>
      <w:r>
        <w:rPr>
          <w:rtl w:val="true"/>
        </w:rPr>
        <w:t>«</w:t>
      </w:r>
      <w:r>
        <w:rPr>
          <w:rtl w:val="true"/>
        </w:rPr>
        <w:t>لا تفعل</w:t>
      </w:r>
      <w:r>
        <w:rPr>
          <w:rtl w:val="true"/>
        </w:rPr>
        <w:t xml:space="preserve">» </w:t>
      </w:r>
      <w:r>
        <w:rPr>
          <w:rtl w:val="true"/>
        </w:rPr>
        <w:t>و ما فی معناها حقیقة فی التحریم</w:t>
      </w:r>
      <w:bookmarkEnd w:id="145"/>
    </w:p>
    <w:p>
      <w:pPr>
        <w:pStyle w:val="BookText"/>
        <w:rPr/>
      </w:pPr>
      <w:r>
        <w:rPr>
          <w:rFonts w:ascii="IRNazanin" w:hAnsi="IRNazanin" w:eastAsia="IRNazanin"/>
          <w:color w:val="111111"/>
          <w:sz w:val="28"/>
          <w:sz w:val="28"/>
          <w:szCs w:val="28"/>
          <w:rtl w:val="true"/>
          <w:lang w:bidi="fa-IR"/>
        </w:rPr>
        <w:t>، 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 تسمیتها بصیغة النهی و الإضافة للاختصاص، و معنی النهی التحریم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المحاکمة بین الأقوال کما سبق فی الأمر، و دلالتها علی الفور و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وراء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المحاکمة کما فی الأمر تدلّ علی فساد متعلّقها من حیث هو هو مطلقا کما علیه الشیخ،</w:t>
      </w:r>
      <w:r>
        <w:rPr>
          <w:rStyle w:val="FootnoteAnchor"/>
          <w:rtl w:val="true"/>
        </w:rPr>
        <w:footnoteReference w:id="166"/>
      </w:r>
      <w:r>
        <w:rPr>
          <w:rFonts w:ascii="IRNazanin" w:hAnsi="IRNazanin" w:eastAsia="IRNazanin"/>
          <w:color w:val="111111"/>
          <w:sz w:val="28"/>
          <w:sz w:val="28"/>
          <w:szCs w:val="28"/>
          <w:rtl w:val="true"/>
          <w:lang w:bidi="fa-IR"/>
        </w:rPr>
        <w:t>و إلّا فلا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إذن الشارع و رضاه، و التحریم منعه و عدم رضاه؛ فلا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التحریم إنّما تعلّق بالشی‌ء من حیث کونه مقدّمة للحرام، و الإذن و الرضاء إنّما تعلّق به من حیث هو هو، فمحلّ المتعلّقین المتنافیین المعنویین فی الحقیقة لیس واحدا، و إنّما اتّحد فی الخارج، و هذا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المسألة التی یعبّرون عنها باجتماع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 للعاقلین بین المجملین و المفصّلین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بدلالتها علی الفساد علی الإجمال بناؤه علی القسم الأوّل، و القائل بعدمها علی الإجمال أیضا بناؤه علی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بدلالتها علی الصحّة فمبنیّ علی بعض التوهّمات و الخیالات، کالقول بالتفصیل بین العبادات و المعاملات، فلا اعتماد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 للممیّزین بین المانعین و المجوّزین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اجتماع الأمر و النهی، فقیل بالمنع، و قیل بالجواز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اجتماع المتنافیین فی المحلّ الواحد فی الحقیقة أو فی</w:t>
      </w:r>
      <w:bookmarkStart w:id="146" w:name="pg19819_193380"/>
    </w:p>
    <w:p>
      <w:pPr>
        <w:pStyle w:val="BookText"/>
        <w:rPr/>
      </w:pPr>
      <w:bookmarkEnd w:id="146"/>
      <w:r>
        <w:rPr>
          <w:rFonts w:ascii="IRNazanin" w:hAnsi="IRNazanin" w:eastAsia="IRNazanin"/>
          <w:color w:val="111111"/>
          <w:sz w:val="28"/>
          <w:sz w:val="28"/>
          <w:szCs w:val="28"/>
          <w:rtl w:val="true"/>
          <w:lang w:bidi="fa-IR"/>
        </w:rPr>
        <w:t>الخارج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حقّ و لکن بناؤه علی أن یکون المتنافیان عینین، و بناء المجوّز علی کونهما معنیین و اتّحاد محلّهما فی الخارج، لا وحدته فی الحقیقة، فإنّه حینئذ جائز</w:t>
      </w:r>
      <w:r>
        <w:rPr>
          <w:rFonts w:eastAsia="IRNazanin" w:cs="IRNazanin"/>
          <w:color w:val="111111"/>
          <w:sz w:val="28"/>
          <w:szCs w:val="28"/>
          <w:rtl w:val="true"/>
          <w:lang w:bidi="fa-IR"/>
        </w:rPr>
        <w:t>.</w:t>
      </w:r>
    </w:p>
    <w:p>
      <w:pPr>
        <w:pStyle w:val="Heading5"/>
        <w:numPr>
          <w:ilvl w:val="4"/>
          <w:numId w:val="1"/>
        </w:numPr>
        <w:rPr/>
      </w:pPr>
      <w:bookmarkStart w:id="147" w:name="__RefHeading___Toc3055511_2314609296"/>
      <w:bookmarkStart w:id="148" w:name="_Toc59"/>
      <w:bookmarkEnd w:id="147"/>
      <w:r>
        <w:rPr>
          <w:rtl w:val="true"/>
        </w:rPr>
        <w:t>[</w:t>
      </w:r>
      <w:r>
        <w:rPr>
          <w:rtl w:val="true"/>
        </w:rPr>
        <w:t>نخبة</w:t>
      </w:r>
      <w:r>
        <w:rPr>
          <w:rtl w:val="true"/>
        </w:rPr>
        <w:t xml:space="preserve">: </w:t>
      </w:r>
      <w:r>
        <w:rPr>
          <w:rtl w:val="true"/>
        </w:rPr>
        <w:t>تأخر البیان عن وقت الحاجة ممنوع</w:t>
      </w:r>
      <w:r>
        <w:rPr>
          <w:rtl w:val="true"/>
        </w:rPr>
        <w:t>]</w:t>
      </w:r>
      <w:bookmarkEnd w:id="148"/>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w:t>
      </w:r>
      <w:r>
        <w:rPr>
          <w:rStyle w:val="FootnoteAnchor"/>
          <w:rtl w:val="true"/>
        </w:rPr>
        <w:footnoteReference w:id="167"/>
      </w:r>
      <w:r>
        <w:rPr>
          <w:rFonts w:ascii="IRNazanin" w:hAnsi="IRNazanin" w:eastAsia="IRNazanin"/>
          <w:color w:val="111111"/>
          <w:sz w:val="28"/>
          <w:sz w:val="28"/>
          <w:szCs w:val="28"/>
          <w:rtl w:val="true"/>
          <w:lang w:bidi="fa-IR"/>
        </w:rPr>
        <w:t>الأمر و النهی بالشرط و الوصف و الغایة یحصّل لهما مفهوما مخالفا لمنطوقهما، و یسمّی دلیل الخطاب، و یقابل بلحن الخطاب و فحوی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 معنی الشرط و التخصیص و الغایة، و المنکر مکابر، و احتمال البدل فی الشرط و فائدة اخری و غیره لا یعارض الظاهر</w:t>
      </w:r>
      <w:r>
        <w:rPr>
          <w:rFonts w:eastAsia="IRNazanin" w:cs="IRNazanin"/>
          <w:color w:val="111111"/>
          <w:sz w:val="28"/>
          <w:szCs w:val="28"/>
          <w:rtl w:val="true"/>
          <w:lang w:bidi="fa-IR"/>
        </w:rPr>
        <w:t>.</w:t>
      </w:r>
    </w:p>
    <w:p>
      <w:pPr>
        <w:pStyle w:val="Heading4"/>
        <w:numPr>
          <w:ilvl w:val="3"/>
          <w:numId w:val="1"/>
        </w:numPr>
        <w:rPr/>
      </w:pPr>
      <w:bookmarkStart w:id="149" w:name="__RefHeading___Toc3055513_2314609296"/>
      <w:bookmarkStart w:id="150" w:name="_Toc60"/>
      <w:bookmarkEnd w:id="149"/>
      <w:r>
        <w:rPr>
          <w:rtl w:val="true"/>
        </w:rPr>
        <w:t>الباب الثانی فی أحوال الأوامر و النواهی</w:t>
      </w:r>
      <w:bookmarkEnd w:id="150"/>
    </w:p>
    <w:p>
      <w:pPr>
        <w:pStyle w:val="Heading5"/>
        <w:numPr>
          <w:ilvl w:val="4"/>
          <w:numId w:val="1"/>
        </w:numPr>
        <w:rPr/>
      </w:pPr>
      <w:bookmarkStart w:id="151" w:name="__RefHeading___Toc3055515_2314609296"/>
      <w:bookmarkStart w:id="152" w:name="_Toc61"/>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مجاز فیه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لکلّ الأفراد وضعا عامّ، و المخرج لبعضها مخصّص، و هو حینئذ مخصوص و خاصّ، و الدالّ علی الماهیّة المطلقة مطلق، و علیها بصفة زائدة مقیّد، و هو حینئذ مقیّد، و المحتمل للمعنیین علی السواء مجمل، و المعیّن لأحدهما مبیّن و بیان، و هو حینئذ مبیّن، و ما لم یحتمل نصّ، و إلّا فالراجح ظاهر و المرجوح مأوّل، و ذو الرجحان مطلقا محکم، و منفیّه متشابه، و الرافع الشرعی للحکم الشرعی ناسخ، و المرفوع منسوخ</w:t>
      </w:r>
      <w:r>
        <w:rPr>
          <w:rFonts w:eastAsia="IRNazanin" w:cs="IRNazanin"/>
          <w:color w:val="111111"/>
          <w:sz w:val="28"/>
          <w:szCs w:val="28"/>
          <w:rtl w:val="true"/>
          <w:lang w:bidi="fa-IR"/>
        </w:rPr>
        <w:t>.</w:t>
      </w:r>
    </w:p>
    <w:p>
      <w:pPr>
        <w:pStyle w:val="Heading5"/>
        <w:numPr>
          <w:ilvl w:val="4"/>
          <w:numId w:val="1"/>
        </w:numPr>
        <w:rPr/>
      </w:pPr>
      <w:bookmarkStart w:id="153" w:name="__RefHeading___Toc3055517_2314609296"/>
      <w:bookmarkStart w:id="154" w:name="_Toc62"/>
      <w:bookmarkEnd w:id="153"/>
      <w:r>
        <w:rPr>
          <w:rtl w:val="true"/>
        </w:rPr>
        <w:t>نخبة</w:t>
      </w:r>
      <w:r>
        <w:rPr>
          <w:rtl w:val="true"/>
        </w:rPr>
        <w:t xml:space="preserve">: </w:t>
      </w:r>
      <w:r>
        <w:rPr>
          <w:rtl w:val="true"/>
        </w:rPr>
        <w:t>الصیغ الثابت عمومها حقائق فیه</w:t>
      </w:r>
      <w:r>
        <w:rPr>
          <w:rtl w:val="true"/>
        </w:rPr>
        <w:t>.</w:t>
      </w:r>
      <w:bookmarkEnd w:id="15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و صحّة الاستثناء،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 المنفیّة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 لذی فهم جیّد بین الشیخ و السیّد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حجّة السیّد رحمه اللّه علی الاشتراک قویّة، و مذهبه أتقن، و لکن لا منافاة؛ لجواز أن یکون اللفظ مشترکا و یتبادر منه عند الإطلاق واحد من معانیه بجعل الإطلاق قرینة علیه کما مرّ فی الأمر، و هذا ظاهر و له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باختصاصها بالخصوص فشاذّ، و دلیله ضعیف مدخول، فلا 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فقد سقط من البین مسألة أنّ العامّ المخصوص هل هو حجّة، أم لا؟</w:t>
      </w:r>
    </w:p>
    <w:p>
      <w:pPr>
        <w:pStyle w:val="BookText"/>
        <w:rPr/>
      </w:pPr>
      <w:r>
        <w:rPr>
          <w:rFonts w:ascii="IRNazanin" w:hAnsi="IRNazanin" w:eastAsia="IRNazanin"/>
          <w:color w:val="111111"/>
          <w:sz w:val="28"/>
          <w:sz w:val="28"/>
          <w:szCs w:val="28"/>
          <w:rtl w:val="true"/>
          <w:lang w:bidi="fa-IR"/>
        </w:rPr>
        <w:t>وصل فصول و هی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أنّ فهم المعانی إنّما هو بالنقل أو التبادر و الظهور، فلا فائدة للبحث عمّا اختلف فی عمومها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تفید العموم، أم لا؟ لأنّها إن کانت بحیث یتبادر منها العموم عند الإطلاق، فهی للعموم،</w:t>
      </w:r>
      <w:r>
        <w:rPr>
          <w:rStyle w:val="FootnoteAnchor"/>
          <w:rtl w:val="true"/>
        </w:rPr>
        <w:footnoteReference w:id="169"/>
      </w:r>
      <w:r>
        <w:rPr>
          <w:rFonts w:ascii="IRNazanin" w:hAnsi="IRNazanin" w:eastAsia="IRNazanin"/>
          <w:color w:val="111111"/>
          <w:sz w:val="28"/>
          <w:sz w:val="28"/>
          <w:szCs w:val="28"/>
          <w:rtl w:val="true"/>
          <w:lang w:bidi="fa-IR"/>
        </w:rPr>
        <w:t>و إلّا فدائرة مدار القرینة، و لکن هنا، محاکمة لا بدّ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قد اختلف فی شمول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للمعدومین،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أنا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بناء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یخاطب المعدومین؛ لامتناع مخاطبة المعدوم، و بناء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اللفظ بحسب الوضع شامل لهم کما هو معنی العموم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منافاة بین امتناع خطاب المعدومین</w:t>
      </w:r>
      <w:r>
        <w:rPr>
          <w:rStyle w:val="FootnoteAnchor"/>
          <w:rtl w:val="true"/>
        </w:rPr>
        <w:footnoteReference w:id="170"/>
      </w:r>
      <w:r>
        <w:rPr>
          <w:rFonts w:ascii="IRNazanin" w:hAnsi="IRNazanin" w:eastAsia="IRNazanin"/>
          <w:color w:val="111111"/>
          <w:sz w:val="28"/>
          <w:sz w:val="28"/>
          <w:szCs w:val="28"/>
          <w:rtl w:val="true"/>
          <w:lang w:bidi="fa-IR"/>
        </w:rPr>
        <w:t>و بین شمول اللفظ لهم، بل هذا قسم من الکلام الذی یسمّیه المنطقیّون بالقضیّة الحقیقیّة، و هی أن یکون وجود الموضوع فیها تقدیرا، و هذا هو مسألة أنّ خطاب المعدوم جائز أم لا؟ و الذی ذکرته هو مراد المجوّز، فلا نزاع</w:t>
      </w:r>
      <w:r>
        <w:rPr>
          <w:rFonts w:eastAsia="IRNazanin" w:cs="IRNazanin"/>
          <w:color w:val="111111"/>
          <w:sz w:val="28"/>
          <w:szCs w:val="28"/>
          <w:rtl w:val="true"/>
          <w:lang w:bidi="fa-IR"/>
        </w:rPr>
        <w:t>.</w:t>
      </w:r>
      <w:bookmarkStart w:id="155" w:name="pg19819_193382"/>
    </w:p>
    <w:p>
      <w:pPr>
        <w:pStyle w:val="Heading5"/>
        <w:numPr>
          <w:ilvl w:val="4"/>
          <w:numId w:val="1"/>
        </w:numPr>
        <w:rPr/>
      </w:pPr>
      <w:bookmarkStart w:id="156" w:name="__RefHeading___Toc3055519_2314609296"/>
      <w:bookmarkStart w:id="157" w:name="_Toc63"/>
      <w:bookmarkEnd w:id="155"/>
      <w:bookmarkEnd w:id="156"/>
      <w:r>
        <w:rPr>
          <w:rtl w:val="true"/>
        </w:rPr>
        <w:t>نخبة</w:t>
      </w:r>
      <w:r>
        <w:rPr>
          <w:rtl w:val="true"/>
        </w:rPr>
        <w:t xml:space="preserve">: </w:t>
      </w:r>
      <w:r>
        <w:rPr>
          <w:rtl w:val="true"/>
        </w:rPr>
        <w:t>مخصّص العامّ متّصل و منفصل، و المتّصل</w:t>
      </w:r>
      <w:r>
        <w:rPr>
          <w:rtl w:val="true"/>
        </w:rPr>
        <w:t>:</w:t>
      </w:r>
      <w:bookmarkEnd w:id="157"/>
    </w:p>
    <w:p>
      <w:pPr>
        <w:pStyle w:val="BookText"/>
        <w:rPr/>
      </w:pPr>
      <w:r>
        <w:rPr>
          <w:rFonts w:ascii="IRNazanin" w:hAnsi="IRNazanin" w:eastAsia="IRNazanin"/>
          <w:color w:val="111111"/>
          <w:sz w:val="28"/>
          <w:sz w:val="28"/>
          <w:szCs w:val="28"/>
          <w:rtl w:val="true"/>
          <w:lang w:bidi="fa-IR"/>
        </w:rPr>
        <w:t>الاستثناء المتّصل، و الصفة، و الشرط، و الغایة، و بدل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ثمرة فیها؛ لأنّ ثمرة العامّ و الخاصّ الجمع بین الدلیلین فی التعارض، و لا تعارض بین الکلام المتّصل، و لکن هنا رجال لهم أقوال لا بدّ من الدوران فیها المتعقّب منها للعامّ 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القطع بکونه مخصّصا للأخیر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للاختصاص به و الاشتراک بینه و بین الباقی، فهو مجمل حتّی یتبیّن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الضمیر الراجع إلی بعض العامّ بدلیل خارج لا یخصّصه، کما فی وَ الْمُطَلَّقاتُ یَتَرَبَّصْنَ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w:t>
      </w:r>
      <w:r>
        <w:rPr>
          <w:rStyle w:val="FootnoteAnchor"/>
          <w:rtl w:val="true"/>
        </w:rPr>
        <w:footnoteReference w:id="171"/>
      </w:r>
      <w:r>
        <w:rPr>
          <w:rFonts w:ascii="IRNazanin" w:hAnsi="IRNazanin" w:eastAsia="IRNazanin"/>
          <w:color w:val="111111"/>
          <w:sz w:val="28"/>
          <w:sz w:val="28"/>
          <w:szCs w:val="28"/>
          <w:rtl w:val="true"/>
          <w:lang w:bidi="fa-IR"/>
        </w:rPr>
        <w:t>لأنّ رجوعه إلی بعضه لا ینافی عمومه، و تخصیصه لتطابق المرجع به لا معنی له؛ لأنّ مرجعه لیس الکلّ، بل البعض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یظهر ضعف التوقّف و السبب و مذهب الراوی و ذکر البعض و العادة و کون الشخص مخاطبا أو متکلّما أو عبدا أو کافرا و قصد المدح أو الذمّ و کلّ ما لیس منافیا للعموم لیست مخصّصات؛ لأنّ التخصیص المخالف للظاهر إنّما جاز من جهة المنافاة، و لا یجوز التخصیص حتّی یستغرق، و دونه لا حدّ له بل تابع للمقامات العرفیّة فی الحسن و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العمل بالعامّ قبل الفحص عن المخصّص إذا ظنّ عدمه، و إلّا فلا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کلّ عامّ وجود مخصّصه و عدمه سواء؛ لشیوع العامّ مع الخاصّ معارض بشیوع ذکره معه متّصلا، و بناء المجوّز المجمل علی الأوّل و المانع المجمل علی الثانی؛ فلا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نزاع بین المثبت قدر البحث حتّی یحصل الیقین، و مثبته حتّی یحصل الظنّ؛ لأنّ بناء الأوّل علی الیقین العادی، و بناء الثانی علی الظنّ العقلی</w:t>
      </w:r>
      <w:r>
        <w:rPr>
          <w:rFonts w:eastAsia="IRNazanin" w:cs="IRNazanin"/>
          <w:color w:val="111111"/>
          <w:sz w:val="28"/>
          <w:szCs w:val="28"/>
          <w:rtl w:val="true"/>
          <w:lang w:bidi="fa-IR"/>
        </w:rPr>
        <w:t>.</w:t>
      </w:r>
      <w:bookmarkStart w:id="158" w:name="pg19819_193383"/>
    </w:p>
    <w:p>
      <w:pPr>
        <w:pStyle w:val="BookText"/>
        <w:rPr/>
      </w:pPr>
      <w:bookmarkEnd w:id="158"/>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المخصّص المنفصل، فهو کلّ دلیل شرعی ینافی عموم العامّ مقارنا أو متأخّرا، قبل العمل بعمومه، أو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الجمع بین الأدلّة و الاستعمال بلا معارض، و تأخیر البیان إلی وقت الحاجة جائز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النسخ موقوف علی ما الأصل فیه العدم، و أمّا المتأخّر بعد العمل فناسخ بالاتّفاق، و المتقدّم منسوخ کالمرتضی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أنّ مناط الدلالة الفهم، و لا یفهم عرفا من العامّ المتأخّر إلّا کونه ناسخا و لا معارض له، و لا عبرة بأولویّة التخصیص و لا غیرها عند ظهور المعنی، فیخصّص الکتاب به و بالمتواتر و لو حکما و</w:t>
      </w:r>
      <w:r>
        <w:rPr>
          <w:rStyle w:val="FootnoteAnchor"/>
          <w:rtl w:val="true"/>
        </w:rPr>
        <w:footnoteReference w:id="172"/>
      </w:r>
      <w:r>
        <w:rPr>
          <w:rFonts w:ascii="IRNazanin" w:hAnsi="IRNazanin" w:eastAsia="IRNazanin"/>
          <w:color w:val="111111"/>
          <w:sz w:val="28"/>
          <w:sz w:val="28"/>
          <w:szCs w:val="28"/>
          <w:rtl w:val="true"/>
          <w:lang w:bidi="fa-IR"/>
        </w:rPr>
        <w:t>بالإجماع و هی بمثلها و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الواحد، فلا یعارض شیئا لا سیّما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باب لکلّ أوّاب</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اعلم أنّک فی سعة من حمل</w:t>
      </w:r>
      <w:r>
        <w:rPr>
          <w:rStyle w:val="FootnoteAnchor"/>
          <w:rtl w:val="true"/>
        </w:rPr>
        <w:footnoteReference w:id="174"/>
      </w:r>
      <w:r>
        <w:rPr>
          <w:rFonts w:ascii="IRNazanin" w:hAnsi="IRNazanin" w:eastAsia="IRNazanin"/>
          <w:color w:val="111111"/>
          <w:sz w:val="28"/>
          <w:sz w:val="28"/>
          <w:szCs w:val="28"/>
          <w:rtl w:val="true"/>
          <w:lang w:bidi="fa-IR"/>
        </w:rPr>
        <w:t>القدر المنافی من العامّ المجوّز علی الرخصة، و حمل المخصّص المانع علی الکراهة، و بالعکس خصوصا إذا تمسّک</w:t>
      </w:r>
      <w:r>
        <w:rPr>
          <w:rStyle w:val="FootnoteAnchor"/>
          <w:rtl w:val="true"/>
        </w:rPr>
        <w:footnoteReference w:id="175"/>
      </w:r>
      <w:r>
        <w:rPr>
          <w:rFonts w:ascii="IRNazanin" w:hAnsi="IRNazanin" w:eastAsia="IRNazanin"/>
          <w:color w:val="111111"/>
          <w:sz w:val="28"/>
          <w:sz w:val="28"/>
          <w:szCs w:val="28"/>
          <w:rtl w:val="true"/>
          <w:lang w:bidi="fa-IR"/>
        </w:rPr>
        <w:t>فی هذا الباب بالجمع بین الأدلّة، فإنّ هذا جمع شائع عندهم لا سیّما فیما إذا لم یحتمل النسخ کما فی أخبار الأئمّة علیهم السّلام</w:t>
      </w:r>
      <w:r>
        <w:rPr>
          <w:rFonts w:eastAsia="IRNazanin" w:cs="IRNazanin"/>
          <w:color w:val="111111"/>
          <w:sz w:val="28"/>
          <w:szCs w:val="28"/>
          <w:rtl w:val="true"/>
          <w:lang w:bidi="fa-IR"/>
        </w:rPr>
        <w:t>.</w:t>
      </w:r>
    </w:p>
    <w:p>
      <w:pPr>
        <w:pStyle w:val="Heading5"/>
        <w:numPr>
          <w:ilvl w:val="4"/>
          <w:numId w:val="1"/>
        </w:numPr>
        <w:rPr/>
      </w:pPr>
      <w:bookmarkStart w:id="159" w:name="__RefHeading___Toc3055521_2314609296"/>
      <w:bookmarkStart w:id="160" w:name="_Toc64"/>
      <w:bookmarkEnd w:id="159"/>
      <w:r>
        <w:rPr>
          <w:rtl w:val="true"/>
        </w:rPr>
        <w:t>نخبة فی المطلق و المقیّد</w:t>
      </w:r>
      <w:r>
        <w:rPr>
          <w:rtl w:val="true"/>
        </w:rPr>
        <w:t>:</w:t>
      </w:r>
      <w:bookmarkEnd w:id="1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اختلف حکما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کأکرم 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حمل مطلقا إجماعا إلّا مع التوقّف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تملک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اتّحدا فإن اتّحد موجبهما أیضا و هما مثبتان، فیحمل المطلق علیه إجماعا، أو منفیّان فیعمل بهما إجماعا، و إن اختلف فلا حمل إجماعا منّا، و لا تعویل علی بعض التوهّمات هاهنا</w:t>
      </w:r>
      <w:r>
        <w:rPr>
          <w:rFonts w:eastAsia="IRNazanin" w:cs="IRNazanin"/>
          <w:color w:val="111111"/>
          <w:sz w:val="28"/>
          <w:szCs w:val="28"/>
          <w:rtl w:val="true"/>
          <w:lang w:bidi="fa-IR"/>
        </w:rPr>
        <w:t>.</w:t>
      </w:r>
      <w:bookmarkStart w:id="161" w:name="pg19819_193384"/>
    </w:p>
    <w:p>
      <w:pPr>
        <w:pStyle w:val="Heading5"/>
        <w:numPr>
          <w:ilvl w:val="4"/>
          <w:numId w:val="1"/>
        </w:numPr>
        <w:rPr/>
      </w:pPr>
      <w:bookmarkStart w:id="162" w:name="__RefHeading___Toc3055523_2314609296"/>
      <w:bookmarkStart w:id="163" w:name="_Toc65"/>
      <w:bookmarkEnd w:id="161"/>
      <w:bookmarkEnd w:id="162"/>
      <w:r>
        <w:rPr>
          <w:rtl w:val="true"/>
        </w:rPr>
        <w:t>نخبة فی المجمل</w:t>
      </w:r>
      <w:r>
        <w:rPr>
          <w:rtl w:val="true"/>
        </w:rPr>
        <w:t>:</w:t>
      </w:r>
      <w:bookmarkEnd w:id="163"/>
    </w:p>
    <w:p>
      <w:pPr>
        <w:pStyle w:val="BookText"/>
        <w:rPr/>
      </w:pPr>
      <w:r>
        <w:rPr>
          <w:rFonts w:ascii="IRNazanin" w:hAnsi="IRNazanin" w:eastAsia="IRNazanin"/>
          <w:color w:val="111111"/>
          <w:sz w:val="28"/>
          <w:sz w:val="28"/>
          <w:szCs w:val="28"/>
          <w:rtl w:val="true"/>
          <w:lang w:bidi="fa-IR"/>
        </w:rPr>
        <w:t>و هو إمّا قول أو فعل، و لا شی‌ء أکثر من هذا نتعرّض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 آیات کآیة السرقة</w:t>
      </w:r>
      <w:r>
        <w:rPr>
          <w:rStyle w:val="FootnoteAnchor"/>
          <w:rtl w:val="true"/>
        </w:rPr>
        <w:footnoteReference w:id="176"/>
      </w:r>
      <w:r>
        <w:rPr>
          <w:rFonts w:ascii="IRNazanin" w:hAnsi="IRNazanin" w:eastAsia="IRNazanin"/>
          <w:color w:val="111111"/>
          <w:sz w:val="28"/>
          <w:sz w:val="28"/>
          <w:szCs w:val="28"/>
          <w:rtl w:val="true"/>
          <w:lang w:bidi="fa-IR"/>
        </w:rPr>
        <w:t>و المسح</w:t>
      </w:r>
      <w:r>
        <w:rPr>
          <w:rStyle w:val="FootnoteAnchor"/>
          <w:rtl w:val="true"/>
        </w:rPr>
        <w:footnoteReference w:id="177"/>
      </w:r>
      <w:r>
        <w:rPr>
          <w:rFonts w:ascii="IRNazanin" w:hAnsi="IRNazanin" w:eastAsia="IRNazanin"/>
          <w:color w:val="111111"/>
          <w:sz w:val="28"/>
          <w:sz w:val="28"/>
          <w:szCs w:val="28"/>
          <w:rtl w:val="true"/>
          <w:lang w:bidi="fa-IR"/>
        </w:rPr>
        <w:t>و تحریم الأمّهات</w:t>
      </w:r>
      <w:r>
        <w:rPr>
          <w:rStyle w:val="FootnoteAnchor"/>
          <w:rtl w:val="true"/>
        </w:rPr>
        <w:footnoteReference w:id="178"/>
      </w:r>
      <w:r>
        <w:rPr>
          <w:rFonts w:ascii="IRNazanin" w:hAnsi="IRNazanin" w:eastAsia="IRNazanin"/>
          <w:color w:val="111111"/>
          <w:sz w:val="28"/>
          <w:sz w:val="28"/>
          <w:szCs w:val="28"/>
          <w:rtl w:val="true"/>
          <w:lang w:bidi="fa-IR"/>
        </w:rPr>
        <w:t>قد اختلفوا هل فیها إجمال، أم لا؟ فلکلّ خیال، و أنا أزید علی خیالهم خیالا، و علی تفصیلهم إجمالا، و علی جولانهم خبالا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أنّ الإجمال عبارة عن الاحتمال للمعنیین علی السواء، فحیثما کان کذلک فهو مجمل، و إلّا فلا، و لا ثمرة فی القیل و القال؛ لأنّ الإجمال و البیان یختلفان باختلاف الأذهان و موارد الاستعمالات و الأزمان، فمن لم یقف إلّا علی الإجمال فلیقف عنده، و من عرف البیان فلیعمل به کعملی ببیانی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صلاة حقیقة فی الشرع إلّا به،</w:t>
      </w:r>
      <w:r>
        <w:rPr>
          <w:rStyle w:val="FootnoteAnchor"/>
          <w:rtl w:val="true"/>
        </w:rPr>
        <w:footnoteReference w:id="179"/>
      </w:r>
      <w:r>
        <w:rPr>
          <w:rFonts w:ascii="IRNazanin" w:hAnsi="IRNazanin" w:eastAsia="IRNazanin"/>
          <w:color w:val="111111"/>
          <w:sz w:val="28"/>
          <w:sz w:val="28"/>
          <w:szCs w:val="28"/>
          <w:rtl w:val="true"/>
          <w:lang w:bidi="fa-IR"/>
        </w:rPr>
        <w:t>و لا یفتقر إلی تقدیر الصحّة، فکلّ یعمل علی شاکلته، فربّکم أعلم بمن هو أهدی سبیلا</w:t>
      </w:r>
      <w:r>
        <w:rPr>
          <w:rFonts w:eastAsia="IRNazanin" w:cs="IRNazanin"/>
          <w:color w:val="111111"/>
          <w:sz w:val="28"/>
          <w:szCs w:val="28"/>
          <w:rtl w:val="true"/>
          <w:lang w:bidi="fa-IR"/>
        </w:rPr>
        <w:t>.</w:t>
      </w:r>
    </w:p>
    <w:p>
      <w:pPr>
        <w:pStyle w:val="Heading5"/>
        <w:numPr>
          <w:ilvl w:val="4"/>
          <w:numId w:val="1"/>
        </w:numPr>
        <w:rPr/>
      </w:pPr>
      <w:bookmarkStart w:id="164" w:name="__RefHeading___Toc3055525_2314609296"/>
      <w:bookmarkStart w:id="165" w:name="_Toc66"/>
      <w:bookmarkEnd w:id="164"/>
      <w:r>
        <w:rPr>
          <w:rtl w:val="true"/>
        </w:rPr>
        <w:t>[</w:t>
      </w:r>
      <w:r>
        <w:rPr>
          <w:rtl w:val="true"/>
        </w:rPr>
        <w:t>نخبة</w:t>
      </w:r>
      <w:r>
        <w:rPr>
          <w:rtl w:val="true"/>
        </w:rPr>
        <w:t xml:space="preserve">: </w:t>
      </w:r>
      <w:r>
        <w:rPr>
          <w:rtl w:val="true"/>
        </w:rPr>
        <w:t>تأخر البیان عن وقت الحاجة ممنوع</w:t>
      </w:r>
      <w:r>
        <w:rPr>
          <w:rtl w:val="true"/>
        </w:rPr>
        <w:t>]</w:t>
      </w:r>
      <w:bookmarkEnd w:id="165"/>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بالقول، و قد یکون بالفعل، و تأخیره عن وقت الحاجة ممنوع إجماعا، و إلیه جائز مطلقا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عدم المانع منه و عدم دلیل علی الاقتران، مع الوقوع کذلک فی الشرع و غیره، و فی النسخ اتّفاقی، و قبح خطاب الزنجی بالعربی من جهة عدم الفائدة مطلقا، و قبح الإغراء بالجهل فیما له ظاهر کالعامّ ثابت إذا عمل بمضمونه، لا دونه خصوصا إذا کان فیه مصلحة، و ظاهر</w:t>
      </w:r>
      <w:r>
        <w:rPr>
          <w:rStyle w:val="FootnoteAnchor"/>
          <w:rtl w:val="true"/>
        </w:rPr>
        <w:footnoteReference w:id="180"/>
      </w:r>
      <w:r>
        <w:rPr>
          <w:rFonts w:ascii="Amiri" w:hAnsi="Amiri" w:eastAsia="Amiri" w:cs="Amiri"/>
          <w:color w:val="111111"/>
          <w:sz w:val="28"/>
          <w:sz w:val="28"/>
          <w:szCs w:val="28"/>
          <w:rtl w:val="true"/>
          <w:lang w:bidi="ar-SA"/>
        </w:rPr>
        <w:t>، أنّ بناء المجوّز</w:t>
      </w:r>
      <w:r>
        <w:rPr>
          <w:rStyle w:val="FootnoteAnchor"/>
          <w:rtl w:val="true"/>
        </w:rPr>
        <w:footnoteReference w:id="181"/>
      </w:r>
      <w:r>
        <w:rPr>
          <w:rFonts w:ascii="IRNazanin" w:hAnsi="IRNazanin" w:eastAsia="IRNazanin"/>
          <w:color w:val="111111"/>
          <w:sz w:val="28"/>
          <w:sz w:val="28"/>
          <w:szCs w:val="28"/>
          <w:rtl w:val="true"/>
          <w:lang w:bidi="fa-IR"/>
        </w:rPr>
        <w:t>علی وجودها، و بناء المانع</w:t>
      </w:r>
      <w:r>
        <w:rPr>
          <w:rStyle w:val="FootnoteAnchor"/>
          <w:rtl w:val="true"/>
        </w:rPr>
        <w:footnoteReference w:id="182"/>
      </w:r>
      <w:r>
        <w:rPr>
          <w:rFonts w:ascii="IRNazanin" w:hAnsi="IRNazanin" w:eastAsia="IRNazanin"/>
          <w:color w:val="111111"/>
          <w:sz w:val="28"/>
          <w:sz w:val="28"/>
          <w:szCs w:val="28"/>
          <w:rtl w:val="true"/>
          <w:lang w:bidi="fa-IR"/>
        </w:rPr>
        <w:t>علی عدمها؛ فلا نزاع</w:t>
      </w:r>
      <w:r>
        <w:rPr>
          <w:rFonts w:eastAsia="IRNazanin" w:cs="IRNazanin"/>
          <w:color w:val="111111"/>
          <w:sz w:val="28"/>
          <w:szCs w:val="28"/>
          <w:rtl w:val="true"/>
          <w:lang w:bidi="fa-IR"/>
        </w:rPr>
        <w:t>.</w:t>
      </w:r>
      <w:bookmarkStart w:id="166" w:name="pg19819_193385"/>
    </w:p>
    <w:p>
      <w:pPr>
        <w:pStyle w:val="Heading5"/>
        <w:numPr>
          <w:ilvl w:val="4"/>
          <w:numId w:val="1"/>
        </w:numPr>
        <w:rPr/>
      </w:pPr>
      <w:bookmarkStart w:id="167" w:name="__RefHeading___Toc3055527_2314609296"/>
      <w:bookmarkStart w:id="168" w:name="_Toc67"/>
      <w:bookmarkEnd w:id="166"/>
      <w:bookmarkEnd w:id="167"/>
      <w:r>
        <w:rPr>
          <w:rtl w:val="true"/>
        </w:rPr>
        <w:t>نخبة فی النسخ</w:t>
      </w:r>
      <w:r>
        <w:rPr>
          <w:rtl w:val="true"/>
        </w:rPr>
        <w:t>:</w:t>
      </w:r>
      <w:bookmarkEnd w:id="168"/>
    </w:p>
    <w:p>
      <w:pPr>
        <w:pStyle w:val="BookText"/>
        <w:rPr/>
      </w:pPr>
      <w:r>
        <w:rPr>
          <w:rFonts w:ascii="IRNazanin" w:hAnsi="IRNazanin" w:eastAsia="IRNazanin"/>
          <w:color w:val="111111"/>
          <w:sz w:val="28"/>
          <w:sz w:val="28"/>
          <w:szCs w:val="28"/>
          <w:rtl w:val="true"/>
          <w:lang w:bidi="fa-IR"/>
        </w:rPr>
        <w:t>جوازه و وقوعه فی القرآن و بلا بدل و بالأشقّ و مع قید التأبید و کون الکتاب ناسخا لنفسه و للسنّة المتواترة، و بالعکس و عدم کون خبر الواحد ناسخا، خصوصا لکتاب اللّه و عدم کون الإجماع ناسخا أو منسوخا، و جوازه بعد الفعل و قبله بعد حضور وقته بدیهیّ بل إجماعیّ، و لا تعویل علی المخالف و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w:t>
      </w:r>
      <w:r>
        <w:rPr>
          <w:rStyle w:val="FootnoteAnchor"/>
          <w:rtl w:val="true"/>
        </w:rPr>
        <w:footnoteReference w:id="183"/>
      </w:r>
      <w:r>
        <w:rPr>
          <w:rFonts w:ascii="IRNazanin" w:hAnsi="IRNazanin" w:eastAsia="IRNazanin"/>
          <w:color w:val="111111"/>
          <w:sz w:val="28"/>
          <w:sz w:val="28"/>
          <w:szCs w:val="28"/>
          <w:rtl w:val="true"/>
          <w:lang w:bidi="fa-IR"/>
        </w:rPr>
        <w:t>لاولی الألباب بین خلاف وقع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Style w:val="FootnoteAnchor"/>
          <w:rtl w:val="true"/>
        </w:rPr>
        <w:footnoteReference w:id="184"/>
      </w:r>
      <w:r>
        <w:rPr>
          <w:rFonts w:ascii="IRNazanin" w:hAnsi="IRNazanin" w:eastAsia="IRNazanin"/>
          <w:color w:val="111111"/>
          <w:sz w:val="28"/>
          <w:sz w:val="28"/>
          <w:szCs w:val="28"/>
          <w:rtl w:val="true"/>
          <w:lang w:bidi="fa-IR"/>
        </w:rPr>
        <w:t>و الحاجبی و الأشاعرة</w:t>
      </w:r>
      <w:r>
        <w:rPr>
          <w:rStyle w:val="FootnoteAnchor"/>
          <w:rtl w:val="true"/>
        </w:rPr>
        <w:footnoteReference w:id="185"/>
      </w:r>
      <w:r>
        <w:rPr>
          <w:rFonts w:ascii="IRNazanin" w:hAnsi="IRNazanin" w:eastAsia="IRNazanin"/>
          <w:color w:val="111111"/>
          <w:sz w:val="28"/>
          <w:sz w:val="28"/>
          <w:szCs w:val="28"/>
          <w:rtl w:val="true"/>
          <w:lang w:bidi="fa-IR"/>
        </w:rPr>
        <w:t>علی جواز النسخ قبل حضور وقت فعله، و دلیلهم عدم المانع و جواز تعلّق المصلحة بنفس الأمر دون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المانعین لزوم البدا، و تعلّق النهی بمتعلّق الأمر، و أنّ إن حسن قبح النهی، أو قبح قبح الأمر، و هذا ینادی بأنّ بناء المجوّزین علی الأمر الصوری و بناء المانعین علی الحقیقی، فلا نزاع إلّا فی تسمیته ناسخا أو کاشفا عن کون الأمر صوریا</w:t>
      </w:r>
      <w:r>
        <w:rPr>
          <w:rFonts w:eastAsia="IRNazanin" w:cs="IRNazanin"/>
          <w:color w:val="111111"/>
          <w:sz w:val="28"/>
          <w:szCs w:val="28"/>
          <w:rtl w:val="true"/>
          <w:lang w:bidi="fa-IR"/>
        </w:rPr>
        <w:t>.</w:t>
      </w:r>
    </w:p>
    <w:p>
      <w:pPr>
        <w:pStyle w:val="Heading4"/>
        <w:numPr>
          <w:ilvl w:val="3"/>
          <w:numId w:val="1"/>
        </w:numPr>
        <w:rPr/>
      </w:pPr>
      <w:bookmarkStart w:id="169" w:name="__RefHeading___Toc3055529_2314609296"/>
      <w:bookmarkStart w:id="170" w:name="_Toc68"/>
      <w:bookmarkEnd w:id="169"/>
      <w:r>
        <w:rPr>
          <w:rtl w:val="true"/>
        </w:rPr>
        <w:t>الباب الثالث فی الأخبار</w:t>
      </w:r>
      <w:bookmarkEnd w:id="170"/>
    </w:p>
    <w:p>
      <w:pPr>
        <w:pStyle w:val="Heading5"/>
        <w:numPr>
          <w:ilvl w:val="4"/>
          <w:numId w:val="1"/>
        </w:numPr>
        <w:rPr/>
      </w:pPr>
      <w:bookmarkStart w:id="171" w:name="__RefHeading___Toc3055531_2314609296"/>
      <w:bookmarkStart w:id="172" w:name="_Toc69"/>
      <w:bookmarkEnd w:id="171"/>
      <w:r>
        <w:rPr>
          <w:rtl w:val="true"/>
        </w:rPr>
        <w:t>[</w:t>
      </w:r>
      <w:r>
        <w:rPr>
          <w:rtl w:val="true"/>
        </w:rPr>
        <w:t>نخبة</w:t>
      </w:r>
      <w:r>
        <w:rPr>
          <w:rtl w:val="true"/>
        </w:rPr>
        <w:t xml:space="preserve">: </w:t>
      </w:r>
      <w:r>
        <w:rPr>
          <w:rtl w:val="true"/>
        </w:rPr>
        <w:t xml:space="preserve">فی معنی الخبر و الحدیث و </w:t>
      </w:r>
      <w:r>
        <w:rPr>
          <w:rtl w:val="true"/>
        </w:rPr>
        <w:t>...]</w:t>
      </w:r>
      <w:bookmarkEnd w:id="172"/>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ما ینتهی إلی المعصوم، و یرادفه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متواتر إن صدر عن جماعة یؤمن تواطؤهم علی الکذب و نحوه، و لا حدّ لعددهم، و یلزمه حصول القطع لا القبول، و المنکر منکر؛ و إلّا فآحاد یفید القطع أیضا إذا اقترن بالقرائن، و إلّا فلا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یعمل به بشرط بلوغ الراوی حال الأداء و عقله و عدالته و ضبطه و إیمانه و عدم معارض له من غیر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المتّصف بما ذکر یظنّ صدقه، و کلّ ما یظنّ صدقه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عقلا فظاهر، و أمّا نقلا فلآیتی النفر و النبأ</w:t>
      </w:r>
      <w:r>
        <w:rPr>
          <w:rStyle w:val="FootnoteAnchor"/>
          <w:rtl w:val="true"/>
        </w:rPr>
        <w:footnoteReference w:id="186"/>
      </w:r>
      <w:r>
        <w:rPr>
          <w:rFonts w:ascii="IRNazanin" w:hAnsi="IRNazanin" w:eastAsia="IRNazanin"/>
          <w:color w:val="111111"/>
          <w:sz w:val="28"/>
          <w:sz w:val="28"/>
          <w:szCs w:val="28"/>
          <w:rtl w:val="true"/>
          <w:lang w:bidi="fa-IR"/>
        </w:rPr>
        <w:t>و للعادة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 النهی عن اتّباع الظنّ فمخصوص بالاصول، أو بما إذا أمکن تحصیل العلم فیه کذا قیل</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البراءة الأصلیّة لا تقاومه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بدون هذه الشروط، فلا یحصل الظنّ بصدقه، خصوصا إذا عارضه غیره، فلا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 للمتدبّرین بین القدماء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السیّد</w:t>
      </w:r>
      <w:r>
        <w:rPr>
          <w:rStyle w:val="FootnoteAnchor"/>
          <w:rtl w:val="true"/>
        </w:rPr>
        <w:footnoteReference w:id="188"/>
      </w:r>
      <w:r>
        <w:rPr>
          <w:rFonts w:ascii="Amiri" w:hAnsi="Amiri" w:eastAsia="Amiri" w:cs="Amiri"/>
          <w:color w:val="111111"/>
          <w:sz w:val="28"/>
          <w:sz w:val="28"/>
          <w:szCs w:val="28"/>
          <w:rtl w:val="true"/>
          <w:lang w:bidi="ar-SA"/>
        </w:rPr>
        <w:t>و ابن زهرة</w:t>
      </w:r>
      <w:r>
        <w:rPr>
          <w:rStyle w:val="FootnoteAnchor"/>
          <w:rtl w:val="true"/>
        </w:rPr>
        <w:footnoteReference w:id="189"/>
      </w:r>
      <w:r>
        <w:rPr>
          <w:rFonts w:ascii="IRNazanin" w:hAnsi="IRNazanin" w:eastAsia="IRNazanin"/>
          <w:color w:val="111111"/>
          <w:sz w:val="28"/>
          <w:sz w:val="28"/>
          <w:szCs w:val="28"/>
          <w:rtl w:val="true"/>
          <w:lang w:bidi="fa-IR"/>
        </w:rPr>
        <w:t>و ابن البرّاج</w:t>
      </w:r>
      <w:r>
        <w:rPr>
          <w:rStyle w:val="FootnoteAnchor"/>
          <w:rtl w:val="true"/>
        </w:rPr>
        <w:footnoteReference w:id="190"/>
      </w:r>
      <w:r>
        <w:rPr>
          <w:rFonts w:ascii="IRNazanin" w:hAnsi="IRNazanin" w:eastAsia="IRNazanin"/>
          <w:color w:val="111111"/>
          <w:sz w:val="28"/>
          <w:sz w:val="28"/>
          <w:szCs w:val="28"/>
          <w:rtl w:val="true"/>
          <w:lang w:bidi="fa-IR"/>
        </w:rPr>
        <w:t>و ابن إدریس</w:t>
      </w:r>
      <w:r>
        <w:rPr>
          <w:rStyle w:val="FootnoteAnchor"/>
          <w:rtl w:val="true"/>
        </w:rPr>
        <w:footnoteReference w:id="191"/>
      </w:r>
      <w:r>
        <w:rPr>
          <w:rFonts w:ascii="IRNazanin" w:hAnsi="IRNazanin" w:eastAsia="IRNazanin"/>
          <w:color w:val="111111"/>
          <w:sz w:val="28"/>
          <w:sz w:val="28"/>
          <w:szCs w:val="28"/>
          <w:rtl w:val="true"/>
          <w:lang w:bidi="fa-IR"/>
        </w:rPr>
        <w:t>و کثیر من القدماء</w:t>
      </w:r>
      <w:r>
        <w:rPr>
          <w:rStyle w:val="FootnoteAnchor"/>
          <w:rtl w:val="true"/>
        </w:rPr>
        <w:footnoteReference w:id="192"/>
      </w:r>
      <w:r>
        <w:rPr>
          <w:rFonts w:ascii="IRNazanin" w:hAnsi="IRNazanin" w:eastAsia="IRNazanin"/>
          <w:color w:val="111111"/>
          <w:sz w:val="28"/>
          <w:sz w:val="28"/>
          <w:szCs w:val="28"/>
          <w:rtl w:val="true"/>
          <w:lang w:bidi="fa-IR"/>
        </w:rPr>
        <w:t>إلی المنع عن العمل بخبر الواحد، حتّی أنّ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خبر الواحد صار شعار الإمامیّة حتّی أنّهم عرفوا به مثل ردّ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المتأخّرون أطبقوا علی العمل به، و نقلوا أیضا أنّ الإمامیّة طرّا یقبلون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أیضا أدلّة</w:t>
      </w:r>
      <w:r>
        <w:rPr>
          <w:rFonts w:eastAsia="IRNazanin" w:cs="IRNazanin"/>
          <w:color w:val="111111"/>
          <w:sz w:val="28"/>
          <w:szCs w:val="28"/>
          <w:rtl w:val="true"/>
          <w:lang w:bidi="fa-IR"/>
        </w:rPr>
        <w:t>.</w:t>
      </w:r>
      <w:r>
        <w:rPr>
          <w:rStyle w:val="FootnoteAnchor"/>
          <w:rtl w:val="true"/>
        </w:rPr>
        <w:footnoteReference w:id="19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لی أنّ بناء القدماء علی حال إمکان تحصیل العلم، فإنّهم کانوا فی زمان یمکن فیه</w:t>
      </w:r>
      <w:r>
        <w:rPr>
          <w:rStyle w:val="FootnoteAnchor"/>
          <w:rtl w:val="true"/>
        </w:rPr>
        <w:footnoteReference w:id="194"/>
      </w:r>
      <w:r>
        <w:rPr>
          <w:rFonts w:ascii="IRNazanin" w:hAnsi="IRNazanin" w:eastAsia="IRNazanin"/>
          <w:color w:val="111111"/>
          <w:sz w:val="28"/>
          <w:sz w:val="28"/>
          <w:szCs w:val="28"/>
          <w:rtl w:val="true"/>
          <w:lang w:bidi="fa-IR"/>
        </w:rPr>
        <w:t>تحصیله، و بناء المتأخّرین علی حال عدم إمکانه؛ لأنّه فی زمانهم لا یتیسّر تحصیله، و معلوم أنّه فی هذه الصورة لا وجه لردّه کما أنّ فی الصورة الاولی لا وجه لقبوله</w:t>
      </w:r>
      <w:r>
        <w:rPr>
          <w:rFonts w:eastAsia="IRNazanin" w:cs="IRNazanin"/>
          <w:color w:val="111111"/>
          <w:sz w:val="28"/>
          <w:szCs w:val="28"/>
          <w:rtl w:val="true"/>
          <w:lang w:bidi="fa-IR"/>
        </w:rPr>
        <w:t>.</w:t>
      </w:r>
      <w:bookmarkStart w:id="173" w:name="pg19819_193387"/>
    </w:p>
    <w:p>
      <w:pPr>
        <w:pStyle w:val="BookText"/>
        <w:rPr/>
      </w:pPr>
      <w:bookmarkEnd w:id="173"/>
      <w:r>
        <w:rPr>
          <w:rFonts w:ascii="IRNazanin" w:hAnsi="IRNazanin" w:eastAsia="IRNazanin"/>
          <w:color w:val="111111"/>
          <w:sz w:val="28"/>
          <w:sz w:val="28"/>
          <w:szCs w:val="28"/>
          <w:rtl w:val="true"/>
          <w:lang w:bidi="fa-IR"/>
        </w:rPr>
        <w:t>و یمکن أیضا أنّ بناء المانعین علی ما إذا عارضه غیره، کما هو الظاهر من حجّیّته، و أفصح عنه فی الاستبصار، و بناء المجوّزین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تدفع بها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اشتراطهم فی المتواتر بلوغ کلّ طبقة حدّا یؤمن معه من الکذب لا معنی له؛ لأنّه لو کان</w:t>
      </w:r>
      <w:r>
        <w:rPr>
          <w:rStyle w:val="FootnoteAnchor"/>
          <w:rtl w:val="true"/>
        </w:rPr>
        <w:footnoteReference w:id="195"/>
      </w:r>
      <w:r>
        <w:rPr>
          <w:rFonts w:ascii="IRNazanin" w:hAnsi="IRNazanin" w:eastAsia="IRNazanin"/>
          <w:color w:val="111111"/>
          <w:sz w:val="28"/>
          <w:sz w:val="28"/>
          <w:szCs w:val="28"/>
          <w:rtl w:val="true"/>
          <w:lang w:bidi="fa-IR"/>
        </w:rPr>
        <w:t xml:space="preserve">هناک طبقات، فالطبقة الثانیة لو کانوا جماعة موصوفین بما ذکر فالشرط زائد، و إلّا فلیست من أفراد المحدود، و کذلک استنادهم إلی الحسّ؛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یطلق إلّا علی المنتهی إلی الحسّ، و لأنّه لا یصدق علی غیره أنّه یؤمن تواطؤهم علی الکذب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سبق الشبهة و التقلید فمحض تقلید للسیّد رحمه اللّه؛ إذ سبقهما یستلزم عدم القبول، لا عدم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یمکن معرفة شروط الراوی لخبر الواحد بالصحّة فبالتزکیة من المتّصف بها و لو واحدا؛ لأنّ به یحصل الظنّ المعتبر بالصدق، و لا دلیل علی الأزید خصوصا إذا کان المزکّی هو الراوی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الجرح، و إذا تعارض الجرح و التعدیل فالتقدیم مطلقا یحتاج إلی مرجّح، و أولویّة الجمع مهما أمکن مسلّمة بالنسبة إلی ما لا یمکن ردّه کقول المعصوم لا غیره، و الشروط المعتبرة فی الآحاد معتبرة إذا لم یطّلع علی کذبه أو صدقه إلّا بها،</w:t>
      </w:r>
      <w:r>
        <w:rPr>
          <w:rStyle w:val="FootnoteAnchor"/>
          <w:rtl w:val="true"/>
        </w:rPr>
        <w:footnoteReference w:id="196"/>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055533_2314609296"/>
      <w:bookmarkStart w:id="175" w:name="_Toc70"/>
      <w:bookmarkEnd w:id="174"/>
      <w:r>
        <w:rPr>
          <w:rtl w:val="true"/>
        </w:rPr>
        <w:t>[</w:t>
      </w:r>
      <w:r>
        <w:rPr>
          <w:rtl w:val="true"/>
        </w:rPr>
        <w:t>نخبة</w:t>
      </w:r>
      <w:r>
        <w:rPr>
          <w:rtl w:val="true"/>
        </w:rPr>
        <w:t xml:space="preserve">: </w:t>
      </w:r>
      <w:r>
        <w:rPr>
          <w:rtl w:val="true"/>
        </w:rPr>
        <w:t xml:space="preserve">فی تعریف خبر الصحیح و الحسن و </w:t>
      </w:r>
      <w:r>
        <w:rPr>
          <w:rtl w:val="true"/>
        </w:rPr>
        <w:t>...]</w:t>
      </w:r>
      <w:bookmarkEnd w:id="175"/>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خبر الواحد بأسماء هی اصول الحدیث، فالمتّصل إلی الإمام بإمامیّین ممدوحین بالتوثیق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بغیر التوثیق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بغیر إمامیّین ممدوحین بالتوثیق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المحذوف رواته أو المبهم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 بالمسند، فإن اسند بطریق آخر</w:t>
      </w:r>
      <w:bookmarkStart w:id="176" w:name="pg19819_193388"/>
    </w:p>
    <w:p>
      <w:pPr>
        <w:pStyle w:val="BookText"/>
        <w:rPr/>
      </w:pPr>
      <w:bookmarkEnd w:id="176"/>
      <w:r>
        <w:rPr>
          <w:rFonts w:ascii="IRNazanin" w:hAnsi="IRNazanin" w:eastAsia="IRNazanin"/>
          <w:color w:val="111111"/>
          <w:sz w:val="28"/>
          <w:sz w:val="28"/>
          <w:szCs w:val="28"/>
          <w:rtl w:val="true"/>
          <w:lang w:bidi="fa-IR"/>
        </w:rPr>
        <w:t>فلا إشکال، أو یعرف من حال الراوی أنّه لا یرسل إلّا من عدل أو من غیره، فیعمل بما عرف، و إلّا فإن لم یکن له معارض صحیح، فیقبل کالشیخ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ما مضی فی قبول خبر الواحد، و إلّا ففی قبوله تردّد، و الأظهر القبول أیضا؛ لأنّ الظاهر من الإرسال ثبوت عدالة المحذوف عند المرسل، و إلّا ینافی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ما فی الباب أنّه هو المزکّی، و قد سبق أنّ تزکیة الواحد کافیة فی ثبوتها خصوصا فی هذه الصورة</w:t>
      </w:r>
      <w:r>
        <w:rPr>
          <w:rFonts w:eastAsia="IRNazanin" w:cs="IRNazanin"/>
          <w:color w:val="111111"/>
          <w:sz w:val="28"/>
          <w:szCs w:val="28"/>
          <w:rtl w:val="true"/>
          <w:lang w:bidi="fa-IR"/>
        </w:rPr>
        <w:t>.</w:t>
      </w:r>
    </w:p>
    <w:p>
      <w:pPr>
        <w:pStyle w:val="Heading5"/>
        <w:numPr>
          <w:ilvl w:val="4"/>
          <w:numId w:val="1"/>
        </w:numPr>
        <w:rPr/>
      </w:pPr>
      <w:bookmarkStart w:id="177" w:name="__RefHeading___Toc3055535_2314609296"/>
      <w:bookmarkStart w:id="178" w:name="_Toc71"/>
      <w:bookmarkEnd w:id="177"/>
      <w:r>
        <w:rPr>
          <w:rtl w:val="true"/>
        </w:rPr>
        <w:t>[</w:t>
      </w:r>
      <w:r>
        <w:rPr>
          <w:rtl w:val="true"/>
        </w:rPr>
        <w:t>نخبة</w:t>
      </w:r>
      <w:r>
        <w:rPr>
          <w:rtl w:val="true"/>
        </w:rPr>
        <w:t xml:space="preserve">: </w:t>
      </w:r>
      <w:r>
        <w:rPr>
          <w:rtl w:val="true"/>
        </w:rPr>
        <w:t>فی کیفیّات الأخذ</w:t>
      </w:r>
      <w:r>
        <w:rPr>
          <w:rtl w:val="true"/>
        </w:rPr>
        <w:t>]</w:t>
      </w:r>
      <w:bookmarkEnd w:id="178"/>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للأخذ کیفیّات فأعلاها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من الشیخ،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القراءة علیه مع إقراره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المناولة، و هی أن یشیر إلی الکتاب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سماعی عن فلان فأخبرنی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الإجازة،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الکتابة إلیه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تتفاوت فتتناوب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 للبصیرین بین الأصحاب و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نقل الحدیث بالمعنی لو کان الناقل عارفا بحیث لم یقصر لفظه عن معنی الأصل،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حقّ؛ لأنّ بناءهم علی أنّ فعله لیس حراما، بل هو مثاب و یعمل بمضمونه الظاهر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یرشدک إلیه ما تمسّکوا به ممّا رواه الکلینی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الحدیث منک فأزید و أنقص؟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ترید معناه، فلا بأس</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بناؤه علی أنّه لا یجوز الاستدلال بهذا</w:t>
      </w:r>
      <w:r>
        <w:rPr>
          <w:rStyle w:val="FootnoteAnchor"/>
          <w:rtl w:val="true"/>
        </w:rPr>
        <w:footnoteReference w:id="198"/>
      </w:r>
      <w:r>
        <w:rPr>
          <w:rFonts w:ascii="IRNazanin" w:hAnsi="IRNazanin" w:eastAsia="IRNazanin"/>
          <w:color w:val="111111"/>
          <w:sz w:val="28"/>
          <w:sz w:val="28"/>
          <w:szCs w:val="28"/>
          <w:rtl w:val="true"/>
          <w:lang w:bidi="fa-IR"/>
        </w:rPr>
        <w:t>اللفظ و استخراج الأحکام</w:t>
      </w:r>
      <w:bookmarkStart w:id="179" w:name="pg19819_193389"/>
    </w:p>
    <w:p>
      <w:pPr>
        <w:pStyle w:val="BookText"/>
        <w:rPr/>
      </w:pPr>
      <w:bookmarkEnd w:id="179"/>
      <w:r>
        <w:rPr>
          <w:rFonts w:ascii="IRNazanin" w:hAnsi="IRNazanin" w:eastAsia="IRNazanin"/>
          <w:color w:val="111111"/>
          <w:sz w:val="28"/>
          <w:sz w:val="28"/>
          <w:szCs w:val="28"/>
          <w:rtl w:val="true"/>
          <w:lang w:bidi="fa-IR"/>
        </w:rPr>
        <w:t>غیر الحکم الظاهر منه، کما یرشدک إلیه ما تمسّک به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 حامل فقه إلی من هو أفقه منه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هو مصرّح به فلا نزاع</w:t>
      </w:r>
      <w:r>
        <w:rPr>
          <w:rFonts w:eastAsia="IRNazanin" w:cs="IRNazanin"/>
          <w:color w:val="111111"/>
          <w:sz w:val="28"/>
          <w:szCs w:val="28"/>
          <w:rtl w:val="true"/>
          <w:lang w:bidi="fa-IR"/>
        </w:rPr>
        <w:t>.</w:t>
      </w:r>
    </w:p>
    <w:p>
      <w:pPr>
        <w:pStyle w:val="Heading5"/>
        <w:numPr>
          <w:ilvl w:val="4"/>
          <w:numId w:val="1"/>
        </w:numPr>
        <w:rPr/>
      </w:pPr>
      <w:bookmarkStart w:id="180" w:name="__RefHeading___Toc3055537_2314609296"/>
      <w:bookmarkStart w:id="181" w:name="_Toc72"/>
      <w:bookmarkEnd w:id="180"/>
      <w:r>
        <w:rPr>
          <w:rtl w:val="true"/>
        </w:rPr>
        <w:t>نخبة</w:t>
      </w:r>
      <w:r>
        <w:rPr>
          <w:rtl w:val="true"/>
        </w:rPr>
        <w:t xml:space="preserve">: </w:t>
      </w:r>
      <w:r>
        <w:rPr>
          <w:rtl w:val="true"/>
        </w:rPr>
        <w:t>فعل الرسول صلّی اللّه علیه و آله حجّة کقوله</w:t>
      </w:r>
      <w:bookmarkEnd w:id="181"/>
    </w:p>
    <w:p>
      <w:pPr>
        <w:pStyle w:val="BookText"/>
        <w:rPr/>
      </w:pPr>
      <w:r>
        <w:rPr>
          <w:rFonts w:ascii="Amiri" w:hAnsi="Amiri" w:eastAsia="Amiri" w:cs="Amiri"/>
          <w:color w:val="111111"/>
          <w:sz w:val="28"/>
          <w:sz w:val="28"/>
          <w:szCs w:val="28"/>
          <w:rtl w:val="true"/>
          <w:lang w:bidi="ar-SA"/>
        </w:rPr>
        <w:t>، أمّا فی معرض البیان فللإجماع، و أمّا فی غیره فلقوله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w:t>
      </w:r>
      <w:r>
        <w:rPr>
          <w:rStyle w:val="FootnoteAnchor"/>
          <w:rtl w:val="true"/>
        </w:rPr>
        <w:footnoteReference w:id="200"/>
      </w:r>
      <w:r>
        <w:rPr>
          <w:rFonts w:ascii="IRNazanin" w:hAnsi="IRNazanin" w:eastAsia="IRNazanin"/>
          <w:color w:val="111111"/>
          <w:sz w:val="28"/>
          <w:sz w:val="28"/>
          <w:szCs w:val="28"/>
          <w:rtl w:val="true"/>
          <w:lang w:bidi="fa-IR"/>
        </w:rPr>
        <w:t>و ما شابهه، و للضرورة أیضا؛ لأنّه صلّی اللّه علیه و آله مبعوث للاقتداء به لا للمخالفة، فإن عرف وجوبه فواجب، أو ندبه فمندوب، أو إباحته أو عدم شی‌ء فمباح فی حقّنا حتّی یدلّ دلیل علی الاختصاص، و لکن مخالفة مطلق فعله صلّی اللّه علیه و آله رغبة إلی الغیر و بدعة حرام</w:t>
      </w:r>
      <w:r>
        <w:rPr>
          <w:rFonts w:eastAsia="IRNazanin" w:cs="IRNazanin"/>
          <w:color w:val="111111"/>
          <w:sz w:val="28"/>
          <w:szCs w:val="28"/>
          <w:rtl w:val="true"/>
          <w:lang w:bidi="fa-IR"/>
        </w:rPr>
        <w:t>.</w:t>
      </w:r>
    </w:p>
    <w:p>
      <w:pPr>
        <w:pStyle w:val="Heading5"/>
        <w:numPr>
          <w:ilvl w:val="4"/>
          <w:numId w:val="1"/>
        </w:numPr>
        <w:rPr/>
      </w:pPr>
      <w:bookmarkStart w:id="182" w:name="__RefHeading___Toc3055539_2314609296"/>
      <w:bookmarkStart w:id="183" w:name="_Toc73"/>
      <w:bookmarkEnd w:id="182"/>
      <w:r>
        <w:rPr>
          <w:rtl w:val="true"/>
        </w:rPr>
        <w:t>نخبة</w:t>
      </w:r>
      <w:r>
        <w:rPr>
          <w:rtl w:val="true"/>
        </w:rPr>
        <w:t xml:space="preserve">: </w:t>
      </w:r>
      <w:r>
        <w:rPr>
          <w:rtl w:val="true"/>
        </w:rPr>
        <w:t>الدلیلان لا یتقابلان إلّا</w:t>
      </w:r>
      <w:bookmarkEnd w:id="183"/>
    </w:p>
    <w:p>
      <w:pPr>
        <w:pStyle w:val="BookText"/>
        <w:rPr/>
      </w:pPr>
      <w:r>
        <w:rPr>
          <w:rFonts w:ascii="IRNazanin" w:hAnsi="IRNazanin" w:eastAsia="IRNazanin"/>
          <w:color w:val="111111"/>
          <w:sz w:val="28"/>
          <w:sz w:val="28"/>
          <w:szCs w:val="28"/>
          <w:rtl w:val="true"/>
          <w:lang w:bidi="fa-IR"/>
        </w:rPr>
        <w:t>إذا کانا ظنّیّین أو علی وجه الجمع کالعامّ و الخاصّ، و المطلق و المقیّد، و المجمل و المبیّن، أو النسخ، فإن کان علی وجه الجمع یسمّی بالتعارض، و إلّا فإن لم یکن هناک ما یقوّی أحدهما فیقدّم علی الآخر یسمّی بالتعادل، و حکمه التخییر من باب التسلیم بلا خلاف منّا، و إلّا فیسمّی بالترجیح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إمّا بالسند فیقدّم الکثیر روایة علی قلیلها، و القلیل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بعالی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کثیرها، و الموصوف رواتها بصفة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کالثقة و الفطنة و الورع و العلم و الضبط و أمثالها أو بالأزید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غیرها و أمثالها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بالمتن، فالفصیح علی غیره، و المؤکّد علی العاری، و الدالّ بالحقیقة أو بغیر</w:t>
      </w:r>
      <w:bookmarkStart w:id="184" w:name="pg19819_193390"/>
    </w:p>
    <w:p>
      <w:pPr>
        <w:pStyle w:val="BookText"/>
        <w:rPr/>
      </w:pPr>
      <w:bookmarkEnd w:id="184"/>
      <w:r>
        <w:rPr>
          <w:rFonts w:ascii="IRNazanin" w:hAnsi="IRNazanin" w:eastAsia="IRNazanin"/>
          <w:color w:val="111111"/>
          <w:sz w:val="28"/>
          <w:sz w:val="28"/>
          <w:szCs w:val="28"/>
          <w:rtl w:val="true"/>
          <w:lang w:bidi="fa-IR"/>
        </w:rPr>
        <w:t>الواسطة علی غیرهما، و المسند علی المرسل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بالخارج فالمعتضد بالغیر، و المعمول عند الأکثر، و المخالف للقوم، و الموافق للقرآن، و المرویّ باللفظ، و الأقرب إلی التقوی علی أغیارها، و کذلک کلّ مقرون بما سوی هذه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یقوّی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علی غیره</w:t>
      </w:r>
      <w:r>
        <w:rPr>
          <w:rFonts w:eastAsia="IRNazanin" w:cs="IRNazanin"/>
          <w:color w:val="111111"/>
          <w:sz w:val="28"/>
          <w:szCs w:val="28"/>
          <w:rtl w:val="true"/>
          <w:lang w:bidi="fa-IR"/>
        </w:rPr>
        <w:t>.</w:t>
      </w:r>
    </w:p>
    <w:p>
      <w:pPr>
        <w:pStyle w:val="Heading4"/>
        <w:numPr>
          <w:ilvl w:val="3"/>
          <w:numId w:val="1"/>
        </w:numPr>
        <w:rPr/>
      </w:pPr>
      <w:bookmarkStart w:id="185" w:name="__RefHeading___Toc3055541_2314609296"/>
      <w:bookmarkStart w:id="186" w:name="_Toc74"/>
      <w:bookmarkEnd w:id="185"/>
      <w:r>
        <w:rPr>
          <w:rtl w:val="true"/>
        </w:rPr>
        <w:t>الباب الرابع فی الإجماع</w:t>
      </w:r>
      <w:bookmarkEnd w:id="186"/>
    </w:p>
    <w:p>
      <w:pPr>
        <w:pStyle w:val="Heading5"/>
        <w:numPr>
          <w:ilvl w:val="4"/>
          <w:numId w:val="1"/>
        </w:numPr>
        <w:rPr/>
      </w:pPr>
      <w:bookmarkStart w:id="187" w:name="__RefHeading___Toc3055543_2314609296"/>
      <w:bookmarkStart w:id="188" w:name="_Toc75"/>
      <w:bookmarkEnd w:id="187"/>
      <w:r>
        <w:rPr>
          <w:rtl w:val="true"/>
        </w:rPr>
        <w:t>[</w:t>
      </w:r>
      <w:r>
        <w:rPr>
          <w:rtl w:val="true"/>
        </w:rPr>
        <w:t>نخبة</w:t>
      </w:r>
      <w:r>
        <w:rPr>
          <w:rtl w:val="true"/>
        </w:rPr>
        <w:t xml:space="preserve">: </w:t>
      </w:r>
      <w:r>
        <w:rPr>
          <w:rtl w:val="true"/>
        </w:rPr>
        <w:t>فی معنی الإجماع</w:t>
      </w:r>
      <w:r>
        <w:rPr>
          <w:rtl w:val="true"/>
        </w:rPr>
        <w:t>]</w:t>
      </w:r>
      <w:bookmarkEnd w:id="188"/>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عبارة عن اتّفاق العلماء الاثنی عشریّة فی عصر من الأعصار علی أمر من امور الدین، و هو حجّة من حیث هو هو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تطلق یراد بها من دون الأئمّة علیهم السّلام لأنّ شأنهم أرفع من أن یکونوا أمّة، بل هم کنفس رسول اللّه صلّی اللّه علیه و آله و هم أوصیاء و شهداء علی الامّة، و هذا لا یحتاج إلی دلیل عند من تتبّع الاستعمالات و لکن هنا تذکرتان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إنکار الإمام علیه السّلام علی القارئ کُنْتُمْ خَیْرَ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خیر أئمّة</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فلو کان الامّة تطلق علی الأئمّة، لما کان لإنکاره علیه السّلام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جبرئیل علیه السّلام مع إبلیس یوم تولّد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حیث تستعمل فی المناقب یراد بها الاثنا عشریّة، و هذا أیضا لا یکاد یخفی علی المتدرّب حیث امرنا بالأخذ بخلافهم، و اخبرنا بأنّ الرشد و الهدایة فی غیرهم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المناقب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w:t>
      </w:r>
    </w:p>
    <w:p>
      <w:pPr>
        <w:pStyle w:val="BookText"/>
        <w:rPr/>
      </w:pPr>
      <w:r>
        <w:rPr>
          <w:rFonts w:ascii="IRNazanin" w:hAnsi="IRNazanin" w:eastAsia="IRNazanin"/>
          <w:color w:val="111111"/>
          <w:sz w:val="28"/>
          <w:sz w:val="28"/>
          <w:szCs w:val="28"/>
          <w:rtl w:val="true"/>
          <w:lang w:bidi="fa-IR"/>
        </w:rPr>
        <w:t>علی الضلالة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طائفة من امّتی علی الحقّ حتّی تقوم الساعة و حتّی تخرج المسیح علی الدجّال</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فهذا کلّه خاصّ بمن دون الأئمّة من الاثنی عشریّة لما ذکرنا و للأخیر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و أمثالها المتواترة معنی دلّت علی أنّ الحقّ لا یخرج عن هذه الفرقة، و هم لا یخلون عن الحقّ من دون انضمام الإمام علیه السّلام إلیهم، نعم، الحقّ یدور مع الإمام علیه السّلام، و هذا لا یستلزم أن یکون معهم و من أفرادهم، فإذا اجتمع کلّ الفرقة ممّن له الأهلیّة،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یرتضیه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و لیس خارجا عنهم، و کذلک إذا تفرّقوا و لکن لا یعلم حینئذ أنّ الحقّ فی أیّ واحد منهم حتّی أنّه إذا ذهب کلّ إلی قول و واحد إلی آخر یمکن أن یکون الحقّ فی الواحد؛ لأنّ الدلیل قد دلّ علی أنّ الحقّ لیس خارجا عنهم، لا أنّه مع الکثرة بل الکثرة مذمومة فی الآیات و الأحادیث خصوصا فی هذه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یظهر لک فساد الاستدلال علی حجّیّته بأنّه کاشف عن قول المعصوم، حتّی أنّه کلّ کاشف عنه إجماع و إن حصل فی فردین، و حتّی أنّه من جملة شروط انعقاده أن لا یکونوا معروفین بالنسب حتّی یعلم دخول الإمام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الاستدلال علیها بأنّ الأرض لا تخلو عن الإمام؛ لأنّ هذا جار بالنسبة إلی الامم السالفة أیضا، فلا وجه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الدلیل کما عرفت لا یشمل الإمام علیه السّلام، فلیس الدلیل علی حجّیّة الإجماع إلّا نفسه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الأصل عدم جواز إحداث قول لم یقل به أحد فی العصر الأوّل، أو قول ثان</w:t>
      </w:r>
      <w:bookmarkStart w:id="189" w:name="pg19819_193392"/>
    </w:p>
    <w:p>
      <w:pPr>
        <w:pStyle w:val="BookText"/>
        <w:rPr/>
      </w:pPr>
      <w:bookmarkEnd w:id="189"/>
      <w:r>
        <w:rPr>
          <w:rFonts w:ascii="IRNazanin" w:hAnsi="IRNazanin" w:eastAsia="IRNazanin"/>
          <w:color w:val="111111"/>
          <w:sz w:val="28"/>
          <w:sz w:val="28"/>
          <w:szCs w:val="28"/>
          <w:rtl w:val="true"/>
          <w:lang w:bidi="fa-IR"/>
        </w:rPr>
        <w:t>غیر الأوّل و إن کان قائل الأوّل واحدا، و إحداث القول الثالث فی 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موت أحد الشطرین أو کفره دلیل علی أنّ الحقّ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الفصل بین مسألتین ما فصلوا بینهما، و عدم جواز تأویل ینافی تأویلهم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إحدی الطائفتین إلی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تعاکسهما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یسمّی المشهور إجماعا أو یلحق به کما قرّبه الشهید فی الذکری و لعلّه لما اشتهر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المشهور بین الأصحاب و اترک الشاذّ النادر</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الشاذّ من الناس للشیطان</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190" w:name="__RefHeading___Toc3055545_2314609296"/>
      <w:bookmarkStart w:id="191" w:name="_Toc76"/>
      <w:bookmarkEnd w:id="190"/>
      <w:r>
        <w:rPr>
          <w:rtl w:val="true"/>
        </w:rPr>
        <w:t>الباب الخامس فی دلیل العقل</w:t>
      </w:r>
      <w:bookmarkEnd w:id="191"/>
    </w:p>
    <w:p>
      <w:pPr>
        <w:pStyle w:val="Heading5"/>
        <w:numPr>
          <w:ilvl w:val="4"/>
          <w:numId w:val="1"/>
        </w:numPr>
        <w:rPr/>
      </w:pPr>
      <w:bookmarkStart w:id="192" w:name="__RefHeading___Toc3055547_2314609296"/>
      <w:bookmarkStart w:id="193" w:name="_Toc77"/>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و هو الاستصحاب و التمثیل</w:t>
      </w:r>
      <w:r>
        <w:rPr>
          <w:rFonts w:eastAsia="IRNazanin" w:cs="IRNazanin"/>
          <w:color w:val="111111"/>
          <w:sz w:val="28"/>
          <w:szCs w:val="28"/>
          <w:rtl w:val="true"/>
          <w:lang w:bidi="fa-IR"/>
        </w:rPr>
        <w:t>.</w:t>
      </w:r>
    </w:p>
    <w:p>
      <w:pPr>
        <w:pStyle w:val="Heading5"/>
        <w:numPr>
          <w:ilvl w:val="4"/>
          <w:numId w:val="1"/>
        </w:numPr>
        <w:rPr/>
      </w:pPr>
      <w:bookmarkStart w:id="194" w:name="__RefHeading___Toc3055549_2314609296"/>
      <w:bookmarkStart w:id="195" w:name="_Toc78"/>
      <w:bookmarkEnd w:id="194"/>
      <w:r>
        <w:rPr>
          <w:rtl w:val="true"/>
        </w:rPr>
        <w:t>نخبة</w:t>
      </w:r>
      <w:r>
        <w:rPr>
          <w:rtl w:val="true"/>
        </w:rPr>
        <w:t xml:space="preserve">: </w:t>
      </w:r>
      <w:r>
        <w:rPr>
          <w:rtl w:val="true"/>
        </w:rPr>
        <w:t>الاستصحاب</w:t>
      </w:r>
      <w:bookmarkEnd w:id="195"/>
    </w:p>
    <w:p>
      <w:pPr>
        <w:pStyle w:val="BookText"/>
        <w:rPr/>
      </w:pPr>
      <w:r>
        <w:rPr>
          <w:rFonts w:ascii="IRNazanin" w:hAnsi="IRNazanin" w:eastAsia="IRNazanin"/>
          <w:color w:val="111111"/>
          <w:sz w:val="28"/>
          <w:sz w:val="28"/>
          <w:szCs w:val="28"/>
          <w:rtl w:val="true"/>
          <w:lang w:bidi="fa-IR"/>
        </w:rPr>
        <w:t>هو بقاء الحکم فی الزمان الثانی لمحض ثبوته فی الأوّل علی الإطلاق بشرط عدم تغایرهما إلّا فی الزمانیة، و 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أمّا عقلا، فلأنّ المقتضی للحکم موجود، و لا مانع إلّا تغییر الزمان و لا یصلح له، فیجب القول به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نقلا، فلا تنقض الیقین بالشکّ</w:t>
      </w:r>
      <w:r>
        <w:rPr>
          <w:rFonts w:eastAsia="IRNazanin" w:cs="IRNazanin"/>
          <w:color w:val="111111"/>
          <w:sz w:val="28"/>
          <w:szCs w:val="28"/>
          <w:rtl w:val="true"/>
          <w:lang w:bidi="fa-IR"/>
        </w:rPr>
        <w:t>.</w:t>
      </w:r>
      <w:r>
        <w:rPr>
          <w:rStyle w:val="FootnoteAnchor"/>
          <w:rtl w:val="true"/>
        </w:rPr>
        <w:footnoteReference w:id="207"/>
      </w:r>
      <w:bookmarkStart w:id="196" w:name="pg19819_193393"/>
    </w:p>
    <w:p>
      <w:pPr>
        <w:pStyle w:val="BookText"/>
        <w:rPr/>
      </w:pPr>
      <w:bookmarkEnd w:id="196"/>
      <w:r>
        <w:rPr>
          <w:rFonts w:ascii="IRNazanin" w:hAnsi="IRNazanin" w:eastAsia="IRNazanin"/>
          <w:color w:val="111111"/>
          <w:sz w:val="28"/>
          <w:sz w:val="28"/>
          <w:szCs w:val="28"/>
          <w:rtl w:val="true"/>
          <w:lang w:bidi="fa-IR"/>
        </w:rPr>
        <w:t>محاکمة للمتعلّمین بین الفقهاء و المتکلّمین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المرتضی</w:t>
      </w:r>
      <w:r>
        <w:rPr>
          <w:rStyle w:val="FootnoteAnchor"/>
          <w:rtl w:val="true"/>
        </w:rPr>
        <w:footnoteReference w:id="208"/>
      </w:r>
      <w:r>
        <w:rPr>
          <w:rFonts w:ascii="IRNazanin" w:hAnsi="IRNazanin" w:eastAsia="IRNazanin"/>
          <w:color w:val="111111"/>
          <w:sz w:val="28"/>
          <w:sz w:val="28"/>
          <w:szCs w:val="28"/>
          <w:rtl w:val="true"/>
          <w:lang w:bidi="fa-IR"/>
        </w:rPr>
        <w:t>و أکثر المتکلّمین و الحنفیّة</w:t>
      </w:r>
      <w:r>
        <w:rPr>
          <w:rStyle w:val="FootnoteAnchor"/>
          <w:rtl w:val="true"/>
        </w:rPr>
        <w:footnoteReference w:id="209"/>
      </w:r>
      <w:r>
        <w:rPr>
          <w:rFonts w:ascii="IRNazanin" w:hAnsi="IRNazanin" w:eastAsia="IRNazanin"/>
          <w:color w:val="111111"/>
          <w:sz w:val="28"/>
          <w:sz w:val="28"/>
          <w:szCs w:val="28"/>
          <w:rtl w:val="true"/>
          <w:lang w:bidi="fa-IR"/>
        </w:rPr>
        <w:t>ذهبوا إلی عدم حجّیّته، و قالوا لو کان الحکم بالبقاء مع اشتراکهما فی المقتضی فهو القیاس، و إلّا فلا یجوز؛ للتغایر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الفقهاء استدلّوا بصحّة إرسال المکاتیب و الهدایا، و لیست إلّا من الحکم ببقاء المرسل إلیه، و مثّلوا له بالمتیمّم الفاقد للماء الداخل فی الصلاة الواجد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 أنّه لا نزاع بینهم؛ لأنّ دلیل المانعین ینادی بأنّه لا مانع من قبوله إلّا اسمه و لا یصلح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استدلالهم بصحّة إرسال المکاتیب لیس بشی‌ء؛ لأنّها منوطة بالقرائن و العادة، و هی لا تنضبط، و لهذا أتوا بالنقض بأنّ الحکم ببقاء زید فی الدار بعد الغیبة الطویلة سفاهة، و کذلک تمثیلهم بالمتیمّم لیس مثالا لمحلّ النزاع، لتغایر الحالین فیه یقینا کما یقول المانعون ردّا علیهم، فلو تحقّق نزاع فإنّما هو فی التسمیة أو فی وجود القرینة و عدمها، أو فی تغایر الحالین و عدمه، لا فی أصل الاستصحاب، کیف؟ و قد صار عدم انتقاض الیقین بالشکّ من المسلّمات عند الفریقین، و هذا معنی الاستصحاب</w:t>
      </w:r>
      <w:r>
        <w:rPr>
          <w:rFonts w:eastAsia="IRNazanin" w:cs="IRNazanin"/>
          <w:color w:val="111111"/>
          <w:sz w:val="28"/>
          <w:szCs w:val="28"/>
          <w:rtl w:val="true"/>
          <w:lang w:bidi="fa-IR"/>
        </w:rPr>
        <w:t>.</w:t>
      </w:r>
    </w:p>
    <w:p>
      <w:pPr>
        <w:pStyle w:val="Heading5"/>
        <w:numPr>
          <w:ilvl w:val="4"/>
          <w:numId w:val="1"/>
        </w:numPr>
        <w:rPr/>
      </w:pPr>
      <w:bookmarkStart w:id="197" w:name="__RefHeading___Toc3055551_2314609296"/>
      <w:bookmarkStart w:id="198" w:name="_Toc79"/>
      <w:bookmarkEnd w:id="197"/>
      <w:r>
        <w:rPr>
          <w:rtl w:val="true"/>
        </w:rPr>
        <w:t>نخبة</w:t>
      </w:r>
      <w:r>
        <w:rPr>
          <w:rtl w:val="true"/>
        </w:rPr>
        <w:t xml:space="preserve">: </w:t>
      </w:r>
      <w:r>
        <w:rPr>
          <w:rtl w:val="true"/>
        </w:rPr>
        <w:t>التمثیل</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له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حکم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لمعلوم آخر یسمّی بالفرع؛ لأولویّته أو تساویه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علّته یسمّی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 فحجّة مطلقا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 فینقسم</w:t>
      </w:r>
      <w:r>
        <w:rPr>
          <w:rStyle w:val="FootnoteAnchor"/>
          <w:rtl w:val="true"/>
        </w:rPr>
        <w:footnoteReference w:id="210"/>
      </w:r>
      <w:r>
        <w:rPr>
          <w:rFonts w:ascii="IRNazanin" w:hAnsi="IRNazanin" w:eastAsia="IRNazanin"/>
          <w:color w:val="111111"/>
          <w:sz w:val="28"/>
          <w:sz w:val="28"/>
          <w:szCs w:val="28"/>
          <w:rtl w:val="true"/>
          <w:lang w:bidi="fa-IR"/>
        </w:rPr>
        <w:t>إلی ما قد نصّ فیه علی العلّة و إلی ما استنبط العلّة فیه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الأوّل، فهو حجّة أیضا بلا خلاف فی أصله، و إنّما الخلاف فی کیفیّة إثباتها هل</w:t>
      </w:r>
    </w:p>
    <w:p>
      <w:pPr>
        <w:pStyle w:val="BookText"/>
        <w:rPr/>
      </w:pPr>
      <w:r>
        <w:rPr>
          <w:rFonts w:ascii="IRNazanin" w:hAnsi="IRNazanin" w:eastAsia="IRNazanin"/>
          <w:color w:val="111111"/>
          <w:sz w:val="28"/>
          <w:sz w:val="28"/>
          <w:szCs w:val="28"/>
          <w:rtl w:val="true"/>
          <w:lang w:bidi="fa-IR"/>
        </w:rPr>
        <w:t>تثبت بمحض قوله علیه السّلام لعلّة کذا أم لا؟ و هذا لا یثمر ثمرة؛ لأنّ الکلام إنّما هو بعد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فالأقرب أنّه حجّة إذا کان الاستنباط فیه مفیدا للعلم الشرعی، کما إذا کان بالدوران أو التردید؛ لأنّ المقتضی لحجّیّته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الظنّ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لا مانع عنه عقلا سوی الاحتمالات المرجوحة التی لا تصلح للمنع، و إلّا لم تکن شی‌ء من الأدلّة حجّة، و لا شرعا سوی نهی الأئمّة علیهم السّلام عنه، و سیأتی فی المحاکمة ما یظهر لک أنّه لیس بمانع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الطریق الأوّلی الذی أولویّته فرع ثبوت العلّة و أولویّتها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 قبوله من غیر اشتراط النصّ علی العلّة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 لاولی الألباب بین القول و 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أصحابنا معشر الإمامیّة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القیاس لیس من مذهبنا و ینکرونه إنکارا شدیدا حتّی أنّه صار شعارا لهم، و سبب إنکارهم إنّما هو إنکار الأئمّة الطاهرین علیهم السّلام، فإنّهم أیضا أنکروه إنکارا شدیدا و نهوا عنه نهیا شدیدا</w:t>
      </w:r>
      <w:r>
        <w:rPr>
          <w:rStyle w:val="FootnoteAnchor"/>
          <w:rtl w:val="true"/>
        </w:rPr>
        <w:footnoteReference w:id="211"/>
      </w:r>
      <w:r>
        <w:rPr>
          <w:rFonts w:ascii="IRNazanin" w:hAnsi="IRNazanin" w:eastAsia="IRNazanin"/>
          <w:color w:val="111111"/>
          <w:sz w:val="28"/>
          <w:sz w:val="28"/>
          <w:szCs w:val="28"/>
          <w:rtl w:val="true"/>
          <w:lang w:bidi="fa-IR"/>
        </w:rPr>
        <w:t>حتّی أنّهم علیهم السّلام عرفوا به و صار لهم أیضا شعارا، و لکن تراهم یعملون به فی جمیع الموارد، و لکن مرّة یسمّونه الطریق الأولی، و مرّة یسمّونه المنصوص العلّة، و مرّة یسمّونه تنقیح المناط، و مرّة یسمّونه اتّحاد المسألتین، و مرّة یسمّونه تمثیلا، و مرّة یعمّمون فی النصّ علی العلّة تعمیما لا یشذّ عنه فرد من أفراده کالعلّامة فی التهذیب،</w:t>
      </w:r>
      <w:r>
        <w:rPr>
          <w:rStyle w:val="FootnoteAnchor"/>
          <w:rtl w:val="true"/>
        </w:rPr>
        <w:footnoteReference w:id="212"/>
      </w:r>
      <w:r>
        <w:rPr>
          <w:rFonts w:ascii="IRNazanin" w:hAnsi="IRNazanin" w:eastAsia="IRNazanin"/>
          <w:color w:val="111111"/>
          <w:sz w:val="28"/>
          <w:sz w:val="28"/>
          <w:szCs w:val="28"/>
          <w:rtl w:val="true"/>
          <w:lang w:bidi="fa-IR"/>
        </w:rPr>
        <w:t>و کذلک أهل بیت العصمة علیهم السّلام أیضا تکلّموا فی أغلب أبواب الفقه بطریق القیاس المستجمع للشرائط مع شیعتهم حتّی فی بعضها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القیاس؟ فقال 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هذا تمثیل</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الذی یظهر لی من البین أنّ الذی أنکره الإمامیّة و نهی عنه الأئمّة علیهم السّلام غیر ما عملوا به و تکلّموا علیهم السّلام، به فإنّ الذین عملوا به و قالوا علیهم السّلام به هو القیاس المستجمع للشرائط و هو المسمّی بالتمثیل، کما قال الإمام علیه السّلام ردّا علی الراوی، و الذی أنکروه هو الغیر المستجمع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یدلّک علی هذا أنّه کان فی زمانهم علیهم السّلام جهّال قد أغووا الناس إلی أنفسهم و أغرّوهم إلی استفتائهم، فالناس کانوا یستفتون منهم و هم لا یکادون یفقهون حدیثا، فیقیسون أشیاء بغیر مناسبة کالأرض و السماء مثلا، و یفتونهم به فی جمیع فتاویهم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تری 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الدین بالقیاس، لکان باطن الخفّ أولی بالمسح من ظاهره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أنّه یدلّ علی أنّهم کانوا یقیسون ظاهر الخفّ بظاهر القدم، و أنّه لا مناسبة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ما تری إلی قیاس إبلیس المذموم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قاس إبلیس</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أنّه لیس مستجمعا للشرائط حتّی أصله، و هو شرافة النار علی الصلصال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یقیسون الامور برأیهم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یقتحم جراثیم جهنّم فلیقل فی الحدّ برأیه</w:t>
      </w:r>
      <w:r>
        <w:rPr>
          <w:rFonts w:eastAsia="IRNazanin" w:cs="IRNazanin"/>
          <w:color w:val="111111"/>
          <w:sz w:val="28"/>
          <w:szCs w:val="28"/>
          <w:rtl w:val="true"/>
          <w:lang w:bidi="fa-IR"/>
        </w:rPr>
        <w:t>».</w:t>
      </w:r>
      <w:r>
        <w:rPr>
          <w:rStyle w:val="FootnoteAnchor"/>
          <w:rtl w:val="true"/>
        </w:rPr>
        <w:footnoteReference w:id="21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bookmarkStart w:id="199" w:name="pg19819_193396"/>
    </w:p>
    <w:p>
      <w:pPr>
        <w:pStyle w:val="BookText"/>
        <w:rPr/>
      </w:pPr>
      <w:bookmarkEnd w:id="199"/>
      <w:r>
        <w:rPr>
          <w:rFonts w:ascii="IRNazanin" w:hAnsi="IRNazanin" w:eastAsia="IRNazanin"/>
          <w:color w:val="111111"/>
          <w:sz w:val="28"/>
          <w:sz w:val="28"/>
          <w:szCs w:val="28"/>
          <w:rtl w:val="true"/>
          <w:lang w:bidi="fa-IR"/>
        </w:rPr>
        <w:t>و إلی قول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فی کتاب اللّه برأیی</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إلی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أعیتهم الأحادیث أن یحفظوها فقالوا بالرأی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إلی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 جهّالا یقیسون برأیهم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فإنّ کلّ هذه تنادی بأنّهم لا یکادون یعرفون شیئا، و کان جمیع فتاویهم بالرأی حتّی أنّهم استغنوا عن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غیر القیاس المستجمع للشرائط، بل هو یسمّی تمثیلا کما مضی، و لو سمّی قیاسا فلا بأس به،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اسم للمنکر و المعروف، و القرء اسم للحیض و الطهر، و أین المنکر من المعروف و الحیض من الطهر مع أنّ الاسم واحد؟</w:t>
      </w:r>
    </w:p>
    <w:p>
      <w:pPr>
        <w:pStyle w:val="BookText"/>
        <w:rPr/>
      </w:pPr>
      <w:r>
        <w:rPr>
          <w:rFonts w:ascii="IRNazanin" w:hAnsi="IRNazanin" w:eastAsia="IRNazanin"/>
          <w:color w:val="111111"/>
          <w:sz w:val="28"/>
          <w:sz w:val="28"/>
          <w:szCs w:val="28"/>
          <w:rtl w:val="true"/>
          <w:lang w:bidi="fa-IR"/>
        </w:rPr>
        <w:t xml:space="preserve">و کذلک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للتمثیل المقبول المعروف، و القول بالرأی المردود المنکر؛ و اللّه أعلم فإنّا ما شهدنا إلّا بما علمنا، و ما کنّا للغیب حافظین</w:t>
      </w:r>
      <w:r>
        <w:rPr>
          <w:rFonts w:eastAsia="IRNazanin" w:cs="IRNazanin"/>
          <w:color w:val="111111"/>
          <w:sz w:val="28"/>
          <w:szCs w:val="28"/>
          <w:rtl w:val="true"/>
          <w:lang w:bidi="fa-IR"/>
        </w:rPr>
        <w:t>.</w:t>
      </w:r>
    </w:p>
    <w:p>
      <w:pPr>
        <w:pStyle w:val="Heading4"/>
        <w:numPr>
          <w:ilvl w:val="3"/>
          <w:numId w:val="1"/>
        </w:numPr>
        <w:rPr/>
      </w:pPr>
      <w:bookmarkStart w:id="200" w:name="__RefHeading___Toc3055553_2314609296"/>
      <w:bookmarkStart w:id="201" w:name="_Toc80"/>
      <w:bookmarkEnd w:id="200"/>
      <w:r>
        <w:rPr>
          <w:rtl w:val="true"/>
        </w:rPr>
        <w:t>خاتمة فی الاجتهاد و التقلید</w:t>
      </w:r>
      <w:bookmarkEnd w:id="201"/>
    </w:p>
    <w:p>
      <w:pPr>
        <w:pStyle w:val="Heading5"/>
        <w:numPr>
          <w:ilvl w:val="4"/>
          <w:numId w:val="1"/>
        </w:numPr>
        <w:rPr/>
      </w:pPr>
      <w:bookmarkStart w:id="202" w:name="__RefHeading___Toc3055555_2314609296"/>
      <w:bookmarkStart w:id="203" w:name="_Toc81"/>
      <w:bookmarkEnd w:id="202"/>
      <w:r>
        <w:rPr>
          <w:rtl w:val="true"/>
        </w:rPr>
        <w:t>نخبة</w:t>
      </w:r>
      <w:r>
        <w:rPr>
          <w:rtl w:val="true"/>
        </w:rPr>
        <w:t xml:space="preserve">: </w:t>
      </w:r>
      <w:r>
        <w:rPr>
          <w:rtl w:val="true"/>
        </w:rPr>
        <w:t>المجتهد</w:t>
      </w:r>
      <w:r>
        <w:rPr>
          <w:rtl w:val="true"/>
        </w:rPr>
        <w:t xml:space="preserve">- </w:t>
      </w:r>
      <w:r>
        <w:rPr>
          <w:rtl w:val="true"/>
        </w:rPr>
        <w:t>و یرادفه</w:t>
      </w:r>
      <w:bookmarkEnd w:id="20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من العلوم العربیّة و المنطق و الاصول و التفسیر و الحدیث و الرجال و المعرفة بمواقع الإجماع عن غیرها، و انس بلسان الفقهاء، و قوّة علی ردّ الفرع إلی الأصل و هی العمدة فی هذا الباب، و تحصل باستقامة الفهم و جودة النظر المعبّر عنهما عند الأصحاب بالقوّة القدسیّة</w:t>
      </w:r>
      <w:r>
        <w:rPr>
          <w:rFonts w:eastAsia="IRNazanin" w:cs="IRNazanin"/>
          <w:color w:val="111111"/>
          <w:sz w:val="28"/>
          <w:szCs w:val="28"/>
          <w:rtl w:val="true"/>
          <w:lang w:bidi="fa-IR"/>
        </w:rPr>
        <w:t>.</w:t>
      </w:r>
      <w:bookmarkStart w:id="204" w:name="pg19819_193397"/>
    </w:p>
    <w:p>
      <w:pPr>
        <w:pStyle w:val="BookText"/>
        <w:rPr/>
      </w:pPr>
      <w:bookmarkEnd w:id="204"/>
      <w:r>
        <w:rPr>
          <w:rFonts w:ascii="IRNazanin" w:hAnsi="IRNazanin" w:eastAsia="IRNazanin"/>
          <w:color w:val="111111"/>
          <w:sz w:val="28"/>
          <w:sz w:val="28"/>
          <w:szCs w:val="28"/>
          <w:rtl w:val="true"/>
          <w:lang w:bidi="fa-IR"/>
        </w:rPr>
        <w:t xml:space="preserve">و المتجزّی لیس بمجتهد؛ لأنّ کون الاستحضار لجمیع المسائل الفقهیّة مع أدلّتها مقدّمة لتحصیل الظنّ المعتبر فی المسألة الواحدة شی‌ء لا یقربه الإنکار، لارتباط بعضها ببعض ارتباطا تامّا یقینا لا سیّما العبادات بالعبادات، و المعاملات بالمعاملات، فلا یمکن العلم بعدم المانع ممّا فهمه هذا المتجزّی، و لأنّ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نظر فی أحکامنا، و عرف حلالنا من حرامنا</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ینادی بالإحاطة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یدلّک علی هذا أیضا ما تشاهد من أرباب الصنائع، فإنّ أحدا لا یمکنه تنجیر مفتاح کما هو حقّه إلّا و أن یکون عنده ملکة هذه الصنعة التی بها یقتدر علی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نزلنا و قلنا بإمکان حصول معرفة تامّة بتنجیر المفتاح فقط کما هو حقّه، فلا یسمّی نجّارا و لا یرجع إلیه، و لو سمّی فیسمّی نجّار المفتاح لا غیر، فلا نزاع فیها، و لکنّها شی‌ء یستهجنه العرف</w:t>
      </w:r>
      <w:r>
        <w:rPr>
          <w:rFonts w:eastAsia="IRNazanin" w:cs="IRNazanin"/>
          <w:color w:val="111111"/>
          <w:sz w:val="28"/>
          <w:szCs w:val="28"/>
          <w:rtl w:val="true"/>
          <w:lang w:bidi="fa-IR"/>
        </w:rPr>
        <w:t>.</w:t>
      </w:r>
    </w:p>
    <w:p>
      <w:pPr>
        <w:pStyle w:val="Heading5"/>
        <w:numPr>
          <w:ilvl w:val="4"/>
          <w:numId w:val="1"/>
        </w:numPr>
        <w:rPr/>
      </w:pPr>
      <w:bookmarkStart w:id="205" w:name="__RefHeading___Toc3055557_2314609296"/>
      <w:bookmarkStart w:id="206" w:name="_Toc82"/>
      <w:bookmarkEnd w:id="205"/>
      <w:r>
        <w:rPr>
          <w:rtl w:val="true"/>
        </w:rPr>
        <w:t>[</w:t>
      </w:r>
      <w:r>
        <w:rPr>
          <w:rtl w:val="true"/>
        </w:rPr>
        <w:t>نخبة</w:t>
      </w:r>
      <w:r>
        <w:rPr>
          <w:rtl w:val="true"/>
        </w:rPr>
        <w:t xml:space="preserve">: </w:t>
      </w:r>
      <w:r>
        <w:rPr>
          <w:rtl w:val="true"/>
        </w:rPr>
        <w:t>فی التصویب و التخطئة</w:t>
      </w:r>
      <w:r>
        <w:rPr>
          <w:rtl w:val="true"/>
        </w:rPr>
        <w:t>]</w:t>
      </w:r>
      <w:bookmarkEnd w:id="206"/>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فی نفس الأمر واحد مطلقا، فمن أصابه فهو المصیب، و إلّا فمخطئ معذور فی الفروع دون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و لکن لی علی من فرّق بین الاصول و الفروع بثبوت الإثم فی الأوّل إذا أخطأ دون الثانی کلام، و بعد هذا لی علی من فرّق بین التصویب و التخطئة فی الفروع کلام، و بعد ثبوت الفرق فللتصویب وجه، و له نظائر و شواهد و إن لم نقل به</w:t>
      </w:r>
      <w:r>
        <w:rPr>
          <w:rFonts w:eastAsia="IRNazanin" w:cs="IRNazanin"/>
          <w:color w:val="111111"/>
          <w:sz w:val="28"/>
          <w:szCs w:val="28"/>
          <w:rtl w:val="true"/>
          <w:lang w:bidi="fa-IR"/>
        </w:rPr>
        <w:t>.</w:t>
      </w:r>
    </w:p>
    <w:p>
      <w:pPr>
        <w:pStyle w:val="Heading5"/>
        <w:numPr>
          <w:ilvl w:val="4"/>
          <w:numId w:val="1"/>
        </w:numPr>
        <w:rPr/>
      </w:pPr>
      <w:bookmarkStart w:id="207" w:name="__RefHeading___Toc3055559_2314609296"/>
      <w:bookmarkStart w:id="208" w:name="_Toc83"/>
      <w:bookmarkEnd w:id="207"/>
      <w:r>
        <w:rPr>
          <w:rtl w:val="true"/>
        </w:rPr>
        <w:t>[</w:t>
      </w:r>
      <w:r>
        <w:rPr>
          <w:rtl w:val="true"/>
        </w:rPr>
        <w:t>نخبة</w:t>
      </w:r>
      <w:r>
        <w:rPr>
          <w:rtl w:val="true"/>
        </w:rPr>
        <w:t xml:space="preserve">: </w:t>
      </w:r>
      <w:r>
        <w:rPr>
          <w:rtl w:val="true"/>
        </w:rPr>
        <w:t>فی الحکم و الفتوی</w:t>
      </w:r>
      <w:r>
        <w:rPr>
          <w:rtl w:val="true"/>
        </w:rPr>
        <w:t>]</w:t>
      </w:r>
      <w:bookmarkEnd w:id="20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المجتهد المفتی أن یکون اثنی عشریّا عدلا، فإذا حکم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بکذا، أو أنفذت، أو ألزمت، أو أدفع إلیه ماله، أو اخرج من حقّه و نحوه فمتعلّقه لا یکون</w:t>
      </w:r>
      <w:bookmarkStart w:id="209" w:name="pg19819_193398"/>
    </w:p>
    <w:p>
      <w:pPr>
        <w:pStyle w:val="BookText"/>
        <w:rPr/>
      </w:pPr>
      <w:bookmarkEnd w:id="209"/>
      <w:r>
        <w:rPr>
          <w:rFonts w:ascii="IRNazanin" w:hAnsi="IRNazanin" w:eastAsia="IRNazanin"/>
          <w:color w:val="111111"/>
          <w:sz w:val="28"/>
          <w:sz w:val="28"/>
          <w:szCs w:val="28"/>
          <w:rtl w:val="true"/>
          <w:lang w:bidi="fa-IR"/>
        </w:rPr>
        <w:t>إلّا شخصیّا بخلاف الفتوی فإنّ متعلّقها کلّی، فلا یجوز له و لا لغیره نقض حکمه إلّا إذا خالف قطعیّا، و لا یجوز الرجوع عمّن استفتی منه إلی غیره المخالف له،</w:t>
      </w:r>
      <w:r>
        <w:rPr>
          <w:rStyle w:val="FootnoteAnchor"/>
          <w:rtl w:val="true"/>
        </w:rPr>
        <w:footnoteReference w:id="223"/>
      </w:r>
      <w:r>
        <w:rPr>
          <w:rFonts w:ascii="IRNazanin" w:hAnsi="IRNazanin" w:eastAsia="IRNazanin"/>
          <w:color w:val="111111"/>
          <w:sz w:val="28"/>
          <w:sz w:val="28"/>
          <w:szCs w:val="28"/>
          <w:rtl w:val="true"/>
          <w:lang w:bidi="fa-IR"/>
        </w:rPr>
        <w:t>و لا یجوز له تقلید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بالإجماع، و لا یجب علیه تجدید النظر ما دام ثابتا علی نظره الأوّل و لو طال الزمان</w:t>
      </w:r>
      <w:r>
        <w:rPr>
          <w:rFonts w:eastAsia="IRNazanin" w:cs="IRNazanin"/>
          <w:color w:val="111111"/>
          <w:sz w:val="28"/>
          <w:szCs w:val="28"/>
          <w:rtl w:val="true"/>
          <w:lang w:bidi="fa-IR"/>
        </w:rPr>
        <w:t>.</w:t>
      </w:r>
    </w:p>
    <w:p>
      <w:pPr>
        <w:pStyle w:val="Heading5"/>
        <w:numPr>
          <w:ilvl w:val="4"/>
          <w:numId w:val="1"/>
        </w:numPr>
        <w:rPr/>
      </w:pPr>
      <w:bookmarkStart w:id="210" w:name="__RefHeading___Toc3055561_2314609296"/>
      <w:bookmarkStart w:id="211" w:name="_Toc84"/>
      <w:bookmarkEnd w:id="210"/>
      <w:r>
        <w:rPr>
          <w:rtl w:val="true"/>
        </w:rPr>
        <w:t>[</w:t>
      </w:r>
      <w:r>
        <w:rPr>
          <w:rtl w:val="true"/>
        </w:rPr>
        <w:t>نخبة</w:t>
      </w:r>
      <w:r>
        <w:rPr>
          <w:rtl w:val="true"/>
        </w:rPr>
        <w:t xml:space="preserve">: </w:t>
      </w:r>
      <w:r>
        <w:rPr>
          <w:rtl w:val="true"/>
        </w:rPr>
        <w:t>فی عدم جواز التقلید لمن أمکنه الجهد</w:t>
      </w:r>
      <w:r>
        <w:rPr>
          <w:rtl w:val="true"/>
        </w:rPr>
        <w:t>]</w:t>
      </w:r>
      <w:bookmarkEnd w:id="211"/>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لم یبلغ رتبة الاجتهاد مهما أمکنه الجهد فی دلیل المسألة و لو بالسؤال عن المجتهد، لا یجوز له التقلید، و عند عدم الإمکان یقلّد من عرف بأیّ طور کان أنّه مجتهد اثنا عشری عدل، فإن جهل لزمه البحث، فإن عمل بقوله قبله ثمّ تبیّن الخلاف، فهو فاسد، و لا کذلک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اجتمع اثنان فأکثر و اختلفوا، یرجع إلی الأفقه و الأعدل و الأورع و الأصدق، و إن لم یجد یجب علیه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الرجوع إلی المیّت مع وجود الحیّ إلّا إذا اطمأنّ النفس بالمیّت دون الحیّ، و الإجماع المدّعی علی خلافه مخترع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اجعل هذا بلدا آمنا، و ارزق أهله من الثمرات، و لو لا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r>
        <w:rPr>
          <w:rStyle w:val="FootnoteAnchor"/>
          <w:rtl w:val="true"/>
        </w:rPr>
        <w:footnoteReference w:id="224"/>
      </w:r>
      <w:r>
        <w:rPr>
          <w:rFonts w:ascii="Amiri" w:hAnsi="Amiri" w:eastAsia="Amiri" w:cs="Amiri"/>
          <w:color w:val="111111"/>
          <w:sz w:val="28"/>
          <w:sz w:val="28"/>
          <w:szCs w:val="28"/>
          <w:rtl w:val="true"/>
          <w:lang w:bidi="ar-SA"/>
        </w:rPr>
        <w:t>لرأیتنی تکلّمت أکثر مما تکلّموا، و تعرّضت أکثر مما تعرّضوا، و لکن رأیت تعرّضهم لأکثر من هذا إعراضا عن أنفسهم العزیزة، و إعراضی تعرّضا لنفسی العزیزة فأختم الکلام بقوله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أَهْواءَهُمْ بَعْدَ الَّذِی جاءَکَ مِنَ الْعِلْمِ ما لَکَ مِنَ اللَّهِ مِنْ وَلِیٍّ وَ لا نَصِیرٍ؛</w:t>
      </w:r>
      <w:r>
        <w:rPr>
          <w:rStyle w:val="FootnoteAnchor"/>
          <w:rtl w:val="true"/>
        </w:rPr>
        <w:footnoteReference w:id="225"/>
      </w:r>
      <w:r>
        <w:rPr>
          <w:rFonts w:ascii="Amiri" w:hAnsi="Amiri" w:eastAsia="Amiri" w:cs="Amiri"/>
          <w:color w:val="111111"/>
          <w:sz w:val="28"/>
          <w:sz w:val="28"/>
          <w:szCs w:val="28"/>
          <w:rtl w:val="true"/>
          <w:lang w:bidi="ar-SA"/>
        </w:rPr>
        <w:t>إِنَّ هؤُلاءِ یُحِبُّونَ الْعاجِلَةَ وَ یَذَرُونَ وَراءَهُمْ یَوْماً ثَقِیلًا</w:t>
      </w:r>
      <w:r>
        <w:rPr>
          <w:rStyle w:val="FootnoteAnchor"/>
          <w:rtl w:val="true"/>
        </w:rPr>
        <w:footnoteReference w:id="226"/>
      </w:r>
      <w:r>
        <w:rPr>
          <w:rFonts w:ascii="Amiri" w:hAnsi="Amiri" w:eastAsia="Amiri" w:cs="Amiri"/>
          <w:color w:val="111111"/>
          <w:sz w:val="28"/>
          <w:sz w:val="28"/>
          <w:szCs w:val="28"/>
          <w:rtl w:val="true"/>
          <w:lang w:bidi="ar-SA"/>
        </w:rPr>
        <w:t>و الحمد للّه</w:t>
      </w:r>
    </w:p>
    <w:p>
      <w:pPr>
        <w:pStyle w:val="BookText"/>
        <w:rPr/>
      </w:pPr>
      <w:r>
        <w:rPr>
          <w:rFonts w:ascii="IRNazanin" w:hAnsi="IRNazanin" w:eastAsia="IRNazanin"/>
          <w:color w:val="111111"/>
          <w:sz w:val="28"/>
          <w:sz w:val="28"/>
          <w:szCs w:val="28"/>
          <w:rtl w:val="true"/>
          <w:lang w:bidi="fa-IR"/>
        </w:rPr>
        <w:t>کما هو أهله و مستحقّه، و الصلاة علی رسوله و آله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حرّرتها فی غریب السنة فی غریب السنّ، فإن عثرتم خللا أو زللا فاعتذرونی فهو خیر عملا، و السلام علیکم و رحمة اللّه</w:t>
      </w:r>
      <w:r>
        <w:rPr>
          <w:rFonts w:eastAsia="IRNazanin" w:cs="IRNazanin"/>
          <w:color w:val="111111"/>
          <w:sz w:val="28"/>
          <w:szCs w:val="28"/>
          <w:rtl w:val="true"/>
          <w:lang w:bidi="fa-IR"/>
        </w:rPr>
        <w:t>.</w:t>
      </w:r>
      <w:r>
        <w:rPr>
          <w:rStyle w:val="FootnoteAnchor"/>
          <w:rtl w:val="true"/>
        </w:rPr>
        <w:footnoteReference w:id="227"/>
      </w:r>
      <w:bookmarkStart w:id="212" w:name="pg19819_193400"/>
    </w:p>
    <w:p>
      <w:pPr>
        <w:pStyle w:val="Heading2"/>
        <w:numPr>
          <w:ilvl w:val="1"/>
          <w:numId w:val="1"/>
        </w:numPr>
        <w:rPr/>
      </w:pPr>
      <w:bookmarkStart w:id="213" w:name="__RefHeading___Toc3055563_2314609296"/>
      <w:bookmarkStart w:id="214" w:name="_Toc85"/>
      <w:bookmarkEnd w:id="212"/>
      <w:bookmarkEnd w:id="213"/>
      <w:r>
        <w:rPr/>
        <w:t>3</w:t>
      </w:r>
      <w:r>
        <w:rPr>
          <w:rtl w:val="true"/>
        </w:rPr>
        <w:t xml:space="preserve"> </w:t>
      </w:r>
      <w:r>
        <w:rPr>
          <w:rtl w:val="true"/>
        </w:rPr>
        <w:t>الفتوی</w:t>
      </w:r>
      <w:bookmarkEnd w:id="214"/>
    </w:p>
    <w:p>
      <w:pPr>
        <w:pStyle w:val="Heading3"/>
        <w:numPr>
          <w:ilvl w:val="2"/>
          <w:numId w:val="1"/>
        </w:numPr>
        <w:rPr/>
      </w:pPr>
      <w:bookmarkStart w:id="215" w:name="__RefHeading___Toc3055565_2314609296"/>
      <w:bookmarkStart w:id="216" w:name="_Toc86"/>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أحمد بن علی مختار الگلپایگانی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حیّا فی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الکریمی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الدرایتی</w:t>
      </w:r>
      <w:bookmarkStart w:id="217" w:name="pg19819_193402"/>
    </w:p>
    <w:p>
      <w:pPr>
        <w:pStyle w:val="Heading3"/>
        <w:numPr>
          <w:ilvl w:val="2"/>
          <w:numId w:val="1"/>
        </w:numPr>
        <w:rPr/>
      </w:pPr>
      <w:bookmarkStart w:id="218" w:name="__RefHeading___Toc3055567_2314609296"/>
      <w:bookmarkStart w:id="219" w:name="_Toc87"/>
      <w:bookmarkEnd w:id="217"/>
      <w:bookmarkEnd w:id="218"/>
      <w:r>
        <w:rPr>
          <w:rtl w:val="true"/>
        </w:rPr>
        <w:t>مقدّمة التحقیق</w:t>
      </w:r>
      <w:bookmarkEnd w:id="219"/>
    </w:p>
    <w:p>
      <w:pPr>
        <w:pStyle w:val="Heading4"/>
        <w:numPr>
          <w:ilvl w:val="3"/>
          <w:numId w:val="1"/>
        </w:numPr>
        <w:rPr/>
      </w:pPr>
      <w:bookmarkStart w:id="220" w:name="__RefHeading___Toc3055569_2314609296"/>
      <w:bookmarkStart w:id="221" w:name="_Toc88"/>
      <w:bookmarkEnd w:id="220"/>
      <w:r>
        <w:rPr>
          <w:rtl w:val="true"/>
        </w:rPr>
        <w:t>المؤلّف</w:t>
      </w:r>
      <w:r>
        <w:rPr>
          <w:rtl w:val="true"/>
        </w:rPr>
        <w:t>:</w:t>
      </w:r>
      <w:bookmarkEnd w:id="221"/>
    </w:p>
    <w:p>
      <w:pPr>
        <w:pStyle w:val="BookText"/>
        <w:rPr/>
      </w:pPr>
      <w:r>
        <w:rPr>
          <w:rFonts w:ascii="IRNazanin" w:hAnsi="IRNazanin" w:eastAsia="IRNazanin"/>
          <w:color w:val="111111"/>
          <w:sz w:val="28"/>
          <w:sz w:val="28"/>
          <w:szCs w:val="28"/>
          <w:rtl w:val="true"/>
          <w:lang w:bidi="fa-IR"/>
        </w:rPr>
        <w:t xml:space="preserve">هو الشیخ المولی أحمد بن علی مختار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الجرفادقانی</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الکرام البررة فی القرن الثالث بعد العشرة،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الذریعة،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تراجم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مکتبة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عبد العزیز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معجم المؤلّفین،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موسوعة مؤلّفی الإمامیة،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مقدّمه‌ای بر فقه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حسین المدرّسی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یشر التاریخ إلی زمان ولادته و لا مکانها، إلّا أنّ تلقّبه بالگلپایگانی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محافظات ایران المعروفة</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تکون ولادته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 مدّة باصبهان و شیراز، و بهما ألّف بعض مؤلّفاته</w:t>
      </w:r>
      <w:r>
        <w:rPr>
          <w:rFonts w:eastAsia="IRNazanin" w:cs="IRNazanin"/>
          <w:color w:val="111111"/>
          <w:sz w:val="28"/>
          <w:szCs w:val="28"/>
          <w:rtl w:val="true"/>
          <w:lang w:bidi="fa-IR"/>
        </w:rPr>
        <w:t>.</w:t>
      </w:r>
    </w:p>
    <w:p>
      <w:pPr>
        <w:pStyle w:val="Heading4"/>
        <w:numPr>
          <w:ilvl w:val="3"/>
          <w:numId w:val="1"/>
        </w:numPr>
        <w:rPr/>
      </w:pPr>
      <w:bookmarkStart w:id="222" w:name="__RefHeading___Toc3055571_2314609296"/>
      <w:bookmarkStart w:id="223" w:name="_Toc89"/>
      <w:bookmarkEnd w:id="222"/>
      <w:r>
        <w:rPr>
          <w:rtl w:val="true"/>
        </w:rPr>
        <w:t>أساتذته</w:t>
      </w:r>
      <w:r>
        <w:rPr>
          <w:rtl w:val="true"/>
        </w:rPr>
        <w:t>:</w:t>
      </w:r>
      <w:bookmarkEnd w:id="223"/>
    </w:p>
    <w:p>
      <w:pPr>
        <w:pStyle w:val="BookText"/>
        <w:rPr/>
      </w:pPr>
      <w:r>
        <w:rPr>
          <w:rFonts w:ascii="IRNazanin" w:hAnsi="IRNazanin" w:eastAsia="IRNazanin"/>
          <w:color w:val="111111"/>
          <w:sz w:val="28"/>
          <w:sz w:val="28"/>
          <w:szCs w:val="28"/>
          <w:rtl w:val="true"/>
          <w:lang w:bidi="fa-IR"/>
        </w:rPr>
        <w:t>لا شکّ أنّ المؤلّف لقی الکثیر من فطاحل علماء عصره و تلقّی عنهم الروایات و الفقه و غیرهما لکن المأسوف له أنّ الکثیر من أسمائهم لم یصلنا، و الذین وصلت أسماؤهم إلینا من خلال ترجمته و مؤلّفاته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علیّ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الریاض</w:t>
      </w:r>
      <w:r>
        <w:rPr>
          <w:rFonts w:eastAsia="IRNazanin" w:cs="IRNazanin"/>
          <w:color w:val="111111"/>
          <w:sz w:val="28"/>
          <w:szCs w:val="28"/>
          <w:rtl w:val="true"/>
          <w:lang w:bidi="fa-IR"/>
        </w:rPr>
        <w:t>).</w:t>
      </w:r>
      <w:bookmarkStart w:id="224" w:name="pg19819_193403"/>
    </w:p>
    <w:p>
      <w:pPr>
        <w:pStyle w:val="BookText"/>
        <w:rPr/>
      </w:pPr>
      <w:bookmarkEnd w:id="2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السیّد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کانا من أهمّ مشایخه اللذان صرّح المصنّف بأسمائهما، و لکن لا یبعد أن یکون المصنّف أیضا قد تتلمّذ علی العلماء و الأجلّاء الذین أجازوا له،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محمّد حسن بن معصوم القزوینی، تاریخ إجازته له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أبو القاسم بن محمّد مهدی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أحمد النراقی، و تاریخ إجازته له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الأجلّاء عظّموه و بجّلوه و وصفوه بأوصاف تدلّ علی عظیم مکانة المصنّف فی العلم و التحقیق و التدقیق مع أنّه کان فی سن الشباب حین کتابة الإجازات المذکورة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هذه الإجازات فی بدایة نسخة کتاب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السداد</w:t>
      </w:r>
      <w:r>
        <w:rPr>
          <w:rFonts w:eastAsia="IRNazanin" w:cs="IRNazanin"/>
          <w:color w:val="111111"/>
          <w:sz w:val="28"/>
          <w:szCs w:val="28"/>
          <w:rtl w:val="true"/>
          <w:lang w:bidi="fa-IR"/>
        </w:rPr>
        <w:t>.</w:t>
      </w:r>
    </w:p>
    <w:p>
      <w:pPr>
        <w:pStyle w:val="Heading4"/>
        <w:numPr>
          <w:ilvl w:val="3"/>
          <w:numId w:val="1"/>
        </w:numPr>
        <w:rPr/>
      </w:pPr>
      <w:bookmarkStart w:id="225" w:name="__RefHeading___Toc3055573_2314609296"/>
      <w:bookmarkStart w:id="226" w:name="_Toc90"/>
      <w:bookmarkEnd w:id="225"/>
      <w:r>
        <w:rPr>
          <w:rtl w:val="true"/>
        </w:rPr>
        <w:t>مؤلّفاته</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إزاحة الشکوک فی تملّک العبد و المملوک، فرغ من تألیفه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و توجد نسخة منه فی المکتبة السیّد المرعشی، الرقم </w:t>
      </w:r>
      <w:r>
        <w:rPr>
          <w:rFonts w:eastAsia="IRNazanin" w:cs="IRNazanin"/>
          <w:color w:val="111111"/>
          <w:sz w:val="28"/>
          <w:szCs w:val="28"/>
          <w:lang w:bidi="fa-IR"/>
        </w:rPr>
        <w:t>3401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الدین فی اتّفاق اصول الفقه المتین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قواطع الأوهام فی مسائل الحلال و الحرام، کتاب مبسوط فی الفقه، رآه العلّامة الطهرانی فی مکتبة الشیخ عبد الحسین العراقین الطهرانی، الموقوفة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نسخة منه فی المکتبة السیّد المرعشی، الرقم </w:t>
      </w:r>
      <w:r>
        <w:rPr>
          <w:rFonts w:eastAsia="IRNazanin" w:cs="IRNazanin"/>
          <w:color w:val="111111"/>
          <w:sz w:val="28"/>
          <w:szCs w:val="28"/>
          <w:lang w:bidi="fa-IR"/>
        </w:rPr>
        <w:t>7480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السداد فی شرح الإرشاد، توجد نسخته فی فهرست مخطوطات آیة اللّه الگلپایگانی،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مجموعة مخطوطة، و فیها إحدی عشرة رسالة فرغ من تألیف بعضها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أصالة اللزوم</w:t>
      </w:r>
      <w:r>
        <w:rPr>
          <w:rFonts w:eastAsia="IRNazanin" w:cs="IRNazanin"/>
          <w:color w:val="111111"/>
          <w:sz w:val="28"/>
          <w:szCs w:val="28"/>
          <w:rtl w:val="true"/>
          <w:lang w:bidi="fa-IR"/>
        </w:rPr>
        <w:t>.</w:t>
      </w:r>
      <w:bookmarkStart w:id="227" w:name="pg19819_193404"/>
    </w:p>
    <w:p>
      <w:pPr>
        <w:pStyle w:val="BookText"/>
        <w:rPr/>
      </w:pPr>
      <w:bookmarkEnd w:id="22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 وصل فیها إلی الحیض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فی عدّة مسائل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النکاح و الطلاق و الصلح و إسقاط الحقّ و المصالحة علی حقّ الرجوع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توکیل إخراج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اجتماع الأمر و النهی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أجوبة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الطهارة إلی الدیات، منها فی الطهارة، و الصلاة، و حکم صلاة الجمعة، و منها فی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تزویج الصغیرة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الفتوی، و هی هذه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الظهار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تفسیر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الغضب من الشیطان، 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لآقا میرزا بابا، قصیدة القافیة الطویلة فی العشق لجدّه السیّد محمّد القطب الذهبی، ترجمها المؤلّف بالفارسیّة</w:t>
      </w:r>
      <w:r>
        <w:rPr>
          <w:rFonts w:eastAsia="IRNazanin" w:cs="IRNazanin"/>
          <w:color w:val="111111"/>
          <w:sz w:val="28"/>
          <w:szCs w:val="28"/>
          <w:rtl w:val="true"/>
          <w:lang w:bidi="fa-IR"/>
        </w:rPr>
        <w:t>.</w:t>
      </w:r>
    </w:p>
    <w:p>
      <w:pPr>
        <w:pStyle w:val="Heading4"/>
        <w:numPr>
          <w:ilvl w:val="3"/>
          <w:numId w:val="1"/>
        </w:numPr>
        <w:rPr/>
      </w:pPr>
      <w:bookmarkStart w:id="228" w:name="__RefHeading___Toc3055575_2314609296"/>
      <w:bookmarkStart w:id="229" w:name="_Toc91"/>
      <w:bookmarkEnd w:id="228"/>
      <w:r>
        <w:rPr>
          <w:rtl w:val="true"/>
        </w:rPr>
        <w:t>إطراء العلماء فیه</w:t>
      </w:r>
      <w:r>
        <w:rPr>
          <w:rtl w:val="true"/>
        </w:rPr>
        <w:t>:</w:t>
      </w:r>
      <w:bookmarkEnd w:id="229"/>
    </w:p>
    <w:p>
      <w:pPr>
        <w:pStyle w:val="BookText"/>
        <w:rPr/>
      </w:pPr>
      <w:r>
        <w:rPr>
          <w:rFonts w:ascii="IRNazanin" w:hAnsi="IRNazanin" w:eastAsia="IRNazanin"/>
          <w:color w:val="111111"/>
          <w:sz w:val="28"/>
          <w:sz w:val="28"/>
          <w:szCs w:val="28"/>
          <w:rtl w:val="true"/>
          <w:lang w:bidi="fa-IR"/>
        </w:rPr>
        <w:t>قال العلّامة الآقا بزرگ الطهرانی فی الکرام البررة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کبیر، فقیه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الزرکلی فی الأعلام و عمر رضا کحّالة فی معجم المؤلفین من 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الشیخ الأعظم الأنصاری فی کتاب الصوم عن کتاب المنهج أو منهج السداد، و کتب محقّقه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بالمنهج ما کتبه الشیخ أحمد بن علیّ مختار الجرفادقانی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یدلّ علی جلالة قدره و عظم منزلته عند الشیخ الأعظم حیث اعتمد علی أقواله و نظریاته بنقضها أو إبرامها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تراجم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متبحّر، عالم جلیل</w:t>
      </w:r>
      <w:r>
        <w:rPr>
          <w:rFonts w:eastAsia="IRNazanin" w:cs="IRNazanin"/>
          <w:color w:val="111111"/>
          <w:sz w:val="28"/>
          <w:szCs w:val="28"/>
          <w:rtl w:val="true"/>
          <w:lang w:bidi="fa-IR"/>
        </w:rPr>
        <w:t>».</w:t>
      </w:r>
      <w:bookmarkStart w:id="230" w:name="pg19819_193405"/>
    </w:p>
    <w:p>
      <w:pPr>
        <w:pStyle w:val="Heading4"/>
        <w:numPr>
          <w:ilvl w:val="3"/>
          <w:numId w:val="1"/>
        </w:numPr>
        <w:rPr/>
      </w:pPr>
      <w:bookmarkStart w:id="231" w:name="__RefHeading___Toc3055577_2314609296"/>
      <w:bookmarkStart w:id="232" w:name="_Toc92"/>
      <w:bookmarkEnd w:id="230"/>
      <w:bookmarkEnd w:id="231"/>
      <w:r>
        <w:rPr>
          <w:rtl w:val="true"/>
        </w:rPr>
        <w:t>وفاته</w:t>
      </w:r>
      <w:r>
        <w:rPr>
          <w:rtl w:val="true"/>
        </w:rPr>
        <w:t>:</w:t>
      </w:r>
      <w:bookmarkEnd w:id="232"/>
    </w:p>
    <w:p>
      <w:pPr>
        <w:pStyle w:val="BookText"/>
        <w:rPr/>
      </w:pPr>
      <w:r>
        <w:rPr>
          <w:rFonts w:ascii="IRNazanin" w:hAnsi="IRNazanin" w:eastAsia="IRNazanin"/>
          <w:color w:val="111111"/>
          <w:sz w:val="28"/>
          <w:sz w:val="28"/>
          <w:szCs w:val="28"/>
          <w:rtl w:val="true"/>
          <w:lang w:bidi="fa-IR"/>
        </w:rPr>
        <w:t xml:space="preserve">توفّی رحمه اللّه بعد عام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فرغ فیها من کتاب قواطع الأوهام</w:t>
      </w:r>
      <w:r>
        <w:rPr>
          <w:rFonts w:eastAsia="IRNazanin" w:cs="IRNazanin"/>
          <w:color w:val="111111"/>
          <w:sz w:val="28"/>
          <w:szCs w:val="28"/>
          <w:rtl w:val="true"/>
          <w:lang w:bidi="fa-IR"/>
        </w:rPr>
        <w:t>.</w:t>
      </w:r>
    </w:p>
    <w:p>
      <w:pPr>
        <w:pStyle w:val="Heading4"/>
        <w:numPr>
          <w:ilvl w:val="3"/>
          <w:numId w:val="1"/>
        </w:numPr>
        <w:rPr/>
      </w:pPr>
      <w:bookmarkStart w:id="233" w:name="__RefHeading___Toc3055579_2314609296"/>
      <w:bookmarkStart w:id="234" w:name="_Toc93"/>
      <w:bookmarkEnd w:id="233"/>
      <w:r>
        <w:rPr>
          <w:rtl w:val="true"/>
        </w:rPr>
        <w:t>حول الرسالة</w:t>
      </w:r>
      <w:r>
        <w:rPr>
          <w:rtl w:val="true"/>
        </w:rPr>
        <w:t>:</w:t>
      </w:r>
      <w:bookmarkEnd w:id="234"/>
    </w:p>
    <w:p>
      <w:pPr>
        <w:pStyle w:val="BookText"/>
        <w:rPr/>
      </w:pPr>
      <w:r>
        <w:rPr>
          <w:rFonts w:ascii="IRNazanin" w:hAnsi="IRNazanin" w:eastAsia="IRNazanin"/>
          <w:color w:val="111111"/>
          <w:sz w:val="28"/>
          <w:sz w:val="28"/>
          <w:szCs w:val="28"/>
          <w:rtl w:val="true"/>
          <w:lang w:bidi="fa-IR"/>
        </w:rPr>
        <w:t>هذه رسالة مشتملة علی مهمّات جلیلة، و فوائد کثیرة، فی أحکام و آداب المفید و المستفید و بیان فضل أهل العلم و آداب تعلیمه و تعلّمه، و شرائط الفتوی و المفتی و المستفتی و ما یرتبط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تفرّد المصنّف فی هذه الرسالة بما لم یطرقه غیره، أو طرقه و لم یستوف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من المناسب هنا ذکر أسماء بعض المصنّفات التی کتبت فی هذا الموضوع لتعمّ بها الفائدة، و لنتعرّف علی موقع هذه الرسالة التی بین أیدینا من بین المصنّفات الاخری التی تناولت نفس الموضوع ممّا وصلنا إلیها،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فی آداب المفید و المستفید، تألیف الشهید السعید الشیخ زین الدین بن علیّ عاملی، المعروف بالشهید الثانی، المستشهد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محقّقا مکرّرا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شرائط المفتی، لمحمّد إسماعیل المازندرانی الخاجوئی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محقّقا، حقّقه مهدی الرجائی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أهمّ ما کتب فی هذا الموضوع مستقلا ممّا وصلنا إلیه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المفتی و المستفتی، لابی عمرو عثمان بن عبد الرحمن الشهرزوری المعروف بابن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محقّقا، حقّقه عبد المعطی أمین قلعجی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غیض من فیض فی ذکر الکتب الّتی الّفت فی هذا الموضوع، فیجد الباحث و المتتبّع الکتب المختصّة بذلک موجودة و لکن الکثیر منها لم یطبع بعد</w:t>
      </w:r>
      <w:r>
        <w:rPr>
          <w:rFonts w:eastAsia="IRNazanin" w:cs="IRNazanin"/>
          <w:color w:val="111111"/>
          <w:sz w:val="28"/>
          <w:szCs w:val="28"/>
          <w:rtl w:val="true"/>
          <w:lang w:bidi="fa-IR"/>
        </w:rPr>
        <w:t>.</w:t>
      </w:r>
      <w:bookmarkStart w:id="235" w:name="pg19819_193406"/>
    </w:p>
    <w:p>
      <w:pPr>
        <w:pStyle w:val="BookText"/>
        <w:rPr/>
      </w:pPr>
      <w:bookmarkEnd w:id="235"/>
      <w:r>
        <w:rPr>
          <w:rFonts w:ascii="IRNazanin" w:hAnsi="IRNazanin" w:eastAsia="IRNazanin"/>
          <w:color w:val="111111"/>
          <w:sz w:val="28"/>
          <w:sz w:val="28"/>
          <w:szCs w:val="28"/>
          <w:rtl w:val="true"/>
          <w:lang w:bidi="fa-IR"/>
        </w:rPr>
        <w:t>و لهذه الرسالة امتیازات،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تتبّع مؤلّفها للروایات التی تدلّ علی الفرع الفقهی المطروح فی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تمیّز طریقته الاستدلالیّة، بأن المصنّف یجمع وجوه الاستدلال، ففی حین توجد أمارات شرعیّة علی حکم ما نراه یعضد الاستدلال بالاصول العملیّة مع أنّ النوبة لا تصل إلیها، و ذلک تقویة لمسلک الاجتهاد، و فتحا للذهنیّة الاستنباطیّة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إشباع الفروع المبحوث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قوّة الشامة الفقهیّة فی استدلالاته إلی حدّ کبیر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حرصه فی التتبّع علی الحصول فی فتاوی الأصحاب و اعتناؤه المتزاید بفهم کلام الأصحاب</w:t>
      </w:r>
      <w:r>
        <w:rPr>
          <w:rFonts w:eastAsia="IRNazanin" w:cs="IRNazanin"/>
          <w:color w:val="111111"/>
          <w:sz w:val="28"/>
          <w:szCs w:val="28"/>
          <w:rtl w:val="true"/>
          <w:lang w:bidi="fa-IR"/>
        </w:rPr>
        <w:t>.</w:t>
      </w:r>
    </w:p>
    <w:p>
      <w:pPr>
        <w:pStyle w:val="Heading4"/>
        <w:numPr>
          <w:ilvl w:val="3"/>
          <w:numId w:val="1"/>
        </w:numPr>
        <w:rPr/>
      </w:pPr>
      <w:bookmarkStart w:id="236" w:name="__RefHeading___Toc3055581_2314609296"/>
      <w:bookmarkStart w:id="237" w:name="_Toc94"/>
      <w:bookmarkEnd w:id="236"/>
      <w:r>
        <w:rPr>
          <w:rtl w:val="true"/>
        </w:rPr>
        <w:t>منهج التحقیق</w:t>
      </w:r>
      <w:bookmarkEnd w:id="237"/>
    </w:p>
    <w:p>
      <w:pPr>
        <w:pStyle w:val="BookText"/>
        <w:rPr/>
      </w:pPr>
      <w:r>
        <w:rPr>
          <w:rFonts w:ascii="IRNazanin" w:hAnsi="IRNazanin" w:eastAsia="IRNazanin"/>
          <w:color w:val="111111"/>
          <w:sz w:val="28"/>
          <w:sz w:val="28"/>
          <w:szCs w:val="28"/>
          <w:rtl w:val="true"/>
          <w:lang w:bidi="fa-IR"/>
        </w:rPr>
        <w:t>و کان التحقیق طبق المراحل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خرجنا الآیات الشریفة، و حصرناها بین قوسین مزهرین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خرجنا الأحادیث الشریفة مع ضبط موارد اختلاف النسخة مع المصادر فی الهامش، و الأحادیث الواردة فی الکتاب أرجعناها إلی مصادرها الحدیثیّة و التاریخیّة المهمّة، و شرحنا بعض ما یحتاج إلی الشرح أو التوضیح، کما شرحنا بعض الألفاظ اللغویّة الغامضة استعانة بمصادر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وضعنا الأحادیث بین الأقواس الصغیرة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عبّرنا عمّا لیس فی المتن المنتخب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نفرّق بینه و بین السقط اعتمادا علی فهم القارئ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خرجنا النصوص و المطالب التی ینقلها المؤلّف من نفس مصادرها، فإن تعسّر ذلک نقلناها من مصادر اخری و تؤدی المطلب المنقول، و إلّا ترکناها دون تخریج علما بأنّ المؤلّف ربما نقل بالمعنی و الاختصار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ما حصرناه بین المعقوفین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المصدر المنقول عنه و إلّا فهو من عندنا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التی ینسبها المؤلّف إلی قائل غیر معلوم استخرجناها من المصادر المتقدّمة تاریخها علی هذه الرسالة، فإن لم یتسنّ لنا ذلک استخرجناها من المصادر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التی اعتمدنا علیها توجد فی مکتبة السیّد المرعشی، الرسالة الثامنة من المجموعة المرقّمة </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المجموعة کلّها بخطّ المؤلّف رحمه اللّه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بذلنا قصاری جهدنا فی تحقیق هذا الکتاب و إخراجه إلی عالم النور بأفضل شکل ممکن، فما وجد فیه من خلل أو خطأ فهو عن قصور لا تقصیر، و نسأل اللّه أن یتقبّل منّا هذا الجهد بقبول حسن، و آخر دعوانا أن الحمد للّه ربّ العالمین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 بخطّ المؤلف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 بخطّ المؤلف</w:t>
      </w:r>
      <w:bookmarkStart w:id="238" w:name="pg19819_193410"/>
    </w:p>
    <w:p>
      <w:pPr>
        <w:pStyle w:val="BookText"/>
        <w:rPr/>
      </w:pPr>
      <w:bookmarkEnd w:id="238"/>
      <w:r>
        <w:rPr>
          <w:rFonts w:ascii="IRNazanin" w:hAnsi="IRNazanin" w:eastAsia="IRNazanin"/>
          <w:color w:val="111111"/>
          <w:sz w:val="28"/>
          <w:sz w:val="28"/>
          <w:szCs w:val="28"/>
          <w:rtl w:val="true"/>
          <w:lang w:bidi="fa-IR"/>
        </w:rPr>
        <w:t>الفتوی بسم اللّه الرحمن الرحیم الحمد للّه ربّ العالمین، و الصلاة و السلام علی خیر خلقه محمّد و آله أجمعین</w:t>
      </w:r>
      <w:r>
        <w:rPr>
          <w:rFonts w:eastAsia="IRNazanin" w:cs="IRNazanin"/>
          <w:color w:val="111111"/>
          <w:sz w:val="28"/>
          <w:szCs w:val="28"/>
          <w:rtl w:val="true"/>
          <w:lang w:bidi="fa-IR"/>
        </w:rPr>
        <w:t>.</w:t>
      </w:r>
    </w:p>
    <w:p>
      <w:pPr>
        <w:pStyle w:val="Heading3"/>
        <w:numPr>
          <w:ilvl w:val="2"/>
          <w:numId w:val="1"/>
        </w:numPr>
        <w:rPr/>
      </w:pPr>
      <w:bookmarkStart w:id="239" w:name="__RefHeading___Toc3055583_2314609296"/>
      <w:bookmarkStart w:id="240" w:name="_Toc95"/>
      <w:bookmarkEnd w:id="239"/>
      <w:r>
        <w:rPr>
          <w:rtl w:val="true"/>
        </w:rPr>
        <w:t>[</w:t>
      </w:r>
      <w:r>
        <w:rPr>
          <w:rtl w:val="true"/>
        </w:rPr>
        <w:t>التحقیق فی الکتاب الفتوی</w:t>
      </w:r>
      <w:r>
        <w:rPr>
          <w:rtl w:val="true"/>
        </w:rPr>
        <w:t>]</w:t>
      </w:r>
      <w:bookmarkEnd w:id="240"/>
    </w:p>
    <w:p>
      <w:pPr>
        <w:pStyle w:val="Heading4"/>
        <w:numPr>
          <w:ilvl w:val="3"/>
          <w:numId w:val="1"/>
        </w:numPr>
        <w:rPr/>
      </w:pPr>
      <w:bookmarkStart w:id="241" w:name="__RefHeading___Toc3055585_2314609296"/>
      <w:bookmarkStart w:id="242" w:name="_Toc96"/>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کتاب فی الفتوی و فیه مقصدان</w:t>
      </w:r>
      <w:r>
        <w:rPr>
          <w:rFonts w:eastAsia="IRNazanin" w:cs="IRNazanin"/>
          <w:color w:val="111111"/>
          <w:sz w:val="28"/>
          <w:szCs w:val="28"/>
          <w:rtl w:val="true"/>
          <w:lang w:bidi="fa-IR"/>
        </w:rPr>
        <w:t>:</w:t>
      </w:r>
    </w:p>
    <w:p>
      <w:pPr>
        <w:pStyle w:val="Heading4"/>
        <w:numPr>
          <w:ilvl w:val="3"/>
          <w:numId w:val="1"/>
        </w:numPr>
        <w:rPr/>
      </w:pPr>
      <w:bookmarkStart w:id="243" w:name="__RefHeading___Toc3055587_2314609296"/>
      <w:bookmarkStart w:id="244" w:name="_Toc97"/>
      <w:bookmarkEnd w:id="243"/>
      <w:r>
        <w:rPr>
          <w:rtl w:val="true"/>
        </w:rPr>
        <w:t>المقصد الأوّل فی المفتی، و ما یتعلّق به من الأحکام</w:t>
      </w:r>
      <w:bookmarkEnd w:id="244"/>
    </w:p>
    <w:p>
      <w:pPr>
        <w:pStyle w:val="Heading5"/>
        <w:numPr>
          <w:ilvl w:val="4"/>
          <w:numId w:val="1"/>
        </w:numPr>
        <w:rPr/>
      </w:pPr>
      <w:bookmarkStart w:id="245" w:name="__RefHeading___Toc3055589_2314609296"/>
      <w:bookmarkStart w:id="246" w:name="_Toc98"/>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و فیه أبحاث</w:t>
      </w:r>
      <w:r>
        <w:rPr>
          <w:rFonts w:eastAsia="IRNazanin" w:cs="IRNazanin"/>
          <w:color w:val="111111"/>
          <w:sz w:val="28"/>
          <w:szCs w:val="28"/>
          <w:rtl w:val="true"/>
          <w:lang w:bidi="fa-IR"/>
        </w:rPr>
        <w:t>:</w:t>
      </w:r>
    </w:p>
    <w:p>
      <w:pPr>
        <w:pStyle w:val="Heading5"/>
        <w:numPr>
          <w:ilvl w:val="4"/>
          <w:numId w:val="1"/>
        </w:numPr>
        <w:rPr/>
      </w:pPr>
      <w:bookmarkStart w:id="247" w:name="__RefHeading___Toc3055591_2314609296"/>
      <w:bookmarkStart w:id="248" w:name="_Toc99"/>
      <w:bookmarkEnd w:id="247"/>
      <w:r>
        <w:rPr>
          <w:rtl w:val="true"/>
        </w:rPr>
        <w:t>البحث الأوّل فیما یشترط فی صحّة الفتوی من المفتی، و کونه مفتیا یصحّ الاستفتاء منه و العمل بما أفتی به</w:t>
      </w:r>
      <w:bookmarkEnd w:id="248"/>
    </w:p>
    <w:p>
      <w:pPr>
        <w:pStyle w:val="Heading6"/>
        <w:numPr>
          <w:ilvl w:val="5"/>
          <w:numId w:val="1"/>
        </w:numPr>
        <w:rPr/>
      </w:pPr>
      <w:bookmarkStart w:id="249" w:name="__RefHeading___Toc3055593_2314609296"/>
      <w:bookmarkStart w:id="250" w:name="_Toc100"/>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یصحّ فتوی المجنون حال الجنون مطلقا؛ إجماعا فتوی و دلیلا</w:t>
      </w:r>
      <w:r>
        <w:rPr>
          <w:rStyle w:val="FootnoteAnchor"/>
          <w:rtl w:val="true"/>
        </w:rPr>
        <w:footnoteReference w:id="230"/>
      </w:r>
      <w:r>
        <w:rPr>
          <w:rFonts w:ascii="IRNazanin" w:hAnsi="IRNazanin" w:eastAsia="IRNazanin"/>
          <w:color w:val="111111"/>
          <w:sz w:val="28"/>
          <w:sz w:val="28"/>
          <w:szCs w:val="28"/>
          <w:rtl w:val="true"/>
          <w:lang w:bidi="fa-IR"/>
        </w:rPr>
        <w:t>، من الاصول و غیرها، ممّا سیأتی إلی جملتها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الجنون الأدواری و الأطباقی قطعا؛ لعموم الأدلّة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لا فرق فی ذلک بین وجود المفتی الجامع للشرائط و عدمه؛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w:t>
      </w:r>
    </w:p>
    <w:p>
      <w:pPr>
        <w:pStyle w:val="BookText"/>
        <w:rPr/>
      </w:pPr>
      <w:r>
        <w:rPr>
          <w:rFonts w:ascii="IRNazanin" w:hAnsi="IRNazanin" w:eastAsia="IRNazanin"/>
          <w:color w:val="111111"/>
          <w:sz w:val="28"/>
          <w:sz w:val="28"/>
          <w:szCs w:val="28"/>
          <w:rtl w:val="true"/>
          <w:lang w:bidi="fa-IR"/>
        </w:rPr>
        <w:t>یختصّ اشتراطه بحال البناء علی الفتوی و ابتداء العمل بما أفتی به، أم لا، بل یعمّه و صورة الاستدامة أیضا؟ إشکال، یأتی إلی وجهه الإشارة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یصحّ فتوی الصبیّ الغیر الممیّز مطلقا؛ إجماعا فتوی و دلیلا</w:t>
      </w:r>
      <w:r>
        <w:rPr>
          <w:rStyle w:val="FootnoteAnchor"/>
          <w:rtl w:val="true"/>
        </w:rPr>
        <w:footnoteReference w:id="231"/>
      </w:r>
      <w:r>
        <w:rPr>
          <w:rFonts w:ascii="IRNazanin" w:hAnsi="IRNazanin" w:eastAsia="IRNazanin"/>
          <w:color w:val="111111"/>
          <w:sz w:val="28"/>
          <w:sz w:val="28"/>
          <w:szCs w:val="28"/>
          <w:rtl w:val="true"/>
          <w:lang w:bidi="fa-IR"/>
        </w:rPr>
        <w:t>، من الاصول و غیرها، ممّا سیأتی إلی جملتها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فتوی الممیّز مع استکماله سائر الشروط؟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بلا خلاف ظاهر أجده فیه، بل و لعلّه موضع وفاق، کما یظهر من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الحجّة، مضافا إلی الأصل و الاستصحاب، و العمومات الدالّة علی عدم جواز نقض الیقین إلّا بالیقین</w:t>
      </w:r>
      <w:r>
        <w:rPr>
          <w:rStyle w:val="FootnoteAnchor"/>
          <w:rtl w:val="true"/>
        </w:rPr>
        <w:footnoteReference w:id="233"/>
      </w:r>
      <w:r>
        <w:rPr>
          <w:rFonts w:ascii="IRNazanin" w:hAnsi="IRNazanin" w:eastAsia="IRNazanin"/>
          <w:color w:val="111111"/>
          <w:sz w:val="28"/>
          <w:sz w:val="28"/>
          <w:szCs w:val="28"/>
          <w:rtl w:val="true"/>
          <w:lang w:bidi="fa-IR"/>
        </w:rPr>
        <w:t>لو قلنا بتغایرهما</w:t>
      </w:r>
      <w:r>
        <w:rPr>
          <w:rStyle w:val="FootnoteAnchor"/>
          <w:rtl w:val="true"/>
        </w:rPr>
        <w:footnoteReference w:id="234"/>
      </w:r>
      <w:r>
        <w:rPr>
          <w:rFonts w:ascii="IRNazanin" w:hAnsi="IRNazanin" w:eastAsia="IRNazanin"/>
          <w:color w:val="111111"/>
          <w:sz w:val="28"/>
          <w:sz w:val="28"/>
          <w:szCs w:val="28"/>
          <w:rtl w:val="true"/>
          <w:lang w:bidi="fa-IR"/>
        </w:rPr>
        <w:t>، و العمومات الدالّة علی عدم جواز العمل بغیر العلم و التقلید، و الاستقراء علی القول بحجّیّته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التتبّع فی الشرعیّات یعطی عدم العبرة بقوله فی العقود و الإیقاعات</w:t>
      </w:r>
      <w:r>
        <w:rPr>
          <w:rStyle w:val="FootnoteAnchor"/>
          <w:rtl w:val="true"/>
        </w:rPr>
        <w:footnoteReference w:id="235"/>
      </w:r>
      <w:r>
        <w:rPr>
          <w:rFonts w:ascii="IRNazanin" w:hAnsi="IRNazanin" w:eastAsia="IRNazanin"/>
          <w:color w:val="111111"/>
          <w:sz w:val="28"/>
          <w:sz w:val="28"/>
          <w:szCs w:val="28"/>
          <w:rtl w:val="true"/>
          <w:lang w:bidi="fa-IR"/>
        </w:rPr>
        <w:t>، و کونه کالمجنون فی عدم اعتبار قوله، و کونه محجورا علیه، و مغایرته للبالغ العاقل غالبا، فلیکن هنا أیضا کذلک، عملا بالاستقراء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فحوی ما دلّ علی عدم صحّة إمامته، و بطلان شهادته غالبا، و نحوها، و ما دلّ علی اشتراط الإیمان و العدالة فی ذلک، بناء علی عدم تحقّقهما فی حقّه کما یلوح أو یتوهّم من ظاهر بعض الکلمات</w:t>
      </w:r>
      <w:r>
        <w:rPr>
          <w:rStyle w:val="FootnoteAnchor"/>
          <w:rtl w:val="true"/>
        </w:rPr>
        <w:footnoteReference w:id="236"/>
      </w:r>
      <w:r>
        <w:rPr>
          <w:rFonts w:ascii="IRNazanin" w:hAnsi="IRNazanin" w:eastAsia="IRNazanin"/>
          <w:color w:val="111111"/>
          <w:sz w:val="28"/>
          <w:sz w:val="28"/>
          <w:szCs w:val="28"/>
          <w:rtl w:val="true"/>
          <w:lang w:bidi="fa-IR"/>
        </w:rPr>
        <w:t>و إن لا یخلو عن شی‌ء، فتأمّل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ذکره جمع یخصّص أو یقیّد عموم بعض ما سیأتی إلیه الإشارة أو إطلاقه؛ جمعا بین الأدلّة، و عملا بالقاعدة الممهّدة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لا ذلک لاتّجه الصحّة؛ للعموم أو الإطلاق الآتی الدالّ علی الصحّة، فتنبّه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ذلک بصورة التمکّن من المفتی الجامع للشرائط؟ فیصحّ للمستفتی فی صورة عدم التمکّن منه العمل بفتواه مع استکماله سائر الشروط، أم لا، بل یعمّ الصورتین؟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الکلام فیه بعد ذلک إن شاء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فلا یصحّ فتوی الکافر بجمیع أقسامه مطلقا، بلا خلاف ظاهر أجده فیه، بل لعلّه موضع وفاق کما فی ظاهر بعض العبائر</w:t>
      </w:r>
      <w:r>
        <w:rPr>
          <w:rStyle w:val="FootnoteAnchor"/>
          <w:rtl w:val="true"/>
        </w:rPr>
        <w:footnoteReference w:id="237"/>
      </w:r>
      <w:r>
        <w:rPr>
          <w:rFonts w:ascii="IRNazanin" w:hAnsi="IRNazanin" w:eastAsia="IRNazanin"/>
          <w:color w:val="111111"/>
          <w:sz w:val="28"/>
          <w:sz w:val="28"/>
          <w:szCs w:val="28"/>
          <w:rtl w:val="true"/>
          <w:lang w:bidi="fa-IR"/>
        </w:rPr>
        <w:t>، و عن صریح مجمع الفائدة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الحجّة؛ مضافا إلی الأصل و الاستصحاب؛ و العمومات المانعة من نقض الیقین بغیره، و من العمل بغیر العلم</w:t>
      </w:r>
      <w:r>
        <w:rPr>
          <w:rStyle w:val="FootnoteAnchor"/>
          <w:rtl w:val="true"/>
        </w:rPr>
        <w:footnoteReference w:id="239"/>
      </w:r>
      <w:r>
        <w:rPr>
          <w:rFonts w:ascii="IRNazanin" w:hAnsi="IRNazanin" w:eastAsia="IRNazanin"/>
          <w:color w:val="111111"/>
          <w:sz w:val="28"/>
          <w:sz w:val="28"/>
          <w:szCs w:val="28"/>
          <w:rtl w:val="true"/>
          <w:lang w:bidi="fa-IR"/>
        </w:rPr>
        <w:t>، و النافیة للاستواء بین أصحاب النار و أصحاب الجنّة</w:t>
      </w:r>
      <w:r>
        <w:rPr>
          <w:rStyle w:val="FootnoteAnchor"/>
          <w:rtl w:val="true"/>
        </w:rPr>
        <w:footnoteReference w:id="240"/>
      </w:r>
      <w:r>
        <w:rPr>
          <w:rFonts w:ascii="IRNazanin" w:hAnsi="IRNazanin" w:eastAsia="IRNazanin"/>
          <w:color w:val="111111"/>
          <w:sz w:val="28"/>
          <w:sz w:val="28"/>
          <w:szCs w:val="28"/>
          <w:rtl w:val="true"/>
          <w:lang w:bidi="fa-IR"/>
        </w:rPr>
        <w:t>، و بین الأعمی و البصیر</w:t>
      </w:r>
      <w:r>
        <w:rPr>
          <w:rStyle w:val="FootnoteAnchor"/>
          <w:rtl w:val="true"/>
        </w:rPr>
        <w:footnoteReference w:id="241"/>
      </w:r>
      <w:r>
        <w:rPr>
          <w:rFonts w:ascii="IRNazanin" w:hAnsi="IRNazanin" w:eastAsia="IRNazanin"/>
          <w:color w:val="111111"/>
          <w:sz w:val="28"/>
          <w:sz w:val="28"/>
          <w:szCs w:val="28"/>
          <w:rtl w:val="true"/>
          <w:lang w:bidi="fa-IR"/>
        </w:rPr>
        <w:t>،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النهی عن الرکون إلی الظالم</w:t>
      </w:r>
      <w:r>
        <w:rPr>
          <w:rStyle w:val="FootnoteAnchor"/>
          <w:rtl w:val="true"/>
        </w:rPr>
        <w:footnoteReference w:id="242"/>
      </w:r>
      <w:r>
        <w:rPr>
          <w:rFonts w:ascii="IRNazanin" w:hAnsi="IRNazanin" w:eastAsia="IRNazanin"/>
          <w:color w:val="111111"/>
          <w:sz w:val="28"/>
          <w:sz w:val="28"/>
          <w:szCs w:val="28"/>
          <w:rtl w:val="true"/>
          <w:lang w:bidi="fa-IR"/>
        </w:rPr>
        <w:t>و ما دلّ علی عدم صحّة فتوی غیر العادل و المخالف</w:t>
      </w:r>
      <w:r>
        <w:rPr>
          <w:rStyle w:val="FootnoteAnchor"/>
          <w:rtl w:val="true"/>
        </w:rPr>
        <w:footnoteReference w:id="243"/>
      </w:r>
      <w:r>
        <w:rPr>
          <w:rFonts w:ascii="IRNazanin" w:hAnsi="IRNazanin" w:eastAsia="IRNazanin"/>
          <w:color w:val="111111"/>
          <w:sz w:val="28"/>
          <w:sz w:val="28"/>
          <w:szCs w:val="28"/>
          <w:rtl w:val="true"/>
          <w:lang w:bidi="fa-IR"/>
        </w:rPr>
        <w:t>، أو فحواه؛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أسلم و استکمل سائر شروط الفتوی صحّ فتواه قطعا؛ لما سیأتی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یختصّ ذلک بصورة التمکّن من المفتی الجامع للشرائط، أم لا، بل یعمّها و صورة عدمه أیضا؟ فیه إشکال تأتی الإشارة إلی وجهه مع ما هو الصواب فیما بعد إن شاء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ذلک بصورة العمل بالفتوی ابتداء، أم لا، بل یعمّها و صورة الاستدامة أیضا؟ فیه أیضا إشکال، تأتی الإشارة إلی وجهه مع ما هو الصواب فیما بعد، فترقّب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 من الإمامیّة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فتوی غیره من فرق المسلمین، بلا خلاف ظاهر أجده فیه، بل و لعلّه علیه الاتّفاق کما عن صریح مجمع الفائدة</w:t>
      </w:r>
      <w:r>
        <w:rPr>
          <w:rStyle w:val="FootnoteAnchor"/>
          <w:rtl w:val="true"/>
        </w:rPr>
        <w:footnoteReference w:id="244"/>
      </w:r>
      <w:r>
        <w:rPr>
          <w:rFonts w:ascii="IRNazanin" w:hAnsi="IRNazanin" w:eastAsia="IRNazanin"/>
          <w:color w:val="111111"/>
          <w:sz w:val="28"/>
          <w:sz w:val="28"/>
          <w:szCs w:val="28"/>
          <w:rtl w:val="true"/>
          <w:lang w:bidi="fa-IR"/>
        </w:rPr>
        <w:t>، و فی ظاهر غیره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الوصول و منیة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واقع علی أنّه لا یجوز تقلید غیر المحقّ</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الحجّة، مضافا إلی الأصل و الاستصحاب، و العمومات المشار إلیها، و الاستقراء، و کونه بحکم الکافر فی جمیع الأحکام بحکم الأخبار المتکثّرة</w:t>
      </w:r>
      <w:r>
        <w:rPr>
          <w:rStyle w:val="FootnoteAnchor"/>
          <w:rtl w:val="true"/>
        </w:rPr>
        <w:footnoteReference w:id="247"/>
      </w:r>
      <w:r>
        <w:rPr>
          <w:rFonts w:ascii="IRNazanin" w:hAnsi="IRNazanin" w:eastAsia="IRNazanin"/>
          <w:color w:val="111111"/>
          <w:sz w:val="28"/>
          <w:sz w:val="28"/>
          <w:szCs w:val="28"/>
          <w:rtl w:val="true"/>
          <w:lang w:bidi="fa-IR"/>
        </w:rPr>
        <w:t>و غیرها، إلّا ما خرج بالدلیل، و لیس ما نحن فیه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عدم صحّة فتوی الفاسق لکونه فاسقا شرعا؛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الأخبار الکثیرة الآمرة بالأخذ بما خالف العامّة، المعلّل و المصرّح فی جملة منها بأنّ ما خالف العامّة ففیه الرشاد</w:t>
      </w:r>
      <w:r>
        <w:rPr>
          <w:rStyle w:val="FootnoteAnchor"/>
          <w:rtl w:val="true"/>
        </w:rPr>
        <w:footnoteReference w:id="248"/>
      </w:r>
      <w:r>
        <w:rPr>
          <w:rFonts w:ascii="Amiri" w:hAnsi="Amiri" w:eastAsia="Amiri" w:cs="Amiri"/>
          <w:color w:val="111111"/>
          <w:sz w:val="28"/>
          <w:sz w:val="28"/>
          <w:szCs w:val="28"/>
          <w:rtl w:val="true"/>
          <w:lang w:bidi="ar-SA"/>
        </w:rPr>
        <w:t>، و أنّ الحقّ فی خلافهم</w:t>
      </w:r>
      <w:r>
        <w:rPr>
          <w:rStyle w:val="FootnoteAnchor"/>
          <w:rtl w:val="true"/>
        </w:rPr>
        <w:footnoteReference w:id="249"/>
      </w:r>
      <w:r>
        <w:rPr>
          <w:rFonts w:ascii="IRNazanin" w:hAnsi="IRNazanin" w:eastAsia="IRNazanin"/>
          <w:color w:val="111111"/>
          <w:sz w:val="28"/>
          <w:sz w:val="28"/>
          <w:szCs w:val="28"/>
          <w:rtl w:val="true"/>
          <w:lang w:bidi="fa-IR"/>
        </w:rPr>
        <w:t>إذ لو صحّ فتوی المخالف لما اتّجه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الأخبار الکثیرة المانعة من التحاکم إلی قضاة الجور</w:t>
      </w:r>
      <w:r>
        <w:rPr>
          <w:rStyle w:val="FootnoteAnchor"/>
          <w:rtl w:val="true"/>
        </w:rPr>
        <w:footnoteReference w:id="250"/>
      </w:r>
      <w:r>
        <w:rPr>
          <w:rFonts w:ascii="IRNazanin" w:hAnsi="IRNazanin" w:eastAsia="IRNazanin"/>
          <w:color w:val="111111"/>
          <w:sz w:val="28"/>
          <w:sz w:val="28"/>
          <w:szCs w:val="28"/>
          <w:rtl w:val="true"/>
          <w:lang w:bidi="fa-IR"/>
        </w:rPr>
        <w:t>فی وجه وجیه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استبصر و استکمل سائر شروط الفتوی، صحّ فتواه و العمل بها قطعا؛ لما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ذلک بصورة التمکّن من المفتی الجامع للشرائط، أم لا، بل یعمّها و غیرها أیضا؟ فیه إشکال، تأتی الإشارة إلی وجهه مع ما هو الصواب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ذلک بصورة الاختیار، أم لا، بل یعمّها و صورة الاضطرار و التقیّة؟</w:t>
      </w:r>
    </w:p>
    <w:p>
      <w:pPr>
        <w:pStyle w:val="BookText"/>
        <w:rPr/>
      </w:pPr>
      <w:r>
        <w:rPr>
          <w:rFonts w:ascii="IRNazanin" w:hAnsi="IRNazanin" w:eastAsia="IRNazanin"/>
          <w:color w:val="111111"/>
          <w:sz w:val="28"/>
          <w:sz w:val="28"/>
          <w:szCs w:val="28"/>
          <w:rtl w:val="true"/>
          <w:lang w:bidi="fa-IR"/>
        </w:rPr>
        <w:t>فیه أیضا إشکال، تأتی الإشارة إلی وجهه مع ما هو الصواب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ذلک بصورة العمل بالفتوی ابتداء، أم لا، بل یعمّها و صورة الاستدامة أیضا؟ فیه إشکال، تأتی الإشارة إلی وجهه مع ما هو الصواب فیما بعد؛ فارتقبوا إنّی معکم رقیب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فلا یصحّ فتوی الفاسق و مجهول الحال ما داما کذلک، بلا خلاف ظاهر أجده فیه، بل لعلّه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تهذیب الوصول، و نهایة الوصول، و الروضة، و شرح المبادی</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الاتّفاق کما عن المبادی، و فی منیة اللبیب، و المفاتیح، و إحکام الآمدی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هو الحجّة، مضافا إلی الأصل و الاستصحاب، و العمومات المشار إلیها، و الاستقراء، و 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 لا یَسْتَوُونَ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ظواهر جملة من الأخبار الآتیة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یخصّص أو یقیّد عموم بعض ما سیأتی أو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بحیث یشمل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الأدلّة، و عملا بالقاعدة الممهّدة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صار عادلا أو ثبت عدالته و استکمل سائر الشروط، صحّ فتواه و العمل بها قطعا؛ لما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ذلک بصورة التمکّن من المفتی الجامع للشرائط، أم لا، بل یعمّها و غیرها أیضا؟ فیه إشکال، تأتی الإشارة إلی وجهه مع ما هو الصواب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بصورة العمل بالفتوی ابتداء، أم لا، بل یعمّها و صورة الاستدامة أیضا؟ فیه أیضا إشکال تأتی الإشارة إلی وجهه مع ما هو الصواب فیما بعد إن شاء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الفقاهة، فلا یصحّ فتوی العامّی الصرف، و العالم بغیر الفروع مطلقا، بلا خلاف فیه کما عن الکفایة</w:t>
      </w:r>
      <w:r>
        <w:rPr>
          <w:rStyle w:val="FootnoteAnchor"/>
          <w:rtl w:val="true"/>
        </w:rPr>
        <w:footnoteReference w:id="255"/>
      </w:r>
      <w:r>
        <w:rPr>
          <w:rFonts w:ascii="IRNazanin" w:hAnsi="IRNazanin" w:eastAsia="IRNazanin"/>
          <w:color w:val="111111"/>
          <w:sz w:val="28"/>
          <w:sz w:val="28"/>
          <w:szCs w:val="28"/>
          <w:rtl w:val="true"/>
          <w:lang w:bidi="fa-IR"/>
        </w:rPr>
        <w:t>، بل علیه الإجماع کما فی النهایة، و التهذیب، و منیة اللبیب، و المفاتیح، و الإحکام، و عن المبادی، و شرحه، و المقاصد العلیّة، و مجمع الفائدة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الحجّة، مضافا إلی الأصل و الاستصحاب، و العمومات الدالّة علی عدم جواز نقض الیقین إلّا بالیقین، و المانعة عن التقلید و العمل بغیر العلم، و غیرها ممّا دلّ علی عدم صحّة فتوی الفاسق فی وجه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الآیات و الروایات المعتبرة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فتوی المتجزّئ فی الفروع علی تقدیر إمکان التجزّی عقلا و وقوعه عادة و حجّیّته شرعا بالإضافة إلیه؟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لعموم أکثر الوجوه المشار إلیها، مضافا إلی أنّ اللائح من عبائر نقلة</w:t>
      </w:r>
    </w:p>
    <w:p>
      <w:pPr>
        <w:pStyle w:val="BookText"/>
        <w:rPr/>
      </w:pPr>
      <w:r>
        <w:rPr>
          <w:rFonts w:ascii="IRNazanin" w:hAnsi="IRNazanin" w:eastAsia="IRNazanin"/>
          <w:color w:val="111111"/>
          <w:sz w:val="28"/>
          <w:sz w:val="28"/>
          <w:szCs w:val="28"/>
          <w:rtl w:val="true"/>
          <w:lang w:bidi="fa-IR"/>
        </w:rPr>
        <w:t>الإجماع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أیضا؛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یلوح أو یظهر من شیخنا الشهید الثانی فی جهاد الروضة</w:t>
      </w:r>
      <w:r>
        <w:rPr>
          <w:rStyle w:val="FootnoteAnchor"/>
          <w:rtl w:val="true"/>
        </w:rPr>
        <w:footnoteReference w:id="257"/>
      </w:r>
      <w:r>
        <w:rPr>
          <w:rFonts w:ascii="IRNazanin" w:hAnsi="IRNazanin" w:eastAsia="IRNazanin"/>
          <w:color w:val="111111"/>
          <w:sz w:val="28"/>
          <w:sz w:val="28"/>
          <w:szCs w:val="28"/>
          <w:rtl w:val="true"/>
          <w:lang w:bidi="fa-IR"/>
        </w:rPr>
        <w:t>، و المنسوب إلی ظاهر الذکری و مجمع الفائدة الصحّة</w:t>
      </w:r>
      <w:r>
        <w:rPr>
          <w:rStyle w:val="FootnoteAnchor"/>
          <w:rtl w:val="true"/>
        </w:rPr>
        <w:footnoteReference w:id="258"/>
      </w:r>
      <w:r>
        <w:rPr>
          <w:rFonts w:ascii="IRNazanin" w:hAnsi="IRNazanin" w:eastAsia="IRNazanin"/>
          <w:color w:val="111111"/>
          <w:sz w:val="28"/>
          <w:sz w:val="28"/>
          <w:szCs w:val="28"/>
          <w:rtl w:val="true"/>
          <w:lang w:bidi="fa-IR"/>
        </w:rPr>
        <w:t>، اختاره بعض الأعاظم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عزاه إلی المشهور؛ لأصالة حجّیّة الظنّ؛ و مقبولة عمر بن حنظلة</w:t>
      </w:r>
      <w:r>
        <w:rPr>
          <w:rStyle w:val="FootnoteAnchor"/>
          <w:rtl w:val="true"/>
        </w:rPr>
        <w:footnoteReference w:id="259"/>
      </w:r>
      <w:r>
        <w:rPr>
          <w:rFonts w:ascii="IRNazanin" w:hAnsi="IRNazanin" w:eastAsia="IRNazanin"/>
          <w:color w:val="111111"/>
          <w:sz w:val="28"/>
          <w:sz w:val="28"/>
          <w:szCs w:val="28"/>
          <w:rtl w:val="true"/>
          <w:lang w:bidi="fa-IR"/>
        </w:rPr>
        <w:t>، و ما یقرب منها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کما تری، سیّما بعد ما مضی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بصورتی التمکّن من المفتی الجامع للشرائط، و العمل بالفتوی ابتداء، أم لا، بل یعمّهما و صورتی عدم التمکّن منه و الاستدامة أیضا؟ فیه إشکال و کلام، تأتی الإشارة إلی وجهه مع ما هو الصواب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المراد بالفقاهة هو البلوغ إلی درجتها، بحیث صار فقیها فی الاصطلاح،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بالقوّة القریبة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بالأحکام و موضوعاتها الشرعیّة الفرعیّة التفصیلیّة، بالاستنباط عن أدلّتها المعتبرة، بشرائطه المعتبرة المعروفة، و مقدّماته و مبادیه الملحوظة المذکورة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یحصل جمیع ذلک و اختلّ بشی‌ء منه، لم تحصل الفقاهة کما هو واضح علی من کان له قلب أو ألقی السمع و هو شهید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بواسطة حال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ما أفتی به هو حکم اللّه و ما قاله الشارع تعالی فی الواقعة، فلا یصحّ فتوی غیر العالم کذلک به، بلا خلاف، بل علیه الإجماع القاطع، کما یظهر أو یلوح من کلماتهم و عباراتهم فی مقام نقل الإجماع علی اشتراط کونه مجتهدا</w:t>
      </w:r>
      <w:r>
        <w:rPr>
          <w:rStyle w:val="FootnoteAnchor"/>
          <w:rtl w:val="true"/>
        </w:rPr>
        <w:footnoteReference w:id="261"/>
      </w:r>
      <w:r>
        <w:rPr>
          <w:rFonts w:ascii="IRNazanin" w:hAnsi="IRNazanin" w:eastAsia="IRNazanin"/>
          <w:color w:val="111111"/>
          <w:sz w:val="28"/>
          <w:sz w:val="28"/>
          <w:szCs w:val="28"/>
          <w:rtl w:val="true"/>
          <w:lang w:bidi="fa-IR"/>
        </w:rPr>
        <w:t>، 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مضافا إلی الأصل و الاستصحاب، و العمومات الدالّة علی عدم جواز نقض الیقین إلّا بالیقین، و الدالّة علی عدم جواز التقلید و العمل بغیر العلم و عدم حجّیّتهما؛ و ما دلّ علی عدم صحّة فتوی غیر المسلم و العادل؛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الآیات الدالّة علی أنّ من لم یحکم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الظَّالِمُونَ</w:t>
      </w:r>
      <w:r>
        <w:rPr>
          <w:rStyle w:val="FootnoteAnchor"/>
          <w:rtl w:val="true"/>
        </w:rPr>
        <w:footnoteReference w:id="2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w:t>
      </w:r>
      <w:r>
        <w:rPr>
          <w:rStyle w:val="FootnoteAnchor"/>
          <w:rtl w:val="true"/>
        </w:rPr>
        <w:footnoteReference w:id="2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الْکافِرُونَ</w:t>
      </w:r>
      <w:r>
        <w:rPr>
          <w:rStyle w:val="FootnoteAnchor"/>
          <w:rtl w:val="true"/>
        </w:rPr>
        <w:footnoteReference w:id="264"/>
      </w:r>
      <w:r>
        <w:rPr>
          <w:rFonts w:ascii="IRNazanin" w:hAnsi="IRNazanin" w:eastAsia="IRNazanin"/>
          <w:color w:val="111111"/>
          <w:sz w:val="28"/>
          <w:sz w:val="28"/>
          <w:szCs w:val="28"/>
          <w:rtl w:val="true"/>
          <w:lang w:bidi="fa-IR"/>
        </w:rPr>
        <w:t>، و علی المنع من القول و الافتراء علی اللّه سبحانه بما لا یعلم</w:t>
      </w:r>
      <w:r>
        <w:rPr>
          <w:rStyle w:val="FootnoteAnchor"/>
          <w:rtl w:val="true"/>
        </w:rPr>
        <w:footnoteReference w:id="265"/>
      </w:r>
      <w:r>
        <w:rPr>
          <w:rFonts w:ascii="IRNazanin" w:hAnsi="IRNazanin" w:eastAsia="IRNazanin"/>
          <w:color w:val="111111"/>
          <w:sz w:val="28"/>
          <w:sz w:val="28"/>
          <w:szCs w:val="28"/>
          <w:rtl w:val="true"/>
          <w:lang w:bidi="fa-IR"/>
        </w:rPr>
        <w:t>، و فی الحلال و الحرام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النصوص الکثیرة المتظافرة، بل المتواترة معنی، الدالّة علی عدم جواز الفتوی بغیر العلم و حرمته، کالدالّة علی التوقّف و الوقوف عن القول عند عدم العلم</w:t>
      </w:r>
      <w:r>
        <w:rPr>
          <w:rStyle w:val="FootnoteAnchor"/>
          <w:rtl w:val="true"/>
        </w:rPr>
        <w:footnoteReference w:id="26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فرق فی ذلک بین أن تکون الفتوی مطابقة للواقع، أم لا؛ و لا بین أن یکون جاهلا بالحکم أو ناسیا له، أو عالما و لکن أفتی بخلافه عالما عامدا؛ لعموم هذه الأدلّة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المولد، فلا یصحّ فتوی ولد الزنی مطلقا، کما صرّح به فی کتاب قضاء الروضة</w:t>
      </w:r>
      <w:r>
        <w:rPr>
          <w:rStyle w:val="FootnoteAnchor"/>
          <w:rtl w:val="true"/>
        </w:rPr>
        <w:footnoteReference w:id="268"/>
      </w:r>
      <w:r>
        <w:rPr>
          <w:rFonts w:ascii="IRNazanin" w:hAnsi="IRNazanin" w:eastAsia="IRNazanin"/>
          <w:color w:val="111111"/>
          <w:sz w:val="28"/>
          <w:sz w:val="28"/>
          <w:szCs w:val="28"/>
          <w:rtl w:val="true"/>
          <w:lang w:bidi="fa-IR"/>
        </w:rPr>
        <w:t>، و قوّاه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269"/>
      </w:r>
      <w:r>
        <w:rPr>
          <w:rFonts w:ascii="IRNazanin" w:hAnsi="IRNazanin" w:eastAsia="IRNazanin"/>
          <w:color w:val="111111"/>
          <w:sz w:val="28"/>
          <w:sz w:val="28"/>
          <w:szCs w:val="28"/>
          <w:rtl w:val="true"/>
          <w:lang w:bidi="fa-IR"/>
        </w:rPr>
        <w:t>للإجماع المنقول علیه 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الأصل و الاستصحاب، و جملة من العمومات المشار إلیها، و ما دلّ علی اشتراط الإسلام فی المفتی لو قلنا بکفره، و ما دلّ علی اشتراط الإیمان و العدالة فیه لو لم نقل به</w:t>
      </w:r>
      <w:r>
        <w:rPr>
          <w:rStyle w:val="FootnoteAnchor"/>
          <w:rtl w:val="true"/>
        </w:rPr>
        <w:footnoteReference w:id="270"/>
      </w:r>
      <w:r>
        <w:rPr>
          <w:rFonts w:ascii="IRNazanin" w:hAnsi="IRNazanin" w:eastAsia="IRNazanin"/>
          <w:color w:val="111111"/>
          <w:sz w:val="28"/>
          <w:sz w:val="28"/>
          <w:szCs w:val="28"/>
          <w:rtl w:val="true"/>
          <w:lang w:bidi="fa-IR"/>
        </w:rPr>
        <w:t>لدلالة الأخبار الکثیرة المعتبرة علی عدم دخوله فی الحقیقة فی الإیمان و أهله، و خروجه عنه؛ لعدم حبّه أو لبغضه قلبا لأهل بیت العصمة علیهم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یلزمه أیضا العدالة فی الواقع بالإضافة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یلوح أو یظهر من کثیر من العبائر عدم الاشتراط، و هو علی تقدیر ثبوته لا وجه له، عدا عموم بعض ما سیأتی، و هو أیضا علی فرض تسلیمه بحیث یشمل ما نحن فیه مخصّص بما مضی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بصورتی التمکّن من المفتی الجامع للشرائط، و العمل الابتدائی بالفتوی، أم لا، بل یعمّهما و غیرهما أیضا؟ فیه إشکال، تأتی الإشارة إلی وجهه مع ما هو الصواب فیما بعد إن شاء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فلا یصحّ فتوی المرأة، و لا الخنثی الملحق بها و المشکل مطلقا، کما صرّح فی قضاء الروضة</w:t>
      </w:r>
      <w:r>
        <w:rPr>
          <w:rStyle w:val="FootnoteAnchor"/>
          <w:rtl w:val="true"/>
        </w:rPr>
        <w:footnoteReference w:id="271"/>
      </w:r>
      <w:r>
        <w:rPr>
          <w:rFonts w:ascii="IRNazanin" w:hAnsi="IRNazanin" w:eastAsia="IRNazanin"/>
          <w:color w:val="111111"/>
          <w:sz w:val="28"/>
          <w:sz w:val="28"/>
          <w:szCs w:val="28"/>
          <w:rtl w:val="true"/>
          <w:lang w:bidi="fa-IR"/>
        </w:rPr>
        <w:t>، و جعله السیّد السند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فی غایة القوّة</w:t>
      </w:r>
      <w:r>
        <w:rPr>
          <w:rStyle w:val="FootnoteAnchor"/>
          <w:rtl w:val="true"/>
        </w:rPr>
        <w:footnoteReference w:id="272"/>
      </w:r>
      <w:r>
        <w:rPr>
          <w:rFonts w:ascii="IRNazanin" w:hAnsi="IRNazanin" w:eastAsia="IRNazanin"/>
          <w:color w:val="111111"/>
          <w:sz w:val="28"/>
          <w:sz w:val="28"/>
          <w:szCs w:val="28"/>
          <w:rtl w:val="true"/>
          <w:lang w:bidi="fa-IR"/>
        </w:rPr>
        <w:t>، و لعلّه اللائح من منیة المرید و غیرها من العبائر</w:t>
      </w:r>
      <w:r>
        <w:rPr>
          <w:rStyle w:val="FootnoteAnchor"/>
          <w:rtl w:val="true"/>
        </w:rPr>
        <w:footnoteReference w:id="273"/>
      </w:r>
      <w:r>
        <w:rPr>
          <w:rFonts w:ascii="IRNazanin" w:hAnsi="IRNazanin" w:eastAsia="IRNazanin"/>
          <w:color w:val="111111"/>
          <w:sz w:val="28"/>
          <w:sz w:val="28"/>
          <w:szCs w:val="28"/>
          <w:rtl w:val="true"/>
          <w:lang w:bidi="fa-IR"/>
        </w:rPr>
        <w:t>، بل فی الروضة الإجماع علیه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الحجّة، مضافا إلی الأصل و الاستصحاب، و جملة من العمومات المشار إلیها، مع عدم الدلیل المعتبر الدالّ علی التخصیص؛ لاختصاص ما دلّ علی الجواز و الصحّة من الآیات و الأخبار الآتیة بالرجل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أو یعضده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الذَّکَرُ کَالْأُنْثی</w:t>
      </w:r>
      <w:r>
        <w:rPr>
          <w:rStyle w:val="FootnoteAnchor"/>
          <w:rtl w:val="true"/>
        </w:rPr>
        <w:footnoteReference w:id="275"/>
      </w:r>
      <w:r>
        <w:rPr>
          <w:rFonts w:ascii="IRNazanin" w:hAnsi="IRNazanin" w:eastAsia="IRNazanin"/>
          <w:color w:val="111111"/>
          <w:sz w:val="28"/>
          <w:sz w:val="28"/>
          <w:szCs w:val="28"/>
          <w:rtl w:val="true"/>
          <w:lang w:bidi="fa-IR"/>
        </w:rPr>
        <w:t>و عدم العبرة بشهادتهنّ فی کثیر من الموارد و لو فی حقّهنّ</w:t>
      </w:r>
      <w:r>
        <w:rPr>
          <w:rStyle w:val="FootnoteAnchor"/>
          <w:rtl w:val="true"/>
        </w:rPr>
        <w:footnoteReference w:id="27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یلوح أو یظهر من جماعة من الأصحاب عدم الاشتراط، و هو کما تری غیر واضح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العامل بالفتوی ذکرا أم انثی أم خنثی مطلقا؛ لعموم ما مضی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یختصّ بالصورتین المشار إلیهما، أم لا، بل یعمّهما و غیرهما أیضا؟ فیه</w:t>
      </w:r>
    </w:p>
    <w:p>
      <w:pPr>
        <w:pStyle w:val="BookText"/>
        <w:rPr/>
      </w:pPr>
      <w:r>
        <w:rPr>
          <w:rFonts w:ascii="IRNazanin" w:hAnsi="IRNazanin" w:eastAsia="IRNazanin"/>
          <w:color w:val="111111"/>
          <w:sz w:val="28"/>
          <w:sz w:val="28"/>
          <w:szCs w:val="28"/>
          <w:rtl w:val="true"/>
          <w:lang w:bidi="fa-IR"/>
        </w:rPr>
        <w:t>إشکال تأتی الإشارة إلی وجهه مع ما هو الصواب فیما بعد بعون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فلا تصحّ فتوی المیّت و العمل بها ابتداء مع التمکّن من فتوی الحیّ الجامع للشرائط علی الأصحّ، وفاقا للأکثر کما فی الجعفریّة</w:t>
      </w:r>
      <w:r>
        <w:rPr>
          <w:rStyle w:val="FootnoteAnchor"/>
          <w:rtl w:val="true"/>
        </w:rPr>
        <w:footnoteReference w:id="277"/>
      </w:r>
      <w:r>
        <w:rPr>
          <w:rFonts w:ascii="IRNazanin" w:hAnsi="IRNazanin" w:eastAsia="IRNazanin"/>
          <w:color w:val="111111"/>
          <w:sz w:val="28"/>
          <w:sz w:val="28"/>
          <w:szCs w:val="28"/>
          <w:rtl w:val="true"/>
          <w:lang w:bidi="fa-IR"/>
        </w:rPr>
        <w:t>، و عن مجمع الفائدة و غیره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المشهور کما فی صریح بعض العبائر</w:t>
      </w:r>
      <w:r>
        <w:rPr>
          <w:rStyle w:val="FootnoteAnchor"/>
          <w:rtl w:val="true"/>
        </w:rPr>
        <w:footnoteReference w:id="279"/>
      </w:r>
      <w:r>
        <w:rPr>
          <w:rFonts w:ascii="IRNazanin" w:hAnsi="IRNazanin" w:eastAsia="IRNazanin"/>
          <w:color w:val="111111"/>
          <w:sz w:val="28"/>
          <w:sz w:val="28"/>
          <w:szCs w:val="28"/>
          <w:rtl w:val="true"/>
          <w:lang w:bidi="fa-IR"/>
        </w:rPr>
        <w:t>، و عن صریح جماعة بل المعظم کما قیل</w:t>
      </w:r>
      <w:r>
        <w:rPr>
          <w:rStyle w:val="FootnoteAnchor"/>
          <w:rtl w:val="true"/>
        </w:rPr>
        <w:footnoteReference w:id="280"/>
      </w:r>
      <w:r>
        <w:rPr>
          <w:rFonts w:ascii="IRNazanin" w:hAnsi="IRNazanin" w:eastAsia="IRNazanin"/>
          <w:color w:val="111111"/>
          <w:sz w:val="28"/>
          <w:sz w:val="28"/>
          <w:szCs w:val="28"/>
          <w:rtl w:val="true"/>
          <w:lang w:bidi="fa-IR"/>
        </w:rPr>
        <w:t>، بل لا خلاف یعتدّ به فیه یظهر، بل و لعلّه علیه الإجماع کما فی صریح کلام جماعة</w:t>
      </w:r>
      <w:r>
        <w:rPr>
          <w:rStyle w:val="FootnoteAnchor"/>
          <w:rtl w:val="true"/>
        </w:rPr>
        <w:footnoteReference w:id="281"/>
      </w:r>
      <w:r>
        <w:rPr>
          <w:rFonts w:ascii="IRNazanin" w:hAnsi="IRNazanin" w:eastAsia="IRNazanin"/>
          <w:color w:val="111111"/>
          <w:sz w:val="28"/>
          <w:sz w:val="28"/>
          <w:szCs w:val="28"/>
          <w:rtl w:val="true"/>
          <w:lang w:bidi="fa-IR"/>
        </w:rPr>
        <w:t>، و ظاهر اخری</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العلماء المنع</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الألفیّة للمحقّق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فیه إیماء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اعتبار کون المجتهد المأخوذ عنه حیّا، فإنّ ذلک مذهب أصحابنا الإمامیّة قاطبة، و قد نادوا به فی مصنّفاتهم الاصولیّة و الفقهیّة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الأصحاب فی هذا الباب فی کتبهم المختصرة و المطوّلة و فی غیره، باشتراط حیاة المجتهد فی جواز العمل بقوله، و أنّ المیّت لا یجوز العمل بقوله، و لم یتحقّق لی إلی الآن فی ذلک خلاف ممّن یعتدّ بقوله من أصحابنا، و إن کان للعامّة فی ذلک خلاف مشهور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المقاصد العلیّة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لطیفة إلی اشتراط حیاة المجتهد المأخوذ عنه، فإنّ ذلک هو المعروف من مذهب الإمامیّة، لا نعلم فیه مخالفا منهم و إن کان الجمهور قد اختلفوا فی ذلک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منیة المرید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تقلید المجتهد المیّت مع وجود الحیّ أو لا معه، للجمهور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مطلقا؛ لفوات أهلیّته بالموت، و لهذا ینعقد الإجماع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ینعقد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خلافه، و هذا هو المشهور بین أصحابنا، خصوصا المتأخّرین منهم، بل لا نعلم فائدة بخلافه صریحا ممّن یعتدّ بقوله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الرسالة المنسوبة إلی شیخنا الشهید الثانی فی عدم جواز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نتنزّل عن جمیع ما تقدّم من الوجوه، و نجوّز العمل بقول الفقیه المیّت، بأن نجعله ممکنا بالإمکان الخاصّ، بل نفرض قیام الدلیل علی صحّته، و ذلک کلّه غیر مجوّز للعمل به بدون قائل من أصحابنا السابقین و علمائنا الصالحین به، کما هو الشرط فی کلّ مسألة إذا لم تکن من الامور المتجدّدة التی یغلب علی الظنّ أنّها ما خطرت للعلماء السابقین، و لا بحثوا عنها، و هذه المسألة لیست کذلک، بل هی علی طرف النقیض له، فإنّهم قد ذکروها فی کتبهم الاصولیّة و الفقهیّة قاطعین فیها بما ذکرناه، من أنّ النقل لا یجوز عن المیّت، و أنّ قوله یبطل بموته من غیر نقل خلاف واحد منهم فیها، و نحن بعد التتبّع الصادق لما وصل إلینا من کلامهم ما علمنا بأحد من أصحابنا ممّن یعتبر قوله و یعوّل علی فتواه خالف فی ذلک، فعلی مدّعی الجواز بیان القائل به علی وجه لا یلزم منه خرق الإجماع</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الإطباق علی عدمه،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بفتاوی الموتی</w:t>
      </w:r>
    </w:p>
    <w:p>
      <w:pPr>
        <w:pStyle w:val="BookText"/>
        <w:rPr/>
      </w:pPr>
      <w:r>
        <w:rPr>
          <w:rFonts w:ascii="IRNazanin" w:hAnsi="IRNazanin" w:eastAsia="IRNazanin"/>
          <w:color w:val="111111"/>
          <w:sz w:val="28"/>
          <w:sz w:val="28"/>
          <w:szCs w:val="28"/>
          <w:rtl w:val="true"/>
          <w:lang w:bidi="fa-IR"/>
        </w:rPr>
        <w:t>فی غیرها بعید عن الاعتبار غالبا، مخالف لما یظهر من اتّفاق علمائنا علی المنع من الرجوع إلی فتوی المیّت مع وجود الحیّ، بل قد حکی الإجماع فیه صریحا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الألفیّة لوالد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إیماء إلی اشتراط کونه حیّا کما علیه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شرحه الآخر لابن أبی جمهور الأحسائی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المأخوذ من قول المفتی، بل لا بدّ فی جواز العمل بقوله من بقائه، فلو مات بطل العمل بقوله، و وجب الرجوع إلی غیره؛ إذ المیّت لا قول له، و علی هذا انعقد إجماع الإمامیّة، و به نطقت مصنّفاتهم الاصولیّة، لا أعلم فیه مخالفا منهم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تعلیقات السیّد الداماد علی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بعضهم، یعنی بعضا من علماء العامّة علی ما فی کتب الاصول، فإنّا لا نعرف إلی الآن مخالفا فی ذلک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 بعض الأصحاب الإجماع علی عدم جواز العمل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من کلام المحقّق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 سائر المجتهدین اتّفقوا فی ذلک، حتّی إنّهم ادّعوا إجماع الشیعة علی ذلک، بل و عدّوا ذلک من ضروریّات مذهب الشیعة، مثل حرمة العمل بالقیاس، و قیاسهم بین الحیّ و المیّت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الإجماع فقد نقل الإجماع علی منع حجّیّة قول المیّت، و هذا هو الظاهر فی فتاوی المعظم، و نسب ذلک إلی الشیعة، بل و عدّ من ضروریّات دینهم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نقلوا الإجماع علی عدم الجواز، بل و ربما جعل من المعلوم من مذهب الشیعة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251" w:name="pg19819_193422"/>
    </w:p>
    <w:p>
      <w:pPr>
        <w:pStyle w:val="BookText"/>
        <w:rPr/>
      </w:pPr>
      <w:bookmarkEnd w:id="251"/>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هذا أنّ الفقهاء لمّا قالوا بأنّ الفقیه إذا مات لا یکون قوله حجّة بل یموت قوله أیضا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نقلوا إجماع الشیعة علی عدم الجواز، أی جواز تقلید المیّت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قد عرفت أنّ الشیعة بحسب الظاهر متّفقون علی عدم جواز تقلید المیّت من المجتهد، عکس العامّة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الفقهاء لا یجوّزون تقلید المیّت، مع أنّه ادّعی إجماع الشیعة علی المنع</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هدایة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المتأخّرون من أصحابنا فحیث رأوا کثرة المجتهدین من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فحکموا بوجوب تقلید الحیّ و طرح قول المیّت، و صار عندهم قول المیّت کالمیّت من جملة الأمثال المشهورة، و ادّعوا علی ذلک الإجماع</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کلام بعض السادة الأجلّة من المشایخ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بالجواز لبعض العامّة، بناء علی أصلهم الفاسد، و أمّا الأصحاب فمذهبهم المنع، کما نصّ علیه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المفاتیح للسیّد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الاتّفاق علیه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العبائر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علیه أوّلا الإجماعات المنقولة عن القدماء و المتأخّرین علی عدم جواز العمل بقول المیّت مطلقا مع وجود الحیّ، بل لا قائل به من القدماء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252" w:name="__RefHeading___Toc3055595_2314609296"/>
      <w:bookmarkStart w:id="253" w:name="_Toc101"/>
      <w:bookmarkEnd w:id="252"/>
      <w:r>
        <w:rPr>
          <w:rtl w:val="true"/>
        </w:rPr>
        <w:t>و هو الحجّة فی هذا الباب؛ مضافا إلی غیره من الوجوه</w:t>
      </w:r>
      <w:r>
        <w:rPr>
          <w:rtl w:val="true"/>
        </w:rPr>
        <w:t>:</w:t>
      </w:r>
      <w:bookmarkEnd w:id="25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بجواز تقلید المیّت 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شرعیّ، فتوقّف علی دلیل شرعیّ، و هو مفقود؛ فیجب حینئذ علی من وجب علیه التقلید الاقتصار علی تقلید الحیّ الجامع للشرائط مع الإمکان بسهولة، کما هو المفروض؛ لحصول العلم بالبراءة من التکلیف الثابت یقینا معه، دون غیره؛ لعدم الدلیل علی اعتباره و حصول البراءة منه، عدا ما توهّم الخصم ممّا سیأتی، و ستقف عن قریب علی عدم صلاحیته للدلالة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 فلا شبهة فی أنّ الأصل هنا هو الفساد، و عدم الصحّة، و عدم المشروعیّة و الحجّیّة، و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إذ لا شکّ و لا شبهة فی أنّ کلّا من الحجّیّة و المشروعیّة و الصحّة من الأحکام الشرعیّة، و لا شکّ فی کونها حادثة مسبوقة بالعدم الأزلی، فلا بدّ من الحکم ببقائها علی الحالة السابقة الیقینیّة فی هذا الحال، عملا بالاستصحاب؛ لعدم ثبوت الرافع الیقینی، و لا القائم مقامه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عدم جواز نقض الیقین إلّا بالیقین؛ بناء علی مغایرتها للاستصحاب، بالتقریب المشار إلیه، خرج المجتهد الحیّ الجامع للشرائط بالإجماع و غیره من الأدلّة، و 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عدم جواز التقلید و العمل بغیر علم، و علی عدم حجّیّته و عدم مشروعیّته و عدم صحّته من الکتاب و السنّة، خرج منها المجتهد الحیّ الجامع لشرائط الفتوی؛ بالإجماع و غیره من الأدلّة المعتبرة، و لا دلیل علی خروج ما نحن فیه عنها، فیبقی مندرجا تحتها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فی سورة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الْأَحْیاءُ وَ لَا الْأَمْواتُ</w:t>
      </w:r>
      <w:r>
        <w:rPr>
          <w:rStyle w:val="FootnoteAnchor"/>
          <w:rtl w:val="true"/>
        </w:rPr>
        <w:footnoteReference w:id="300"/>
      </w:r>
      <w:r>
        <w:rPr>
          <w:rFonts w:ascii="IRNazanin" w:hAnsi="IRNazanin" w:eastAsia="IRNazanin"/>
          <w:color w:val="111111"/>
          <w:sz w:val="28"/>
          <w:sz w:val="28"/>
          <w:szCs w:val="28"/>
          <w:rtl w:val="true"/>
          <w:lang w:bidi="fa-IR"/>
        </w:rPr>
        <w:t>فإنّه یدلّ علی عدم التسویة بین الأحیاء و الأموات، و یلزمه عدم صحّة فتوی المیّت، و إلّا لکان فتواه مساویة لفتوی الحیّ، و هو خلاف مفاد هذه 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w:t>
      </w:r>
      <w:r>
        <w:rPr>
          <w:rStyle w:val="FootnoteAnchor"/>
          <w:rtl w:val="true"/>
        </w:rPr>
        <w:footnoteReference w:id="301"/>
      </w:r>
      <w:r>
        <w:rPr>
          <w:rFonts w:ascii="IRNazanin" w:hAnsi="IRNazanin" w:eastAsia="IRNazanin"/>
          <w:color w:val="111111"/>
          <w:sz w:val="28"/>
          <w:sz w:val="28"/>
          <w:szCs w:val="28"/>
          <w:rtl w:val="true"/>
          <w:lang w:bidi="fa-IR"/>
        </w:rPr>
        <w:t>بناء علی أنّ المستفاد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الهادی إلی الحقّ أحقّ بالاتّباع من غیره، و لا شکّ فی کون المفتی الحیّ هادیا إلی الحقّ، و کون غیر الحیّ منه غیر هاد، فیکون الأوّل أحقّ بالاتّباع من غیره بمنطوق الآیة أو بفحواها؛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إلیه الإشارة فی بیان عدم جواز تقلید المیّت استدامة، من استلزام القول بالجواز التناقض أو الدور أو غیرهما من المفاسد، بالتقریب الآتی إلیه الإشارة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من الأخبار المتکثّرة المعتبرة الدالّة علی لزوم الأخذ بما خالف العامّة</w:t>
      </w:r>
      <w:r>
        <w:rPr>
          <w:rStyle w:val="FootnoteAnchor"/>
          <w:rtl w:val="true"/>
        </w:rPr>
        <w:footnoteReference w:id="302"/>
      </w:r>
      <w:r>
        <w:rPr>
          <w:rFonts w:ascii="IRNazanin" w:hAnsi="IRNazanin" w:eastAsia="IRNazanin"/>
          <w:color w:val="111111"/>
          <w:sz w:val="28"/>
          <w:sz w:val="28"/>
          <w:szCs w:val="28"/>
          <w:rtl w:val="true"/>
          <w:lang w:bidi="fa-IR"/>
        </w:rPr>
        <w:t>، و علی صحّة الأخذ بما وافق الخاصّة و لو بالالتزام، الملزومة لعدم مشروعیّة تقلید المیّت، و عدم صحّته و عدم حجّیّته، لکونه</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جمهورهم أو مشهورهم، علی ما مرّت إلیه الإشارة؛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یعقوب بن السرّاج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المختار أو یعضده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ما دلّ علی عدم العبرة بفتوی المجتهد بعد صیرورته مجنونا أو مرتدّا أو فاسقا أو منحطّا عن درجة الاجتهاد</w:t>
      </w:r>
      <w:r>
        <w:rPr>
          <w:rStyle w:val="FootnoteAnchor"/>
          <w:rtl w:val="true"/>
        </w:rPr>
        <w:footnoteReference w:id="305"/>
      </w:r>
      <w:r>
        <w:rPr>
          <w:rFonts w:ascii="IRNazanin" w:hAnsi="IRNazanin" w:eastAsia="IRNazanin"/>
          <w:color w:val="111111"/>
          <w:sz w:val="28"/>
          <w:sz w:val="28"/>
          <w:szCs w:val="28"/>
          <w:rtl w:val="true"/>
          <w:lang w:bidi="fa-IR"/>
        </w:rPr>
        <w:t>إذ الموت أسوأ حالا من الجنون و الارتداد و الفسق و الانحطاط؛ فتأمّل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306"/>
      </w:r>
      <w:r>
        <w:rPr>
          <w:rFonts w:ascii="IRNazanin" w:hAnsi="IRNazanin" w:eastAsia="IRNazanin"/>
          <w:color w:val="111111"/>
          <w:sz w:val="28"/>
          <w:sz w:val="28"/>
          <w:szCs w:val="28"/>
          <w:rtl w:val="true"/>
          <w:lang w:bidi="fa-IR"/>
        </w:rPr>
        <w:t>بناء علی أنّ المستفاد منه وجوب السؤال عن أهل الذکر عند عدم العلم، و من المعلوم أنّ المیّت لیس محلّا</w:t>
      </w:r>
    </w:p>
    <w:p>
      <w:pPr>
        <w:pStyle w:val="BookText"/>
        <w:rPr/>
      </w:pPr>
      <w:r>
        <w:rPr>
          <w:rFonts w:ascii="IRNazanin" w:hAnsi="IRNazanin" w:eastAsia="IRNazanin"/>
          <w:color w:val="111111"/>
          <w:sz w:val="28"/>
          <w:sz w:val="28"/>
          <w:szCs w:val="28"/>
          <w:rtl w:val="true"/>
          <w:lang w:bidi="fa-IR"/>
        </w:rPr>
        <w:t>للسؤال و لا أهلا 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المعتبرة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العبرة و الفتوی بما لا یعلم، و علی اشتراط کون الفتوی بما یعلم، و یلزمه عدم العبرة بفتوی المیّت؛ لعدم العلم حینئذ بکونه فتوی بما یعلم، و الشکّ فی الشرط یوجب الشکّ فی المشروط؛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جماعة، من أنّه لا عبرة بقول المیّت، و أنّه لا قول له</w:t>
      </w:r>
      <w:r>
        <w:rPr>
          <w:rStyle w:val="FootnoteAnchor"/>
          <w:rtl w:val="true"/>
        </w:rPr>
        <w:footnoteReference w:id="307"/>
      </w:r>
      <w:r>
        <w:rPr>
          <w:rFonts w:ascii="IRNazanin" w:hAnsi="IRNazanin" w:eastAsia="IRNazanin"/>
          <w:color w:val="111111"/>
          <w:sz w:val="28"/>
          <w:sz w:val="28"/>
          <w:szCs w:val="28"/>
          <w:rtl w:val="true"/>
          <w:lang w:bidi="fa-IR"/>
        </w:rPr>
        <w:t>لانعقاد الإجماع بعده مع العلم بمخالفته، فلو کان له قول لم ینعقد الإجماع؛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جاز تقلید المیّت لما وجب العمل بظنّ المجتهد، و جاز العمل بما لا یظنّه؛ و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الملازمة فلانعدام ظنّ المجتهد بموته، کما صرّح به جماعة من الأصحاب، و یلزمه ما ذکر من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التالی فلعدم شمول ما دلّ علی حجّیّة ظنّ المجتهد لصورة فقدان الظنّ، و اختصاصه بصورة وجدانه و بقائه و لو حکما؛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جماعة، من أنّه لو جاز تقلید المیّت و العمل بفتواه، لما وجب تقلید الأعلم من المجتهدین، و التالی باطل، فکذا المقدّم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بطلان التالی؛ فلما دلّ علی وجوب تقلید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الملازمة فلتعذّر الوقوف لأهل العصر علی الأعلم أو تعسّره؛ فتأمّل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بعض الأعاظم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کما قال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لا قول له، فإن کان قوله حجّة فقوله لیس بحجّة</w:t>
      </w:r>
      <w:r>
        <w:rPr>
          <w:rStyle w:val="FootnoteAnchor"/>
          <w:rtl w:val="true"/>
        </w:rPr>
        <w:footnoteReference w:id="30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خلافا</w:t>
      </w:r>
      <w:r>
        <w:rPr>
          <w:rStyle w:val="FootnoteAnchor"/>
          <w:rtl w:val="true"/>
        </w:rPr>
        <w:footnoteReference w:id="310"/>
      </w:r>
      <w:r>
        <w:rPr>
          <w:rFonts w:ascii="IRNazanin" w:hAnsi="IRNazanin" w:eastAsia="IRNazanin"/>
          <w:color w:val="111111"/>
          <w:sz w:val="28"/>
          <w:sz w:val="28"/>
          <w:szCs w:val="28"/>
          <w:rtl w:val="true"/>
          <w:lang w:bidi="fa-IR"/>
        </w:rPr>
        <w:t>للمحکیّ فی بعض العبائر عن ظاهر فخر المحقّقین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 عن جمع من متأخّری المتأخّرین</w:t>
      </w:r>
      <w:r>
        <w:rPr>
          <w:rStyle w:val="FootnoteAnchor"/>
          <w:rtl w:val="true"/>
        </w:rPr>
        <w:footnoteReference w:id="312"/>
      </w:r>
      <w:r>
        <w:rPr>
          <w:rFonts w:ascii="Amiri" w:hAnsi="Amiri" w:eastAsia="Amiri" w:cs="Amiri"/>
          <w:color w:val="111111"/>
          <w:sz w:val="28"/>
          <w:sz w:val="28"/>
          <w:szCs w:val="28"/>
          <w:rtl w:val="true"/>
          <w:lang w:bidi="ar-SA"/>
        </w:rPr>
        <w:t>، و لعلّهم الأخباریّون، و إلّا فصدق الحکایة محلّ 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آخر عن جمع کثیر من المتأخّرین من الأخباریّین، کالمحدّث الکاشانی، و السیّد نعمة اللّه الجزائری فی منبع الحیاة</w:t>
      </w:r>
      <w:r>
        <w:rPr>
          <w:rStyle w:val="FootnoteAnchor"/>
          <w:rtl w:val="true"/>
        </w:rPr>
        <w:footnoteReference w:id="313"/>
      </w:r>
      <w:r>
        <w:rPr>
          <w:rFonts w:ascii="IRNazanin" w:hAnsi="IRNazanin" w:eastAsia="IRNazanin"/>
          <w:color w:val="111111"/>
          <w:sz w:val="28"/>
          <w:sz w:val="28"/>
          <w:szCs w:val="28"/>
          <w:rtl w:val="true"/>
          <w:lang w:bidi="fa-IR"/>
        </w:rPr>
        <w:t>، فیصحّ و یجوز العمل بفتواه، و ربما یستظهر من السیّد فی المیافارقیّات</w:t>
      </w:r>
      <w:r>
        <w:rPr>
          <w:rStyle w:val="FootnoteAnchor"/>
          <w:rtl w:val="true"/>
        </w:rPr>
        <w:footnoteReference w:id="314"/>
      </w:r>
      <w:r>
        <w:rPr>
          <w:rFonts w:ascii="IRNazanin" w:hAnsi="IRNazanin" w:eastAsia="IRNazanin"/>
          <w:color w:val="111111"/>
          <w:sz w:val="28"/>
          <w:sz w:val="28"/>
          <w:szCs w:val="28"/>
          <w:rtl w:val="true"/>
          <w:lang w:bidi="fa-IR"/>
        </w:rPr>
        <w:t>، و لعلّه عند التأمّل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عزاه فی الوافیة إلی الصدوق أیضا فی الفقیه، و لا یخلو 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عند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 عزاه إلی بعضهم</w:t>
      </w:r>
      <w:r>
        <w:rPr>
          <w:rStyle w:val="FootnoteAnchor"/>
          <w:rtl w:val="true"/>
        </w:rPr>
        <w:footnoteReference w:id="316"/>
      </w:r>
      <w:r>
        <w:rPr>
          <w:rFonts w:ascii="IRNazanin" w:hAnsi="IRNazanin" w:eastAsia="IRNazanin"/>
          <w:color w:val="111111"/>
          <w:sz w:val="28"/>
          <w:sz w:val="28"/>
          <w:szCs w:val="28"/>
          <w:rtl w:val="true"/>
          <w:lang w:bidi="fa-IR"/>
        </w:rPr>
        <w:t>، أی العلماء، و لعلّه من العامّة، کما استظهره جماعة</w:t>
      </w:r>
      <w:r>
        <w:rPr>
          <w:rStyle w:val="FootnoteAnchor"/>
          <w:rtl w:val="true"/>
        </w:rPr>
        <w:footnoteReference w:id="317"/>
      </w:r>
      <w:r>
        <w:rPr>
          <w:rFonts w:ascii="IRNazanin" w:hAnsi="IRNazanin" w:eastAsia="IRNazanin"/>
          <w:color w:val="111111"/>
          <w:sz w:val="28"/>
          <w:sz w:val="28"/>
          <w:szCs w:val="28"/>
          <w:rtl w:val="true"/>
          <w:lang w:bidi="fa-IR"/>
        </w:rPr>
        <w:t>و إن تأمّل فیه بعضهم؛</w:t>
      </w:r>
      <w:r>
        <w:rPr>
          <w:rStyle w:val="FootnoteAnchor"/>
          <w:rtl w:val="true"/>
        </w:rPr>
        <w:footnoteReference w:id="31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ظاهر هدایة الأبرار عزاه إلی جماعة، منهم السمیّ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الحلّی</w:t>
      </w:r>
      <w:r>
        <w:rPr>
          <w:rStyle w:val="FootnoteAnchor"/>
          <w:rtl w:val="true"/>
        </w:rPr>
        <w:footnoteReference w:id="319"/>
      </w:r>
      <w:r>
        <w:rPr>
          <w:rFonts w:ascii="IRNazanin" w:hAnsi="IRNazanin" w:eastAsia="IRNazanin"/>
          <w:color w:val="111111"/>
          <w:sz w:val="28"/>
          <w:sz w:val="28"/>
          <w:szCs w:val="28"/>
          <w:rtl w:val="true"/>
          <w:lang w:bidi="fa-IR"/>
        </w:rPr>
        <w:t>، و لعلّ هذه النسبة أیضا عند التأمّل لیست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عزاه فی بعض الکلمات إلی المولی السمیّ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فی مجمع الفائدة</w:t>
      </w:r>
      <w:r>
        <w:rPr>
          <w:rStyle w:val="FootnoteAnchor"/>
          <w:rtl w:val="true"/>
        </w:rPr>
        <w:footnoteReference w:id="320"/>
      </w:r>
      <w:r>
        <w:rPr>
          <w:rFonts w:ascii="IRNazanin" w:hAnsi="IRNazanin" w:eastAsia="IRNazanin"/>
          <w:color w:val="111111"/>
          <w:sz w:val="28"/>
          <w:sz w:val="28"/>
          <w:szCs w:val="28"/>
          <w:rtl w:val="true"/>
          <w:lang w:bidi="fa-IR"/>
        </w:rPr>
        <w:t>، و مال إلیه بعض الفضلاء فی رسالته فی المسألة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صار إلیه بعض الأعاظم من مشایخ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تحقیقاته،</w:t>
      </w:r>
    </w:p>
    <w:p>
      <w:pPr>
        <w:pStyle w:val="BookText"/>
        <w:rPr/>
      </w:pPr>
      <w:r>
        <w:rPr>
          <w:rFonts w:ascii="IRNazanin" w:hAnsi="IRNazanin" w:eastAsia="IRNazanin"/>
          <w:color w:val="111111"/>
          <w:sz w:val="28"/>
          <w:sz w:val="28"/>
          <w:szCs w:val="28"/>
          <w:rtl w:val="true"/>
          <w:lang w:bidi="fa-IR"/>
        </w:rPr>
        <w:t>و أصرّ علیه غایة الإصرار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القول مع ما فیه من الشذوذ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سیّما بعد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عدا وجوه ضعیفة قاصرة عن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یصحّ و لم یجز ذلک لزم الحرج؛ و اللازم باطل، فکذلک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اللازم فظاهر بعد قیام الدلیل من الکتاب و السنّة المعتبرة و الإجماع، بل العقل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الحرج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الملازمة فلما نقل عن بعض من أنّ کثیرا من الأزمنة و الأمکنة خال عن المفتی و عن التوصّل إلیهم، و لو لم یجز ذلک لزم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من المنع المتوجّه إلی کلّ من الملازمة و بطلان اللازم، خصوصا بعد ملاحظة کون المفروض إمکان الوصول إلی المفتی الحیّ الجامع للشرائط بسهولة، و معارضة العموم الدالّ علی نفی الحرج فی الشریعة بالمثل، بل بالأرجح منه ممّا دلّ علی المختار من العمومات، فضلا عن الخصوص الدالّ علیه، المؤیّد أو المعتضد بما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انحصار المخلّص من الحرج فی تقلید المیّت و العمل بفتواه؛ لإمکان الاحتیاط و غیره لو لم نقل بسقوط التکلیف حینئذ رأسا،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انتقاضه بما إذا لم یتمکّن من تقلید المیّت أیضا و معارضته به، و ورود جمیع ما ذکر حینئذ حرفا بحرف، فکلّ ما هو المخلّص عن هذا، فهو المخلّص عن ذاک؛ فتأمّل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یصحّ و لم یجز ذلک لما أجمعوا علی النقل عن السلف، و علی وضع الکتب؛ و التالی باطل،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اللازم فلإجماعهم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الملازمة فلأنّه لا فائدة فی الأمرین سوی التقلید، و یلزمه الملازمة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واضح یتوجّه علی الملازمة من وجوه عدیدة غیر خافیة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یجز تقلید المیّت و لم یصحّ العمل بفتواه لکان مساویا للجاهل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التالی باطل، فکذا المقدّم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الملازمة فظاهرة، و أمّا بطلان اللازم فلقوله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ما لا یخفی، من المنع المتوجّه إلی بطلان اللازم من وجوه شتّی لا تکاد تخفی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جواز التقلید و صحّة العمل بفتوی المفتی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واضح لا یخفی علی المتأمّل فیها، و لئن سلّم العموم فهو مخصّص بما مرّ جدّا، و مع الغمض عنه فلا بدّ من التوقّف و الرجوع إلی الأصل، و مقتضاه المنع،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العمومات الدالّة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 سیّما علی اولی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إذ لا شبهة فی صحّة التقلید و العمل بفتواه حال الحیاة، فکذا بعد الوفاة؛ عملا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الموضوع هو إمّا المفتی الحیّ الجامع للشرائط، أو المفتی الجامع للشرائط بشرط الحیاة، و المفروض صیرورته میّتا، و بانتفاء الشرط یتغیّر الموضوع، و انتفی المشروط، فلا معنی للاستصحاب حینئذ</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فلمعارضة هذا الاستصحاب بالاستصحاب الدالّ علی الخلاف،</w:t>
      </w:r>
    </w:p>
    <w:p>
      <w:pPr>
        <w:pStyle w:val="BookText"/>
        <w:rPr/>
      </w:pPr>
      <w:r>
        <w:rPr>
          <w:rFonts w:ascii="IRNazanin" w:hAnsi="IRNazanin" w:eastAsia="IRNazanin"/>
          <w:color w:val="111111"/>
          <w:sz w:val="28"/>
          <w:sz w:val="28"/>
          <w:szCs w:val="28"/>
          <w:rtl w:val="true"/>
          <w:lang w:bidi="fa-IR"/>
        </w:rPr>
        <w:t>و لا شکّ فی أنّ الترجیح مع هذا دون ذاک؛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الاستصحاب لا یعارض الدلیل، کما تقرّر فی محلّه؛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الغمض عمّا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أقوی و أرجح ممّا مرّ من وجوه شتّی لا تکاد تخفی؛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المانعة من نقض الیقین بغیر الیقین علی تقدیر مغایرتها للاستصحاب، بالتقریب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 سیّما بعد ما مضی آنفا و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علم أنّ جواز استفتاء المقلّد من المفتی إنّما لأجل کونه مخبرا عن اللّه تعالی، یحصل له القطع بأنّ حیاته و مماته ممّا لا یحتمل أن یکون مؤثّرا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من المنع، و کونه مصادرة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النبوی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کأنبیاء بنی إسرائیل</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إذ قضیّة عموم التشبیه و المنزلة صحّة العمل بفتوی المیّت، و جواز العمل بقوله، کما یجوز و یصحّ العمل بقول هؤلاء الأنبیاء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بعض الأعاظم من المشایخ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ریب أنّ الحیاة و الموت لا مدخلیّة لهما فی الظنّ بحکم اللّه الواقعی، بل إنّما هو تابع للمأخذ، فمتی یحصل الظنّ للمستفتی بحکم اللّه الواقعی، تعیّن علیه الأخذ به، سواء کان حیّا أو میّتا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إنّما یتمّ لو کان التقلید و العمل بفتوی المفتی للمستفتی من باب الظنّ بالحکم الواقعی، و هو أوّل الدعوی، بل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و المفروض کون ذلک من باب التعبّد المحض، أو الظنّ المخصوص بحکم ما ستقف علیه، و معه فلا بدّ من الاقتصار علی القدر المتیقّن و المجمع علیه فتوی و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فلتوقّف صحّة العمل للمستفتی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بالظنّ الحاصل له بالحکم الشرعی الواقعی و لو من فتوی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قیام الدلیل المعتبر علی الصحّة کذلک، و هو أوّل الدعوی، بل عین المدّعی، بل المفروض عدمه، و قیام الدلیل بل الأدلّة علی عدم صحّته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غایة ما یلزم من ذلک إنّما هو الظنّ بالحکم الواقعی الشرعی، لا نفسه، و المکلّف به علی تقدیر کونه هو الحکم الواقعی الشرعی إنّما هو نفسه، لا الظنّ به، و هو غیره جدّا، و قیام الظنّ من حیث هو مقامه إنّما یتمّ و یتّجه لو لم یکن هناک ما یقوم مقامه شرعا غیر الظنّ و لو تعبّدا، و أمّا لو کان هناک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بحکم ما مرّت إلیه الإشارة و ستعرفه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کما لا یخفی علی اولی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کان المناط و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الشرعی الواقعی، أو الظنّ به، فلیکن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مسألة عدم صحّة العمل بفتوی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 ضرورة کونها أیضا من المواضع التی یکون المستفتی فیها مکلّفا بحکمها الواقعی الشرعی، و من البیّن أنّه لو قطع النظر عن کون المنع و عدم الصحّة مقطوع الثبوت بلا واسطة أو معها، فلا أقلّ من الظنّ بأنّه الحکم الواقعی الشرعی؛ نظرا إلی الشهرة العظیمة المحصّلة و المحکیّة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الإجماعات المتکثّرة المنقولة، و غیرها من الأدلّة، فیتعیّن علیه الأخذ به حسبما مرّ، و یلزمه عدم جواز العمل بفتوی المیّت و عدم صحّته، بالإضافة إلی سائر الأحکام الشرعیّة لما عدا هذه الواقعة؛ لعدم إمکان الصحّة و الجواز هنا مع عدمهما ثمّة، کما لا یخفی؛ فافهم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صحّ ذلک لزم جواز العمل بفتوی الصبیّ و المجنون و الکافر و الفاسق و مجهول الحال و الجاهل، حیثما یحصل له الظنّ بالحکم الشرعی الواقعی،</w:t>
      </w:r>
    </w:p>
    <w:p>
      <w:pPr>
        <w:pStyle w:val="BookText"/>
        <w:rPr/>
      </w:pPr>
      <w:r>
        <w:rPr>
          <w:rFonts w:ascii="IRNazanin" w:hAnsi="IRNazanin" w:eastAsia="IRNazanin"/>
          <w:color w:val="111111"/>
          <w:sz w:val="28"/>
          <w:sz w:val="28"/>
          <w:szCs w:val="28"/>
          <w:rtl w:val="true"/>
          <w:lang w:bidi="fa-IR"/>
        </w:rPr>
        <w:t>مع أنّه لا یصحّ و لا یجوز قطعا بحکم ما عرفت، فکلّ ما هو الجواب عن هذا فهو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صحّ ذلک لزم التفصیل فی المسألة، و اللازم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مقتضی ذلک تعیّن الأخذ بأقوی الظنّین مع وجوده، و التخییر مع عدمه، سواء کان الفتوی من الحیّ أو المیّت، و هذا عین التفصیل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 فلأنّه خلاف المفروض، فإنّه من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الإطلاق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بعض الصور، و الجواز بالإضافة إلی الاخری، و المنع بالإضافة إلی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کونه خرقا للإجماع المرکّب علی الظاهر، کما صرّح به السیّد السند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البعض أیضا، من أنّ التتبّع یحکم بأنّ مراد الشارع هو تحصیل الأقرب إلی نفس الأمر، لا مجرّد ما یقتضیه الدلیل، و فی مقبولة عمر بن حنظلة و ما فی معناها من الأخبار</w:t>
      </w:r>
      <w:r>
        <w:rPr>
          <w:rStyle w:val="FootnoteAnchor"/>
          <w:rtl w:val="true"/>
        </w:rPr>
        <w:footnoteReference w:id="326"/>
      </w:r>
      <w:r>
        <w:rPr>
          <w:rFonts w:ascii="IRNazanin" w:hAnsi="IRNazanin" w:eastAsia="IRNazanin"/>
          <w:color w:val="111111"/>
          <w:sz w:val="28"/>
          <w:sz w:val="28"/>
          <w:szCs w:val="28"/>
          <w:rtl w:val="true"/>
          <w:lang w:bidi="fa-IR"/>
        </w:rPr>
        <w:t>دلالة علی ذلک بالنسبة إلی المجتهد و المقلّد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 من وجوه شتّی لا تکاد تخفی بعد ما 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المیّت یفید الظنّ، فیجب و یصحّ العمل به؛ لعموم ما دلّ علی حجّیّة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ما لا یخفی بعد ما مضی فی الجواب عن الوجه العاشر؛ لإرجاعه إلیه، و قربه منه لو لم یکن عینه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یتوجّه علیه أیضا أنّ المراد بإفادة قول المیّت للظنّ إمّا إفادته للمجتهد و المفتی، و إمّا إفادته للمقلّد و المستفتی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هو الأوّل فالصغری ممنوعة جدّا، و لئن سلّمت الصغری مماشاة فالکبری ممنوعة؛ لعدم الدلیل الدالّ علی حجّیّة هذا الظنّ فی حقّ المجتهد و المفتی لا بالعموم و لا بالخصوص، بل الدلیل علی عدمها بالعموم و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موجود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هو الثانی، فالصغری و إن کانت مسلّمة و لو فی الجملة، إلّا أنّ الکبری حینئذ ممنوعة جدّا، فإنّ المراد بالعموم الدالّ علی حجّیّة الظنّ إن کان ما دلّ علی حجّیّة الظنّ فی حقّ المجتهد و المفتی بعمومه، فهو و إن کان مسلّما، إلّا أنّه غیر نافع کما تری؛ لعدم ارتباطه بما نحن فیه؛ إذ مقتضاه إنّما هو حجّیّة الظنّ الحاصل للمجتهد و المفتی بالحکم الشرعی فی حقّه من الدلیل الشرعی، فلا یشمل هذه الصغری، و لا تکون مندرجة تحت الکبری؛ إذ مقتضی الصغری حصول الظنّ للمقلّد و المستفتی، و مقتضی الکبری حجّیّة ظنّ المجتهد و المفتی خاصّة، فلا یتکرّر الأوسط، فلا یحصل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ما دلّ علی حجّیّة الظنّ فی حقّ المقلّد و المستفتی، فشمول الکبری للصغری و اندراجها تحتها و تکرّر الأوسط و إن کان مسلّما، إلّا أنّ الدلیل الدالّ علی حجّیّة ظنّ المستفتی و المقلّد من حیث هو ظنّ ممنوع، فضلا عن عمومه و کلّیّته بحیث یشمل هذا الظنّ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الأدلّة المشار إلیها دالّة علی صحّة المختار و بطلان هذا القول و عدم حجّیّة هذا الظنّ، و مع الغمض عن هذا فهو فرع بطلان القول المختار و صحّة هذا القول، و هو عین المتنازع فیه و المدّعی؛ فیلزم الدور المحال أو المصادرة، و ما هذا حاله فلا یصحّ للدلالة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الدالّ علی صحّة أصالة حجّیّة ظنّ المجتهد و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کدلیل الانسداد، و قاعدة لزوم ترجیح الراجح و بطلان ترجیح المرجوح، و لزوم دفع الضرر المظنون،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حجّیّة ظنّ المجتهد و المفتی الحیّ و صحّة</w:t>
      </w:r>
    </w:p>
    <w:p>
      <w:pPr>
        <w:pStyle w:val="BookText"/>
        <w:rPr/>
      </w:pPr>
      <w:r>
        <w:rPr>
          <w:rFonts w:ascii="IRNazanin" w:hAnsi="IRNazanin" w:eastAsia="IRNazanin"/>
          <w:color w:val="111111"/>
          <w:sz w:val="28"/>
          <w:sz w:val="28"/>
          <w:szCs w:val="28"/>
          <w:rtl w:val="true"/>
          <w:lang w:bidi="fa-IR"/>
        </w:rPr>
        <w:t>العمل بفتواه بالإضافة إلیه و إلی المقلّد له، فکذلک یدلّ علی حجّیّة ظنّ المیّت منه و العمل بفتواه بالإضافة إلی المقلّد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کما تری بیّن البطلان؛ لعدم انسحاب هذه الأدلّة هنا بالتقریب المشار إلیه، و القیاس أیضا غیر معتبر عندنا، سیّما إذا کان مع الفارق کما هنا؛ إذ لا یقول به أحد حتّی العامّة أیضا؛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فهذا القول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 القول بعدم جواز التقلید و الاستفتاء و العمل بفتوی المفتی إذا لم یکن مستنده الکتاب و السنّة مطلقا حیّا کان أو میّتا، و بالجواز و المشروعیّة و الصحّة إذا کان مستنده ذلک، کما هو مختار المحدّث محمّد الطاهر القمّی فی حجّة الإسلام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w:t>
      </w:r>
      <w:r>
        <w:rPr>
          <w:rStyle w:val="FootnoteAnchor"/>
          <w:rtl w:val="true"/>
        </w:rPr>
        <w:footnoteReference w:id="328"/>
      </w:r>
      <w:r>
        <w:rPr>
          <w:rFonts w:ascii="IRNazanin" w:hAnsi="IRNazanin" w:eastAsia="IRNazanin"/>
          <w:color w:val="111111"/>
          <w:sz w:val="28"/>
          <w:sz w:val="28"/>
          <w:szCs w:val="28"/>
          <w:rtl w:val="true"/>
          <w:lang w:bidi="fa-IR"/>
        </w:rPr>
        <w:t>بأنّ کلّ قول یستند إلی کلام الأئمّة علیهم السّلام فهو باق لا یموت بموت قائله، سواء کان حیّا أو میّتا، و ما یستند إلی الظنون التی تخطئ و تصیب فمردود علی قائله، سواء کان حیّا أو میّتا، کما اختاره فی هدایة الأبرار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w:t>
      </w:r>
      <w:r>
        <w:rPr>
          <w:rStyle w:val="FootnoteAnchor"/>
          <w:rtl w:val="true"/>
        </w:rPr>
        <w:footnoteReference w:id="330"/>
      </w:r>
      <w:r>
        <w:rPr>
          <w:rFonts w:ascii="IRNazanin" w:hAnsi="IRNazanin" w:eastAsia="IRNazanin"/>
          <w:color w:val="111111"/>
          <w:sz w:val="28"/>
          <w:sz w:val="28"/>
          <w:szCs w:val="28"/>
          <w:rtl w:val="true"/>
          <w:lang w:bidi="fa-IR"/>
        </w:rPr>
        <w:t>بالجواز و الصحّة بالإضافة إلی فتوی من علم من حاله أنّه لا یفتی إلّا بمنطوقات الأدلّة و مدلولاتها الصریحة أو الظاهرة الواضحة دون الأفراد الخفیّة للعمومات و اللوازم الغیر البیّنة اللزوم للملزومات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کالصدوقین و من شابههما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کان أو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الجواز و الصحّة بالإضافة إلی فتوی من یعمل باللوازم و الأفراد الخفیّة حیّا کان أو میّتا، کما اختاره فی الوافیة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الجمیع کما تری، مع أنّه قول بالفصل فی المسألة، لا دلیل علیه یعتدّ به، بل الدلیل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فساده قائم؛ فقول</w:t>
      </w:r>
      <w:r>
        <w:rPr>
          <w:rStyle w:val="FootnoteAnchor"/>
          <w:rtl w:val="true"/>
        </w:rPr>
        <w:footnoteReference w:id="332"/>
      </w:r>
      <w:r>
        <w:rPr>
          <w:rFonts w:ascii="IRNazanin" w:hAnsi="IRNazanin" w:eastAsia="IRNazanin"/>
          <w:color w:val="111111"/>
          <w:sz w:val="28"/>
          <w:sz w:val="28"/>
          <w:szCs w:val="28"/>
          <w:rtl w:val="true"/>
          <w:lang w:bidi="fa-IR"/>
        </w:rPr>
        <w:t>هزل لا یعبأ به، و لا یلتفت إلیه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فالمعتمد هو القول المختار، کما لا یخفی علی اولی الأبصار و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هذا الحکم هنا بالصورتین المشار إلیهما، أم لا، بل یعمّهما و غیرهما أیضا؟</w:t>
      </w:r>
    </w:p>
    <w:p>
      <w:pPr>
        <w:pStyle w:val="BookText"/>
        <w:rPr/>
      </w:pPr>
      <w:r>
        <w:rPr>
          <w:rFonts w:ascii="IRNazanin" w:hAnsi="IRNazanin" w:eastAsia="IRNazanin"/>
          <w:color w:val="111111"/>
          <w:sz w:val="28"/>
          <w:sz w:val="28"/>
          <w:szCs w:val="28"/>
          <w:rtl w:val="true"/>
          <w:lang w:bidi="fa-IR"/>
        </w:rPr>
        <w:t>فیه خلاف و إشکال یأتی إلیه الإشارة مع ما هو الصواب فیما بعد إن شاء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هناک مفت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للشرائط یتمکّن المستفتی من الرجوع إلیه و العمل بفتواه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 هذا المفتی، فلو کان لم یصحّ له العمل ابتداء بفتواه علی الأظهر الأشهر بین أصحابنا، کما عن المسالک</w:t>
      </w:r>
      <w:r>
        <w:rPr>
          <w:rStyle w:val="FootnoteAnchor"/>
          <w:rtl w:val="true"/>
        </w:rPr>
        <w:footnoteReference w:id="333"/>
      </w:r>
      <w:r>
        <w:rPr>
          <w:rFonts w:ascii="IRNazanin" w:hAnsi="IRNazanin" w:eastAsia="IRNazanin"/>
          <w:color w:val="111111"/>
          <w:sz w:val="28"/>
          <w:sz w:val="28"/>
          <w:szCs w:val="28"/>
          <w:rtl w:val="true"/>
          <w:lang w:bidi="fa-IR"/>
        </w:rPr>
        <w:t>، بل المشهور، بل المعظم، بل لا خلاف یعتدّ به فیه یظهر، بل و لعلّه علیه الإجماع، کما فی صریح کلام جماعة</w:t>
      </w:r>
      <w:r>
        <w:rPr>
          <w:rStyle w:val="FootnoteAnchor"/>
          <w:rtl w:val="true"/>
        </w:rPr>
        <w:footnoteReference w:id="334"/>
      </w:r>
      <w:r>
        <w:rPr>
          <w:rFonts w:ascii="IRNazanin" w:hAnsi="IRNazanin" w:eastAsia="IRNazanin"/>
          <w:color w:val="111111"/>
          <w:sz w:val="28"/>
          <w:sz w:val="28"/>
          <w:szCs w:val="28"/>
          <w:rtl w:val="true"/>
          <w:lang w:bidi="fa-IR"/>
        </w:rPr>
        <w:t>، و ظاهر اخری</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ففیما یحضرنی الآن من نسخة حاشیة الشرائع للمحقّق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جاز العمل بقول الفقیه بعد موته، امتنع فی زماننا هذا؛ للإجماع علی وجوب تقلید الأعلم و الأورع من المجتهدین، و الوقوف لأهل العصر علی العلم و الورع بالنسبة إلی الأعصر السابقة کاد أن یکون ممتنعا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تمهید القواعد لشیخنا الشهید الثانی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سأل جماعة فاختلفت فتاواهم،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البحث عن أورعهم و أعلمهم،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p>
    <w:p>
      <w:pPr>
        <w:pStyle w:val="BookText"/>
        <w:rPr/>
      </w:pPr>
      <w:r>
        <w:rPr>
          <w:rFonts w:ascii="IRNazanin" w:hAnsi="IRNazanin" w:eastAsia="IRNazanin"/>
          <w:color w:val="111111"/>
          <w:sz w:val="28"/>
          <w:sz w:val="28"/>
          <w:szCs w:val="28"/>
          <w:rtl w:val="true"/>
          <w:lang w:bidi="fa-IR"/>
        </w:rPr>
        <w:t>علیه ذلک و هو الحقّ عندنا، و هو مرویّ فی مقبولة عمر بن حنظلة المشهورة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منیة المرید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اثنان فأکثر ممّن یجوز استفتاؤهم، فإن اتّفقوا فی الفتوی أخذ بها، و إن اختلفوا وجب علیه الرجوع إلی الأعلم الأتقی، فإن اختلفوا فی الوصفین رجع إلی أعلم الورعین و أورع العالمین، فإن تعارض الأعلم و الأورع قلّد الأعلم، فإن جهل الحال أو تساووا فی الوصف تخیّر و إن بعد الفرض، و ربما قیل بالتخییر مطلقا؛ لاشتراک الجمیع فی الأهلیّة، و هو قول أکثر العامّة، و لا نعلم به قائلا منّا، بل المنصوص عندنا هو الأوّل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الرسالة المنسوبة إلیه فی عدم جواز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العمل بقول الفقیه بعد موته، امتنع فی زماننا هذا؛ للإجماع علی وجوب تقلید الأعلم و الأورع من المجتهدین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الإجماع علیه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الأصحاب الذین وصل إلینا کلامهم،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الاعتماد علی ما علیه الأصحاب</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الزبدة لشیخنا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تقلید الأفضل متعیّن عندنا، و هم مختلفون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کلام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منعقد علی وجوب تقلید الأعلم و الأورع من المجتهدین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بعض الأعاظم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من مذهب أصحابنا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ذکر بعضهم أنّه لا خلاف فیه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یقدّم، أی الأعلم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بعض فضلاء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متابعة الأعلم و الأورع واجب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فی هذا الباب؛ مضافا إلی غیره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بجواز العمل بفتوی غیر الأعلم مع وجوده کذلک، و صحّته کوجوبه حکم شرعیّ، فیتوقّف علی دلیل شرعیّ، و هو مفقود، فیجب علی من وجب علیه العمل بفتوی الغیر الاقتصار علی تقلید الأعلم؛ لحصول العلم بالبراءة من التکلیف الثابت معه دون غیره؛ لعدم الدلیل علی اعتباره و حصول البراءة منه، عدا ما سیأتی مع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شبهة فی أنّ الأصل هنا مقتضاه الفساد، و عدم الصحّة، و عدم المشروعیّة، و عدم الحجّیّة، و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المقتضی للفساد، و عدم الصحّة، و عدم المشروعیّة، و عدم الحجّیّة، و الموجب للحکم ببقائها علی ما کان حتّی یثبت الرافع المعتبر، مع أنّ الفرض فیما نحن فیه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عدم جواز نقض الیقین إلّا بالیقین؛ بناء علی مغایرتها للاستصحاب بالتقریب المشار إلیه، خرج الأعلم فی الفرض بالإجماع و غیره من الأدلّة المعتبرة، و 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عدم جواز التقلید و العمل بغیر علم، و علی عدم حجّیّتهما، و عدم مشروعیّتهما، و عدم صحّتهما، من الکتاب و السنّة المعتبرة، و خرج عنها الأعلم فی الفرض بالإجماع و غیره من الأدلّة المعتبرة، و لا دلیل یعتدّ به علی غیره عنها، فیبقی مندرجا تحتها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من الأخبار المتکثّرة المعتبرة الدالّة علی لزوم الأخذ بما خالف العامّة، و علی صحّة الأخذ بما وافق الخاصّة، و علی أنّ الحقّ و الرشد</w:t>
      </w:r>
      <w:bookmarkStart w:id="254" w:name="pg19819_193437"/>
    </w:p>
    <w:p>
      <w:pPr>
        <w:pStyle w:val="BookText"/>
        <w:rPr/>
      </w:pPr>
      <w:bookmarkEnd w:id="254"/>
      <w:r>
        <w:rPr>
          <w:rFonts w:ascii="IRNazanin" w:hAnsi="IRNazanin" w:eastAsia="IRNazanin"/>
          <w:color w:val="111111"/>
          <w:sz w:val="28"/>
          <w:sz w:val="28"/>
          <w:szCs w:val="28"/>
          <w:rtl w:val="true"/>
          <w:lang w:bidi="fa-IR"/>
        </w:rPr>
        <w:t>فی خلاف العامّة</w:t>
      </w:r>
      <w:r>
        <w:rPr>
          <w:rStyle w:val="FootnoteAnchor"/>
          <w:rtl w:val="true"/>
        </w:rPr>
        <w:footnoteReference w:id="344"/>
      </w:r>
      <w:r>
        <w:rPr>
          <w:rFonts w:ascii="IRNazanin" w:hAnsi="IRNazanin" w:eastAsia="IRNazanin"/>
          <w:color w:val="111111"/>
          <w:sz w:val="28"/>
          <w:sz w:val="28"/>
          <w:szCs w:val="28"/>
          <w:rtl w:val="true"/>
          <w:lang w:bidi="fa-IR"/>
        </w:rPr>
        <w:t>الملزومة لعدم مشروعیّة تقلید غیر الأعلم، و عدم حجّیّة قوله و فتواه فی الفرض؛ لکونه مذهب جماعة منهم</w:t>
      </w:r>
      <w:r>
        <w:rPr>
          <w:rStyle w:val="FootnoteAnchor"/>
          <w:rtl w:val="true"/>
        </w:rPr>
        <w:footnoteReference w:id="345"/>
      </w:r>
      <w:r>
        <w:rPr>
          <w:rFonts w:ascii="IRNazanin" w:hAnsi="IRNazanin" w:eastAsia="IRNazanin"/>
          <w:color w:val="111111"/>
          <w:sz w:val="28"/>
          <w:sz w:val="28"/>
          <w:szCs w:val="28"/>
          <w:rtl w:val="true"/>
          <w:lang w:bidi="fa-IR"/>
        </w:rPr>
        <w:t>، بل الأکثر منهم، کما صرّح به فی المنیة و غیرها</w:t>
      </w:r>
      <w:r>
        <w:rPr>
          <w:rStyle w:val="FootnoteAnchor"/>
          <w:rtl w:val="true"/>
        </w:rPr>
        <w:footnoteReference w:id="34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الآتیة الدالّة علی الأخذ بقول الأعلم و الأورع فیما دار الأمر بینهما و بین غیرهما فی مقام الحکم و القضاء الشاملة لما نحن فیه أیضا؛ بناء علی حمل الحکم و القضاء فیها علی الأعمّ من المصطلح، بحیث یشمل الفتوی أیضا أو الملزومة له، بناء علی عدم انفکاک الحکم و القضاء المصطلح عن التقلید و العمل علی مقتضی فتوی القاضی و الحاکم فی الواقعة؛ فتأمّل</w:t>
      </w:r>
      <w:r>
        <w:rPr>
          <w:rFonts w:eastAsia="IRNazanin" w:cs="IRNazanin"/>
          <w:color w:val="111111"/>
          <w:sz w:val="28"/>
          <w:szCs w:val="28"/>
          <w:rtl w:val="true"/>
          <w:lang w:bidi="fa-IR"/>
        </w:rPr>
        <w:t>.</w:t>
      </w:r>
    </w:p>
    <w:p>
      <w:pPr>
        <w:pStyle w:val="Heading6"/>
        <w:numPr>
          <w:ilvl w:val="5"/>
          <w:numId w:val="1"/>
        </w:numPr>
        <w:rPr/>
      </w:pPr>
      <w:bookmarkStart w:id="255" w:name="__RefHeading___Toc3055597_2314609296"/>
      <w:bookmarkStart w:id="256" w:name="_Toc102"/>
      <w:bookmarkEnd w:id="255"/>
      <w:r>
        <w:rPr>
          <w:rtl w:val="true"/>
        </w:rPr>
        <w:t>و یعضد المختار أو یؤیّده امور</w:t>
      </w:r>
      <w:r>
        <w:rPr>
          <w:rtl w:val="true"/>
        </w:rPr>
        <w:t>:</w:t>
      </w:r>
      <w:bookmarkEnd w:id="25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العقلیّة الحاکمة بلزوم دفع الضرر المحتمل؛ بناء علی احتمال الضرر فی تقلید غیر الأعلم حینئذ، بخلاف تقلید الأعلم؛ للأمن منه،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العقلیّة المسلّمة عند العقلاء، المنقولة عن فخر المحقّقین فی الإیضاح و صاحب شرح الطوالع علی مقتضاه الإجماع</w:t>
      </w:r>
      <w:r>
        <w:rPr>
          <w:rStyle w:val="FootnoteAnchor"/>
          <w:rtl w:val="true"/>
        </w:rPr>
        <w:footnoteReference w:id="347"/>
      </w:r>
      <w:r>
        <w:rPr>
          <w:rFonts w:ascii="IRNazanin" w:hAnsi="IRNazanin" w:eastAsia="IRNazanin"/>
          <w:color w:val="111111"/>
          <w:sz w:val="28"/>
          <w:sz w:val="28"/>
          <w:szCs w:val="28"/>
          <w:rtl w:val="true"/>
          <w:lang w:bidi="fa-IR"/>
        </w:rPr>
        <w:t>، الحاکمة بلزوم دفع الضرر المظنون؛ بناء علی ظنّ الضرر فی تقلید غیر الأعلم، بملاحظة مصیر المعظم إلی تعیین الأعلم، و عدم جواز تقلید غیره حینئذ؛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رجحان الاحتیاط فی الشریعة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المسلّمة الحاکمة بأنّ الاشتغال الیقینی أو القائم مقامه یستدعی البراءة الیقینیّة و ما بحکمها؛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به جماعة هنا، من قبح ترجیح المفضول علی الفاضل، و قبح ترجیح المرجوح علی الراجح بحکم العقل القاطع</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الإجماع المنقول فی منیة اللبیب علی وجوب ترجیح الراجح علی المرجوح؛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فی الطریقة الجاریة بین العقلاء کافّة، حیثما احتاجوا إلی رجوعهم إلی أهل الخبرة من الحرف و الصنائع و العلوم، من رجوعهم مهما أمکن إلی أکملهم و أعلمهم و الأشدّ خبرة منهم، خصوصا فیما إذا وقع الاختلاف فیما بین أهل الخبرة، و هذه طریقة شائعة ذائعة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الطباع مجبولة بالوقوف بالأکمل و الأعلم و الأفضل و الأشدّ خبرة وثوقا أشدّ من الوثوق بغیره من حیث 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الطباع حینئذ مجبولة بعدم الاعتناء بغیره کذلک، فلو لا الأمر فیما نحن فیه بأکمل و أشدّ، فلا أقلّ من کونه مساویا لذلک؛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w:t>
      </w:r>
      <w:r>
        <w:rPr>
          <w:rStyle w:val="FootnoteAnchor"/>
          <w:rtl w:val="true"/>
        </w:rPr>
        <w:footnoteReference w:id="349"/>
      </w:r>
      <w:r>
        <w:rPr>
          <w:rFonts w:ascii="IRNazanin" w:hAnsi="IRNazanin" w:eastAsia="IRNazanin"/>
          <w:color w:val="111111"/>
          <w:sz w:val="28"/>
          <w:sz w:val="28"/>
          <w:szCs w:val="28"/>
          <w:rtl w:val="true"/>
          <w:lang w:bidi="fa-IR"/>
        </w:rPr>
        <w:t>لصریح بعض الأعاظم من مشایخ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للمحکیّ فی المفاتیح للسیّد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عن بعض المعاصرین من أصحابنا</w:t>
      </w:r>
      <w:r>
        <w:rPr>
          <w:rStyle w:val="FootnoteAnchor"/>
          <w:rtl w:val="true"/>
        </w:rPr>
        <w:footnoteReference w:id="351"/>
      </w:r>
      <w:r>
        <w:rPr>
          <w:rFonts w:ascii="IRNazanin" w:hAnsi="IRNazanin" w:eastAsia="IRNazanin"/>
          <w:color w:val="111111"/>
          <w:sz w:val="28"/>
          <w:sz w:val="28"/>
          <w:szCs w:val="28"/>
          <w:rtl w:val="true"/>
          <w:lang w:bidi="fa-IR"/>
        </w:rPr>
        <w:t>، فیصحّ له العمل بفتواه حینئذ أیضا، و لا یتعیّن علیه العمل بفتوی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اللائح ممّن أطلق العمل بفتوی المجتهد، کالشهید فی الألفیّة</w:t>
      </w:r>
      <w:r>
        <w:rPr>
          <w:rStyle w:val="FootnoteAnchor"/>
          <w:rtl w:val="true"/>
        </w:rPr>
        <w:footnoteReference w:id="352"/>
      </w:r>
      <w:r>
        <w:rPr>
          <w:rFonts w:ascii="IRNazanin" w:hAnsi="IRNazanin" w:eastAsia="IRNazanin"/>
          <w:color w:val="111111"/>
          <w:sz w:val="28"/>
          <w:sz w:val="28"/>
          <w:szCs w:val="28"/>
          <w:rtl w:val="true"/>
          <w:lang w:bidi="fa-IR"/>
        </w:rPr>
        <w:t>، و من أطلق جواز العمل بفتوی المتجزّئ</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جوّز القضاء و الحکم لغیر الأعلم مع وجوده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تأمّل فی الإجماع علی تعیین الأعلم؛ زعما منه انحصار الوجه فیه، کالمولی السمی المقدّس فی ظاهر مجمع الفائدة</w:t>
      </w:r>
      <w:r>
        <w:rPr>
          <w:rStyle w:val="FootnoteAnchor"/>
          <w:rtl w:val="true"/>
        </w:rPr>
        <w:footnoteReference w:id="355"/>
      </w:r>
      <w:r>
        <w:rPr>
          <w:rFonts w:ascii="IRNazanin" w:hAnsi="IRNazanin" w:eastAsia="IRNazanin"/>
          <w:color w:val="111111"/>
          <w:sz w:val="28"/>
          <w:sz w:val="28"/>
          <w:szCs w:val="28"/>
          <w:rtl w:val="true"/>
          <w:lang w:bidi="fa-IR"/>
        </w:rPr>
        <w:t>، و سلطان العلماء فی حاشیة المعالم</w:t>
      </w:r>
      <w:r>
        <w:rPr>
          <w:rStyle w:val="FootnoteAnchor"/>
          <w:rtl w:val="true"/>
        </w:rPr>
        <w:footnoteReference w:id="356"/>
      </w:r>
      <w:r>
        <w:rPr>
          <w:rFonts w:ascii="IRNazanin" w:hAnsi="IRNazanin" w:eastAsia="IRNazanin"/>
          <w:color w:val="111111"/>
          <w:sz w:val="28"/>
          <w:sz w:val="28"/>
          <w:szCs w:val="28"/>
          <w:rtl w:val="true"/>
          <w:lang w:bidi="fa-IR"/>
        </w:rPr>
        <w:t>، و الفاضل التونی فی الوافیة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 ربما یستظهر هذا أیضا ممّن علّل تعیین الأعلم بأنّ الظنّ الحاصل من قوله أقوی، و بأنّه أقوی الظنّین</w:t>
      </w:r>
      <w:r>
        <w:rPr>
          <w:rStyle w:val="FootnoteAnchor"/>
          <w:rtl w:val="true"/>
        </w:rPr>
        <w:footnoteReference w:id="358"/>
      </w:r>
      <w:r>
        <w:rPr>
          <w:rFonts w:ascii="IRNazanin" w:hAnsi="IRNazanin" w:eastAsia="IRNazanin"/>
          <w:color w:val="111111"/>
          <w:sz w:val="28"/>
          <w:sz w:val="28"/>
          <w:szCs w:val="28"/>
          <w:rtl w:val="true"/>
          <w:lang w:bidi="fa-IR"/>
        </w:rPr>
        <w:t>و إن لا یخلو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فهذا القول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فی الغایة، و مع هذا لا وجه له عدا وجوه 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به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اشتغال الذمّة بالتقلید لم یثبت إلّا بالقدر المشترک المتحقّق فی ضمن تقلید غیر الأعلم أیضا، و الأصل عدم لزوم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سیّما بعد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أنّ المعهود من سیرة أکثر المسلمین الرجوع إلی جمیع العلماء المجتهدین، من دون نکیر علیهم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ما لا یخفی، سیّما بعد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تعیّن العمل بفتوی الأعلم، لزم التکلیف بما لا یطاق، و اللازم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اللازم فظاهر، و أمّا الملازمة فلعدم تمکّن المستفتی من تعیین الأعلم و تشخیصه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ما لا یخفی من المنع المتوجّه علی الملازمة؛ مضافا إلی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bookmarkStart w:id="257" w:name="pg19819_193440"/>
    </w:p>
    <w:p>
      <w:pPr>
        <w:pStyle w:val="BookText"/>
        <w:rPr/>
      </w:pPr>
      <w:bookmarkEnd w:id="257"/>
      <w:r>
        <w:rPr>
          <w:rFonts w:ascii="IRNazanin" w:hAnsi="IRNazanin" w:eastAsia="IRNazanin"/>
          <w:color w:val="111111"/>
          <w:sz w:val="28"/>
          <w:sz w:val="28"/>
          <w:szCs w:val="28"/>
          <w:rtl w:val="true"/>
          <w:lang w:bidi="fa-IR"/>
        </w:rPr>
        <w:t>تقدیر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الفرض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النافیة للعسر و الحرج فی الشریعة</w:t>
      </w:r>
      <w:r>
        <w:rPr>
          <w:rStyle w:val="FootnoteAnchor"/>
          <w:rtl w:val="true"/>
        </w:rPr>
        <w:footnoteReference w:id="360"/>
      </w:r>
      <w:r>
        <w:rPr>
          <w:rFonts w:ascii="IRNazanin" w:hAnsi="IRNazanin" w:eastAsia="IRNazanin"/>
          <w:color w:val="111111"/>
          <w:sz w:val="28"/>
          <w:sz w:val="28"/>
          <w:szCs w:val="28"/>
          <w:rtl w:val="true"/>
          <w:lang w:bidi="fa-IR"/>
        </w:rPr>
        <w:t>بناء علی استلزام تعیین العامی للأعلم للحرج و العسر، مع انتفائهما بالفرض فی الشریعة، و یلزمه عدم وجوب التعیین؛ ضرورة استحالة انفکاک اللازم من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 من المنع المتوجّه علی الاستلزام المدّعی؛ مضافا إلی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تمامیّته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الآیات و الأخبار المعتبرة الآتیة الدالّة بالنصّ علی حجّیّة قول العلماء فی حقّ غیرهم، و علی جواز العمل به من غیر تفصیل و تخصیص بالأعلم مع وجود غیره أیضا، و بالظهور علی عدم لزوم تعیین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 فإنّ هذه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شمولها لما نحن فیه، مع أنّه محلّ التأمّل بالإضافة إلی 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بما هو أقوی و أرجح من وجوه شتّی لا تکاد تخفی ممّا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غیر الأعلم أیضا یفید الظنّ، فیصحّ العمل به</w:t>
      </w:r>
      <w:r>
        <w:rPr>
          <w:rStyle w:val="FootnoteAnchor"/>
          <w:rtl w:val="true"/>
        </w:rPr>
        <w:footnoteReference w:id="361"/>
      </w:r>
      <w:r>
        <w:rPr>
          <w:rFonts w:ascii="Amiri" w:hAnsi="Amiri" w:eastAsia="Amiri" w:cs="Amiri"/>
          <w:color w:val="111111"/>
          <w:sz w:val="28"/>
          <w:sz w:val="28"/>
          <w:szCs w:val="28"/>
          <w:rtl w:val="true"/>
          <w:lang w:bidi="ar-SA"/>
        </w:rPr>
        <w:t>لعموم ما دلّ علی حجّیّة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أیضا ما لا یخفی، سیّما بعد ما أسلفناه فی الجواب عن مثل هذا الوجه سابقا؛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فالقول المختار بعد هو الحقّ و الصواب</w:t>
      </w:r>
      <w:r>
        <w:rPr>
          <w:rFonts w:eastAsia="IRNazanin" w:cs="IRNazanin"/>
          <w:color w:val="111111"/>
          <w:sz w:val="28"/>
          <w:szCs w:val="28"/>
          <w:rtl w:val="true"/>
          <w:lang w:bidi="fa-IR"/>
        </w:rPr>
        <w:t>.</w:t>
      </w:r>
    </w:p>
    <w:p>
      <w:pPr>
        <w:pStyle w:val="Heading6"/>
        <w:numPr>
          <w:ilvl w:val="5"/>
          <w:numId w:val="1"/>
        </w:numPr>
        <w:rPr/>
      </w:pPr>
      <w:bookmarkStart w:id="258" w:name="__RefHeading___Toc3055599_2314609296"/>
      <w:bookmarkStart w:id="259" w:name="_Toc103"/>
      <w:bookmarkEnd w:id="258"/>
      <w:r>
        <w:rPr>
          <w:rtl w:val="true"/>
        </w:rPr>
        <w:t>[</w:t>
      </w:r>
      <w:r>
        <w:rPr>
          <w:rtl w:val="true"/>
        </w:rPr>
        <w:t>هنا مسائل</w:t>
      </w:r>
      <w:r>
        <w:rPr>
          <w:rtl w:val="true"/>
        </w:rPr>
        <w:t>:]</w:t>
      </w:r>
      <w:bookmarkEnd w:id="25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تعیین الأعلم حینئذ علی المختار بین أن یکون الأعلم أورع من غیره، أم مساویا له فی الورع، أم أدون، کما صرّح به جماعة</w:t>
      </w:r>
      <w:r>
        <w:rPr>
          <w:rStyle w:val="FootnoteAnchor"/>
          <w:rtl w:val="true"/>
        </w:rPr>
        <w:footnoteReference w:id="362"/>
      </w:r>
      <w:r>
        <w:rPr>
          <w:rFonts w:ascii="IRNazanin" w:hAnsi="IRNazanin" w:eastAsia="IRNazanin"/>
          <w:color w:val="111111"/>
          <w:sz w:val="28"/>
          <w:sz w:val="28"/>
          <w:szCs w:val="28"/>
          <w:rtl w:val="true"/>
          <w:lang w:bidi="fa-IR"/>
        </w:rPr>
        <w:t>، من غیر خلاف</w:t>
      </w:r>
    </w:p>
    <w:p>
      <w:pPr>
        <w:pStyle w:val="BookText"/>
        <w:rPr/>
      </w:pPr>
      <w:r>
        <w:rPr>
          <w:rFonts w:ascii="IRNazanin" w:hAnsi="IRNazanin" w:eastAsia="IRNazanin"/>
          <w:color w:val="111111"/>
          <w:sz w:val="28"/>
          <w:sz w:val="28"/>
          <w:szCs w:val="28"/>
          <w:rtl w:val="true"/>
          <w:lang w:bidi="fa-IR"/>
        </w:rPr>
        <w:t>صریح یعرف بینهم، و هو مقتضی إطلاق غیرهم ممّن وقفت علی کلماتهم؛ لأکثر ما مرّ، بل جمیعه حتّی الإجماعات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ظهور عبارة 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إلیها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الخلاف فیه بیننا، أو فی الإجماع منّا علیه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یحکی عن منیة اللبیب التوقّف فیه بالإضافة إلی الأدون</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 لیس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أحدهما أعلم فی الفقه و سائر العلوم،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تقلیده علی المختار، مع استکماله سائر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کان أعلم فی الفقه مع التساوی فی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التساوی فی الفقه، و الاختلاف فی سائر العلوم التی لها دخل 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کالاصول و الرجال و العربیّة و التفسیر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یتعیّن حینئذ أیضا علی المختار تقلید الأعلم فی جمیعها، أو فی بعضها، کما عن صاحب کشف اللثام</w:t>
      </w:r>
      <w:r>
        <w:rPr>
          <w:rStyle w:val="FootnoteAnchor"/>
          <w:rtl w:val="true"/>
        </w:rPr>
        <w:footnoteReference w:id="366"/>
      </w:r>
      <w:r>
        <w:rPr>
          <w:rFonts w:ascii="IRNazanin" w:hAnsi="IRNazanin" w:eastAsia="IRNazanin"/>
          <w:color w:val="111111"/>
          <w:sz w:val="28"/>
          <w:sz w:val="28"/>
          <w:szCs w:val="28"/>
          <w:rtl w:val="true"/>
          <w:lang w:bidi="fa-IR"/>
        </w:rPr>
        <w:t>، أم لا، کما یظهر من السیّد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367"/>
      </w:r>
      <w:r>
        <w:rPr>
          <w:rFonts w:ascii="IRNazanin" w:hAnsi="IRNazanin" w:eastAsia="IRNazanin"/>
          <w:color w:val="111111"/>
          <w:sz w:val="28"/>
          <w:sz w:val="28"/>
          <w:szCs w:val="28"/>
          <w:rtl w:val="true"/>
          <w:lang w:bidi="fa-IR"/>
        </w:rPr>
        <w:t>، بل و لعلّه اللائح من کلام غیره أیضا؟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بل و لعلّه المتعیّن أیضا لو تمّ إطلاق الأعلم فی کلمات القائلین بتعیینه و الأخبار المتضمّنة له؛ لما لا یخفی بعد ما مضی،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یخلو عن وجه؛ نظرا إلی انصرافه إلی الأعلم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فالثانی أجود؛ عملا بالعمومات الدالّة علی حجّیّة قول المفتی، السلیمة بالفرض عمّا یصلح للمعارضة؛ فتنبّه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بالأعلم الأکثر حفظا، أو الأشدّ قوّة لاستخراجها، أو الأکثر ترجیحا، أو الأمتن و الأدقّ نظرا فیها؟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أجد مصرّحا بشی‌ء ممّا ذکر عدا سیّدنا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احتماله الثلاثة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یقتضی الرجوع هنا إلی العرف، فکلّ من یطلق علیه عرفا أنّه أعلم، یجب الرجوع إلیه إن قلنا بوجوب تقلید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بالمعروف، إن کان العرف العامّ، فإطلاقه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شی‌ء، و إن کان مراده العرف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عرف العلماء و أهل الخبرة بالفنّ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جیّد غایة الجودة، إلّا أنّه یشکل فیها إذا لم یکن هناک أهل الخبرة، أو کان و لکن لم یحکم بذلک، مع حکم غیره من أهل العرف العامّ جلّهم أو کلّهم به؛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الحکم علی المختار بالتقلید و العمل بالفتوی ابتداء، أم لا، بل یعمّ صورة الاستدامة أیضا؟</w:t>
      </w:r>
    </w:p>
    <w:p>
      <w:pPr>
        <w:pStyle w:val="BookText"/>
        <w:rPr/>
      </w:pPr>
      <w:r>
        <w:rPr>
          <w:rFonts w:ascii="IRNazanin" w:hAnsi="IRNazanin" w:eastAsia="IRNazanin"/>
          <w:color w:val="111111"/>
          <w:sz w:val="28"/>
          <w:sz w:val="28"/>
          <w:szCs w:val="28"/>
          <w:rtl w:val="true"/>
          <w:lang w:bidi="fa-IR"/>
        </w:rPr>
        <w:t>فیه کلام تأتی إلیه الإشارة، مع ما هو الصواب فیما بعد إن شاء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علی المختار بصورة التمکّن من العمل بفتوی الأعلم عقلا و شرعا و عادة، أم لا، بل یعمّ غیرها أیضا؟</w:t>
      </w:r>
    </w:p>
    <w:p>
      <w:pPr>
        <w:pStyle w:val="BookText"/>
        <w:rPr/>
      </w:pPr>
      <w:r>
        <w:rPr>
          <w:rFonts w:ascii="IRNazanin" w:hAnsi="IRNazanin" w:eastAsia="IRNazanin"/>
          <w:color w:val="111111"/>
          <w:sz w:val="28"/>
          <w:sz w:val="28"/>
          <w:szCs w:val="28"/>
          <w:rtl w:val="true"/>
          <w:lang w:bidi="fa-IR"/>
        </w:rPr>
        <w:t>فیه أیضا کلام تأتی إلیه الإشارة فیما بعد إن شاء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هناک مفت آخر جامع للشرائط أورع منه یتمکّن المستفتی من الرجوع إلیه و العمل بفتواه بسهولة، فلو کان لم تصحّ فتواه له، و لا یجوز له العمل بها، بل یتعیّن علیه العمل بفتوی الأورع؛ وفاقا للجعفریّة و حاشیة الشرائع للمحقّق الشیخ علیّ، و التمهید، و منیة المرید، و المعالم، و شرح الزبدة للصالح المازندرانی</w:t>
      </w:r>
      <w:r>
        <w:rPr>
          <w:rStyle w:val="FootnoteAnchor"/>
          <w:rtl w:val="true"/>
        </w:rPr>
        <w:footnoteReference w:id="370"/>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للمحکیّ</w:t>
      </w:r>
      <w:r>
        <w:rPr>
          <w:rStyle w:val="FootnoteAnchor"/>
          <w:rtl w:val="true"/>
        </w:rPr>
        <w:footnoteReference w:id="371"/>
      </w:r>
      <w:r>
        <w:rPr>
          <w:rFonts w:ascii="IRNazanin" w:hAnsi="IRNazanin" w:eastAsia="IRNazanin"/>
          <w:color w:val="111111"/>
          <w:sz w:val="28"/>
          <w:sz w:val="28"/>
          <w:szCs w:val="28"/>
          <w:rtl w:val="true"/>
          <w:lang w:bidi="fa-IR"/>
        </w:rPr>
        <w:t>عن صریح النهایة، و المقاصد العلیّة، و المسالک، و ظاهر التهذیب،</w:t>
      </w:r>
    </w:p>
    <w:p>
      <w:pPr>
        <w:pStyle w:val="BookText"/>
        <w:rPr/>
      </w:pPr>
      <w:r>
        <w:rPr>
          <w:rFonts w:ascii="IRNazanin" w:hAnsi="IRNazanin" w:eastAsia="IRNazanin"/>
          <w:color w:val="111111"/>
          <w:sz w:val="28"/>
          <w:sz w:val="28"/>
          <w:szCs w:val="28"/>
          <w:rtl w:val="true"/>
          <w:lang w:bidi="fa-IR"/>
        </w:rPr>
        <w:t>و الذکری و الدروس و منیة اللبیب و الرسالة المنسوبة إلی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و جواز تقلید المیّت، و غیرها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اللائح أو الظاهر من کثیر من العبائر السالفة الإجماع منّا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المؤیّدة و المعتضدة بجملة من الوجوه السالفة إن تمّ، کما هو الأتمّ، و إلّا فالقول بالتخییر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صار إلیه السیّد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373"/>
      </w:r>
      <w:r>
        <w:rPr>
          <w:rFonts w:ascii="IRNazanin" w:hAnsi="IRNazanin" w:eastAsia="IRNazanin"/>
          <w:color w:val="111111"/>
          <w:sz w:val="28"/>
          <w:sz w:val="28"/>
          <w:szCs w:val="28"/>
          <w:rtl w:val="true"/>
          <w:lang w:bidi="fa-IR"/>
        </w:rPr>
        <w:t>، و لعلّه اللائح من إطلاق الألفیّة</w:t>
      </w:r>
      <w:r>
        <w:rPr>
          <w:rStyle w:val="FootnoteAnchor"/>
          <w:rtl w:val="true"/>
        </w:rPr>
        <w:footnoteReference w:id="374"/>
      </w:r>
      <w:r>
        <w:rPr>
          <w:rFonts w:ascii="IRNazanin" w:hAnsi="IRNazanin" w:eastAsia="IRNazanin"/>
          <w:color w:val="111111"/>
          <w:sz w:val="28"/>
          <w:sz w:val="28"/>
          <w:szCs w:val="28"/>
          <w:rtl w:val="true"/>
          <w:lang w:bidi="fa-IR"/>
        </w:rPr>
        <w:t>، و من لم یتعرّض لذکره کالتهذیب، و الظاهر من بعض الأعاظم من المشایخ طاب ثراه، و احتمله الفاضل الصالح أیضا فی شرح الزبدة</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الأجود؛ لعموم جملة من الأدلّة الآتیة الدالّة علی جواز التقلید إن تمّ، و لم یثبت مصیر کلّ من قال بتعیین الأعلم إلی تعیین الأورع هنا أیضا؛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هل یختصّ الحکم بالصورتین المشار إلیهما، أم لا، بل یعمّهما و غیرهما أیضا؟</w:t>
      </w:r>
    </w:p>
    <w:p>
      <w:pPr>
        <w:pStyle w:val="BookText"/>
        <w:rPr/>
      </w:pPr>
      <w:r>
        <w:rPr>
          <w:rFonts w:ascii="IRNazanin" w:hAnsi="IRNazanin" w:eastAsia="IRNazanin"/>
          <w:color w:val="111111"/>
          <w:sz w:val="28"/>
          <w:sz w:val="28"/>
          <w:szCs w:val="28"/>
          <w:rtl w:val="true"/>
          <w:lang w:bidi="fa-IR"/>
        </w:rPr>
        <w:t>فیه کلام یأتی إلیه الإشارة مع ما هو الصواب فیما بعد إن شاء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قوله و فتواه فی نظر المقلّد و اعتقاد المستفتی مقطوعا بالفساد، فلو کان کذلک لم یصحّ له الاعتماد علیه و العمل به، بلا خلاف أجده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علیه الإجماع القاطع، کما یستفاد من مطاوی کلماتهم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الحجّة؛ مضافا إلی الأصل و الاستصحاب، و العمومات الدالّة علی عدم جواز نقض الیقین إلّا بالیقین فی وجه، و الدالّة علی عدم حجّیّة غیر العلم، و عدم مشروعیّة التقلید، و الدالّة علی اعتبار العلم و لزوم اتّباعه، و علی أنّ الحکم بغیر ما أنزل اللّه باطل</w:t>
      </w:r>
      <w:bookmarkStart w:id="260" w:name="pg19819_193444"/>
    </w:p>
    <w:p>
      <w:pPr>
        <w:pStyle w:val="BookText"/>
        <w:rPr/>
      </w:pPr>
      <w:bookmarkEnd w:id="260"/>
      <w:r>
        <w:rPr>
          <w:rFonts w:ascii="IRNazanin" w:hAnsi="IRNazanin" w:eastAsia="IRNazanin"/>
          <w:color w:val="111111"/>
          <w:sz w:val="28"/>
          <w:sz w:val="28"/>
          <w:szCs w:val="28"/>
          <w:rtl w:val="true"/>
          <w:lang w:bidi="fa-IR"/>
        </w:rPr>
        <w:t>لا یفتی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فهذا من الوضوح بحیث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صورة الاختیار و عدمه، و لا بین صورة التمکّن من المفتی الآخر الجامع للشرائط و عدمه، و لا بین ابتداء التقلید و استدامته قطعا؛ لعموم هذه الأدلّة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فتواه بالإضافة إلی المقلّد العامل بها مقطوعا بکونها منه، أو بحکم المقطوع به له شرعا، فلو لم یکن کذلک، لم یصحّ له العمل بها و الاعتماد علیها، بلا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علیه الإجماع القاطع، کما یستفاد من مطاوی کلماتهم الآتی إلی بعضها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مضافا إلی الاصول و العمومات الدالّة علی عدم جواز العلم بغیر العلم و عدم حجّیّته، و عدم مشروعیّة التقلید، و عدم جواز نقض الیقین إلّا بالیقین</w:t>
      </w:r>
      <w:r>
        <w:rPr>
          <w:rFonts w:eastAsia="IRNazanin" w:cs="IRNazanin"/>
          <w:color w:val="111111"/>
          <w:sz w:val="28"/>
          <w:szCs w:val="28"/>
          <w:rtl w:val="true"/>
          <w:lang w:bidi="fa-IR"/>
        </w:rPr>
        <w:t>.</w:t>
      </w:r>
    </w:p>
    <w:p>
      <w:pPr>
        <w:pStyle w:val="Heading6"/>
        <w:numPr>
          <w:ilvl w:val="5"/>
          <w:numId w:val="1"/>
        </w:numPr>
        <w:rPr/>
      </w:pPr>
      <w:bookmarkStart w:id="261" w:name="__RefHeading___Toc3055601_2314609296"/>
      <w:bookmarkStart w:id="262" w:name="_Toc104"/>
      <w:bookmarkEnd w:id="261"/>
      <w:r>
        <w:rPr>
          <w:rtl w:val="true"/>
        </w:rPr>
        <w:t>[</w:t>
      </w:r>
      <w:r>
        <w:rPr>
          <w:rtl w:val="true"/>
        </w:rPr>
        <w:t>هنا امور</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بین القطع أو ما یقوم مقامه بعدم کونها منه، و بین الظنّ و الشکّ فیه، و بین الظنّ الغیر المعتبر بکونها منه، و بین الشکّ فیه؛ لعموم الأدلّة المشار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العلم الحاصل له بقوله و فتواه و اعتباره بین الحاصل من المشافهة، أو السماع من المفتی، أو الروایة عنه، أو الکتابة بخطّه، أو غیرها؛ لعموم الأدلّة، مضافا إلی ما ستأتی إلیه الإشارة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یشترط فی العمل بقوله المشافهة و السماع منه، بلا خلاف ظاهر بینهم، کما فی المعالم</w:t>
      </w:r>
      <w:r>
        <w:rPr>
          <w:rStyle w:val="FootnoteAnchor"/>
          <w:rtl w:val="true"/>
        </w:rPr>
        <w:footnoteReference w:id="376"/>
      </w:r>
      <w:r>
        <w:rPr>
          <w:rFonts w:ascii="IRNazanin" w:hAnsi="IRNazanin" w:eastAsia="IRNazanin"/>
          <w:color w:val="111111"/>
          <w:sz w:val="28"/>
          <w:sz w:val="28"/>
          <w:szCs w:val="28"/>
          <w:rtl w:val="true"/>
          <w:lang w:bidi="fa-IR"/>
        </w:rPr>
        <w:t>و غیره</w:t>
      </w:r>
      <w:r>
        <w:rPr>
          <w:rStyle w:val="FootnoteAnchor"/>
          <w:rtl w:val="true"/>
        </w:rPr>
        <w:footnoteReference w:id="377"/>
      </w:r>
      <w:r>
        <w:rPr>
          <w:rFonts w:ascii="IRNazanin" w:hAnsi="IRNazanin" w:eastAsia="IRNazanin"/>
          <w:color w:val="111111"/>
          <w:sz w:val="28"/>
          <w:sz w:val="28"/>
          <w:szCs w:val="28"/>
          <w:rtl w:val="true"/>
          <w:lang w:bidi="fa-IR"/>
        </w:rPr>
        <w:t>للأصل، و العمومات النافیة للعسر و الحرج و الضرر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قالوه من الإجماع علی جواز رجوع الحائض إلی الزوج العامی</w:t>
      </w:r>
      <w:r>
        <w:rPr>
          <w:rStyle w:val="FootnoteAnchor"/>
          <w:rtl w:val="true"/>
        </w:rPr>
        <w:footnoteReference w:id="37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لعلّه لا خلاف صریحا یعتدّ به فی جواز الاعتماد علی شهادة العدلین فی ثبوت مذهب المفتی و فتواه و العمل بها؛ لظهور الاتّفاق علیه قولا و فعلا، کما صرّح به فی المفاتیح</w:t>
      </w:r>
      <w:r>
        <w:rPr>
          <w:rStyle w:val="FootnoteAnchor"/>
          <w:rtl w:val="true"/>
        </w:rPr>
        <w:footnoteReference w:id="379"/>
      </w:r>
      <w:r>
        <w:rPr>
          <w:rFonts w:ascii="IRNazanin" w:hAnsi="IRNazanin" w:eastAsia="IRNazanin"/>
          <w:color w:val="111111"/>
          <w:sz w:val="28"/>
          <w:sz w:val="28"/>
          <w:szCs w:val="28"/>
          <w:rtl w:val="true"/>
          <w:lang w:bidi="fa-IR"/>
        </w:rPr>
        <w:t>، و أشار إلیه فی الذکری و المعالم و غیرها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مضافا إلی الاستقراء فی سیرة العلماء و الصحابة؛ و العمومات النافیة للعسر و الحرج و الضرر، أو التکلیف بما فوق الوسع و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سیرة المسلمین و دیدنهم و عملهم فی الرجوع إلی قول المفتی؛ و بعض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علی حجّیّة البیّنة علی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ما قالوا و ادّعوا علیه الإجماع فی کتاب القضاء و الشهادات، من ثبوت ما لیس بمال و لا المقصود منه المال بالعدلین قولا واحدا، إلّا ما خرج بالدلیل؛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الاعتماد علی ما روی العدل الواحد عن المفتی الجامع للشرائط للمستفتی؟</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خلاف ظاهر أجده فیه، کما فی ظاهر جملة من العبائر</w:t>
      </w:r>
      <w:r>
        <w:rPr>
          <w:rStyle w:val="FootnoteAnchor"/>
          <w:rtl w:val="true"/>
        </w:rPr>
        <w:footnoteReference w:id="382"/>
      </w:r>
      <w:r>
        <w:rPr>
          <w:rFonts w:ascii="IRNazanin" w:hAnsi="IRNazanin" w:eastAsia="IRNazanin"/>
          <w:color w:val="111111"/>
          <w:sz w:val="28"/>
          <w:sz w:val="28"/>
          <w:szCs w:val="28"/>
          <w:rtl w:val="true"/>
          <w:lang w:bidi="fa-IR"/>
        </w:rPr>
        <w:t>، بل و لعلّه علیه الإجماع کما فی ظاهر المفاتیح</w:t>
      </w:r>
      <w:r>
        <w:rPr>
          <w:rStyle w:val="FootnoteAnchor"/>
          <w:rtl w:val="true"/>
        </w:rPr>
        <w:footnoteReference w:id="383"/>
      </w:r>
      <w:r>
        <w:rPr>
          <w:rFonts w:ascii="IRNazanin" w:hAnsi="IRNazanin" w:eastAsia="IRNazanin"/>
          <w:color w:val="111111"/>
          <w:sz w:val="28"/>
          <w:sz w:val="28"/>
          <w:szCs w:val="28"/>
          <w:rtl w:val="true"/>
          <w:lang w:bidi="fa-IR"/>
        </w:rPr>
        <w:t>، و عن ظاهر الذکری و المقاصد العلیّة</w:t>
      </w:r>
      <w:r>
        <w:rPr>
          <w:rStyle w:val="FootnoteAnchor"/>
          <w:rtl w:val="true"/>
        </w:rPr>
        <w:footnoteReference w:id="384"/>
      </w:r>
      <w:r>
        <w:rPr>
          <w:rFonts w:ascii="IRNazanin" w:hAnsi="IRNazanin" w:eastAsia="IRNazanin"/>
          <w:color w:val="111111"/>
          <w:sz w:val="28"/>
          <w:sz w:val="28"/>
          <w:szCs w:val="28"/>
          <w:rtl w:val="true"/>
          <w:lang w:bidi="fa-IR"/>
        </w:rPr>
        <w:t>، بل فی بعض العبائر أنّهم ادّعوا الإجماع علیه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الحجّة المعتضدة بالإجماع المنقول علی جواز رجوع الحائض إلی الزوج العامی؛ مضافا إلی أکثر الوجوه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یلوح من المحقّق ابن إدریس الحلّی فی موضع من السرائر التأمّل فی الاعتماد علی شهادة العدل و العدلین،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للمستفتی أن یرجع إلی قول المفتی دون ما یجده بخطّه، بغیر خلاف من محصّل</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صریح بل و لا ظاهر فی المخالفة؛ و لو سلّم، فلا عبرة بخلافه بعد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هنا و فی الفرع السابق بین أن یکون المستفتی متمکّنا من تحصیل العلم بسهولة، أم لا؛ لإطلاق ما مضی، أو عمومه؛ مضافا إلی خصوص السیرة و الإجماع المدّعی علیه فی کلام بعض الأجلّة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بعض شرّاح الألفیّة اختصاص ذلک بما إذا لم یتمکّن من تحصیل العلم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بعد کما تری و 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الاعتماد علی کتاب المفتی و ما بحکمه؟</w:t>
      </w:r>
    </w:p>
    <w:p>
      <w:pPr>
        <w:pStyle w:val="BookText"/>
        <w:rPr/>
      </w:pP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وفاقا لجماعة من الطائفة؛ لجملة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فرق فی ذلک بین أن یکون بخطّه، أو بخطّ غیره؛ لعموم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حینئذ العلم بصحّة المکتوب، أم لا، بل یکفی الظنّ بها أیضا؟</w:t>
      </w:r>
    </w:p>
    <w:p>
      <w:pPr>
        <w:pStyle w:val="BookText"/>
        <w:rPr/>
      </w:pPr>
      <w:r>
        <w:rPr>
          <w:rFonts w:ascii="IRNazanin" w:hAnsi="IRNazanin" w:eastAsia="IRNazanin"/>
          <w:color w:val="111111"/>
          <w:sz w:val="28"/>
          <w:sz w:val="28"/>
          <w:szCs w:val="28"/>
          <w:rtl w:val="true"/>
          <w:lang w:bidi="fa-IR"/>
        </w:rPr>
        <w:t>وجهان، استقرب ثانیهما السیّد السند العلّامة الاستاد دام ظلّه السامی</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لا یخلو عن وجه؛ لجملة ما مضی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الاعتماد علی الشیاع المفید للظنّ، و کذا علی روایة غیر العدل المفیدة له أیضا، أم لا؟ إشکال و إن نفی البعد عن الأوّل سیّدنا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387"/>
      </w:r>
      <w:r>
        <w:rPr>
          <w:rFonts w:ascii="Amiri" w:hAnsi="Amiri" w:eastAsia="Amiri" w:cs="Amiri"/>
          <w:color w:val="111111"/>
          <w:sz w:val="28"/>
          <w:sz w:val="28"/>
          <w:szCs w:val="28"/>
          <w:rtl w:val="true"/>
          <w:lang w:bidi="ar-SA"/>
        </w:rPr>
        <w:t>، و لعلّة عند التأمّل هو الصواب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أفتی به المفتی من الامور التکلیفیّة و الأحکام الشرعیّة</w:t>
      </w:r>
    </w:p>
    <w:p>
      <w:pPr>
        <w:pStyle w:val="BookText"/>
        <w:rPr/>
      </w:pPr>
      <w:r>
        <w:rPr>
          <w:rFonts w:ascii="IRNazanin" w:hAnsi="IRNazanin" w:eastAsia="IRNazanin"/>
          <w:color w:val="111111"/>
          <w:sz w:val="28"/>
          <w:sz w:val="28"/>
          <w:szCs w:val="28"/>
          <w:rtl w:val="true"/>
          <w:lang w:bidi="fa-IR"/>
        </w:rPr>
        <w:t>العملیّة النظریّة التی باب العلم بتحصیل الواقع منها منسدّ غالبا و لو بالإضافة إلی المستفتی، فلو لم یکن منها لما صحّ التقلید و العمل بفتواه قولا واحدا فتوی و دلیلا، من الاصول، و العمومات، و غیرها ممّا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من المطالب الشرعیّة المتعلّقة باصول الخمسة الدینیّة، أو باصول الفقه، أو بالضروریّات الشرعیّة الدینیّة أو المذهبیّة، أو من المطالب المتعلّقة بموضوعات الأحکام، من اللغة و النحو و الصرف و المعانی و الکلام و غیرها، أو بموضوعاتها الخارجیّة، أو بغیرها من الامور العرفیّة أو العقلیّة؛ بلا خلاف أجده فی ذلک فتوی و دلیلا؛ فتفطّن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المستفتی و المقلّد عامیّا صرفا و من بحکمه، فلا یجوز و لا یصحّ للمجتهد الجامع للشرائط بعد اجتهاده المعتبر العمل بقول هذا المفتی و فتواه، و لا تکون حجّة فی حقّه، بلا خلاف، بل علیه الإجماع، کما فی صریح النهایة و المنیة و موضع من المفاتیح و موضع من إحکام الآمدی و عن الرسالة المنسوبة إلی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تقلید المیّت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الاتّفاق کما فی صریح التمهید و مواضع من کلام بعض الأعاظم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من المفاتیح و الإحکام</w:t>
      </w:r>
      <w:r>
        <w:rPr>
          <w:rStyle w:val="FootnoteAnchor"/>
          <w:rtl w:val="true"/>
        </w:rPr>
        <w:footnoteReference w:id="390"/>
      </w:r>
      <w:r>
        <w:rPr>
          <w:rFonts w:ascii="IRNazanin" w:hAnsi="IRNazanin" w:eastAsia="IRNazanin"/>
          <w:color w:val="111111"/>
          <w:sz w:val="28"/>
          <w:sz w:val="28"/>
          <w:szCs w:val="28"/>
          <w:rtl w:val="true"/>
          <w:lang w:bidi="fa-IR"/>
        </w:rPr>
        <w:t>، و عن شرح المختصر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الحجّة المعتضدة بالإجماع علی عدم وجوب التقلید علیه کما عن صریح النهایة و الإحکام و غیرهما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الإجماع المحصّل و المنقول و غیره من الأدلّة الدالّة علی وجوب العمل علیه بما أدی إلیه اجتهاده</w:t>
      </w:r>
      <w:r>
        <w:rPr>
          <w:rFonts w:eastAsia="IRNazanin" w:cs="IRNazanin"/>
          <w:color w:val="111111"/>
          <w:sz w:val="28"/>
          <w:szCs w:val="28"/>
          <w:rtl w:val="true"/>
          <w:lang w:bidi="fa-IR"/>
        </w:rPr>
        <w:t>.</w:t>
      </w:r>
      <w:bookmarkStart w:id="263" w:name="pg19819_193448"/>
    </w:p>
    <w:p>
      <w:pPr>
        <w:pStyle w:val="BookText"/>
        <w:rPr/>
      </w:pPr>
      <w:bookmarkEnd w:id="263"/>
      <w:r>
        <w:rPr>
          <w:rFonts w:ascii="IRNazanin" w:hAnsi="IRNazanin" w:eastAsia="IRNazanin"/>
          <w:color w:val="111111"/>
          <w:sz w:val="28"/>
          <w:sz w:val="28"/>
          <w:szCs w:val="28"/>
          <w:rtl w:val="true"/>
          <w:lang w:bidi="fa-IR"/>
        </w:rPr>
        <w:t>مضافا إلی الاصول، و العمومات الدالّة علی عدم مشروعیّة التقلید، و عدم حجّیّة 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فهذا ممّا لا إشکال فیه</w:t>
      </w:r>
      <w:r>
        <w:rPr>
          <w:rFonts w:eastAsia="IRNazanin" w:cs="IRNazanin"/>
          <w:color w:val="111111"/>
          <w:sz w:val="28"/>
          <w:szCs w:val="28"/>
          <w:rtl w:val="true"/>
          <w:lang w:bidi="fa-IR"/>
        </w:rPr>
        <w:t>.</w:t>
      </w:r>
    </w:p>
    <w:p>
      <w:pPr>
        <w:pStyle w:val="Heading6"/>
        <w:numPr>
          <w:ilvl w:val="5"/>
          <w:numId w:val="1"/>
        </w:numPr>
        <w:rPr/>
      </w:pPr>
      <w:bookmarkStart w:id="264" w:name="__RefHeading___Toc3055603_2314609296"/>
      <w:bookmarkStart w:id="265" w:name="_Toc105"/>
      <w:bookmarkEnd w:id="264"/>
      <w:r>
        <w:rPr>
          <w:rtl w:val="true"/>
        </w:rPr>
        <w:t>و إنّما الإشکال فی مواضع</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یصحّ لمن بلغ رتبة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بسهولة علی تحصیل الحکم الشرعی بالنظر و الاستدلال علی الوجه المعتبر شرعا و لم یکن متجزّیا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فی المسألة التی لم یجتهد فیها، من غیر ضرورة و لا مانع شرعی عن الاجتهاد، أم لا یجوز و لا یصحّ له التقلید فیها کما لو اجتهد، بل یجب علیه الاجتهاد؟</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و لعلّه لا خلاف فیه بیننا فیما أعلم؛ لجملة من الوجوه المشار إلیها، السلیمة عمّا یصلح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یلوح، بل یظهر من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المیل إلی الأوّل</w:t>
      </w:r>
      <w:r>
        <w:rPr>
          <w:rStyle w:val="FootnoteAnchor"/>
          <w:rtl w:val="true"/>
        </w:rPr>
        <w:footnoteReference w:id="392"/>
      </w:r>
      <w:r>
        <w:rPr>
          <w:rFonts w:ascii="Amiri" w:hAnsi="Amiri" w:eastAsia="Amiri" w:cs="Amiri"/>
          <w:color w:val="111111"/>
          <w:sz w:val="28"/>
          <w:sz w:val="28"/>
          <w:szCs w:val="28"/>
          <w:rtl w:val="true"/>
          <w:lang w:bidi="ar-SA"/>
        </w:rPr>
        <w:t>وفاقا منه لجماعة</w:t>
      </w:r>
      <w:r>
        <w:rPr>
          <w:rStyle w:val="FootnoteAnchor"/>
          <w:rtl w:val="true"/>
        </w:rPr>
        <w:footnoteReference w:id="393"/>
      </w:r>
      <w:r>
        <w:rPr>
          <w:rFonts w:ascii="IRNazanin" w:hAnsi="IRNazanin" w:eastAsia="IRNazanin"/>
          <w:color w:val="111111"/>
          <w:sz w:val="28"/>
          <w:sz w:val="28"/>
          <w:szCs w:val="28"/>
          <w:rtl w:val="true"/>
          <w:lang w:bidi="fa-IR"/>
        </w:rPr>
        <w:t>، مع أنّه لا وجه لهم عدا وجوه قاصرة عن إفادة المدّعی، کما لا یخفی علی من راجع کلماتهم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استدلّ السیّد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بوجوه أخر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Style w:val="FootnoteAnchor"/>
          <w:rtl w:val="true"/>
        </w:rPr>
        <w:footnoteReference w:id="394"/>
      </w:r>
      <w:r>
        <w:rPr>
          <w:rFonts w:ascii="IRNazanin" w:hAnsi="IRNazanin" w:eastAsia="IRNazanin"/>
          <w:color w:val="111111"/>
          <w:sz w:val="28"/>
          <w:sz w:val="28"/>
          <w:szCs w:val="28"/>
          <w:rtl w:val="true"/>
          <w:lang w:bidi="fa-IR"/>
        </w:rPr>
        <w:t>، فإنّ المجتهد المفروض قبل بلوغه رتبة الاجتهاد، کان مقلّدا لغیره فی المسألة التی لم یجتهد فیها و فی المسألة التی اجتهد فیها، و کان ممّن یجوز له العمل بقول الغیر فیهما، فإذا بلغ تلک المرتبة لم یجز له التقلید فیما اجتهد فیها، و بطل حکم الاستصحاب بالنسبة إلیها بالدلیل الأقوی، و أمّا ما لم یجتهد فیها، فلا دلیل علی المنع من التقلید و عدم صحّة العمل بقول الغیر، فیجوز و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له أوّلا، و لا معارض له هنا من الأدلّة الأربعة المعتبرة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إمّا لعدم جریان الاستصحاب؛ لتغیّر الموضوع، أو للشکّ فیه، أو لمعارضته بالمثل، بل الأقوی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لاندفاعه بالعمومات و غیرها ممّا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اقتضائه بهذا التقریر لحجّیّة فتوی المفتی المفروض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یقرّر بما یقتضیها، فحینئذ یندفع بمثل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منع حجّیّة فتواه فی حقّه رأسا حتّی فی ابتداء الأمر، إمّا مطلقا، أو علی بعض الوجوه؛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لک أیضا ما فی العمومات الدالّة علی عدم جواز نقض الیقین إلّا بالیقین علی تقدیر مغایرتها للاستصحاب؛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الحاضرین فی زمن المعصومین علیهم السّلام من العلماء و العوامّ کانوا یعتمدون علی التقلید فی ما لا یفید العلم، و لم یلتزموا بتحصیل العلم فی کلّ مسألة بالرجوع إلی المعصوم علیهم السّلام، مع تمکّنهم منه بسهولة، فجواز ترک الاجتهاد و تحصیل العلم لهم مع تمکّنهم یقتضی جواز ترک الاجتهاد بالنسبة إلی المجتهد المفروض بطریق أولی</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ما لا یخفی من المنع المتوجّه علی کلّ من هذه المقدّمات؛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وجب الاجتهاد علی المجتهد المفروض فی المسائل التی لم یجتهد فیها، و لم یجز له التقلید، لوجب علیه فی 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کعشر سنین أو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الاشتغال بجمیع الامور التی تنافی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الأکل، و الشرب، و النوم، و الجماع، و المصاحبة و العشرة مع العباد، و المسافرة، و المعاملة،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بقدر الضرورة الموجب علیه، و الاشتغال لیلا و نهارا بالاجتهاد، و تأخیر الصلاة و نحوها، من العبادات الموسّعة إلی آخر وقت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التالی باطل فکذا المقدّم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المسائل المحتاج إلیها کثیرة لا تکاد تحصی، فإنّه یحتاج إلی</w:t>
      </w:r>
    </w:p>
    <w:p>
      <w:pPr>
        <w:pStyle w:val="BookText"/>
        <w:rPr/>
      </w:pPr>
      <w:r>
        <w:rPr>
          <w:rFonts w:ascii="IRNazanin" w:hAnsi="IRNazanin" w:eastAsia="IRNazanin"/>
          <w:color w:val="111111"/>
          <w:sz w:val="28"/>
          <w:sz w:val="28"/>
          <w:szCs w:val="28"/>
          <w:rtl w:val="true"/>
          <w:lang w:bidi="fa-IR"/>
        </w:rPr>
        <w:t>معرفة مسائل الوضوء، و الغسل، و التیمّم، و إزالة النجاسة، و الصلاة، و الصوم، و البیع، و نحو ذلک، و معلوم أنّه لا یتمکّن من الاجتهاد فی جمیعها فی یوم أو یومین أو ثلاث، بل لا یتمکّن منه فی عشر سنین، بل و عشرین و ثلاثین سنة، خصوصا بالنسبة إلی صاحب الأذهان الدقیقة، و الأفهام العمیقة، فإذا وجب الاجتهاد و ترک التقلید لزم ما ذکر من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فللعمومات النافیة للعسر و الحرج و الضرر، کالنافیة للتکلیف بما فوق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سیرة علماء الإسلام علی وجوب الاجتهاد علی المجتهد المفروض، و أنّ إجماعهم منعقد علیه، و لذا ما وجدنا أحدا من المکلّفین المتقدّمین و المتأخّرین من مجتهدی الخاصّة و العامّة ضیّق علیه الأمر بعد بلوغه مرتبة الاجتهاد فی شطر من الزمان هذا التضییق، و بترک الاشتغال بجمیع المنافیات، و أخّر العبادات إلی آخر وقتها بهذا السبب، بل تراهم یؤخّرون الاجتهاد بالسفر المباح و الأفعال الغیر الضروریّة، و یسامحون فیه غایة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وجدنا أحدا قدح فیهم و حکم بفسقهم من هذه الجهة، و من أنکر ما ذکرنا فقد أنکر أمرا بدیهیّا، و خالف شیئا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ذلک لو کان واجبا لوردت الأخبار بذلک؛ لتوفّر الدواعی علیه، و مسیس الحاجة إلیه، مع أنّه لم یرد فیه بذلک خبر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الملازمة؛ إذ کثرة المسائل لا تستلزم الاحتیاج إلی جمیعها حال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کثیر من تلک المسائل مختصّ بغیره، کأحکام النساء و الخناثی، و کأکثر مسائل العقود و الإیقاعات و الأحکام، و ککثیر من أحکام العبادات التی لا یحتاج إلیها هذا الشخص فی کثیر من الأوقات و الأحوال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سلّم استلزام کثرتها لکثرة الاحتیاج إلیها، فاستلزامه لوجوب الاجتهاد فی</w:t>
      </w:r>
    </w:p>
    <w:p>
      <w:pPr>
        <w:pStyle w:val="BookText"/>
        <w:rPr/>
      </w:pPr>
      <w:r>
        <w:rPr>
          <w:rFonts w:ascii="IRNazanin" w:hAnsi="IRNazanin" w:eastAsia="IRNazanin"/>
          <w:color w:val="111111"/>
          <w:sz w:val="28"/>
          <w:sz w:val="28"/>
          <w:szCs w:val="28"/>
          <w:rtl w:val="true"/>
          <w:lang w:bidi="fa-IR"/>
        </w:rPr>
        <w:t>جمیعها دفعة ممنوع جدّا، بل المسلّم و الثابت و المفروض إنّما هو وجوب الاجتهاد فی تحصیل ما قدر علیه منها بسهولة بعنوان التدریج، مراعیا للأهمّ فالأهمّ إن کان، و إلّا لزم التکلیف بما فوق الوسع و الطاقة، و من المعلوم الواضح أنّ هذا النوع من الاجتهاد ممکن بسهولة، من دون حرج و مشقّة، و إلّا لزم ارتفاع وجوب الاجتهاد رأسا، بل یلزم السقوط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من المعلوم حینئذ أیضا أنّه لا یستلزم ترک الاشتغال بجمیع ما ینافی الاجتهاد بمثل ما ادّعاه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یستلزم ترکه حال الاجتهاد فی الجملة، و لا محذور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ادّعی من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سلامته عمّا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ینتقض إذا لم یکن هناک مفت آخر یتمکّن من الرجوع إلیه أصلا، حیث یکون ثابتا فیه بعین ما ذکر حرفا بحرف، مع أنّ المفروض تعذّر الرجوع إلیه و التقلید، فکلّ ما هو الجواب للمستدلّ فی هذه الصورة فهو الجواب لنا فی ما نحن فیه؛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المدّعی من الملازمة إنّما یتمّ لو قیل بوجوب الاجتهاد علی سبیل الفور و التضییق بعنوان الإطلاق، و هو کما تری ممنوع جدّا، و إلّا لزم ما ذکر من المحذور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الفوریّة و التضییق أنّ المراد بهما العرفیّان منهما، الممکن اجتماعهما مع الإتیان بسائر الامور المباحة و غیرها مطلقا، أو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المدّعی من الملازمة إنّما یتّجه بالإضافة إلی من لم یجتهد فیما یحتاج إلیه أصلا، و أمّا لو اجتهد فی جمیع ما یحتاج إلیه أو معظمه، فلا یلزم منه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انتقاضه بالمقلّد المکلّف بالتقلید للغیر، المتمکّن من تحصیل جمیع ما یحتاج إلیه من مقلّده، حیث یتّجه حینئذ جمیع ما ذکر من الملازمة أیضا حرفا بحرف، فکلّ ما هو المخلص عن ذلک فیه، فهو المخلص عنه فیما نحن فیه؛ فتدبّر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المدّعاة ممنوعة من وجوه شتّی، خصوصا بعد ملاحظة ما هو الحقّ، من تعلّق الوجوب به بعنوان التدریج؛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بطلان التالی؛ إذ لا وجه له عدا ما اشیر إلیه من الوجوه الأربعة، و شی‌ء منها لا یصلح للدلالة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حرج فی ذلک أصلا بعد 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المفروض إنّما هو صورة التمکّن له من الاجتهاد بسهولة خاصّة، فلا یشمله ما دلّ علی نفی الحرج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سلّمنا الحرج فیه، فکونه بعنوان الإطلاق و الکلّیّة ممنوع، بل المسلّم منه و لو مماشاة إنّما هو فی بعض الصور، فلا بدّ من الاقتصار علیه اقتصارا فیما خالف الأدلّة الدالّة علی وجوب الاجتهاد علیه علی القدر المتیقّن المنفیّ بما دلّ علی نفی الحرج فی الشریعة علی تقدیر سلامته عن المعارض المساوی أو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سلّمنا لزومه بعنوان الإطلاق و الکلّیّة، فکونه أیضا منفیّا فی الشریعة أوّل الدعوی؛ إذ لا دلیل علیه عدا العموم النافی له، و هو معارض بما دلّ من الإجماع و غیره من الأدلّة المعتبرة الآتیة علی وجوب الاجتهاد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الأدلّة المشار إلیها، الدالّة علی عدم جواز التقلید و عدم مشروعیّته و عدم حجّیّة غیر العلم و حرمته، و لا شکّ فی أنّ الراجح مع هذه من وجوه شتّی لا تکاد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انتقاضه بما إذا کان فی التقلید أیضا حرج، و بما إذا لم یکن هناک من یصحّ تقلیده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استلزام 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تمامیّته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إلّا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استلزامه لسقوط وجوب الاجتهاد الثابت بالفرض رأسا؛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ما فی الثانی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الإجماع، و عدم انعقاده بالإضافة إلی محلّ البحث، خصوصا بعد ملاحظة مصیر المعظم إلی الخلاف فی المسألة، و حکایة جمع الشهرة علیه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یتراءی من عملهم و دیدنهم خلفا و سلفا، من عدم التقلید مع القدرة علی الاجتهاد فیها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تصریحهم باختصاص التقلید بالعامی الصرف و من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تصریح جماعة منهم بعدم مشروعیّة التقلید للعامی و من بحکمه أیضا، و لوجوب الاجتهاد عینا</w:t>
      </w:r>
      <w:r>
        <w:rPr>
          <w:rStyle w:val="FootnoteAnchor"/>
          <w:rtl w:val="true"/>
        </w:rPr>
        <w:footnoteReference w:id="397"/>
      </w:r>
      <w:r>
        <w:rPr>
          <w:rFonts w:ascii="IRNazanin" w:hAnsi="IRNazanin" w:eastAsia="IRNazanin"/>
          <w:color w:val="111111"/>
          <w:sz w:val="28"/>
          <w:sz w:val="28"/>
          <w:szCs w:val="28"/>
          <w:rtl w:val="true"/>
          <w:lang w:bidi="fa-IR"/>
        </w:rPr>
        <w:t>، کتصریح اخری بأنّ وظیفة المتجزّئ أیضا عدم جواز التقلید بالإضافة إلی ما أدّی إلیه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الإجماع المنقول عن النهایة و الإحکام و غیرهما علی عدم وجوب التقلید علی المجتهد، مع استلزام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لوجوبه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سیأتی إلیه الإشارة، من الإجماع المحصّل و المنقول و غیره من الأدلّة علی وجوب الاجتهاد علی القادر علیه کفایة أو عینا حسبما یفصّل فی محلّه؛ إذ من المعلوم عدم إمکان الجمع بین الدعویین، فمع ثبوت أحدهما یمتنع الحکم بثبوت الاخری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فهذا الوجه أیضا ممّا لا یصلح للدلالة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یرد علی کلّ من الملازمة و بطلان اللازم من المنع و النقض ما لا یخفی، سیّما بعد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فهذا القول بزعم العبد ضعیف، و لعلّه یأتی أیضا إلی ما یضعّفه الإشارة فیما بعد؛ فترقّب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تعذّر علیه الاجتهاد لفقد سبب من أسبابه، فهل یتعیّن علیه التقلید، أم الاحتیاط، أم یتخیّر بینهما، أم التفصیل بین ما أمکن من الثانی بسهولة، فالثانی، و بین غیره، فالأوّل؟ أوجه و احتمالات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ثم الأخیر، إلّا أن یقوم الإجماع علی الأوّل، فهو المتعیّن؛ غیر أنّ الإجماع ممنوع، فالاحتمال الثالث فیما تمکّن منهما، و الأخیر فیما تمکّن من أحدهما خاصّة لا یخلو من وجه و قوّة، إلّا أن یقوم الإجماع علی عدم وجوب الاحتیاط فیما إذا</w:t>
      </w:r>
    </w:p>
    <w:p>
      <w:pPr>
        <w:pStyle w:val="BookText"/>
        <w:rPr/>
      </w:pPr>
      <w:r>
        <w:rPr>
          <w:rFonts w:ascii="IRNazanin" w:hAnsi="IRNazanin" w:eastAsia="IRNazanin"/>
          <w:color w:val="111111"/>
          <w:sz w:val="28"/>
          <w:sz w:val="28"/>
          <w:szCs w:val="28"/>
          <w:rtl w:val="true"/>
          <w:lang w:bidi="fa-IR"/>
        </w:rPr>
        <w:t>تمکّن من التقلید، فإذن یشکل الثالث، و لکنّه محلّ التأمّل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تعسّر علیه الاجتهاد بما لا یتحمّل عادة، فهل یلحق بما إذا تعذّر مطلقا، أم بما إذا تیسّر بسهولة کذلک، أم التفصیل بین الأشقّ تحمّلا و الأشدّ صعوبة و حرجا؛ فالأوّل، و غیره؛ فالثانی؟</w:t>
      </w:r>
    </w:p>
    <w:p>
      <w:pPr>
        <w:pStyle w:val="BookText"/>
        <w:rPr/>
      </w:pPr>
      <w:r>
        <w:rPr>
          <w:rFonts w:ascii="IRNazanin" w:hAnsi="IRNazanin" w:eastAsia="IRNazanin"/>
          <w:color w:val="111111"/>
          <w:sz w:val="28"/>
          <w:sz w:val="28"/>
          <w:szCs w:val="28"/>
          <w:rtl w:val="true"/>
          <w:lang w:bidi="fa-IR"/>
        </w:rPr>
        <w:t>أوجه و احتمالات، لا یخلو أوّلها عن وجه فی وجه و شی‌ء فی آخر، و لکنّ الاحتیاط ممّا لا ینبغی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حینما قلنا بجواز التقلید له أو تعیّنه علیه، فهل اللازم علیه کسائر المقلّدین مراعاة جمیع الشروط المعتبرة فی حقّ المفتی، الماضی إلیها الإشارة؟</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لمثل ما مرّت إلیه الإشارة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و یصحّ للمتجزّئ فیما أدّی إلیه اجتهاده العمل بما أفتی به المفتی و تقلیده، کما فیما لم یجتهد فیه، فیکون فتواه حجّة فی حقّه أیضا، أم لا، بل یجب علیه العمل بما أدّی إلیه اجتهاده، کالمطلق بالإضافة إلی ما اجتهد، فلا یکون فتواه حجّة کذلک؟</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ما إذا قیل بصحّة اجتهاده فی حقّه و باعتقاده المعتبر شرعا فی حقّه، فالثانی؛ إذ المفروض صحّته فی حقّه و تعیینه علیه باعتقاده، مضافا إلی ما مرّ؛ و بین غیره، فالأوّل، أو غیره ممّا سیأتی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له فیما قلنا بجواز التقلید له أو وجوبه علیه بالإضافة إلی نفسه الإفتاء به لغیره؟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 الإفتاء به لغیره من قبل نفسه، بأن یظهر کونه منه، أو لا یظهر کونه من غیره، فلا؛ لکونه تدلیسا، فیشمله ما دلّ علی حرمته، مضافا إلی عدم ظهور الخلاف فیه؛ و بین ما إذا کان من قبل مفتیه، بأن یروی عنه، فنعم؛ للاصول، و العمومات و غیرها، مضافا إلی ظهور الوفاق علیه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یصحّ للغیر المرویّ له العمل به؟</w:t>
      </w:r>
      <w:bookmarkStart w:id="266" w:name="pg19819_193455"/>
    </w:p>
    <w:p>
      <w:pPr>
        <w:pStyle w:val="BookText"/>
        <w:rPr/>
      </w:pPr>
      <w:bookmarkEnd w:id="266"/>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استکمال جمیع الشروط المعتبرة فی قبول الراوی و المرویّ عنه؛ لوجود المقتضی، و انتفاء المانع بالفرض، و لا مع عدمه؛ لوجود المانع أو عدم المقتضی، کما هو المفروض</w:t>
      </w:r>
      <w:r>
        <w:rPr>
          <w:rFonts w:eastAsia="IRNazanin" w:cs="IRNazanin"/>
          <w:color w:val="111111"/>
          <w:sz w:val="28"/>
          <w:szCs w:val="28"/>
          <w:rtl w:val="true"/>
          <w:lang w:bidi="fa-IR"/>
        </w:rPr>
        <w:t>.</w:t>
      </w:r>
    </w:p>
    <w:p>
      <w:pPr>
        <w:pStyle w:val="Heading5"/>
        <w:numPr>
          <w:ilvl w:val="4"/>
          <w:numId w:val="1"/>
        </w:numPr>
        <w:rPr/>
      </w:pPr>
      <w:bookmarkStart w:id="267" w:name="__RefHeading___Toc3055605_2314609296"/>
      <w:bookmarkStart w:id="268" w:name="_Toc106"/>
      <w:bookmarkEnd w:id="267"/>
      <w:r>
        <w:rPr>
          <w:rtl w:val="true"/>
        </w:rPr>
        <w:t>البحث الثانی فیما یتعلّق بالمفتی من الآداب و نذکره فی ضمن مسائل</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لا یفتی فی حال تغیّر خلقه و شغل قلبه، و حصول ما یمنعه من کمال التأمّل، کغضب، و جوع، و عطش، و خوف، و حزن، و فرح غالب، و نعاس، و ملالة، و مرض مقلق، و حرّ مزعج، و برد مؤلم، و مدافعة الأخبثین، و نحو ذلک، ما لم یتضیّق وجوبه، فإن أفتی فی بعض هذه الأحوال معتقدا أنّه لم یمنعه ذلک عن إدراک الصواب، صحّت فتواه علی کراهة؛ لما فیه من المخاطرة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المنیة</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لعلّه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المفتی أن یبیّن بالجواب بیانا یزیل الإشکال، ثمّ له الاقتصار علی الجواب شفاها، فإن لم یعرف لسان المستفتی کفاه ترجمة عدلین،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الواحد؛ لأنّه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الجواب کتابة و إن کانت علی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 السلف کثیر الهرب من الفتوی فی الرقاع لما یتطرّق إلیها من الاحتمالات، فإنّ لکلّ حرف من لفظ السائل مزیّة فی الجواب، و کثیرا ما شاهدنا سائلا برقعة یکون لفظه مخالفا لما فی رقعته، فنرجع إلی لفظه بعد أن کتبنا له الجواب و نخرق 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 المنیة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لا بأس به و إن کان ما یلوح منه هنا من عدم الاکتفاء بالمترجم العدل الواحد</w:t>
      </w:r>
    </w:p>
    <w:p>
      <w:pPr>
        <w:pStyle w:val="BookText"/>
        <w:rPr/>
      </w:pPr>
      <w:r>
        <w:rPr>
          <w:rFonts w:ascii="IRNazanin" w:hAnsi="IRNazanin" w:eastAsia="IRNazanin"/>
          <w:color w:val="111111"/>
          <w:sz w:val="28"/>
          <w:sz w:val="28"/>
          <w:szCs w:val="28"/>
          <w:rtl w:val="true"/>
          <w:lang w:bidi="fa-IR"/>
        </w:rPr>
        <w:t>لا یخلو عن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عبارته واضحة صحیحة، یعرفها العامّة، و لا یزدریها الخاصّة، و لیحترز من القلاقة و الاستهجان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 المنیة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المسألة تفصیل لا یطلق الجواب، فإنّه خطأ، ثمّ له أن یستفصل السائل إن حضر، و یعید السؤال فی رقعة اخری إن کان السؤال فی رقعة ثمّ یجیب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أولی و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أن یقتصر علی جواب أحد الأقسام إذا علم أنّه الواقع للسائل،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إن کان الأمر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له أن یفصّل الأقسام فی جوابه، و یذکر حکم کلّ قسم، لکن هذا کرهه بعضهم،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یعلّم الناس الفجور بسبب اطّلاعهم علی ما یضرّ من الأقسام و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أیضا فی المنیة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لا بأس به و إن کان الحکم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بعنوان الإطلاق کما نسب إلی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إشکال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الرقعة مسائل، فالأحسن ترتیب الجواب علی ترتیب السؤال، و لو ترک الترتیب مع التنبیه علی متعلّق الجواب فلا بأس، و یکون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تَبْیَضُّ وُجُوهٌ وَ تَسْوَدُّ وُجُوهٌ فَأَمَّا الَّذِینَ اسْوَدَّتْ وُجُوهُهُمْ</w:t>
      </w:r>
      <w:r>
        <w:rPr>
          <w:rStyle w:val="FootnoteAnchor"/>
          <w:rtl w:val="true"/>
        </w:rPr>
        <w:footnoteReference w:id="402"/>
      </w:r>
      <w:r>
        <w:rPr>
          <w:rFonts w:ascii="IRNazanin" w:hAnsi="IRNazanin" w:eastAsia="IRNazanin"/>
          <w:color w:val="111111"/>
          <w:sz w:val="28"/>
          <w:sz w:val="28"/>
          <w:szCs w:val="28"/>
          <w:rtl w:val="true"/>
          <w:lang w:bidi="fa-IR"/>
        </w:rPr>
        <w:t>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أیضا فی المنیة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الأدب کون السؤال بخطّ المفتی، فأمّا بإملائه و تهذیبه فواسع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أیضا فیها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یکتب السؤال علی ما عمله من صورة الواقعة إذا لم یکن فی الرقعة تعرّض له، بل علی ما فی الرقعة، فإن أراد خلافه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الأمر کذا، فجوابه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استحبّوا أن یزید علی ما فی الرقعة ما له تعلّق بها ممّا یحتاج إلیه السائل؛ 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الطهور ماؤه الحلّ میتته</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المستفتی بعید الفهم فلیرفق به، و یصبر علی تفهّم سؤاله و تفهیم جوابه؛ فإنّ ثوابه 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لیتأمّل الرقعة کلمة کلمة تأمّلا شافیا، و لیکن اعتناؤه بآخر الکلام أشدّ، فإنّ السؤال فی آخرها، و قد یتقیّد الجمیع به و یغفل عنه،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 توقّفه فی المسألة السهلة کالصعبة لیعتاده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فیها کلمة مشتبهة، یسأل المستفتی عنها و نقطها و شکلها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وجد لحنا أو خطأ یختلّ المعنی أصلحه، و إن رأی بیاضا فی أثناء سطر أو آخره خطّ علیه أو شغله؛ لأنّه ربما قصد المفتی بالإیذاء، فکتب فی البیاض بعد فتواه ما یفسدها، کما نقل أنّ ذلک وقع لبعض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یقرأها علی حاضریه، ممّن هو أهل لذلک، و یستشیرهم و یباحثهم برفق و إنصاف و إن کانوا دونه و تلامذته؛ للاقتداء بالسلف، و رجاء ظهور ما قد یخفی علیه؛ فإنّ لکلّ خاطر نصیبا من فیض اللّه تعالی، إلّا أن یکون فیها ما یقبح إبداؤه، أو یؤثر السائل کتمانه، أو فی إشاعته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لیکتب الجواب بخطّ واضح و بسط، لا دقیق خاف، و لا غلیظ جاف، و یتوسّط فی سطورها بین توسعتها و تضییقها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 بعضهم أن لا تختلف أقلامه و خطّه؛ خوفا من التزویر، و لأن لا یشتبه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 الجواب أعاد نظره فیه و تأمّله؛ خوفا من اختلال وقع فیه، أو إخلال ببعض المسئول عنه، و یختار أن یکون ذلک قبل کتابة اسمه و ختم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قاله أیضا فیها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هو المبتدی، فالعادة قدیما و حدیثا أن یکتب فی الناحیة الیسری من الرقعة، و لا یکتب فوق البسملة أو نحوه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عند إرادة الإفتاء أن یستعیذ باللّه من الشیطان الرجیم، و یسمّی اللّه تعالی و یحمده، و یصلّی علی النبیّ و آله صلّی اللّه علیه و آله، و یدعو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سُبْحانَکَ لا عِلْمَ لَنا إِلَّا</w:t>
      </w:r>
    </w:p>
    <w:p>
      <w:pPr>
        <w:pStyle w:val="BookText"/>
        <w:rPr/>
      </w:pPr>
      <w:r>
        <w:rPr>
          <w:rFonts w:ascii="Amiri" w:hAnsi="Amiri" w:eastAsia="Amiri" w:cs="Amiri"/>
          <w:color w:val="111111"/>
          <w:sz w:val="28"/>
          <w:sz w:val="28"/>
          <w:szCs w:val="28"/>
          <w:rtl w:val="true"/>
          <w:lang w:bidi="ar-SA"/>
        </w:rPr>
        <w:t>ما عَلَّمْتَنا</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سُلَیْمانَ</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اللهمّ صلّ علی محمّد و آله و صحبه و سائر النبیین و الصالحین، اللهمّ وفّقنی و اهدنی و سدّدنی و اجمع لی بین الصواب و الثواب، و أعذنی من الخطأ و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فی أوّل فتواه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أحسنه الابتداء بالتحمید؛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یقوله بلسانه و یکتبه، ثمّ یختمه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یکتب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قاله أو کتبه فلان بن فلان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فینتسب إلی ما یعرف به من قبیلة أو بلد أو صفة،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یختصر جوابه غالبا، و یکون بحیث یفهمه العامّة فهما جلیّا، حتّی کان بعضهم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أ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أصدق من محمّد بن عبد اللّه،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لعب، و نحوها ممّا ینبغی إراقة دمه، فلا یبادر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الدم، أو</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القتل،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ذا بإقراره أو ببیّنة کان الحکم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سئل عمّن تکلّم بشی‌ء یحتمل الکفر و عدمه،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هذا القائل،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کذا، فالجواب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سئل عمّن قتل أو قلع عینا أو غیرها، احتاط و ذکر شروط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سئل عمّن فعل ما یقتضی تعزیرا ذکر ما یعزّر 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کذا و کذا، لا یزاد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عن میراث، فلیست العادة أن یشترط فی الإرث عدم الرّقّ و الکفر و غیرهما من موانع المیراث، بل المطلق محمول علی ذلک، بخلاف ما إذا اطلق الإخوة و الأخوات و الأعمام و بنیهم، فلا بدّ أن یقول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أبوین، أو أب، أو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المذکورین فی رقعة الاستفتاء من لا یرث، أفصح بسقوطه،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سقط فلان، و إن کان یسقط بحال دون 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فلان فی هذه الحالة، أو نحو ذلک؛ لأن لا یتوهّم أنّه لا یرث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سئل عن إخوة و أخوات و بنین و بنات، فلا ینبغی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الانثیین، فإنّ ذلک قد یشکل علی العامیّ،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یقتسمون الترکة علی کذا و کذا سهما، لکلّ ذکر سهمان و لکلّ انثی سهم مثلا، و لو أتی بلفظ القرآن فلا بأس به أیضا؛ لقلّة خفاء معناه، و إن کان الأوّل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یقول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تقسّم الترکة بعد إخراج ما یجب تقدیمه من وصیّة أو دین إن 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یلصق الجواب بآخر الاستفتاء، و لا یدع فرجة؛ لأن لا یزید السائل شیئا یفسدها، و إذا کان موضع الجواب ملصقا کتب علی موضع الإلصاق، و إذا ضاق الجواب فلا یکتبه فی ورقة اخری، بل فی ظهرها أو حاشیتها، و إذا کتبه فی ظهرها کتبه فی أعلاها، إلّا یبتدئ من أسفلها متّصلا بالاستفتاء فیضیق الموضع، فیتمّم فی</w:t>
      </w:r>
    </w:p>
    <w:p>
      <w:pPr>
        <w:pStyle w:val="BookText"/>
        <w:rPr/>
      </w:pPr>
      <w:r>
        <w:rPr>
          <w:rFonts w:ascii="IRNazanin" w:hAnsi="IRNazanin" w:eastAsia="IRNazanin"/>
          <w:color w:val="111111"/>
          <w:sz w:val="28"/>
          <w:sz w:val="28"/>
          <w:szCs w:val="28"/>
          <w:rtl w:val="true"/>
          <w:lang w:bidi="fa-IR"/>
        </w:rPr>
        <w:t>أسفل ظهرها؛ لیصل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للمفتی أنّ الجواب خلاف غرض المستفتی، و أنّه لا یرضی بکتابه فی ورقته، فلیقتصر علی مشافهته بالجواب، و لیحذر أن یمیل فی فتواه أو خصمه بحیل شرعیّة، فإنّه من أقبح العیوب و أشنع الخلال، و من وجوه المیل أن یکتب فی جوابه ما هو له و یترک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أن یبدأ فی مسائل الدعوی و البیّنات بوجوه المخالص منها، و لا أن یعلم أحدهما به یدفع به حجّة صاحبه، کیلا یتوصّل بذلک إلی إبطال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للمفتی إذا رأی للسائل طریقا ینفعه، و لا یضرّ غیره ضررا بغیر حقّ، أن یرشده إلیه، کمن حلف لا ینفق علی زوجته شهرا حیث ینعقد الیمین،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من صداقها أو قرضا أو بیعا، ثمّ أبرئها منه، و کما حکی أنّ رجلا قال لبعض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حلفت أن أطأ امرأتی فی نهار رمضان، و لا اکفّر و لا أعصی،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المفتی المصلحة أن یفتی العامیّ بما فیه تغلیظ و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لا یعتقد ظاهره، و له فیه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ذلک؛ زجرا و تهدیدا فی مواضع الحاجة، حیث لا یترتّب علیه مفسدة، کما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رجل عن توبة القاتل،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فرأیت فی عینه إرادة القتل، فمنعته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فجاء مسکینا قد قتل، فلم اقنّطه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یجب علیه التوریة فی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توبة له، أی فی حالة إصراره علی الذنب،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یرید القتل،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bookmarkStart w:id="269" w:name="pg19819_193462"/>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یفهم المفتی السؤال أصلا، و لم یحضر صاحب الواقعة،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یزاد فی الشرح لنجیب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أفهم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أن یکتب، فلتکن الکتابة فی محلّ لا یضرّ بحال الرقعة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فهم من السؤال صورة، و هو یحتمل غیرها، فلینصّ علیها فی أوّل جوابه،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قال کذا، أو فعل کذا، و ما أشبه ذلک، فالأمر کذا و کذا، أو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بمنکر أن یذکر المفتی فی فتواه حجّة مختصرة، قریبة من آیة أو حدیث؛ و منعه بعضهم؛ لیفرق بین الفتیا و التصنیف؛ و فصّل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أفتی عامیّا لم یذکر الحجّة، و إن أفتی فقیها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بل قد یحتاج المفتی فی بعض الوقائع إلی أن یشدّد و یبالغ،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إجماع المسلمین،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فی هذا خلافا،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 هذا فقد خالف الواجب و عدل الصواب، أو الإجماع، أو فقد أثم، أو فسق،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ولیّ الأمر أن یأخذ بهذا، لا یهمل الأمر، و ما أشبه هذه الألفاظ، علی حسب ما تقتضیه المصلحة و توجبه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أیضا فیها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Heading5"/>
        <w:numPr>
          <w:ilvl w:val="4"/>
          <w:numId w:val="1"/>
        </w:numPr>
        <w:rPr/>
      </w:pPr>
      <w:bookmarkStart w:id="270" w:name="__RefHeading___Toc3055607_2314609296"/>
      <w:bookmarkStart w:id="271" w:name="_Toc107"/>
      <w:bookmarkEnd w:id="270"/>
      <w:r>
        <w:rPr>
          <w:rtl w:val="true"/>
        </w:rPr>
        <w:t>البحث الثالث فیما یتعلّق به من الأحکام</w:t>
      </w:r>
      <w:bookmarkEnd w:id="271"/>
    </w:p>
    <w:p>
      <w:pPr>
        <w:pStyle w:val="BookText"/>
        <w:rPr/>
      </w:pPr>
      <w:r>
        <w:rPr>
          <w:rFonts w:ascii="IRNazanin" w:hAnsi="IRNazanin" w:eastAsia="IRNazanin"/>
          <w:color w:val="111111"/>
          <w:sz w:val="28"/>
          <w:sz w:val="28"/>
          <w:szCs w:val="28"/>
          <w:rtl w:val="true"/>
          <w:lang w:bidi="fa-IR"/>
        </w:rPr>
        <w:t>و نذکرها فی ضمن مسائل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الإفتاء من الجامع لجمیع الشروط مشروع؛ بالکتاب، و السنّة المعتبرة</w:t>
      </w:r>
    </w:p>
    <w:p>
      <w:pPr>
        <w:pStyle w:val="BookText"/>
        <w:rPr/>
      </w:pPr>
      <w:r>
        <w:rPr>
          <w:rFonts w:ascii="IRNazanin" w:hAnsi="IRNazanin" w:eastAsia="IRNazanin"/>
          <w:color w:val="111111"/>
          <w:sz w:val="28"/>
          <w:sz w:val="28"/>
          <w:szCs w:val="28"/>
          <w:rtl w:val="true"/>
          <w:lang w:bidi="fa-IR"/>
        </w:rPr>
        <w:t>القطعیّة و غیرها، و الإجماع، و العقل و 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واجب؟</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خلاف فیه بین القائلین بمشروعیّة التقلید، کما عن مجمع الفائدة مطلقا</w:t>
      </w:r>
      <w:r>
        <w:rPr>
          <w:rStyle w:val="FootnoteAnchor"/>
          <w:rtl w:val="true"/>
        </w:rPr>
        <w:footnoteReference w:id="427"/>
      </w:r>
      <w:r>
        <w:rPr>
          <w:rFonts w:ascii="IRNazanin" w:hAnsi="IRNazanin" w:eastAsia="IRNazanin"/>
          <w:color w:val="111111"/>
          <w:sz w:val="28"/>
          <w:sz w:val="28"/>
          <w:szCs w:val="28"/>
          <w:rtl w:val="true"/>
          <w:lang w:bidi="fa-IR"/>
        </w:rPr>
        <w:t>، بل علیه الإجماع القاطع، کما فی صریح المفاتیح</w:t>
      </w:r>
      <w:r>
        <w:rPr>
          <w:rStyle w:val="FootnoteAnchor"/>
          <w:rtl w:val="true"/>
        </w:rPr>
        <w:footnoteReference w:id="428"/>
      </w:r>
      <w:r>
        <w:rPr>
          <w:rFonts w:ascii="IRNazanin" w:hAnsi="IRNazanin" w:eastAsia="IRNazanin"/>
          <w:color w:val="111111"/>
          <w:sz w:val="28"/>
          <w:sz w:val="28"/>
          <w:szCs w:val="28"/>
          <w:rtl w:val="true"/>
          <w:lang w:bidi="fa-IR"/>
        </w:rPr>
        <w:t>، و یظهر من کلماتهم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الحجّة، کغیره من الأدلّة القطعیّة و غیرها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واجب عینا، أم کفایة؟</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وفاقا للمعظم، بل و لعلّه لا خلاف فیه بین القائلین بجواز التقلید، و القائلین بوجوب الأمر بالمعروف و النهی عن المنکر کفایة، بل و لعلّه موضع وفاق کذلک، کما صرّح به فی المفاتیح مطلقا</w:t>
      </w:r>
      <w:r>
        <w:rPr>
          <w:rStyle w:val="FootnoteAnchor"/>
          <w:rtl w:val="true"/>
        </w:rPr>
        <w:footnoteReference w:id="430"/>
      </w:r>
      <w:r>
        <w:rPr>
          <w:rFonts w:ascii="IRNazanin" w:hAnsi="IRNazanin" w:eastAsia="IRNazanin"/>
          <w:color w:val="111111"/>
          <w:sz w:val="28"/>
          <w:sz w:val="28"/>
          <w:szCs w:val="28"/>
          <w:rtl w:val="true"/>
          <w:lang w:bidi="fa-IR"/>
        </w:rPr>
        <w:t>، و یظهر من کلام جماعة یأتی إلیهم الإشارة فی جواز التقلید للعامی و من بحکمه و غیرهم من الجماعة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مضافا إلی غیره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وجوب الأمر بالمعروف و النهی عن المنکر</w:t>
      </w:r>
      <w:r>
        <w:rPr>
          <w:rStyle w:val="FootnoteAnchor"/>
          <w:rtl w:val="true"/>
        </w:rPr>
        <w:footnoteReference w:id="431"/>
      </w:r>
      <w:r>
        <w:rPr>
          <w:rFonts w:ascii="IRNazanin" w:hAnsi="IRNazanin" w:eastAsia="IRNazanin"/>
          <w:color w:val="111111"/>
          <w:sz w:val="28"/>
          <w:sz w:val="28"/>
          <w:szCs w:val="28"/>
          <w:rtl w:val="true"/>
          <w:lang w:bidi="fa-IR"/>
        </w:rPr>
        <w:t>بناء علی وجوبهما کفایة، کما هو الحقّ و المختار، و کون الإفتاء أیضا من أفراده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وجوبه عینیّا، لزم عدم وجوب الإفتاء أصلا، و اللازم باطل، فکذا الملزوم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الإفتاء إمّا للمجتهد و المفتی، و إمّا للعامیّ و من بحکمه؛ ضرورة انتفاء الواسطة، و لا سبیل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لما تقدّم و سیأتی من عدم صحّة الفتوی بالإضافة، و وجوب العمل علی هذا المفتی بما أدّی إلیه اجتهاده،</w:t>
      </w:r>
    </w:p>
    <w:p>
      <w:pPr>
        <w:pStyle w:val="BookText"/>
        <w:rPr/>
      </w:pPr>
      <w:r>
        <w:rPr>
          <w:rFonts w:ascii="IRNazanin" w:hAnsi="IRNazanin" w:eastAsia="IRNazanin"/>
          <w:color w:val="111111"/>
          <w:sz w:val="28"/>
          <w:sz w:val="28"/>
          <w:szCs w:val="28"/>
          <w:rtl w:val="true"/>
          <w:lang w:bidi="fa-IR"/>
        </w:rPr>
        <w:t>فیتعیّن أن یکون الإفتاء للعامیّ و من بحکمه، و علی تقدیر العینیّة وجب علی العامیّ و من بحکمه أیضا الإفتاء و الاجتهاد، و معهما لا یجوز له العمل بفتوی الغیر؛ لما قد عرفت، و یلزمه سقوط وجوب الإفتاء رأسا، کما لا یخفی، و هل هذا إلّا الملازمة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یخصّ الوجوب العینی بالمفتین و المجتهدین خاصّة، و هو کما تری؛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المفروض وجوبه بحکم ما مرّت إلیه الإشارة؛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وجوبه عینیّا لزم عدم مشروعیّة التقلید للعامیّ و من بحکمه و وجوب الاجتهاد؛ و اللازم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فظاهرة؛ إذ معنی الوجوب العینی إنّما هو وجوب ذلک علی کلّ واحد من المکلّفین بخصوصه، و عدم سقوطه بوجود من یقوم به الکفایة، و یلزمه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ستقف علیه فی محلّه من الوجوه الکثیرة الدالّة علی مشروعیّة التقلید و عدم وجوب الاجتهاد و الإفتاء عینا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یخصّ الوجوب العینی بالمفتین و المجتهدین خاصّة، دون المستفتین و المقلّدین، فیتّجه منع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کما تری بمکان من الضعف، لا سیّما بعد ملاحظة الأدلّة الآتیة هناک، الدالّة علی عدم وجوبه العینی، خلافا إمّا لمن سیأتی هناک، أو لمن قال بوجوب الأمر بالمعروف و النهی عن المنکر عینا، فالأوّل هو ضعیف فی الغایة، خصوصا بعد ملاحظة ما سیأتی إلیه الإشارة ثمّة؛ فتنبّه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الإفتاء، فکذا یجب کذلک تحصیل مرتبته، کما صرّح به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لا خلاف فیه فیما أعلم؛ للأخبار الکثیرة المتظافرة، أو المتواترة بالمعنی،</w:t>
      </w:r>
    </w:p>
    <w:p>
      <w:pPr>
        <w:pStyle w:val="BookText"/>
        <w:rPr/>
      </w:pPr>
      <w:r>
        <w:rPr>
          <w:rFonts w:ascii="IRNazanin" w:hAnsi="IRNazanin" w:eastAsia="IRNazanin"/>
          <w:color w:val="111111"/>
          <w:sz w:val="28"/>
          <w:sz w:val="28"/>
          <w:szCs w:val="28"/>
          <w:rtl w:val="true"/>
          <w:lang w:bidi="fa-IR"/>
        </w:rPr>
        <w:t>الدالّة علی وجوب طلب العلم، و کونه فریضة علی کلّ مسلم و مسلمة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وجوب مقدّمة الواجب و لو عقلا، و ظواهر بعض الآیات و الأخبار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المفتی الجامع للشرائط فی واحد، و توقّف عمل المقلّد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عبادة أو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فتواه بحیث لولاها لم یتمکّن من الإتیان بذلک العمل اللازم، تعیّن علیه الإفتاء و الجواب عن مسألة، و صار الواجب الکفائی عینیا بالإضافة إلیه، بلا خلاف فیه فیما أعلم؛ لأنّ الواجب الکفائی إنّما یسقط بفعل بعض المکلّفین و بقیام البعض، و إلّا خوطب الجمیع به اتّفاقا</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أثموا بترکه، بلا خلاف ظاهر فیه، فحیث لا یوجد إلّا واحد، فهو المخاطب به علی التعیین، و لا یجوز له الامتناع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المفتی الجامع للشرائط المعتبرة فی الصحّة و الوجوب، و توقّف عمل المقلّد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عبادة أو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الفتوی، وجب علی جمیعهم الإفتاء ما لم یعیّن المستفتی واحدا منهم، بلا خلاف ظاهر أجده فیه؛ لما مرّ، فإذا أقام به بعضهم سقط عن الباقین، بلا خلاف فیه أیضا فتوی و دلیلا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المفتی و لم یتمکّن من الإفتاء إلّا واحد منهم، أو لم یتمکّن المستفتی من الرجوع إلّا إلی واحد منهم، و کان عمله اللازم متوقّفا علی الاستفتاء و العمل بفتواه، تعیّن ذلک علیه، بلا خلاف أجده فیه؛ لما مرّ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المفتی، فرجع المقلّد الواجب علیه التقلید إلی أحدهم خاصّة، مع علمه بوجود الآخر، ففی تعیین الجواب علی المرجوع إلیه، فیکون استفتاء هذا المفتی أیضا سببا لصیرورة الواجب الکفائی عینیّا، و عدمه فتکون الکفایة</w:t>
      </w:r>
    </w:p>
    <w:p>
      <w:pPr>
        <w:pStyle w:val="BookText"/>
        <w:rPr/>
      </w:pPr>
      <w:r>
        <w:rPr>
          <w:rFonts w:ascii="IRNazanin" w:hAnsi="IRNazanin" w:eastAsia="IRNazanin"/>
          <w:color w:val="111111"/>
          <w:sz w:val="28"/>
          <w:sz w:val="28"/>
          <w:szCs w:val="28"/>
          <w:rtl w:val="true"/>
          <w:lang w:bidi="fa-IR"/>
        </w:rPr>
        <w:t>باقیة؟</w:t>
      </w:r>
    </w:p>
    <w:p>
      <w:pPr>
        <w:pStyle w:val="BookText"/>
        <w:rPr/>
      </w:pPr>
      <w:r>
        <w:rPr>
          <w:rFonts w:ascii="IRNazanin" w:hAnsi="IRNazanin" w:eastAsia="IRNazanin"/>
          <w:color w:val="111111"/>
          <w:sz w:val="28"/>
          <w:sz w:val="28"/>
          <w:szCs w:val="28"/>
          <w:rtl w:val="true"/>
          <w:lang w:bidi="fa-IR"/>
        </w:rPr>
        <w:t>قال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المتّجه، إلّا فیما أراد المقلّد هذا المفتی بخصوصه، أو لفقد أعلمیّته أو أورعیّته من غیره، فیحتمل حینئذ قویّا التعیین، کما فیما لو اعتقد انحصار المفتی الجامع للشرائط فیمن استفتی منه، مع عدم انحصاره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بفوریّة هذا الوجوب، أو قیل بأنّ الواجب الکفائی قبل قیام الغیر به إنّما هو عینیّ أو بحکمه، إنّما یفارقه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یخلو عن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هو المتعیّن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وجوب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عینیّا کان أم کفائیّا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کان المحتاج محتاج إلیه فی مقام الاستفتاء و العمل من الوجوب و الحرمة خاصّة، أم لا، بل یشمله و الکراهة و الاستحباب و الإباحة خاصّة، أو یشمل جمیع الأحکام الشرعیّة الفرعیّة، تکلیفیّة کانت أم وضعیّة، عبادة کانت أم معاملة؟</w:t>
      </w:r>
    </w:p>
    <w:p>
      <w:pPr>
        <w:pStyle w:val="BookText"/>
        <w:rPr/>
      </w:pPr>
      <w:r>
        <w:rPr>
          <w:rFonts w:ascii="IRNazanin" w:hAnsi="IRNazanin" w:eastAsia="IRNazanin"/>
          <w:color w:val="111111"/>
          <w:sz w:val="28"/>
          <w:sz w:val="28"/>
          <w:szCs w:val="28"/>
          <w:rtl w:val="true"/>
          <w:lang w:bidi="fa-IR"/>
        </w:rPr>
        <w:t>أوجه 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أخیرها أحوطها، بل و أجودها أیضا؛ لإطلاق ما وقفت علیه من الفتاوی، و عموم کثیر من الأدلّة الآتی إلیها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بالأوّل؛ للأصل المندفع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الوجوب کذلک بما یحتاج إلیه المقلّد، أم لا، بل یشمله و غیرها أیضا، حتّی الامور التی هی وظیفة المجتهد، ککیفیّة قطع الدعوی بین المتخاصمین و نحوها؟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بالأوّل</w:t>
      </w:r>
      <w:r>
        <w:rPr>
          <w:rStyle w:val="FootnoteAnchor"/>
          <w:rtl w:val="true"/>
        </w:rPr>
        <w:footnoteReference w:id="437"/>
      </w:r>
      <w:r>
        <w:rPr>
          <w:rFonts w:ascii="Amiri" w:hAnsi="Amiri" w:eastAsia="Amiri" w:cs="Amiri"/>
          <w:color w:val="111111"/>
          <w:sz w:val="28"/>
          <w:sz w:val="28"/>
          <w:szCs w:val="28"/>
          <w:rtl w:val="true"/>
          <w:lang w:bidi="ar-SA"/>
        </w:rPr>
        <w:t>، و لعلّه</w:t>
      </w:r>
    </w:p>
    <w:p>
      <w:pPr>
        <w:pStyle w:val="BookText"/>
        <w:rPr/>
      </w:pPr>
      <w:r>
        <w:rPr>
          <w:rFonts w:ascii="IRNazanin" w:hAnsi="IRNazanin" w:eastAsia="IRNazanin"/>
          <w:color w:val="111111"/>
          <w:sz w:val="28"/>
          <w:sz w:val="28"/>
          <w:szCs w:val="28"/>
          <w:rtl w:val="true"/>
          <w:lang w:bidi="fa-IR"/>
        </w:rPr>
        <w:t>المعتمد؛ للأصل السلیم هنا عن المعارض، المعتضد بالاستصحاب و العمومات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الوجوب بما إذا علم احتیاج المقلّد المستفتی فی العمل إلیه، فلا یجب الإفتاء فی غیره، أم یشمله و ما إذا ظنّ به أیضا، أم یشمله و ما شکّ فیه أیضا، أم یشمله و ما لم یعلم عدمه أیضا مطلقا؟</w:t>
      </w:r>
    </w:p>
    <w:p>
      <w:pPr>
        <w:pStyle w:val="BookText"/>
        <w:rPr/>
      </w:pPr>
      <w:r>
        <w:rPr>
          <w:rFonts w:ascii="IRNazanin" w:hAnsi="IRNazanin" w:eastAsia="IRNazanin"/>
          <w:color w:val="111111"/>
          <w:sz w:val="28"/>
          <w:sz w:val="28"/>
          <w:szCs w:val="28"/>
          <w:rtl w:val="true"/>
          <w:lang w:bidi="fa-IR"/>
        </w:rPr>
        <w:t>أوجه 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أخیرها أحوطها، و إن کان تعیینه لا یخلو عن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یتمّ العموم بحیث یشتمل الأخیر؛ فیتعیّن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محلّ التأمّل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الوجوب حیثما قلنا به علی سبیل الفور، أم لا، بل مطلق؟</w:t>
      </w:r>
    </w:p>
    <w:p>
      <w:pPr>
        <w:pStyle w:val="BookText"/>
        <w:rPr/>
      </w:pPr>
      <w:r>
        <w:rPr>
          <w:rFonts w:ascii="IRNazanin" w:hAnsi="IRNazanin" w:eastAsia="IRNazanin"/>
          <w:color w:val="111111"/>
          <w:sz w:val="28"/>
          <w:sz w:val="28"/>
          <w:szCs w:val="28"/>
          <w:rtl w:val="true"/>
          <w:lang w:bidi="fa-IR"/>
        </w:rPr>
        <w:t>لم أقف علی من تعرّض له، و لکن لو قیل بدورانه مدار احتیاج المقلّد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بلوغ وقت الحاجة و ضیقه یکون فوریّا، و مع عدمهما یکون مطلقا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الوجوب حیثما قلنا به مشروط بما تمکّن منه بسهولة، فلو زاد علیه الفتوی بما لا یتمکّن منه أصلا، أو مع الحرج و العسر الشدیدین، سقط وجوب الزائد؟</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خلاف أجده فیه؛ للاصول، و العمومات النافیة للتکلیف بما لا یطاق، و للعسر و الحرج فی الشریعة السلیمة عمّا یصلح للمعارضة، فلو اجتمع رقاع بحضرته، فاللازم علیه فیما وجب علیه الإفتاء أن یقدّم الأسبق فالاسبق إن علم الترتیب، و السابق و اللاحق ما لم یرض أصحابها بالخلاف، کما یفعله القاضی فی الخصوم؛ و إن تساووا أو جهل السابق،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امرأة و مسافر شدّ رحله، و یتضرّر بتخلّفه عن الرفقة و نحوهما، إلّا إذا کثروا بحیث یتضرّر غیرهم تضرّرا ظاهرا، فیعود إلی التقدیم بالسبق أو القرعة، ثمّ لا یقدّم أحدا إلّا فی فتیا واحدة</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لا بأس به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الوجوب أیضا مشروط بالأمن من الضرر الذی یسقط به سائر التکالیف علی الإفتاء، کما لو خاف علی نفسه أو ماله الذی یتضرّر بفقده، أو علی أحد المؤمنین، فلا یجب حینئذ الإفتاء مطلقا؟</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وفاقا لصریح جماعة</w:t>
      </w:r>
      <w:r>
        <w:rPr>
          <w:rStyle w:val="FootnoteAnchor"/>
          <w:rtl w:val="true"/>
        </w:rPr>
        <w:footnoteReference w:id="439"/>
      </w:r>
      <w:r>
        <w:rPr>
          <w:rFonts w:ascii="IRNazanin" w:hAnsi="IRNazanin" w:eastAsia="IRNazanin"/>
          <w:color w:val="111111"/>
          <w:sz w:val="28"/>
          <w:sz w:val="28"/>
          <w:szCs w:val="28"/>
          <w:rtl w:val="true"/>
          <w:lang w:bidi="fa-IR"/>
        </w:rPr>
        <w:t>للأصل، أو الاصول، و العمومات النافیة للضرر و الضرار، أو الإضرار فی الشریعة، السلیمة عمّا یصلح للمعارضة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الوجوب مختصّ بالإفتاء بمذهب الحقّ و فی حقّهم، فلا یجب بمذهب أهل الخلاف و فی حقّهم حیثما انجرّ الأمر إلیه؟</w:t>
      </w:r>
    </w:p>
    <w:p>
      <w:pPr>
        <w:pStyle w:val="BookText"/>
        <w:rPr/>
      </w:pPr>
      <w:r>
        <w:rPr>
          <w:rFonts w:ascii="IRNazanin" w:hAnsi="IRNazanin" w:eastAsia="IRNazanin"/>
          <w:color w:val="111111"/>
          <w:sz w:val="28"/>
          <w:sz w:val="28"/>
          <w:szCs w:val="28"/>
          <w:rtl w:val="true"/>
          <w:lang w:bidi="fa-IR"/>
        </w:rPr>
        <w:t>فیه إشکال، خصوصا فیما إذا کان الإفتاء بالقتل بغیر الحقّ فی مذهبنا، و بالحقّ فی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التحقیق بزعم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تمکّن من السکوت أو التجاهل، تعیّن علیه هذا،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خاف علی نفسه أو ماله المتضرّر بفقده فی صورة عدم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علیه؛ للضرورة و التقیّة و غیرهما من الاصول، إلّا فی الصورة المشار إلیها، فلا یجوز له الإفتاء؛ إذ لا تقیّة فی الدماء قولا واحدا فتوی و نصّا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الوجوب مختصّ بما لا حاجة له فی عمله اللازم علیه أو المحتاج إلی حکمه و استنباطه حین السؤال و الاستفتاء، فلا یجب علیه الإفتاء فی هذه الصورة إلّا بعد الفراغ من استنباط الحکم لنفسه؟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وفاقا لظاهر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440"/>
      </w:r>
      <w:r>
        <w:rPr>
          <w:rFonts w:ascii="IRNazanin" w:hAnsi="IRNazanin" w:eastAsia="IRNazanin"/>
          <w:color w:val="111111"/>
          <w:sz w:val="28"/>
          <w:sz w:val="28"/>
          <w:szCs w:val="28"/>
          <w:rtl w:val="true"/>
          <w:lang w:bidi="fa-IR"/>
        </w:rPr>
        <w:t>لتقدّم نفسه علی غیره إلّا فیما إذا کان الحکم المسئول عنه معلوما له و لو حکما غیر محتاج إلی تحصیله و لا یخلّ الإفتاء و الجواب عنه کتحصیله مع احتیاجه إلیه بتحصیله لما احتاج هو إلیه، فحینئذ علیه الإفتاء و تحصیله حیثما احتاج إلیه کذلک؛ لعموم ما 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الوجوب حیثما قلنا به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بالنسبة إلی الطهارة، فیجب من باب المقدّمة تحصیل مقدّماته من غیر عسر و حرج یشقّ تحمّلها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الاجتهاد و تحصیل مقام الإفتاء فیما لم یعلم، أو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کالزکاة بالنسبة إلی النصاب، و الحجّ بالإضافة إلی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إلّا بعد العلم بالحکم؟</w:t>
      </w:r>
    </w:p>
    <w:p>
      <w:pPr>
        <w:pStyle w:val="BookText"/>
        <w:rPr/>
      </w:pPr>
      <w:r>
        <w:rPr>
          <w:rFonts w:ascii="IRNazanin" w:hAnsi="IRNazanin" w:eastAsia="IRNazanin"/>
          <w:color w:val="111111"/>
          <w:sz w:val="28"/>
          <w:sz w:val="28"/>
          <w:szCs w:val="28"/>
          <w:rtl w:val="true"/>
          <w:lang w:bidi="fa-IR"/>
        </w:rPr>
        <w:t>قال سیّدنا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إشکال، و لکنّ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حیث یتمکّن من تحصیل المقدّمات من غیر عسر و لا حرج، بل لا یخلو عن قوّة</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عدّه أحوط و قوّاه هو المعتمد؛ لظواهر کثیر من الآیات و الأخبار الآتیة، الدالّة علی وجوب الإفتاء و الحکم بما أنزل اللّه بقول مطلق، مضافا إلی الاستقراء و الاعتبار و غیرهما، ممّا سیأتی إلیه الإشارة؛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صلح للإفتاء واحد، و لکن جهل الناس و المقلّدون به و لم یعرفوه، وجب علیه و لو من باب المقدّمة الإعلام فیما لو فقد غیره الصالح له و لو باعتقاده، أو اعتقادهم؛ لما دلّ علی وجوب مقدّمة الواجب المطلق عقلا، و فی غیر ذلک إشکال و إن کان الأحوط حینئذ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صلح جماعة للإفتاء، و الحال هذه، فهل یکفی إعلام بعضهم بنفسه؟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حصل الکفایة، و إلّا وجب الإعلام بقدر ما یحصل به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یجب علی المفتی الإفتاء عینا، لو ترک لا لعذر أثم بترکه الواجب علیه، فإن جعلناه کبیرة أو أصرّ علیه فسق و خرج عن أهلیّة الإفتاء؛ لفوات العدالة، و مع هذا لا یسقط عنه الوجوب؛ لقدرته علی تحصیل الشرط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الأصل و العمومات، فإذا تاب و رجعت العدالة وجب علیه الإفتاء و صحّ؛ لوجود المقتضی و فقد المانع، کما هو المفروض</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فیما لو وجب کفایة، کما لو تعذّر المفتی الجامع للشرائط، فبإخلال</w:t>
      </w:r>
    </w:p>
    <w:p>
      <w:pPr>
        <w:pStyle w:val="BookText"/>
        <w:rPr/>
      </w:pPr>
      <w:r>
        <w:rPr>
          <w:rFonts w:ascii="IRNazanin" w:hAnsi="IRNazanin" w:eastAsia="IRNazanin"/>
          <w:color w:val="111111"/>
          <w:sz w:val="28"/>
          <w:sz w:val="28"/>
          <w:szCs w:val="28"/>
          <w:rtl w:val="true"/>
          <w:lang w:bidi="fa-IR"/>
        </w:rPr>
        <w:t>الجمیع کذلک یأثم الجمیع، و یخرج عن أهلیّة الإفتاء إن جعلناه کبیرة أو أصرّ علیه، و مع هذا لا یسقط عنه کذلک؛ لذلک، و إذا تاب و آب العدالة، وجب علیه الإفتاء و صحّ؛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الناحیة مفت، وجب کفایة السعی علی کلّ مکلّف بما یمکنه من تحصیل شرائطه، فإن أخلّوا جمیعا بالسعی، اشترکوا جمیعا فی الإثم و الفسق کما مرّ، و لا یسقط هذا الوجوب عن البعض باشتغال البعض، بل بوصوله إلی المرتبة؛ للأصل؛ و لجواز أن لا یصل المشتغل إلیها بموت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فی سقوط الوجوب ظنّ الوصول؟</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لشیخنا الشهید الثانی فی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إن قلنا بالاکتفاء به فی القیام بفرض الکفایة</w:t>
      </w:r>
      <w:r>
        <w:rPr>
          <w:rStyle w:val="FootnoteAnchor"/>
          <w:rtl w:val="true"/>
        </w:rPr>
        <w:footnoteReference w:id="442"/>
      </w:r>
      <w:r>
        <w:rPr>
          <w:rFonts w:ascii="Amiri" w:hAnsi="Amiri" w:eastAsia="Amiri" w:cs="Amiri"/>
          <w:color w:val="111111"/>
          <w:sz w:val="28"/>
          <w:sz w:val="28"/>
          <w:szCs w:val="28"/>
          <w:rtl w:val="true"/>
          <w:lang w:bidi="ar-SA"/>
        </w:rPr>
        <w:t>للأصل، و عدم العبرة بهذا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ثبت بالظنّ المعتبر الوصول الکافی، أو أوجب عدم اعتبار الظنّ الوصول فی سقوطه الحرج و العسر الشدیدان أو الضرر بما یشقّ تحمّله عادة، احتمل قویّا السقوط حینئذ؛ فتفطّن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الشهید الثانی فی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یفتی بما یتعلّق بألفاظ الأیمان و الأقاریر و الوصایا و نحوها، إلّا من کان من أهل بلد اللافظ، أو خبیرا بمرادهم فی العادة، فتنبّه له فإنّه مهمّ</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جیّد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المفتی الجامع للشرائط رقعة الاستفتاء فیها خطّ من لیس أهلا للفتوی، فلا یفتی معه؛ لأنّ فی ذلک تقریرا منه بمنکر، بل له أن یضرب علیه و إن لم یأذن له صاحب الرقعة، لکن لا یحبسها عنده إلّا بإذنه، و له نهی السائل و زجره و تعریفه قبیح ما فعله، و أنّه کان یجب علیه البحث عن أهل الفتوی؛ و إن رأی اسم من لا یعرفه سأل عنه، فإن لم یعرفه فله الامتناع من الفتوی معه خوفا ممّا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هذا الموضع أن یشار إلی صاحبها بإبدالها، فإن أبی ذلک أجابه شفاها، و لو خاف فتنة من الضرب علی فتیا عادم الأهلیّة و لم یکن خطأ، عدل إلی الامتناع من الفتیا معه، و أمّا إذا کانت خطأ وجب التنبیه علیه، و حرم الامتناع من الإفتاء، تارکا للتنبیه علی خطائها، بل یجب علیه الضرب علیها عند تیسّره، أو الإبدال، و یقطع الرقعة بإذن صاحبها، و إذا تعذّر ذلک و ما یقوم مقامه، کتب جوابه عند ذلک الخطأ، و یحسن أن یعاود للمفتی المذکور بإذن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وجد فتیا الأهل، و هی خلاف ما یراه هو، غیر أنّه لا یقطع بخطائها، فلیقتصر علی کتب جواب نفسه، و لا یتعرّض لفتیا غیره بتخطئة و لا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شیخنا فی المنیة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جیّد، إلّا أنّه قد یشکل فی إطلاق الضرب علیه مع عدم إذن صاحب الرقعة له؛ نظرا إلی عموم ما دلّ علی عدم جواز التصرّف فی مال الغیر بغیر إذنه و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یمنع العموم بحیث یشمل محلّ البحث، أو یخصّص بما دلّ علی وجوب الحکم بما أنزل اللّه</w:t>
      </w:r>
      <w:r>
        <w:rPr>
          <w:rStyle w:val="FootnoteAnchor"/>
          <w:rtl w:val="true"/>
        </w:rPr>
        <w:footnoteReference w:id="445"/>
      </w:r>
      <w:r>
        <w:rPr>
          <w:rFonts w:ascii="IRNazanin" w:hAnsi="IRNazanin" w:eastAsia="IRNazanin"/>
          <w:color w:val="111111"/>
          <w:sz w:val="28"/>
          <w:sz w:val="28"/>
          <w:szCs w:val="28"/>
          <w:rtl w:val="true"/>
          <w:lang w:bidi="fa-IR"/>
        </w:rPr>
        <w:t>، و علی إظهار العالم علمه فیها لو ظهرت البدع</w:t>
      </w:r>
      <w:r>
        <w:rPr>
          <w:rStyle w:val="FootnoteAnchor"/>
          <w:rtl w:val="true"/>
        </w:rPr>
        <w:footnoteReference w:id="446"/>
      </w:r>
      <w:r>
        <w:rPr>
          <w:rFonts w:ascii="IRNazanin" w:hAnsi="IRNazanin" w:eastAsia="IRNazanin"/>
          <w:color w:val="111111"/>
          <w:sz w:val="28"/>
          <w:sz w:val="28"/>
          <w:szCs w:val="28"/>
          <w:rtl w:val="true"/>
          <w:lang w:bidi="fa-IR"/>
        </w:rPr>
        <w:t>، و علی حرمة کتمان ما أنزل اللّه من البیّنات و الهدی</w:t>
      </w:r>
      <w:r>
        <w:rPr>
          <w:rStyle w:val="FootnoteAnchor"/>
          <w:rtl w:val="true"/>
        </w:rPr>
        <w:footnoteReference w:id="447"/>
      </w:r>
      <w:r>
        <w:rPr>
          <w:rFonts w:ascii="IRNazanin" w:hAnsi="IRNazanin" w:eastAsia="IRNazanin"/>
          <w:color w:val="111111"/>
          <w:sz w:val="28"/>
          <w:sz w:val="28"/>
          <w:szCs w:val="28"/>
          <w:rtl w:val="true"/>
          <w:lang w:bidi="fa-IR"/>
        </w:rPr>
        <w:t>، و ما دلّ علی وجوب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یتوقّف؛ لأجل التعارض الواقع بینهما، مع کونهما عامّین من وجه، و یرجع إلی الأصل المقتضی للجواز و الإباحة، فیرتفع الإشکال، و یتّجه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المعتمد أیضا؛ فتفطّن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 فی واقعة علی الوجه المعتبر، فأدّی اجتهاده إلی حکم من الأحکام الشرعیّة، فهل یکفیه هذا الاجتهاد فی عمله و فتواه بها و حکمه ما دام حیّا، أم لا؟</w:t>
      </w:r>
    </w:p>
    <w:p>
      <w:pPr>
        <w:pStyle w:val="BookText"/>
        <w:rPr/>
      </w:pPr>
      <w:r>
        <w:rPr>
          <w:rFonts w:ascii="IRNazanin" w:hAnsi="IRNazanin" w:eastAsia="IRNazanin"/>
          <w:color w:val="111111"/>
          <w:sz w:val="28"/>
          <w:sz w:val="28"/>
          <w:szCs w:val="28"/>
          <w:rtl w:val="true"/>
          <w:lang w:bidi="fa-IR"/>
        </w:rPr>
        <w:t>الذی یقتضیه التحقیق بزعم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للمسألة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الحکم المؤدّی إلیه اجتهاده السابق غیر منسیّ له، مقطوعا به بعد الاجتهاد الأوّل و حال حدوث مثل تلک الواقعة ثانیا و ثالثا فما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و لا إشکال حینئذ فی عدم وجوب الاجتهاد ثانیا، و لا تجدید النظر و تکریره، و صحّة العمل و الفتوی و الحکم به مطلقا، بل علیه الإجماع القاطع</w:t>
      </w:r>
      <w:r>
        <w:rPr>
          <w:rStyle w:val="FootnoteAnchor"/>
          <w:rtl w:val="true"/>
        </w:rPr>
        <w:footnoteReference w:id="448"/>
      </w:r>
      <w:r>
        <w:rPr>
          <w:rFonts w:ascii="IRNazanin" w:hAnsi="IRNazanin" w:eastAsia="IRNazanin"/>
          <w:color w:val="111111"/>
          <w:sz w:val="28"/>
          <w:sz w:val="28"/>
          <w:szCs w:val="28"/>
          <w:rtl w:val="true"/>
          <w:lang w:bidi="fa-IR"/>
        </w:rPr>
        <w:t>، کما لا یخفی علی من مارس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مضافا إلی الاصول، و العمومات الدالّة علی عدم الوجوب و البراءة عن ذلک، و الدالّة علی اعتبار العلم و حجّیّته و لزوم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ذاکرا لسبب القطع، أم لا، و لا بین مضیّ زمان زادت القوّة فیه بکثرة الممارسة و الاطّلاع، و عدمه؛ لعموم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الحکم المؤدّی إلیه اجتهاده السابق مقطوعا بفساده فی اللاحق و حال حدوث مثل تلک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فتوی و دلیلا و لا إشکال فی عدم جواز العمل و الفتوی و الحکم له بما أدّی إلیه اجتهاده السابق، و لا فی عدم صحّته، بل إن کان حکم تلک الواقعة الحادثة حینئذ مقطوعا به بخصوصه و لو حکما، عمل به و أفتی و حکم به قطعا فتوی و دلیلا، و إن لم یکن کذلک، فلا بدّ من الاجتهاد ثانیا و تجدید النظر و تکریره، ثمّ العمل و الفتوی و الحکم بما أدّی إلیه هذا الاجتهاد المعتبر، بلا خلاف فیه فیما أعلم فتوی و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هنا أیضا بین ذکر الدلیل و عدمه، و لا بین مضیّ الوقت المذکور و عدمه؛ لعموم الدلیل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الحکم المؤدّی إلیه الاجتهاد السابق منسیّا له فی حال حدوث مثل تلک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حینئذ، بل و لا خلاف صریحا أیضا فیما أعلم فی وجوب تجدید الاجتهاد و النظر و تکریره حینئذ؛ لأنّه حینئذ کالجاهل، بل عین الجاهل بالحکم، و بحکم من لم یجتهد فیه، فلا بدّ له من الاجتهاد و تحصیل العلم؛ لعموم ما دلّ علیهما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هنا أیضا فی ذلک بین ذکر الدلیل و عدمه، و لا بین مضیّ الوقت المذکور و عدمه، و لا بین حصول القطع أو الظنّ له و لو إجمالا بصحّة ما أدّی الیه اجتهاده السابق أو بفساده، و عدمه؛ لعموم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الحکم المؤدی إلیه الاجتهاد السابق غیر منسیّ له فی هذه الحالة، و لا مقطوع بصحّته و لا بفساده حینئذ، و لکن تعسّر علیه و لو شرعا التجدید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إشکال بل لا خلاف أیضا فی عدم وجوبه علیه و لا فی صحّة العمل و الفتوی و الحکم بمؤدّی الاجتهاد السابق إلّا فیما یستثنی؛ للأصول، و العمومات الدالّة علی عدم الوجوب و الصحّة و غیرها ممّا دلّ علی بطلان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أیضا بین ذکر الدلیل و عدمه، و لا بین مضیّ هذا الوقت و عدمه؛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الحکم المؤدّی إلیه الاجتهاد السابق غیر منسیّ فی هذه الحالة، و لا مقطوع حینئذ بصحّته و لا بفساده، و لکن تعسّر علیه التجدید بما لا یتحمّل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أیضا لا ینبغی الإشکال و الخلاف لا فی عدم وجوبه و لا فی صحّة العمل و الفتوی و الحکم بمؤدّی الاجتهاد السابق، إلّا فیما یستثنی؛ للاصول، و العمومات الدالّة علی عدم الوجوب و الصحّة، و الدالّة علی نفی الحرج و العسر فی الشریعة و غیرها، ممّا ستقف علیه، مع عدم الدلیل علی الوجوب و المنع، عدا ما سیأتی مع الإشارة إلی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هنا أیضا بین ذکر الدلیل و عدمه، و لا بین مضیّ الوقت و عدمه؛ للعموم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الحکم المؤدّی إلیه الاجتهاد السابق غیر منسیّ فی هذه الحالة،</w:t>
      </w:r>
    </w:p>
    <w:p>
      <w:pPr>
        <w:pStyle w:val="BookText"/>
        <w:rPr/>
      </w:pPr>
      <w:r>
        <w:rPr>
          <w:rFonts w:ascii="IRNazanin" w:hAnsi="IRNazanin" w:eastAsia="IRNazanin"/>
          <w:color w:val="111111"/>
          <w:sz w:val="28"/>
          <w:sz w:val="28"/>
          <w:szCs w:val="28"/>
          <w:rtl w:val="true"/>
          <w:lang w:bidi="fa-IR"/>
        </w:rPr>
        <w:t>و لا مقطوعا حینئذ بصحّته و لا بفساده، و أمکن التجدید من دون عسر و مشقّة، و لکن کان ذاکرا لدلیله و قاطعا أو ظانّا بالظنّ المعتبر بصحّته و بانحصار دلیل الحکم فیه، و بسلامته عن المعارض المساوی 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أیضا لا ینبغی أن یکون محلّا للإشکال و الخلاف فی عدم وجوب تجدید الاجتهاد و النظر و تکریره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اللائح من کلام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المنیة</w:t>
      </w:r>
      <w:r>
        <w:rPr>
          <w:rStyle w:val="FootnoteAnchor"/>
          <w:rtl w:val="true"/>
        </w:rPr>
        <w:footnoteReference w:id="449"/>
      </w:r>
      <w:r>
        <w:rPr>
          <w:rFonts w:ascii="IRNazanin" w:hAnsi="IRNazanin" w:eastAsia="IRNazanin"/>
          <w:color w:val="111111"/>
          <w:sz w:val="28"/>
          <w:sz w:val="28"/>
          <w:szCs w:val="28"/>
          <w:rtl w:val="true"/>
          <w:lang w:bidi="fa-IR"/>
        </w:rPr>
        <w:t>أیضا أنّ هذا لیس محلّ الخلاف و إن یأباه ظاهر کلامه فی التمهید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ما کان، فلا یجب علیه حینئذ تجدید الاجتهاد و النظر و تکریره، و یصحّ له العمل و الفتوی و الحکم بما أدّی إلیه الاجتهاد السابق؛ لما ستقف علیه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هنا أیضا بین مضیّ الوقت و عدمه؛ لعموم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الحکم المؤدّی إلیه اجتهاده غیر منسیّ فی هذه الحالة، و لا مقطوع حینئذ بصحّته و لا بفساده، و لکن ذاکرا لدلیله، قاطعا بانحصاره فیه، و لکن ظهر له ما یصیر سببا لتزلزله فی اعتباره و حجّیّته و صحّة الاعتماد علیه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أیضا لا ینبغی الإشکال و الخلاف فی وجوب التجدید و عدم العمل و الفتوی و الحکم بمؤدّی اجتهاده؛ لما مرّ و ستأتی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هنا أیضا بین مضیّ هذا الوقت و عدمه؛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هل اللازم علیه حینئذ تجدید النظر فی أصل المأخذ و الدلیل خاصّة، أم فی الحکم خاصّة، أم فیهما معا؟ أوجه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حینئذ فی لزوم التجدید فی أصل المأخذ و الدلیل، بل و لعلّه لا مجال للإشکال و لا للخلاف فیه أیضا، لکونه حینئذ بحکم الجاهل أو عینه، فإن اجتهد فیه و أدّی اجتهاده إلی عدم اعتباره و عدم حجّیّته،</w:t>
      </w:r>
    </w:p>
    <w:p>
      <w:pPr>
        <w:pStyle w:val="BookText"/>
        <w:rPr/>
      </w:pPr>
      <w:r>
        <w:rPr>
          <w:rFonts w:ascii="IRNazanin" w:hAnsi="IRNazanin" w:eastAsia="IRNazanin"/>
          <w:color w:val="111111"/>
          <w:sz w:val="28"/>
          <w:sz w:val="28"/>
          <w:szCs w:val="28"/>
          <w:rtl w:val="true"/>
          <w:lang w:bidi="fa-IR"/>
        </w:rPr>
        <w:t>فلا إشکال حینئذ فی وجوب التجدید فی الحکم أیضا؛ لمثل 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أدّی اجتهاده إلی اعتباره و حجّیّته، فهل یکفی ذلک، أم لا، بل یجب علیه التجدید فی الحکم أیضا؟</w:t>
      </w:r>
    </w:p>
    <w:p>
      <w:pPr>
        <w:pStyle w:val="BookText"/>
        <w:rPr/>
      </w:pPr>
      <w:r>
        <w:rPr>
          <w:rFonts w:ascii="IRNazanin" w:hAnsi="IRNazanin" w:eastAsia="IRNazanin"/>
          <w:color w:val="111111"/>
          <w:sz w:val="28"/>
          <w:sz w:val="28"/>
          <w:szCs w:val="28"/>
          <w:rtl w:val="true"/>
          <w:lang w:bidi="fa-IR"/>
        </w:rPr>
        <w:t>إشکال، و لکنّ الاحتیاط فی التجدید لولاه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الحکم المؤدّی إلیه اجتهاده غیر منسیّ فی هذه الحالة، و لا مقطوع حینئذ بصحّته و لا بفساده، و أمکن التجدید بسهولة أیضا، و لکن کان ناسیا لدلیله، أو کان ذاکرا له و لکن غیر قاطع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بانحصاره فیه، أو کان قاطعا بانحصاره فیه أیضا، و لکن لم یظهر له ما یصیر سببا لتزلزله فی اعتباره و حجّیّته و صحّة الاعتماد علیه، أو کان قاطعا و لو حکما بصحّته و اعتباره أیضا، و لکن احتمل وجود المعارض المساوی له أو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لم یمض من حین اجتهاده و الفراغ منه زمان أصلا، أو مضی زمان یمتنع أو یستبعد عادة تغیّر الرأی و تفاوت النظر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کساعة أو ساعتین أو یوم أو یومین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مجال للإشکال، بل و لا خلاف أیضا فی عدم وجوب التجدید و العمل و الفتوی و الحکم بمؤدّی اجتهاده؛ لما ستقف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أدائه إلی التعطیل و اختلال أمر الاجتهاد و ارتفاع الأمان و الحرج المنفیّ فی الشریعة؛ فتدبّر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مضی زمان لا یمتنع و لا یستبعد عادة تغیّر الرأی و تفاوت النظر فیه، فهذا بزعم العبد هو الذی ینبغی أن یکون محلّا للخلاف و الإشکال، و اختلفوا فیه علی أقوال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اختاره جماعة منّا و منهم</w:t>
      </w:r>
      <w:r>
        <w:rPr>
          <w:rStyle w:val="FootnoteAnchor"/>
          <w:rtl w:val="true"/>
        </w:rPr>
        <w:footnoteReference w:id="451"/>
      </w:r>
      <w:r>
        <w:rPr>
          <w:rFonts w:ascii="IRNazanin" w:hAnsi="IRNazanin" w:eastAsia="IRNazanin"/>
          <w:color w:val="111111"/>
          <w:sz w:val="28"/>
          <w:sz w:val="28"/>
          <w:szCs w:val="28"/>
          <w:rtl w:val="true"/>
          <w:lang w:bidi="fa-IR"/>
        </w:rPr>
        <w:t>، و عزاه فی بعض العبائر إلی النهایة و التهذیب و غیرهما، و فی آخر إلی المشهور بین الاصولیّین من أصحابنا و العامّة</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IRNazanin" w:hAnsi="IRNazanin" w:eastAsia="IRNazanin"/>
          <w:color w:val="111111"/>
          <w:sz w:val="28"/>
          <w:sz w:val="28"/>
          <w:szCs w:val="28"/>
          <w:rtl w:val="true"/>
          <w:lang w:bidi="fa-IR"/>
        </w:rPr>
        <w:t>یکفی هذا الاجتهاد فی عمله و فتواه و حکمه ما دام حیّا، و لا یجب علیه التجدید و التکریر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عدّه فی بعض العبائر قولا، حیث عزاه إلی القیل</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یکفیه، و یجب علیه التجدید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المنسوب إلی المحقّق فی المعارج، و العمیدی فی منیة اللبیب، و الآمدی فی الإحکام، و الفخر فی المحصول</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 ذاکرا لدلیل الحکم؛ فالأوّل، و غیره؛ فالثانی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اللائح من شیخنا الشهید الثانی فی التمهید مطلقا</w:t>
      </w:r>
      <w:r>
        <w:rPr>
          <w:rStyle w:val="FootnoteAnchor"/>
          <w:rtl w:val="true"/>
        </w:rPr>
        <w:footnoteReference w:id="455"/>
      </w:r>
      <w:r>
        <w:rPr>
          <w:rFonts w:ascii="IRNazanin" w:hAnsi="IRNazanin" w:eastAsia="IRNazanin"/>
          <w:color w:val="111111"/>
          <w:sz w:val="28"/>
          <w:sz w:val="28"/>
          <w:szCs w:val="28"/>
          <w:rtl w:val="true"/>
          <w:lang w:bidi="fa-IR"/>
        </w:rPr>
        <w:t>، و المنیة فی الجملة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خیرة شیخنا البهائی فی الزبدة و المنسوب إلی الفاضل الجواد فی شرحها</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مضیّ زمان زادت فیه القوّة، بکثرة الممارسة و الاطّلاع؛ فالثانی، و غیره؛ فالأوّل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إرجاع هذا القول إلی القول الثانی، فیکون الأقوال فی المسألة فی الحقیقة ثلاثة؛ فتأمّل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و الحقّ و المعتمد بزعم العبد هنا هو القول الأوّل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بالإضافة إلی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فللأصل و الاستصحاب، و العمومات الدالّة علی عدم جواز نقض الیقین إلّا بالیقین، و العمومات الدالّة علی الإباحة، و البراءة عن الوجوب، السلیمة عمّا یصلح للمعارضة، المعتضدة بغیرها من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المعهود من سیرة المسلمین عدم وجوب تجدید النظر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العمومات النافیة للعسر و الحرج فی الشریعة؛ نظرا إلی استلزام القول بوجوب التجدید فی محلّ البحث للحرج و لو بالإضافة إلی جمیع أفراده</w:t>
      </w:r>
      <w:r>
        <w:rPr>
          <w:rStyle w:val="FootnoteAnchor"/>
          <w:rtl w:val="true"/>
        </w:rPr>
        <w:footnoteReference w:id="459"/>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ما ستقف علیه من ذی قبل، من الأدلّة الدالّة علی صحّة الاجتهاد السابق و حجّیّته، و صحّة الاعتماد علیه شرعا، الملزومة لعدم الوجوب هنا، کما لا یخفی، سیّما بعد ملاحظة عدم ظهور القائل بالفرق بین الأمرین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الاجتهاد السابق و حجّیّته و اعتباره شرعا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و إن کان خلاف مقتضی الأصل الأصیل، و العمومات الدالّة علی عدم حجّیّة غیر العلم، و عدم صحّته، و عدم مشروعیّة الاعتماد علیه و الاعتبار به، إلّا أنّ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المندفع به هذا الأصل، و المخصّص به هذه العمومات، الدالّ علی الصحّة المطلقة الملزومة لعدم وجوب التجدید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موجود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المؤدّی إلیه اجتهاده محکوم علیه بعده بلا فصل بالحجّیّة، و بصحّة العمل و الفتوی و الحکم له به حینئذ قطعا فتوی و دلیلا، فلا بدّ من الحکم ببقاء ما ثبت؛ عملا بالاستصحاب حتّی یثبت الرافع الیقینی أو القائم مقامه، و المفروض انتفاؤه؛ إذ لا دلیل علی ارتفاعه، عدا ما مرّت إلیه الإشارة من الأصل الأصیل، و العمومات، و شی‌ء منهما لا یصلح للدلالة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الأصل فلأنّه لا یعارض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به أصالة الفساد و عدم الحجّیّة، و إن ارید به استصحابهما فلاندفاعه بما دلّ علی الصحّة من الإجماع و غیره من الأدلّة، و بعده لا یتّجه الاستصحاب المدّعی، فیکون استصحاب الصحّة سلیما عن هذا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بأنّ 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کالأصل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عدم الصحّة و عدم الحجّیّة، فلا بدّ فی خلافه من الاقتصار علی القدر المتیقّن ثبوت الصحّة و الحجّیّة، و هو غیر محلّ البحث، أمّا هو فیکون مندرجا تحته محکوما علیه بعدم الخروج؛ عملا بالاستصحاب، فیقع التعارض حینئذ بین الاستصحابین، فلا بدّ معه من التوقّف و الرجوع إلی الأصل، و مقتضاه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کما تری، فإنّ مثل هذا الاستصحاب علی اعتباره فی حدّ ذاته لا یصلح للمعارضة مع ذاک، و إلّا لزم بطلان التمسّک بالاستصحاب الثبوتی، و عدم حجّیّته رأسا أو غالبا، و هو خلاف کلمة القائلین بحجّیّة الاستصحاب، و ضدّ طریقتهم و دیدنهم و سیرتهم، بل و ضدّ ما یستفاد من طریقة الشارع و سیرته، کما لا یخفی علی الخبیر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العمومات فلاختصاصها أو تخصیصها بما لم یثبت من غیر العلم دلیل معتبر شرعا علی حجّیّته، و أمّا ما قام علی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کالاستصحاب علی 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یشمله هذه العمومات، و لا یکون داخلا فیها، فیکون الاستصحاب سلیما عن المعارض؛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عدم جواز نقض الیقین إلّا بالیقین، بناء علی مغایرتها للاستصحاب بالتقریب المشار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الآتیة الدالّة علی صحّة العمل و الفتوی و الحکم بما أدّی إلیه اجتهاد المقلّد علی الوجه المعتبر، الشاملة لما نحن فیه، السلیمة عمّا یصلح للمعارضة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به بعض الأعاظم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السند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من العمومات النافیة للعسر و الحرج فی الشریعة</w:t>
      </w:r>
      <w:r>
        <w:rPr>
          <w:rStyle w:val="FootnoteAnchor"/>
          <w:rtl w:val="true"/>
        </w:rPr>
        <w:footnoteReference w:id="46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یصحّ لاشتهر، بل و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التالی باطل،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من الامور العامّة البلوی، و المتوفّر الدواعی علی نقلها، و ما هذا حاله فلا بدّ من اشتهاره و تواتره ما لم یمنع مانع کما هنا علی 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اشتهاره و عدم تواتره کما تری، بل و اشتهار خلافه علی الخبیر بسیرة الفقهاء و المجتهدین و عملهم و دیدنهم؛ لکونه علی الخلاف جدّا؛ فتفطّن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هذا الخلاف بالأحکام الفرعیّة، أم لا، بل یعمّها و غیرها من الأحکام المتعلّقة باصول الفقه أیضا؟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اللائح أو الظاهر من کلام جماعة و إن کان هو الأوّل، حیث خصّوا العنوان بذلک من غیر تعرّض لذکر غیره، إلّا أنّ الإنصاف جریان الکلام فی الجمیع حرفا بحرف؛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اخترنا عدم وجوب التجدید، فهل یجوز ما لم یستلزم الإخلال بواجب فوری أو مضیّق؟</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وفاقا لصریح جماعة</w:t>
      </w:r>
      <w:r>
        <w:rPr>
          <w:rStyle w:val="FootnoteAnchor"/>
          <w:rtl w:val="true"/>
        </w:rPr>
        <w:footnoteReference w:id="461"/>
      </w:r>
      <w:r>
        <w:rPr>
          <w:rFonts w:ascii="IRNazanin" w:hAnsi="IRNazanin" w:eastAsia="IRNazanin"/>
          <w:color w:val="111111"/>
          <w:sz w:val="28"/>
          <w:sz w:val="28"/>
          <w:szCs w:val="28"/>
          <w:rtl w:val="true"/>
          <w:lang w:bidi="fa-IR"/>
        </w:rPr>
        <w:t>، بل و لعلّه لا خلاف فیه بینهم، بل عن صریح النهایة و شرح الجواد علی 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الحجّة، مضافا إلی الأصل أو الاصول، و العمومات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 ثانیا، فإن وافق اجتهاده السابق، فلا کلام کما قیل</w:t>
      </w:r>
      <w:r>
        <w:rPr>
          <w:rStyle w:val="FootnoteAnchor"/>
          <w:rtl w:val="true"/>
        </w:rPr>
        <w:footnoteReference w:id="463"/>
      </w:r>
      <w:r>
        <w:rPr>
          <w:rFonts w:ascii="IRNazanin" w:hAnsi="IRNazanin" w:eastAsia="IRNazanin"/>
          <w:color w:val="111111"/>
          <w:sz w:val="28"/>
          <w:sz w:val="28"/>
          <w:szCs w:val="28"/>
          <w:rtl w:val="true"/>
          <w:lang w:bidi="fa-IR"/>
        </w:rPr>
        <w:t>، و إن خالف و اختار غیر ما اختاره أوّلا، وجب علیه الرجوع إلی الثانی فی عمل نفسه و فتواه و حکمه، کما صرّح به جماعة من غیر خلاف یعرف بینهم</w:t>
      </w:r>
      <w:r>
        <w:rPr>
          <w:rStyle w:val="FootnoteAnchor"/>
          <w:rtl w:val="true"/>
        </w:rPr>
        <w:footnoteReference w:id="464"/>
      </w:r>
      <w:r>
        <w:rPr>
          <w:rFonts w:ascii="IRNazanin" w:hAnsi="IRNazanin" w:eastAsia="IRNazanin"/>
          <w:color w:val="111111"/>
          <w:sz w:val="28"/>
          <w:sz w:val="28"/>
          <w:szCs w:val="28"/>
          <w:rtl w:val="true"/>
          <w:lang w:bidi="fa-IR"/>
        </w:rPr>
        <w:t>، بل و لعلّه علیه الإجماع، کما فی صریح بعض شروح المبادی</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الحجّة، مضافا إلی ما دلّ من الإجماع المحصّل و المنقول و غیره من الأدلّة الآتیة علی حجّیّة ما أدّی إلیه اجتهاده، و کونه حکم اللّه فی حقّه و حقّ مقلّدیه، و لزوم اتّباعه، و العمل و الفتوی و الحکم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بعد تغیّر رأیه إعلام من قلّده و استفتی عنه قبل الرجوع بالرجوع، کما فی التهذیب</w:t>
      </w:r>
      <w:r>
        <w:rPr>
          <w:rStyle w:val="FootnoteAnchor"/>
          <w:rtl w:val="true"/>
        </w:rPr>
        <w:footnoteReference w:id="466"/>
      </w:r>
      <w:r>
        <w:rPr>
          <w:rFonts w:ascii="IRNazanin" w:hAnsi="IRNazanin" w:eastAsia="IRNazanin"/>
          <w:color w:val="111111"/>
          <w:sz w:val="28"/>
          <w:sz w:val="28"/>
          <w:szCs w:val="28"/>
          <w:rtl w:val="true"/>
          <w:lang w:bidi="fa-IR"/>
        </w:rPr>
        <w:t>، و صریح منیة المرید،</w:t>
      </w:r>
      <w:r>
        <w:rPr>
          <w:rStyle w:val="FootnoteAnchor"/>
          <w:rtl w:val="true"/>
        </w:rPr>
        <w:footnoteReference w:id="467"/>
      </w:r>
      <w:r>
        <w:rPr>
          <w:rFonts w:ascii="IRNazanin" w:hAnsi="IRNazanin" w:eastAsia="IRNazanin"/>
          <w:color w:val="111111"/>
          <w:sz w:val="28"/>
          <w:sz w:val="28"/>
          <w:szCs w:val="28"/>
          <w:rtl w:val="true"/>
          <w:lang w:bidi="fa-IR"/>
        </w:rPr>
        <w:t>أم لا، کما عن ظاهر المعارج و منیة اللبیب</w:t>
      </w:r>
      <w:r>
        <w:rPr>
          <w:rStyle w:val="FootnoteAnchor"/>
          <w:rtl w:val="true"/>
        </w:rPr>
        <w:footnoteReference w:id="468"/>
      </w:r>
      <w:r>
        <w:rPr>
          <w:rFonts w:ascii="IRNazanin" w:hAnsi="IRNazanin" w:eastAsia="IRNazanin"/>
          <w:color w:val="111111"/>
          <w:sz w:val="28"/>
          <w:sz w:val="28"/>
          <w:szCs w:val="28"/>
          <w:rtl w:val="true"/>
          <w:lang w:bidi="fa-IR"/>
        </w:rPr>
        <w:t>، و استقربه السیّد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469"/>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لکن أجودهما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للأصل، و العمومات الدالّة علی الإباحة و البراءة، الدالّة علی نفی الحرج و العسر و الضرر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أفاده السیّد السند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مجده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من السیرة عدم الوجوب؛ لأنّ تجدّد الرأی للأصحاب غیر عزیز، و لم یسمع من أحد منهم أنّه تعرّض للإعلام بالرجوع فی هذه المدّة الطویلة، و من أنّ الإعلام بالرجوع قد یوجب سقوط وقع الاجتهاد عن القلوب، و نفرة طباع العامّة عنه؛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فلیس فی ترک الإعلام ترتّب مضرّة علی المستفتی؛ لأنّه معذور قبل الاطّلاع علی الرجوع، و أعماله من العبادات و المعاملات محکومة علیها بالصحّة حینئذ؛ فتأمّل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بعد تغیّر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 الرأی الأوّل فی کتاب أو رسالة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إبطاله و محوه، أو زیادة التنبیه علی الرجوع، کما عن ظاهر مجمع الفائدة، أم لا، کما عن صریح المفاتیح للسیّد السند العلّامة الاستاد</w:t>
      </w:r>
      <w:r>
        <w:rPr>
          <w:rStyle w:val="FootnoteAnchor"/>
          <w:rtl w:val="true"/>
        </w:rPr>
        <w:footnoteReference w:id="471"/>
      </w:r>
      <w:r>
        <w:rPr>
          <w:rFonts w:ascii="IRNazanin" w:hAnsi="IRNazanin" w:eastAsia="IRNazanin"/>
          <w:color w:val="111111"/>
          <w:sz w:val="28"/>
          <w:sz w:val="28"/>
          <w:szCs w:val="28"/>
          <w:rtl w:val="true"/>
          <w:lang w:bidi="fa-IR"/>
        </w:rPr>
        <w:t>دام ظلّه العالی؟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لکن أجودهما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عملا بالأصل، و العمومات المشار إلیها، السلیمة عن المعارض، المعتضدة بظهور سیرة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المفاتیح</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الالتزام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عدم وجوب التجدید علی المختار بما لو ظنّ فی الحال بصحّة ما اختاره أوّلا و لو إجمالا، أم لا، بل یعمّه و غیره ما لم یعلم و لم یظنّ بالظنّ المعتبر بفساده أو بفساد مبناه؟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لکن أجودهما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وفاقا للسیّد السند الاستاد</w:t>
      </w:r>
      <w:r>
        <w:rPr>
          <w:rStyle w:val="FootnoteAnchor"/>
          <w:rtl w:val="true"/>
        </w:rPr>
        <w:footnoteReference w:id="473"/>
      </w:r>
      <w:r>
        <w:rPr>
          <w:rFonts w:ascii="IRNazanin" w:hAnsi="IRNazanin" w:eastAsia="IRNazanin"/>
          <w:color w:val="111111"/>
          <w:sz w:val="28"/>
          <w:sz w:val="28"/>
          <w:szCs w:val="28"/>
          <w:rtl w:val="true"/>
          <w:lang w:bidi="fa-IR"/>
        </w:rPr>
        <w:t>لعموم الأدلّة الماضیة، المقتضیة لعدم الوجوب، السلیمة عمّا یصلح للمعارضة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عند تغیّر رأیه الحکم بفساد ما أدّی إلیه اجتهاده السابق، و یترتّب أحکام الفاسد علیه، معاملة کانت أم عبادة، أم لا، بل یحکم بصحّته و یستمرّ علیه و إن وجب فی غیره الرجوع إلی الاجتهاد اللاحق و الحکم بالفساد، أو التفصیل؟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الاجتهاد اللاحق قبل العمل و الفتوی و الحکم بمقتضی الاجتهاد اللاحق، حکم بفساده، سواء کان حکما تکلیفیّا أم وضعیّا، عبادة کانت أم معاملة، بلا خلاف ظاهر أجده فیه، بل و لعلّه علیه الإجماع، کما فی صریح کلام بعض الأعاظم من المشایخ طاب ثراه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الحجة، مضافا إلی الأصل، و الأدلّة الدالّة علی صحّة الاجتهاد اللاحق، الملزوم لفاسد ما یقتضیه الاجتهاد السابق، خصوصا مع ملاحظة عدم ترتّب آثاره قبل الاجتهاد اللاحق علیه، کما هو المفروض، و بعده أیضا لا بدّ من الحکم بعدم ترتّبها علیه، و یلزمه الفساد، کما لا یخفی؛ إذ لا یراد بالفساد إلّا عدم ترتّب الأثر، کما لا یراد بالصحّة إلّا ترتّبه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الدلیل علی صحّة ما أدّی إلیه الاجتهاد اللاحق بعد السابق، عدا استصحاب صحّته الظاهریّة المندفعة بما دلّ علی فساده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474"/>
      </w:r>
      <w:r>
        <w:rPr>
          <w:rFonts w:ascii="IRNazanin" w:hAnsi="IRNazanin" w:eastAsia="IRNazanin"/>
          <w:color w:val="111111"/>
          <w:sz w:val="28"/>
          <w:sz w:val="28"/>
          <w:szCs w:val="28"/>
          <w:rtl w:val="true"/>
          <w:lang w:bidi="fa-IR"/>
        </w:rPr>
        <w:t>إن کان بعد العمل و الفتوی و الحکم به، فأمّا بالإضافة إلی الحکم التکلیفی من الوجوب و الحرمة و الاستحباب و الکراهة و الإباحة الذی هو مقتضی الاجتهاد السابق، فالحقّ المعتمد حینئذ عدم الحکم بالفساد، بل الحکم بعدمه، بلا إشکال فیه، بل و لعلّه لا خلاف فیه؛ للأدلّة الدالّة علیه حینئذ، السلیمة بالفرض عمّا یصلح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الدلیل الدالّ علی فساده بهذا المعنی، عدا ما دلّ علی فساد الاجتهاد السابق بعد اللاحق، و هو أیضا کما تری لا یصلح للدلالة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حکمه الوضعی، من الصحّة و البطلان و الجزئیّة و الرکنیّة و الشرطیّة و السببیّة و المانعیّة و آثارها المترتّبة علیها و عدم ترتّبها، فالحقّ المعتمد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بالاجتهاد اللاحق بطلان السابق بحسب الواقع، و أنّه لم یکن حکما شرعیّا فی نفس الأمر، فالظاهر أنّه یلزمه الحکم بفساد ما هو مقتضی الاجتهاد السابق، و الظاهر أنّه ممّا لا خلاف فیه بین الأصحاب، کما فی صریح المفاتیح</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أنّه لا خلاف فیه بین المخطّئة کافّة، بل و لعلّه علیه الإجماع، کما یلوح أو یظهر من مطاوی کلماتهم فی الفروع، و یستفاد من کلماتهم فی الاصول بل و الفروع أیضا فی بیان بطلان 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منّا، المحصّل و المنقول فی کثیر من العبائر، و هو الحجّة کغیره من الأدلّة الدالّة علی اعتبار العلم و حجّیّته، و لزوم اتّباعه، و الدالّة علی الفساد، کما هو المفروض</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أصالة الفساد و عدم الصحّة و لو فی الجملة، و عدم الدلیل الدالّ علی صحّة ما أدّی إلیه الاجتهاد السابق بعد تغیّر الرأی، عدا استصحاب صحّته الظاهریّة، و هو أیضا کما تری مندفع بما دلّ علی فساده الواقعی، الملزوم لفساده الظاهری أیضا</w:t>
      </w:r>
    </w:p>
    <w:p>
      <w:pPr>
        <w:pStyle w:val="BookText"/>
        <w:rPr/>
      </w:pPr>
      <w:r>
        <w:rPr>
          <w:rFonts w:ascii="IRNazanin" w:hAnsi="IRNazanin" w:eastAsia="IRNazanin"/>
          <w:color w:val="111111"/>
          <w:sz w:val="28"/>
          <w:sz w:val="28"/>
          <w:szCs w:val="28"/>
          <w:rtl w:val="true"/>
          <w:lang w:bidi="fa-IR"/>
        </w:rPr>
        <w:t>جدّا حسبما سنفصّله من ذی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476"/>
      </w:r>
      <w:r>
        <w:rPr>
          <w:rFonts w:ascii="IRNazanin" w:hAnsi="IRNazanin" w:eastAsia="IRNazanin"/>
          <w:color w:val="111111"/>
          <w:sz w:val="28"/>
          <w:sz w:val="28"/>
          <w:szCs w:val="28"/>
          <w:rtl w:val="true"/>
          <w:lang w:bidi="fa-IR"/>
        </w:rPr>
        <w:t>إن لم یحصل العلم بذلک، ففی الحکم فیما اتّصل بالاجتهاد السابق حکم من الحاکم الجامع لشرائط الحکم، بأن یحکم بصحّته فیما کان مقتضاه الصحّة، و بفساده فیما کان مقتضاه الفساد، باستمرار حکمه الصادر عنه المبنیّ علی مقتضی الاجتهاد السابق و عدمه، و نقضه؛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المعتمد هو الأوّل، و لعلّه لا خلاف فیه فیما أعلم، بل و لعلّه علیه الإجماع، کما صرّح به جماعة یأتی إلی ذکرهم الإشارة فی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مضافا إلی غیره من الوجوه الآتیة ثمّة، الدالّة علی عدم جواز نقض حکم الحاکم، و الآتیة عن قریب ممّا دلّ علیه؛ فترقّب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الحاکم و المتحاکمین؛ لعموم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الحکم باستمرار حکم العمل الصادر من المقلّد المبنیّ علی الفتوی بمقتضی الاجتهاد السابق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جماعة، منهم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صریح منیة المرید</w:t>
      </w:r>
      <w:r>
        <w:rPr>
          <w:rStyle w:val="FootnoteAnchor"/>
          <w:rtl w:val="true"/>
        </w:rPr>
        <w:footnoteReference w:id="477"/>
      </w:r>
      <w:r>
        <w:rPr>
          <w:rFonts w:ascii="IRNazanin" w:hAnsi="IRNazanin" w:eastAsia="IRNazanin"/>
          <w:color w:val="111111"/>
          <w:sz w:val="28"/>
          <w:sz w:val="28"/>
          <w:szCs w:val="28"/>
          <w:rtl w:val="true"/>
          <w:lang w:bidi="fa-IR"/>
        </w:rPr>
        <w:t>، و بعض الأعاظم من سادة المشایخ، و بعض المشایخ من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إلیه السیّد السند العلّامة الاستاد دام ظلّه العالی فی المفاتیح</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و البناء علی مقتضی الاجتهاد اللاحق کذلک، کما فی التهذیب و المنیة</w:t>
      </w:r>
      <w:r>
        <w:rPr>
          <w:rStyle w:val="FootnoteAnchor"/>
          <w:rtl w:val="true"/>
        </w:rPr>
        <w:footnoteReference w:id="479"/>
      </w:r>
      <w:r>
        <w:rPr>
          <w:rFonts w:ascii="IRNazanin" w:hAnsi="IRNazanin" w:eastAsia="IRNazanin"/>
          <w:color w:val="111111"/>
          <w:sz w:val="28"/>
          <w:sz w:val="28"/>
          <w:szCs w:val="28"/>
          <w:rtl w:val="true"/>
          <w:lang w:bidi="fa-IR"/>
        </w:rPr>
        <w:t>، و عن النهایة</w:t>
      </w:r>
      <w:r>
        <w:rPr>
          <w:rStyle w:val="FootnoteAnchor"/>
          <w:rtl w:val="true"/>
        </w:rPr>
        <w:footnoteReference w:id="480"/>
      </w:r>
      <w:r>
        <w:rPr>
          <w:rFonts w:ascii="IRNazanin" w:hAnsi="IRNazanin" w:eastAsia="IRNazanin"/>
          <w:color w:val="111111"/>
          <w:sz w:val="28"/>
          <w:sz w:val="28"/>
          <w:szCs w:val="28"/>
          <w:rtl w:val="true"/>
          <w:lang w:bidi="fa-IR"/>
        </w:rPr>
        <w:t>، و عزّی أیضا إلی الحاجبی و العضدی و الآمدی من العامّة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بین ما لحقه حکم الحاکم؛ فالأوّل، و غیره؛ فالثانی، کما عزّاه فی بعض العبائر إلی بعضهم، و إمّا بین ما یستلزم دوام الحکم مطلقا، و إمّا لم یظهر مزیل</w:t>
      </w:r>
    </w:p>
    <w:p>
      <w:pPr>
        <w:pStyle w:val="BookText"/>
        <w:rPr/>
      </w:pPr>
      <w:r>
        <w:rPr>
          <w:rFonts w:ascii="IRNazanin" w:hAnsi="IRNazanin" w:eastAsia="IRNazanin"/>
          <w:color w:val="111111"/>
          <w:sz w:val="28"/>
          <w:sz w:val="28"/>
          <w:szCs w:val="28"/>
          <w:rtl w:val="true"/>
          <w:lang w:bidi="fa-IR"/>
        </w:rPr>
        <w:t>شرعیّ من الفتوی؛ فالأوّل، و بین ما لا یستلزمه أصلا؛ فالثانی، کما ربما یلاح من موضع من کلام بعض الأعاظم من المشایخ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أوجه و أقوال، أجودها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لزوم الاستمرار علیه و صحّته قبل الرجوع و الاطّلاع علیه، فیستصحب فیما بعدهما أیضا؛ لعدم ثبوت الرافع الیقینی و لا ما یحکمه له، عدا ما دلّ علی بطلان الاجتهاد السابق و صحّة الاجتهاد اللاحق، و هو کما تری لا یصلح لذلک، فإنّه إن کان المراد أنّه یقتضی فی هذا الحال و بعد الاجتهاد اللاحق بطلان الاجتهاد السابق رأسا و بالإضافة إلی ما بین الاجتهادین أیضا، فهو ممنوع جدّا، خصوصا بعد ما ستقف علیه؛ و إن کان المراد أنّه یقتضی بعده بطلانه فی هذا الحال، فهو مسلّم، إلّا أنّ اللازم منه بطلانه بالإضافة إلی ما یصدر عنه حینئذ، لا بالإضافة إلی ما صدر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الشرعی لمّا کان معروضه عقل المکلّف، فیدور مداره نفیا و إثباتا، فحیثما تحقّق المعروض، تحقّق العارض أیضا بشروطه، و حیثما انتفی، انتفی، و من الواضح أنّ بعد الاجتهاد السابق و قبل الاجتهاد اللاحق إنّما یکون معروض الحکم المؤدّی إلیه الاجتهاد السابق و المستنتج من قیاسه هو الفعل الصادر عن المقلّد ما بین الاجتهادین، و بعد الاجتهاد اللاحق یکون معروض الحکم المؤدّی إلیه هذا الاجتهاد و المستنتج من هذا القیاس إنّما هو الفعل الصادر عنه بعده لا قبله، فیکون الفعل الصادر قبله المعروض لهذا الحکم بالفرض معروضا له بهذا الاجتهاد و القیاس، و لا یکون معروضا للحکم المؤدّی إلیه الاجتهاد اللاحق أصلا، فأین المنافاة و المضادّة؟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دلالته علی الرفع حتّی یندفع به الاستصحاب؟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یتمّ بالإضافة إلی فعل المقلّد، و لکن بالإضافة إلی الأعیان الخارجیّة الموجودة بأشخاصها بعد الاجتهاد اللاحق المحکوم علیها بالطهارة و النجاسة و الحلّیّة و الحرمة، غیر تامّ و لا متّجه؛ إذ مقتضی الاجتهاد اللاحق بالفرض</w:t>
      </w:r>
    </w:p>
    <w:p>
      <w:pPr>
        <w:pStyle w:val="BookText"/>
        <w:rPr/>
      </w:pPr>
      <w:r>
        <w:rPr>
          <w:rFonts w:ascii="IRNazanin" w:hAnsi="IRNazanin" w:eastAsia="IRNazanin"/>
          <w:color w:val="111111"/>
          <w:sz w:val="28"/>
          <w:sz w:val="28"/>
          <w:szCs w:val="28"/>
          <w:rtl w:val="true"/>
          <w:lang w:bidi="fa-IR"/>
        </w:rPr>
        <w:t>إنّما هو طهارة ما ثبت نجاسته و نجاسة ما یلاقیه مع الرطوبة بالاجتهاد السابق، و نجاسة ما ثبت طهارته و ملاقیه بالرطوبة به، و حلّیّة ما ثبت حرمته و حرمة ما ثبت حلّیّته به، و من الواضح أنّ بعد الاجتهاد اللاحق لا بدّ له من معاملة النجاسة مع ما ثبت نجاسته به و طهارته بالاجتهاد السابق، و معاملة الحرمة مع ما ثبت حرمته به مع حلّیّته بالاجتهاد السابق، و هکذا، و یلزمه التناقض و التضادّ بین الحکمین، و ارتفاع ما ثبت الأوّل، فلا یجری الاستصحاب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فإنّ الأعیان الخارجیّة و إن اتّصفت فی الظاهر بهذه الأوصاف و الأحکام، إلّا أنّ اتّصافها بها عند التحقیق لیس بذواتها، بل باعتبار الأفعال المتعلّقة بها، کما تقرّر فی محلّه، ففی الحقیقة موضوعاتها و معروضاتها هی الأفعال، فیتّجه ما قلناه، کما قاله الخصم أیضا، فیتمّ جریان الاستصحاب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هذا المطلب علی ما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الأعیان المفروضة المحکوم علیها بما ذکر بعد الاجتهاد السابق، إمّا أن یکون فعل المکلّف بالإضافة إلیها ملحوظا و متصوّرا، أو یکون غیر ملحوظ و لا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فرض نجاسة شی‌ء کالماء القلیل الملاقی للنجاسة أو طهارته بمقتضی الاجتهاد الأوّل، أو فرض حرمة شی‌ء کأکل العصیر الزبیبی أو حلّیّته بمقتضی هذا الاجتهاد، و فرض أیضا عدم احتیاج المقلّد إلی استعمال هذا الماء و أکل هذا العصیر أصلا، أو فرض عدمهما منه إلی زمان الرجوع بالاجتهاد اللاحق و الاطّلاع علیه، فحینئذ لا شکّ فی خروجه عن محلّ البحث؛ إذ الرجوع هنا إنّما هو قبل العمل بمقتضی السابق، و قد سبق أنّه لا بدّ حینئذ من الحکم بفساد مقتضاه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فرض فی المفروض احتیاج المقلّد إلی الأکل و الاستعمال، فلا یخلو إمّا أن یکون الحکم المتعلّق بهما بمقتضی الاجتهاد السابق هو الحلّ و جواز الاستعمال، و إمّا الحرمة و عدم الجواز</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 المقلّد الأکل و الاستعمال إلی زمان الرجوع بالاجتهاد</w:t>
      </w:r>
    </w:p>
    <w:p>
      <w:pPr>
        <w:pStyle w:val="BookText"/>
        <w:rPr/>
      </w:pPr>
      <w:r>
        <w:rPr>
          <w:rFonts w:ascii="IRNazanin" w:hAnsi="IRNazanin" w:eastAsia="IRNazanin"/>
          <w:color w:val="111111"/>
          <w:sz w:val="28"/>
          <w:sz w:val="28"/>
          <w:szCs w:val="28"/>
          <w:rtl w:val="true"/>
          <w:lang w:bidi="fa-IR"/>
        </w:rPr>
        <w:t>اللاحق و الاطّلاع علیه، إمّا بناء علی مقتضی فتوی المفتی بالحرمة و المنع له، و إمّا من باب البخت و الاتّفاق، فلا شکّ فی خروجه أیضا من محلّ البحث، إمّا لأنّ الرجوع هنا أیضا إنّما یکون قبل العمل بمقتضی الاجتهاد السابق، نظرا إلی کون المراد من العمل ما هو من قبیل الأفعال، لا التروک؛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هذا العمل خارج عن محلّ البحث و النزاع؛ لأنّ التروک تجتمع و تجامع الأفعال، فلا منافاة بینه و بین الرجوع، و لا مضادّة حینئذ بین الاجتهادین و العمل فی الزمانین، کما لا یخفی علی المتأمّل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خالف، ففعل الأکل و الاستعمال، إمّا عالما عامدا مختارا، و إمّا جاهلا أو ناسیا أو غیر مختار إلی زمان الرجوع بالاجتهاد اللاحق و الاطّلاع علیه، ففی دخوله فی محلّ البحث تأمّل و إشکال، خصوصا بعد ملاحظة المخالفة و صدورها عنه لا من باب التقلید، إمّا مطلقا، أو حیثما کانت من باب البخت و الاتّفاق أو باعتقاد عدم التقلید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ضمیمة حکم الحاکم القائل باشتراطها فی صحّة استمرار بعضهم، کما أشیر إلیه، بل احتمال کونه مسألة علی حدة لا ربط لها بمحلّ البحث قویّ، و مع هذا و بالإضافة إلی نفس هذا الفعل و اتّصافه بالمنع و الحرمة حیثما اتّجه بمقتضی الاجتهاد السابق حینئذ لا ینافیه الاجتهاد اللاحق، و اقتضاؤه عدم اتّصافه بهما کاقتضائه لاتّصافه بهما؛ إذ متعلّق الحکم المؤدّی إلیه الاجتهاد اللاحق إنّما هو غیر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بالإضافة إلی ما یترتّب علی هذا الفعل من الأحکام الوضعیّة المترتّبة علیه بمقتضی الاجتهاد السابق حیثما قلنا بترتّبها علیه، قد یشکل الأمر، إمّا من جهة تحقّق التنافی حینئذ بین مقتضی الاجتهادین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 جهة جریان الاستصحاب المدّعی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کما تری یمکن دفع هذا الإشکال بأنّ هذا المخالف بعد المخالفة، لا بدّ أن یکون بالإضافة إلی الأحکام الوضعیّة المترتّبة علی هذا الفعل الصادر عنه أیضا مقلّدا، فإن قلّد بعدها من یصحّ له تقلیده و عمل بمقتضی فتواه من التطهیر و غیره ممّا لا بدّ من الإتیان به، أو عدمه، فلا کلام فی کونه حینئذ بالإضافة إلی ما نقل خارجا عن محلّ</w:t>
      </w:r>
    </w:p>
    <w:p>
      <w:pPr>
        <w:pStyle w:val="BookText"/>
        <w:rPr/>
      </w:pPr>
      <w:r>
        <w:rPr>
          <w:rFonts w:ascii="IRNazanin" w:hAnsi="IRNazanin" w:eastAsia="IRNazanin"/>
          <w:color w:val="111111"/>
          <w:sz w:val="28"/>
          <w:sz w:val="28"/>
          <w:szCs w:val="28"/>
          <w:rtl w:val="true"/>
          <w:lang w:bidi="fa-IR"/>
        </w:rPr>
        <w:t>البحث، لما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یقلّده أصلا إمّا عالما عامدا مختارا، و إمّا جاهلا، و إمّا ناسیا، و إمّا اضطرارا، فهو حینئذ بالإضافة إلی ما لم یفعل أیضا خارج عن محلّ البحث، کما لا یخفی، و داخل إمّا فی مسألة الرجوع قبل العمل، و إمّا فی مسألة اخری علی حدة، و مع الغمض عن هذا أیضا، فاللازم علیه حینئذ إنّما هو البناء علی ترتّب هذه الآثار و الأحکام المفروضة علیه، و لزوم الحکم به بمقتضی الاستصحاب المدّعی؛ لصحّته و سلامته عن المعارض، کما لا یخفی؛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إذا کان مقتضی الاجتهاد السابق هو الحلّ و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 المقلّد الأکل و الاستعمال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باب البخت و الاتّفاق أو الغفلة و الذهول أو التشهّی أو الاحتیاط إلی زمان الرجوع و الاطّلاع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خروجه أیضا عن محلّ البحث، کما لا یخفی، سیّما بعد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أتی بهما ما بین الاجتهادین، فهذا هو المبحوث عنه، و 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الاجتهاد اللاحق إنّما هو المنع و الحرمة و ما یلزمهما و یترتّب علیهما، من الأحکام الوضعیّة بالإضافة إلی الأفعال الصادرة بعد هذا الاجتهاد لا مطلقا، حتّی بالإضافة إلی الأفعال الصادرة قبله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إنّما هو الشکّ فی الشمول و العموم، بحیث یشمل ما قبله أیضا، فیدفع بالأصل و الاستصحاب المقتضیین لعدمهما، فحینئذ یبقی الاستصحاب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لصحّة ما فعل قبله و لزوم الاستمرار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 عن المعارض</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الإتیان بهما حینئذ لا من باب التقلید، بل من باب البخت و الاتّفاق أو الغفلة و الذهول أو محض التشهّی، لاتّجه الإشکال من جهة جریان الاستصحاب المدّعی؛ نظرا إلی عدم تحقّق الحکم بالحلّیّة و الجواز بهذا الفعل، و عدم عروضه له قبل التقلید المعتبر، کما هو المفروض، و لکن یمکن دفعه بنحو ما مرّت إلیه الإشارة جلّ ما قلناه و غیره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حال سائر الأحکام الوضعیّة و سائر الموارد و الوقائع؛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یتمّ علی القول بالتصویب، و أمّا علی القول بالتخطئة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قاطبة الشیعة و معظم العامّة</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إذ صحّة الأفعال مطلقا فی العبادات و المعاملات علی مذهب المخطّئة إنّما تعتبر بالنظر إلی الأحکام الواقعیّة، دون الظاهریّة، و یتفرّع علیه فی المعاملات بطلان المعاملة باختلال بعض الشرائط فی نفس الأمر و إن ظنّ حصولها حال المعاملة، و فی العبادات وجوب الإعادة؛ إذا انکشف فساد الظنّ الذی هو مبنی الحکم الظاهری، و القضاء کذلک إن کان المأمور به ممّا یجب استدراکه شرعا، و لازم ذلک بطلان مقتضی الاجتهاد السابق من رأس بعد الرجوع و الاطّلاع علیه فیما أدّی الاجتهاد اللاحق إلی خلاف مقتضی السابق، و علیه فلا معنی حینئذ للتمسّک بالاستصحاب و إجرائه 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الفساد، فإنّ ما ذکر من مذهب المخطّئة کلمة حقّ ارید بها إثبات باطل، من دعوی استلزامه بطلان مقتضی الاجتهاد السابق رأسا و انکشافه کذلک بعد الاجتهاد اللاحق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هذه الدعوی أوّل الکلام، بل عین المدّعی، غایة ما فی الباب تغایر الحکم المتعلّق بموضوعه بعد الاجتهاد اللاحق، مع الحکم المتعلّق بموضوع قبله و بعد الاجتهاد السابق، و تبدّل هذا الحکم بذاک و تغیّر التکلیف فی الزمانین و الحالین، و أمّا بطلان الحکم الثابت سابقا بالإضافة إلی موضوعه بسبب ذاک الحکم، فلا دلالة له علیه بوجه، ففی الحقیقة هنا انتقال من ظنّ و ظاهر و حکم ظاهری إلی آخر، و سقوط بدل شرعیّ من الحکم الواقعی و قیام بدل شرعیّ آخر مقامه، و ذلک غیر عزیز فی الشرعیّات و الأحکام الظاهریّة، بل الواقعیّة أیضا، کما فی القصر و الإتمام فی السفر و الحضر، و الصوم و الإفطار فی حال الصحّة و المرض المضرّ به،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و لکن هذا الاستصحاب معارض فی بعض المواضع باستصحاب الفساد و عدم الصحّة و عدم حصول الامتثال و بقاء الذمّة، علی ما علیها من الاشتغال، فلا بدّ من التوقّف و الرجوع إلی الأصل، و مقتضاه خلاف مدّعاک، و بضمیمة عدم القائل بالفصل فی المسألة یثبت خلاف مدّعاک مطلقا، و لا یتّجه التمسّک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بیّن الفساد؛ إذ ما ذکره من الاستصحاب لا یقاوم ما ادّعیناه من الاستصحاب؛ لتقدّمه علیه، و رجحانه بالإضافة إلیه، کما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اعتضاده و لو فی الجملة بالاصول الأخر،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اعتضاده أیضا بما ستقف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کونه أخصّ من المدّعی، و استلزامه التفصیل فی المسألة بما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تتمیمه بالضمیمة أیضا کما یمکن بمثل ما ذکر، فکذا یمکن بما یتمّ مذهبنا، کما لا یخفی علی المتأمّل؛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عدم جواز نقض الیقین إلّا بالیقین؛ بناء علی تغایرها مع الاستصحاب، بالتقریب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نفی الحرج و العسر و الضرر فی الشریعة، من الکتاب و السنّة المعتبرة؛ لاستلزام القول بخلاف المختار للحرج و العسر الشدیدین، و الضرر بما لا یتحمّل عادة لو لم نقل باستلزامه للتکلیف بما لا یطاق، کما لا یخلو عن وجه و لو فی الجملة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العملی و التقریری من العلماء، کما أفاده و لو فی الجملة بعض الأعاظم من سادة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لإجماع العلماء فی جمیع الأعصار و الأمصار علی إمضاء القضایا و الأحکام مع تغیّر الاجتهاد أو عروض الشکّ، و عدم الإلزام و الالتزام بإعادة العبادات و قضاء مثل الصوم و الصلاة عند ذلک، إلّا ما یحکی عن العلّامة مذاکرة، من التزام الإعادة و القضاء عند تغیّر الرأی، و لعلّه إن ثبت النقل</w:t>
      </w:r>
    </w:p>
    <w:p>
      <w:pPr>
        <w:pStyle w:val="BookText"/>
        <w:rPr/>
      </w:pPr>
      <w:r>
        <w:rPr>
          <w:rFonts w:ascii="IRNazanin" w:hAnsi="IRNazanin" w:eastAsia="IRNazanin"/>
          <w:color w:val="111111"/>
          <w:sz w:val="28"/>
          <w:sz w:val="28"/>
          <w:szCs w:val="28"/>
          <w:rtl w:val="true"/>
          <w:lang w:bidi="fa-IR"/>
        </w:rPr>
        <w:t>فهو لکمال الاحتیاط و رفع الریب المندوب إزالته، دون أن یکون مذهبا له و رأیا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الْفَسادَ</w:t>
      </w:r>
      <w:r>
        <w:rPr>
          <w:rStyle w:val="FootnoteAnchor"/>
          <w:rtl w:val="true"/>
        </w:rPr>
        <w:footnoteReference w:id="484"/>
      </w:r>
      <w:r>
        <w:rPr>
          <w:rFonts w:ascii="IRNazanin" w:hAnsi="IRNazanin" w:eastAsia="IRNazanin"/>
          <w:color w:val="111111"/>
          <w:sz w:val="28"/>
          <w:sz w:val="28"/>
          <w:szCs w:val="28"/>
          <w:rtl w:val="true"/>
          <w:lang w:bidi="fa-IR"/>
        </w:rPr>
        <w:t>لاستلزامه القول بخلاف المختار للفساد، کما لا یخفی علی اولی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المختار أو یؤیّده أیضا عموم أکثر الوجوه الآتیة الدالّة علی حجّیّة قول المفتی و ما أدّی إلیه اجتهاده و أفتی به، و ما قالوه فی وجه عدم جواز نقض الحکم، من لزوم التسلسل و المنافاة لما هو المصلحة الباعثة علی القضاء، من حفظ النظام عن الاختلال و الهرج و المرج، و غیر ذلک ممّا سیأتی إلیه الإشارة فی محلّه، لجریانه بعینه هنا حرفا بحرف؛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الحکم باستمرار حکم عمله الصادر عنه المبنیّ علی ما أدّی إلیه اجتهاده السابق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بعض السادة من أفاخم العصر، و بعض الأعاظم من مشایخ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اللائح من غیرهما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و البناء بالإضافة إلیه أیضا علی مقتضی ما أدّی إلیه اجتهاده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ظاهر موضع من منیة اللبیب</w:t>
      </w:r>
      <w:r>
        <w:rPr>
          <w:rStyle w:val="FootnoteAnchor"/>
          <w:rtl w:val="true"/>
        </w:rPr>
        <w:footnoteReference w:id="485"/>
      </w:r>
      <w:r>
        <w:rPr>
          <w:rFonts w:ascii="IRNazanin" w:hAnsi="IRNazanin" w:eastAsia="IRNazanin"/>
          <w:color w:val="111111"/>
          <w:sz w:val="28"/>
          <w:sz w:val="28"/>
          <w:szCs w:val="28"/>
          <w:rtl w:val="true"/>
          <w:lang w:bidi="fa-IR"/>
        </w:rPr>
        <w:t>، و عزّاه فی بعض العبائر إلی ظاهر بعضهم، و فی آخر إلی الحاجبی و العضدی من العامّة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التفصیل بین ما لحقه 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الصادر عنه باجتهاده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و غیره؛ فالثانی، کما فی ظاهر التهذیب</w:t>
      </w:r>
      <w:r>
        <w:rPr>
          <w:rStyle w:val="FootnoteAnchor"/>
          <w:rtl w:val="true"/>
        </w:rPr>
        <w:footnoteReference w:id="487"/>
      </w:r>
      <w:r>
        <w:rPr>
          <w:rFonts w:ascii="IRNazanin" w:hAnsi="IRNazanin" w:eastAsia="IRNazanin"/>
          <w:color w:val="111111"/>
          <w:sz w:val="28"/>
          <w:sz w:val="28"/>
          <w:szCs w:val="28"/>
          <w:rtl w:val="true"/>
          <w:lang w:bidi="fa-IR"/>
        </w:rPr>
        <w:t>، و موضع من منیة اللبیب</w:t>
      </w:r>
      <w:r>
        <w:rPr>
          <w:rStyle w:val="FootnoteAnchor"/>
          <w:rtl w:val="true"/>
        </w:rPr>
        <w:footnoteReference w:id="488"/>
      </w:r>
      <w:r>
        <w:rPr>
          <w:rFonts w:ascii="IRNazanin" w:hAnsi="IRNazanin" w:eastAsia="IRNazanin"/>
          <w:color w:val="111111"/>
          <w:sz w:val="28"/>
          <w:sz w:val="28"/>
          <w:szCs w:val="28"/>
          <w:rtl w:val="true"/>
          <w:lang w:bidi="fa-IR"/>
        </w:rPr>
        <w:t>، و صریح المفاتیح</w:t>
      </w:r>
      <w:r>
        <w:rPr>
          <w:rStyle w:val="FootnoteAnchor"/>
          <w:rtl w:val="true"/>
        </w:rPr>
        <w:footnoteReference w:id="489"/>
      </w:r>
      <w:r>
        <w:rPr>
          <w:rFonts w:ascii="IRNazanin" w:hAnsi="IRNazanin" w:eastAsia="IRNazanin"/>
          <w:color w:val="111111"/>
          <w:sz w:val="28"/>
          <w:sz w:val="28"/>
          <w:szCs w:val="28"/>
          <w:rtl w:val="true"/>
          <w:lang w:bidi="fa-IR"/>
        </w:rPr>
        <w:t>، و عزّاه فی بعض العبائر إلی العلّامة منّا فی النهایة</w:t>
      </w:r>
      <w:r>
        <w:rPr>
          <w:rStyle w:val="FootnoteAnchor"/>
          <w:rtl w:val="true"/>
        </w:rPr>
        <w:footnoteReference w:id="4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الحاجبی و العضدی أیضا و البدخشی منهم</w:t>
      </w:r>
      <w:r>
        <w:rPr>
          <w:rStyle w:val="FootnoteAnchor"/>
          <w:rtl w:val="true"/>
        </w:rPr>
        <w:footnoteReference w:id="491"/>
      </w:r>
      <w:r>
        <w:rPr>
          <w:rFonts w:ascii="IRNazanin" w:hAnsi="IRNazanin" w:eastAsia="IRNazanin"/>
          <w:color w:val="111111"/>
          <w:sz w:val="28"/>
          <w:sz w:val="28"/>
          <w:szCs w:val="28"/>
          <w:rtl w:val="true"/>
          <w:lang w:bidi="fa-IR"/>
        </w:rPr>
        <w:t>، و فی آخر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أوجه و أقوال، أجودها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للوجوه السالفة المشار إلیها، المعتضدة بالاتّفاق المنقول عن إحکام الآمدی و المختصر الحاجبی و الشرح العضدی علی الاستمرار فیما لحقه حکم الحاکم</w:t>
      </w:r>
      <w:r>
        <w:rPr>
          <w:rStyle w:val="FootnoteAnchor"/>
          <w:rtl w:val="true"/>
        </w:rPr>
        <w:footnoteReference w:id="492"/>
      </w:r>
      <w:r>
        <w:rPr>
          <w:rFonts w:ascii="IRNazanin" w:hAnsi="IRNazanin" w:eastAsia="IRNazanin"/>
          <w:color w:val="111111"/>
          <w:sz w:val="28"/>
          <w:sz w:val="28"/>
          <w:szCs w:val="28"/>
          <w:rtl w:val="true"/>
          <w:lang w:bidi="fa-IR"/>
        </w:rPr>
        <w:t>، المؤکّدة بما دلّ علی عدم جواز نقض الحکم فیما لحقه حکم الحاکم السلیمة عمّا یصلح للمعارضة؛ إذ لا معارض هنا بالفرض، عدا الإجماع المنقول علی العدم فیما لم یلحقه حکم الحاکم عن العلّامة فی صریح النهایة و السیّد عمید الدین فی ظاهر المنیة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احتجّ علیه العلّامة أیضا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یتّصل حکم الحاکم، لزم مفارقتها إجماعا، و إلّا لکان متلائما لحلّ الاستمتاع بها علی خلاف معتقده، و مرتکبا لما یجزم بتحریمه، و هو خلاف الإجماع</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احتجّ علیه أیضا غیره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ظنّ خطّأه بصواب الاجتهاد الثانی، و العمل بالظنّ واجب</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من هذه الوجوه الثلاثة لا یصلح للدلالة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الإجماع إن ارید المحصّل منه، و هذا المنع واضح لا یخفی، سیّما بعد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المنقول منه، فهو و إن کان مسلّم الثبوت من ناقله، غیر أنّه لا عبرة به؛ لوهنه بما مضی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الغمض عنه، فیعارضه ما هو أقوی منه من وجوه شتّی ممّا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الغمض عنه أیضا، فلا بدّ من الاقتصار علی مورده، و هو ما لو عقد الباکرة لنفسها بدون</w:t>
      </w:r>
    </w:p>
    <w:p>
      <w:pPr>
        <w:pStyle w:val="BookText"/>
        <w:rPr/>
      </w:pPr>
      <w:r>
        <w:rPr>
          <w:rFonts w:ascii="IRNazanin" w:hAnsi="IRNazanin" w:eastAsia="IRNazanin"/>
          <w:color w:val="111111"/>
          <w:sz w:val="28"/>
          <w:sz w:val="28"/>
          <w:szCs w:val="28"/>
          <w:rtl w:val="true"/>
          <w:lang w:bidi="fa-IR"/>
        </w:rPr>
        <w:t>إذن الولیّ، و لم یلحقه حکم الحاکم، ثمّ تجدّد رأیه، و أین هو من العموم المدّعی؟</w:t>
      </w:r>
    </w:p>
    <w:p>
      <w:pPr>
        <w:pStyle w:val="BookText"/>
        <w:rPr/>
      </w:pPr>
      <w:r>
        <w:rPr>
          <w:rFonts w:ascii="IRNazanin" w:hAnsi="IRNazanin" w:eastAsia="IRNazanin"/>
          <w:color w:val="111111"/>
          <w:sz w:val="28"/>
          <w:sz w:val="28"/>
          <w:szCs w:val="28"/>
          <w:rtl w:val="true"/>
          <w:lang w:bidi="fa-IR"/>
        </w:rPr>
        <w:t>و عدم القول بالفصل أیضا باطل؛ لوجوه کما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الاتّفاق المنقول فی بعض العبائر عن ظاهر کلام بعضهم علی العدم أیضا، فیما لو تغیّر رأی المجتهد فی المعاملة التی حلّلها أوّلا، و بنی علیها لنفسه، ثمّ حوّلها علی تقدیر مغایرته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نقل عن النهایة و المنیة من الإجماع أو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صالح للدلالة علی المدّعی، کما لا یخفی، سیّما بعد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و إن کان جازما حقیقة بتحریم ما أحلّ قبل الاجتهاد اللاحق، فبطلان التالی مسلّم، و لکنّ الملازمة ممنوعة؛ إذ الکلام فی غیر صورة الجزم بالاجتهاد اللاحق بخلاف ما أدّی إلیه الاجتهاد الأوّل،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غیر جازم کذلک، بل ظانّا بالظنّ المعتبر، فالملازمة حینئذ لو کانت مسلّمة، فبطلان التالی غیر مسلّم جدّا؛ إذ لا دلیل علیه عدا الإجماع المدّعی، و هو بعد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ادّعی من بطلان التالی هو عین المدّعی، فیکون مصادرة، مع أنّ استدامته لحلّ النکاح و الاستمتاع بها لأجل ما مرّت إلیه الإشارة، لا تنافی کون معتقده خلافه، بالإضافة إلی ما یفعل بعد الاجتهاد اللاحق،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ینافی کونه خلافه بالإضافة إلی ما فعل أیضا إن ثبت و تحقّق، و لکنّه أین و أنّی من ثبوت ذلک؟ بل عدمه بحکم ما مرّت إلیه الإشارة ثابت، و لذا لم یعدّ أحد من الفقهاء هذا أیضا من أسباب انفساخ النکاح و المعاملة و الإیقاع؛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هنا و فی مطاوی الکلمات السالفة، ظهر أیضا ما فی الثالث؛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السادة الأجلّة من أفاخم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أدّی ظنّ المجتهد إلی ترک ما هو واجب فی الواقع، ثمّ ظهر الخطأ و الوقت باق، فإنّه ینبغی القطع بوجوب فعله؛ لوجود المقتضی و انتفاء ما یحصل به الامتثال و لو ظنّا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 إلیه فی الصورة الاولی، هو المعتمد؛ لما ذکره، و لأنّه فی الحقیقة من أفراد الرجوع قبل العمل، و لا اختصاص له بالواجب، بل و یشمله و غیره أیضا، ممّا</w:t>
      </w:r>
    </w:p>
    <w:p>
      <w:pPr>
        <w:pStyle w:val="BookText"/>
        <w:rPr/>
      </w:pPr>
      <w:r>
        <w:rPr>
          <w:rFonts w:ascii="IRNazanin" w:hAnsi="IRNazanin" w:eastAsia="IRNazanin"/>
          <w:color w:val="111111"/>
          <w:sz w:val="28"/>
          <w:sz w:val="28"/>
          <w:szCs w:val="28"/>
          <w:rtl w:val="true"/>
          <w:lang w:bidi="fa-IR"/>
        </w:rPr>
        <w:t>هو من هذا القبیل؛ لما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صار إلیه فی الصورة الثانیة؛ لا یخلو عن إشکال و إن کان أحوط؛ إذ من أتی بالصلاة مجرّدة عن السورة حال اعتقاده صحّتها کذلک، ثمّ تجدّد رأیه و اعتقد بطلانها کذلک و الوقت باق، وجب علیه الإعادة، و هو فرع الدلیل علی وجوب الإعادة فی حقّه مع انتفائه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الأصل السلیم عن المعارض، المعتضد بما عرفته، و فقد الأمر بالإعادة، و امتثال الأمر الظاهری السابق بالفرض الموجب للإجزاء و الصحّة، و لذا ذهب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وجوبها</w:t>
      </w:r>
      <w:r>
        <w:rPr>
          <w:rStyle w:val="FootnoteAnchor"/>
          <w:rtl w:val="true"/>
        </w:rPr>
        <w:footnoteReference w:id="496"/>
      </w:r>
      <w:r>
        <w:rPr>
          <w:rFonts w:ascii="IRNazanin" w:hAnsi="IRNazanin" w:eastAsia="IRNazanin"/>
          <w:color w:val="111111"/>
          <w:sz w:val="28"/>
          <w:sz w:val="28"/>
          <w:szCs w:val="28"/>
          <w:rtl w:val="true"/>
          <w:lang w:bidi="fa-IR"/>
        </w:rPr>
        <w:t>، وفاقا للمولی المحقّق السمی المقدّس فی مجمع الفائدة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یکون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یثبت الدلیل الدالّ علی البدلیّة المطلقة، أو یمنع إطلاق البدلیّة و الدلیل الدالّ علیه، فحینئذ یتّجه ما صار إلیه؛ عملا بأصالة الاشتغال و الاستصحاب و العمومات المانعة عن نقض الیقین إلّا بالیقین علی تقدیر مغایرتها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 الإیقاع المجرّد عن الشرط حال اعتقاد صحّته بدونه، ثمّ تجدّد رأیه و اعتقد صحّته لا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التطهیر من البول مثلا مرّة باعتقاد کونه کذلک مطهّرا، ثمّ تجدّد رأیه و اعتقد عدم حصوله إلّا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فالاحتیاط فی أمثال هذه الموارد ممّا لا ینبغی ترکه، فإنّها بعد لا تصفو عن شوب إشکال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اشکل علی المفتی طریق الواقعة، فهل یجب علیه فی مقام العمل، العمل علی ما یقتضیه الاصول التقیّدیّة العملیّة، کأصالة الفساد، و العدم،</w:t>
      </w:r>
    </w:p>
    <w:p>
      <w:pPr>
        <w:pStyle w:val="BookText"/>
        <w:rPr/>
      </w:pPr>
      <w:r>
        <w:rPr>
          <w:rFonts w:ascii="IRNazanin" w:hAnsi="IRNazanin" w:eastAsia="IRNazanin"/>
          <w:color w:val="111111"/>
          <w:sz w:val="28"/>
          <w:sz w:val="28"/>
          <w:szCs w:val="28"/>
          <w:rtl w:val="true"/>
          <w:lang w:bidi="fa-IR"/>
        </w:rPr>
        <w:t>و أصالة البراءة، و أصالة الإباحة، و أصالة الاشتغال، و أصالة التخییر، و أصالة التسامح، و الاستصحاب، کما صرّح به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498"/>
      </w:r>
      <w:r>
        <w:rPr>
          <w:rFonts w:ascii="IRNazanin" w:hAnsi="IRNazanin" w:eastAsia="IRNazanin"/>
          <w:color w:val="111111"/>
          <w:sz w:val="28"/>
          <w:sz w:val="28"/>
          <w:szCs w:val="28"/>
          <w:rtl w:val="true"/>
          <w:lang w:bidi="fa-IR"/>
        </w:rPr>
        <w:t>، أم لا، بل یجوز له الرجوع إلی الأعلم منه إن کان، کما عن صریح المعارج</w:t>
      </w:r>
      <w:r>
        <w:rPr>
          <w:rStyle w:val="FootnoteAnchor"/>
          <w:rtl w:val="true"/>
        </w:rPr>
        <w:footnoteReference w:id="4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للأصل و الاستصحاب، و العمومات السالفة المانعة عن التقلید، و عدم مشروعیّته، و عدم صحّته، و عدم صحّة الاعتماد علی غیر العلم، السلیمة عمّا یصلح للمعارضة، المعتضدة بما أفاده السیّد السند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ما ذکرنا طریقة الأصحاب کما لا یخفی، و صرّح بذلک بعض محقّقیهم</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مرّت إلیه الإشارة، من عدم جواز التقلید للمجتهد بعد الاجتهاد؛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عدم التمکّن من العمل بمقتضی هذه الاصول أیضا و لم یتمکّن من الاحتیاط أیضا بسهولة، لاتّجه الجواز؛ بناء علی ثبوت التکلیف و عدم سقوطه، و استحالة التکلیف بغیر المقدور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إفتاء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یصحّ للمستفتی العمل به و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قادرا علی الکتابة، فلو استجمع غیر القادر علیها سائر المعتبرة فیه، صحّ إفتاؤه و العمل لغیره بفتواه علی الأصحّ؛ وفاقا لظاهر المعظم، بل لا خلاف فیه فیما أعلم، إلّا من شیخنا الشهید الثانی فی الروضة، فقال بالاشتراط، و أنّه الأشهر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شاهد له، و لا علیها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بما أفاده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أجد أحدا من الفقهاء و الاصولیّین نبّه علی ذلک، بل ظاهرهم 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المعتمد؛ لأصالة بقاء جواز تقلیده فیما إذا عجز عن الکتابة بعد جواز تقلیده، فیثبت مطلقا؛ إذ لا قائل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یعضده العمومات الدالّة</w:t>
      </w:r>
    </w:p>
    <w:p>
      <w:pPr>
        <w:pStyle w:val="BookText"/>
        <w:rPr/>
      </w:pPr>
      <w:r>
        <w:rPr>
          <w:rFonts w:ascii="IRNazanin" w:hAnsi="IRNazanin" w:eastAsia="IRNazanin"/>
          <w:color w:val="111111"/>
          <w:sz w:val="28"/>
          <w:sz w:val="28"/>
          <w:szCs w:val="28"/>
          <w:rtl w:val="true"/>
          <w:lang w:bidi="fa-IR"/>
        </w:rPr>
        <w:t>علی صحّة التقلید و ظهور الاتّفاق علیه أو الشهرة العظیمة</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أیضا فی المفتی و صحّة إفتائه کذلک أن یکون بصیرا، بلا خلاف ظاهر أجده فیه، بل الظاهر أنّه موضع وفاق من الفقهاء و الاصولیّین، کما فی المفاتیح</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الحجّة، مضافا إلی 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یشترط فیه أیضا أن یکون ناطقا قادرا علی التکلّم، فیصحّ إفتاء الأخرس و من بحکمه علی الأصحّ، وفاقا لظاهر المعظم</w:t>
      </w:r>
      <w:r>
        <w:rPr>
          <w:rStyle w:val="FootnoteAnchor"/>
          <w:rtl w:val="true"/>
        </w:rPr>
        <w:footnoteReference w:id="504"/>
      </w:r>
      <w:r>
        <w:rPr>
          <w:rFonts w:ascii="IRNazanin" w:hAnsi="IRNazanin" w:eastAsia="IRNazanin"/>
          <w:color w:val="111111"/>
          <w:sz w:val="28"/>
          <w:sz w:val="28"/>
          <w:szCs w:val="28"/>
          <w:rtl w:val="true"/>
          <w:lang w:bidi="fa-IR"/>
        </w:rPr>
        <w:t>لما مرّت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خلافا لظاهر الروضة فیشترط</w:t>
      </w:r>
      <w:r>
        <w:rPr>
          <w:rStyle w:val="FootnoteAnchor"/>
          <w:rtl w:val="true"/>
        </w:rPr>
        <w:footnoteReference w:id="505"/>
      </w:r>
      <w:r>
        <w:rPr>
          <w:rFonts w:ascii="IRNazanin" w:hAnsi="IRNazanin" w:eastAsia="IRNazanin"/>
          <w:color w:val="111111"/>
          <w:sz w:val="28"/>
          <w:sz w:val="28"/>
          <w:szCs w:val="28"/>
          <w:rtl w:val="true"/>
          <w:lang w:bidi="fa-IR"/>
        </w:rPr>
        <w:t>، و لا وجه له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یشترط فیه السلامة من الصمم، بلا خلاف فیه فیما أعلم؛ لما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فیه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الروضة</w:t>
      </w:r>
      <w:r>
        <w:rPr>
          <w:rStyle w:val="FootnoteAnchor"/>
          <w:rtl w:val="true"/>
        </w:rPr>
        <w:footnoteReference w:id="506"/>
      </w:r>
      <w:r>
        <w:rPr>
          <w:rFonts w:ascii="IRNazanin" w:hAnsi="IRNazanin" w:eastAsia="IRNazanin"/>
          <w:color w:val="111111"/>
          <w:sz w:val="28"/>
          <w:sz w:val="28"/>
          <w:szCs w:val="28"/>
          <w:rtl w:val="true"/>
          <w:lang w:bidi="fa-IR"/>
        </w:rPr>
        <w:t>، و جعله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کما هو ظاهر المعظم؟</w:t>
      </w:r>
    </w:p>
    <w:p>
      <w:pPr>
        <w:pStyle w:val="BookText"/>
        <w:rPr/>
      </w:pPr>
      <w:r>
        <w:rPr>
          <w:rFonts w:ascii="Amiri" w:hAnsi="Amiri" w:eastAsia="Amiri" w:cs="Amiri"/>
          <w:color w:val="111111"/>
          <w:sz w:val="28"/>
          <w:sz w:val="28"/>
          <w:szCs w:val="28"/>
          <w:rtl w:val="true"/>
          <w:lang w:bidi="ar-SA"/>
        </w:rPr>
        <w:t>قولان،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فی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لکنّ 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لما مرّت إلیه الإشارة، مع أنّه لا دلیل علی الاشتراط، عدا الأصل و العمومات المانعة من العمل بغیر العلم، و 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مَمْلُوکاً لا یَقْدِرُ عَلی شَیْ‌ءٍ</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العبد لا تسمع شهادته مطلقا أو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صحّة فتواه أولی، فإنّ الفتوی من المناصب الجلیلة التی لا تلیق بحال العبد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الجمیع نظر لا یخفی علی من أمعن النظر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فیه الضبط و غلبة الحفظ، کما فی الروضة و عن</w:t>
      </w:r>
    </w:p>
    <w:p>
      <w:pPr>
        <w:pStyle w:val="BookText"/>
        <w:rPr/>
      </w:pPr>
      <w:r>
        <w:rPr>
          <w:rFonts w:ascii="IRNazanin" w:hAnsi="IRNazanin" w:eastAsia="IRNazanin"/>
          <w:color w:val="111111"/>
          <w:sz w:val="28"/>
          <w:sz w:val="28"/>
          <w:szCs w:val="28"/>
          <w:rtl w:val="true"/>
          <w:lang w:bidi="fa-IR"/>
        </w:rPr>
        <w:t>الذکری</w:t>
      </w:r>
      <w:r>
        <w:rPr>
          <w:rStyle w:val="FootnoteAnchor"/>
          <w:rtl w:val="true"/>
        </w:rPr>
        <w:footnoteReference w:id="509"/>
      </w:r>
      <w:r>
        <w:rPr>
          <w:rFonts w:ascii="IRNazanin" w:hAnsi="IRNazanin" w:eastAsia="IRNazanin"/>
          <w:color w:val="111111"/>
          <w:sz w:val="28"/>
          <w:sz w:val="28"/>
          <w:szCs w:val="28"/>
          <w:rtl w:val="true"/>
          <w:lang w:bidi="fa-IR"/>
        </w:rPr>
        <w:t>، أم لا، کما علیه المعظم؟</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لما مرّت إلیه الإشارة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للمفتی الفاقد فی الواقع أو باعتقاده لشی‌ء من الشروط المعتبرة فی صحّة إفتائه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علم المستفتی بفقده و علمه و لو حکما باستکماله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الإفتاء، أم لا، بل یحرم؟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فقد الفقاهة و العلم من الشروط فالثانی، بلا خلاف فیه فتوی و دلیلا، من الآیات و السنّة المعتبرة، بل المتواترة و لو معنی، و الإجماع المحصّل و المنقول علیه مطلقا، أو فی الجملة فی کلام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فقد شیئا ممّا عداهما منها فالأوّل، بلا خلاف ظاهر أجده فیه فتوی و دلیلا، من العمومات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ارتدّ المفتی أو خرج عن الإیمان أو العدالة، فلا شکّ فی جواز العمل له لما أدّی إلیه اجتهاده المعتبر، و لا فی وجوبه علیه؛ لما مرّت إلیه الإشارة، من الاستصحاب و العمومات الدالّة علی عدم جواز نقض الیقین إلّا بالیقین، المقتضیة للجواز و وجوب البقاء و صحّة العمل بما أدّی إلیه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العمومات الآتیة الدالّة علی وجوب العمل علی المجتهد بما أدّی إلیه اجتهاده، و المانعة من عدم جواز التقلید له و بطلانه فی حقّه، و الدالّة علی عدم وجوب الاحتیاط علیه فی ذلک، السلیمة عمّا یصلح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فهذا ممّا لا إشکال فیه بحمد اللّه، و إنّما الإشکال فی موضعین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عرض له الجنون، فهل یبطل اجتهاده، فلا یجوز له العمل بما أدّی إلیه اجتهاده بعد إفاقته؟</w:t>
      </w:r>
    </w:p>
    <w:p>
      <w:pPr>
        <w:pStyle w:val="BookText"/>
        <w:rPr/>
      </w:pPr>
      <w:r>
        <w:rPr>
          <w:rFonts w:ascii="IRNazanin" w:hAnsi="IRNazanin" w:eastAsia="IRNazanin"/>
          <w:color w:val="111111"/>
          <w:sz w:val="28"/>
          <w:sz w:val="28"/>
          <w:szCs w:val="28"/>
          <w:rtl w:val="true"/>
          <w:lang w:bidi="fa-IR"/>
        </w:rPr>
        <w:t>لم أقف علی من صرّح بذلک، و لکنّ الذی یقتضیه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الجنون بحیث صار بعد الإفاقة ما اجتهد فیه قبله مجهولا له غیر عالم به و منسیّا بالمرّة، فالحقّ عدم جواز العمل له بما أدّی إلیه اجتهاده، و وجوب تجدید النظر و الاجتهاد علیه إن تمکّن منه؛ لعموم ما مرّت إلیه الإشارة من الاصول و العمومات، و کونه حینئذ کالجاهل بالحکم أو عینه، و إلّا فالتقلید أو الاحتیاط کما تأتی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الجنون کذلک، فالحقّ جواز العمل له بما أدّی إلیه اجتهاده؛ للأصل، و العمومات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انحطّ عن درجة الاجتهاد و الفقاهة، و صار عامیّا صرفا أو بحکمه، فهل یصحّ له البقاء علی ما أدّی إلیه اجتهاده قبل الانحطاط فیما علم به، أم لا، بل یجب علیه الرجوع إلی تقلید غیره الجامع للشرائط کالعامی؟</w:t>
      </w:r>
    </w:p>
    <w:p>
      <w:pPr>
        <w:pStyle w:val="BookText"/>
        <w:rPr/>
      </w:pPr>
      <w:r>
        <w:rPr>
          <w:rFonts w:ascii="IRNazanin" w:hAnsi="IRNazanin" w:eastAsia="IRNazanin"/>
          <w:color w:val="111111"/>
          <w:sz w:val="28"/>
          <w:sz w:val="28"/>
          <w:szCs w:val="28"/>
          <w:rtl w:val="true"/>
          <w:lang w:bidi="fa-IR"/>
        </w:rPr>
        <w:t>لم أجد من تعرّض له أو نبّه علیه من الفقهاء و الاصولیّین، و لکنّ الذی یقتضیه التأمّل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 الاستصحاب و العمومات الدالّة علی عدم جواز نقض الیقین إلّا بالیقین، المقتضیة لوجوب العمل علیه بما أدّی إلیه اجتهاده و صحّته، و عدم جواز العدول إلی تقلید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الأصل و الاستصحاب، و العمومات المانعة من التقلید و العمل بغیر العلم، المعتضدة أو المؤیّدة بالإطلاقات أو العمومات الدالّة علی جواز عمل المجتهد بما أدّی إلیه اجتهاده و صحّته و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فالمعتمد</w:t>
      </w:r>
      <w:r>
        <w:rPr>
          <w:rStyle w:val="FootnoteAnchor"/>
          <w:rtl w:val="true"/>
        </w:rPr>
        <w:footnoteReference w:id="510"/>
      </w:r>
      <w:r>
        <w:rPr>
          <w:rFonts w:ascii="IRNazanin" w:hAnsi="IRNazanin" w:eastAsia="IRNazanin"/>
          <w:color w:val="111111"/>
          <w:sz w:val="28"/>
          <w:sz w:val="28"/>
          <w:szCs w:val="28"/>
          <w:rtl w:val="true"/>
          <w:lang w:bidi="fa-IR"/>
        </w:rPr>
        <w:t>هو الأوّل، و إلّا فالثانی هو المعتمد؛ لما مرّت إلیه الإشارة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الإنصاف أنّ القول الأوّل فی بادی النظر لا یخلو عن قوّة و رجحان؛ لما مرّ، إلّا أنّه عند نافیه لا یصفو عن تأمّل و إشکال، فإنّ هذا المجتهد المفروض انحطاطه عن درجته، إمّا عامیّ صرف مطلقا، و إمّا متجزّ قادر علی استعلام حکم هذه المسألة</w:t>
      </w:r>
    </w:p>
    <w:p>
      <w:pPr>
        <w:pStyle w:val="BookText"/>
        <w:rPr/>
      </w:pPr>
      <w:r>
        <w:rPr>
          <w:rFonts w:ascii="IRNazanin" w:hAnsi="IRNazanin" w:eastAsia="IRNazanin"/>
          <w:color w:val="111111"/>
          <w:sz w:val="28"/>
          <w:sz w:val="28"/>
          <w:szCs w:val="28"/>
          <w:rtl w:val="true"/>
          <w:lang w:bidi="fa-IR"/>
        </w:rPr>
        <w:t>المبحوث عنها، و إمّا متجزّ غیر قادر علیه و قادر علی استعلام حکم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و لا شبهة فی أنّ وظیفته فی هذه المسألة هی التقلید لمن یصحّ له تقلیده، فإن أفتی له بالبقاء و صحّ هذا الفتوی منه، عمل فیها بهذه الفتوی، و فی غیرها بما أدّی إلیه اجتهاده، و إن أفتی له بالمنع، فعلیه التقلید فی غیرها ممّا أدّی إلیه اجتهاده أیضا، و الوجه واضح لا یکاد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أدّی نظره فیها إلی الجواز و صحّ باعتقاده مؤدّاه و اعتقد حجّیّته فی حقّه بحکم الدلیل المعتبر عنده فیما بینه و بین اللّه، اتّجه له البقاء علی ما أدّی إلیه اجتهاده قبل الانحطاط؛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یؤدّ نظره إلیه أصلا، أو أدّی نظره إلی المنع، فالمتّجه حینئذ أیضا کونه کالعامیّ الصرف ذکر من الحکم فی غیر ما یتجزّأ فیه، خصوصا فی المسألة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واضح لا یکاد یخفی، سیّما علی اولی النهی و ذوی الحجی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للمجتهد و یجب علیه کائنا من کان إذا اجتهد فی الأحکام الشرعیّة الفرعیّة علی الوجه المعتبر العمل بما أدّی إلیه اجتهاده إجماعا فتوی و دلیلا، فکذا یجوز له الإفتاء، و یصحّ للعامیّ و من بحکمه العمل بمقتضی فتواه إذا اجتمع فیه جمیع الشروط المعتبرة فیه السالفة، و یکون قوله و فتواه حجّة شرعیّة فی حقّ العامیّ و من بحکمه، بلا خلاف فیه بین القائلین بمشروعیّة التقلید، بل علیه الإجماع القاطع، کما صرّح به فی کثیر من العبائر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العمل بقول المفتی و الشاهدین للإجماع علیه، و قیام الأدلّة کالنصوص</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منیة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الإجماع علی التعبّد بقبول خبر المفتی و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المعالم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الواحد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وفاق</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الواحد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حاشیة المعالم لسلطان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الحکم فی الفتوی و الإقرار منوطا بحصول الظنّ من قول المفتی و المقرّ، بل باعتبار الشارع لهما المعلوم بدلیل الإجماع و غیره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العبائر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عمل المقلّد بفتوی المجتهد و هو خارج عن البحث و هو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إحکام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قبول قول المفتی و الشاهدین؛ للإجماع علی ذلک</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فی هذا الباب، مضافا إلی غیره من الأدلّة الآتیة القطعیّة و غیرها المعتبرة، الدالّة علی مشروعیّة التقلید و العمل بفتوی المفتی الجامع للشرائط، المعتضدة أو المؤیّدة بکثیر من الاعتبارات و الآیات و غیرها، السلیمة عمّا یصلح للمعارضة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للمفتی الجامع للشرائط الروایة عن المفتی الآخر کذلک ما لم یتحقّق منه تدلیس فی ذلک؟</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خلاف ظاهر أجده فیه، بل و لعلّه موضع وفاق، کما یظهر من کلماتهم و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مضافا إلی الاصول و العمومات السلیمة عمّا یصلح للمعارضة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له التدلیس فی ذلک قطعا کما فی غیره؛ لعموم ما دلّ علی حرمة التدلیس</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اعتبرناه من الشروط فی حقّ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طهارة المولد و الذکورة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یکون معتبرا فی حقّه حال الإفتاء و بعده و إن کان فاقدا له قبله و حال الاجتهاد، بلا خلاف فیه فیما أعلم، بل و لعلّه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الحجّة، مضافا إلی لزوم الاقتصار فیما خالف العمومات علی القدر المتیقّن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صحّة إفتاء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کاجتهاد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واقعة علمه بجمیع الأحکام الشرعیّة المتعلّقة بجمیع الوقائع بالفعل، بلا خلاف ظاهر أجده فیه، بل و لعلّه موضع وفاق، کما یستفاد من سیرتهم و عملهم و دیدنهم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الأصل، و العمومات الدالّة علی اعتبار اجتهاده و إفتائه، و الدالّة علی بطلان التکلیف بما لا یطاق، و علی نفی الحرج و الضرر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استلزام اشتراطه للدور المحال الباطل جدّا؛ فتفطّن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خلاف ظاهرا أیضا فتوی و دلیلا فیما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رجوع المستفتی و المقلّد إلی المفتی فی استعلام حال غیره من المفتین، فی أنّه هل یکون ممّن یصلح للإفتاء و العمل بفتواه و التقلید له، أم لا؛ لکونه من أهل الخبرة فی تشخیص هذا الموضوع، فیصحّ الاعتماد علیه فی ذلک، لا من باب التقلید له و العمل بقوله من حیث الفتوی؛ لأنّه لیس من الحکم الشرعی الفرعی، بل من الموضوع الصرف له، و وظیفة العامیّ و من بحکمه فیه إنّما هو الاجتهاد لا التقلید، بلا ریب و لا إشکال، بل و لا خلاف فیما أعلم فیه، کما فی سائر الموضوعات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و یصحّ الرجوع إلیه فی ذلک من باب التقلید، بأن یکون قول هذا المفتی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مفت جامع للشرائط یصحّ تقلیده و العمل بفتواه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فتوی بذلک، و حکما شرعیّا، و یکون الرجوع إلیه فیه و العمل بقوله للعامیّ و من بحکمه اتّکالا علی قول هذا المفتی و تقلیدا له، ففی الحقیقة یکون مقلّدا لهذا المفتی فی الرجوع إلی ذاک المفتی؟</w:t>
      </w:r>
    </w:p>
    <w:p>
      <w:pPr>
        <w:pStyle w:val="BookText"/>
        <w:rPr/>
      </w:pPr>
      <w:r>
        <w:rPr>
          <w:rFonts w:ascii="IRNazanin" w:hAnsi="IRNazanin" w:eastAsia="IRNazanin"/>
          <w:color w:val="111111"/>
          <w:sz w:val="28"/>
          <w:sz w:val="28"/>
          <w:szCs w:val="28"/>
          <w:rtl w:val="true"/>
          <w:lang w:bidi="fa-IR"/>
        </w:rPr>
        <w:t>أم لا، فلا یصحّ له تقلیده فی الرجوع إلی غیره و العمل بفتواه؟ وجهان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المعتمد بزعم العبد هو الثانی، و لعلّه لا خلاف فیه فیما أعلم؛ لعدم کونه حکما شرعیّا، بل هو إخبار بموضوع صرف للحکم الشرعی، أو شهادة علی ثبوته مثلا، و لا تقلید فی الموضوعات الصرفة قولا واحدا فیما أعلم فتوی و دلیلا</w:t>
      </w:r>
      <w:r>
        <w:rPr>
          <w:rFonts w:eastAsia="IRNazanin" w:cs="IRNazanin"/>
          <w:color w:val="111111"/>
          <w:sz w:val="28"/>
          <w:szCs w:val="28"/>
          <w:rtl w:val="true"/>
          <w:lang w:bidi="fa-IR"/>
        </w:rPr>
        <w:t>.</w:t>
      </w:r>
      <w:bookmarkStart w:id="272" w:name="pg19819_193501"/>
    </w:p>
    <w:p>
      <w:pPr>
        <w:pStyle w:val="BookText"/>
        <w:rPr/>
      </w:pPr>
      <w:bookmarkEnd w:id="272"/>
      <w:r>
        <w:rPr>
          <w:rFonts w:ascii="IRNazanin" w:hAnsi="IRNazanin" w:eastAsia="IRNazanin"/>
          <w:color w:val="111111"/>
          <w:sz w:val="28"/>
          <w:sz w:val="28"/>
          <w:szCs w:val="28"/>
          <w:rtl w:val="true"/>
          <w:lang w:bidi="fa-IR"/>
        </w:rPr>
        <w:t>مضافا إلی استلزام تجویزه لتقلیده لغیره من حیث الفتوی للحکم بغیر ما أنزل اللّه إمّا مطلقا، و إمّا بالإضافة إلی المسائل و الأحکام التی یکون هذا المفتی مخالفا فیها لذلک خاصّة و إفتائه بما اعتقد خلافه، و علم و لو حکما ببطلانه، و استلزامه للتناقض فی الحکم و لو فی الجملة، کاستلزامه لإفتاء المفتی عن نفسه بفتوی غیره الممتنع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الاصول و العمومات المانعة عن التقلید و العمل بغیر العلم و عدم حجّیّتهما السلیمة هنا عمّا یصلح للمعارضة معها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و یصحّ الرجوع إلیه فی ذلک و العمل للمستفتی و المقلّد بحکم الحاکم، أم لا؟</w:t>
      </w:r>
    </w:p>
    <w:p>
      <w:pPr>
        <w:pStyle w:val="BookText"/>
        <w:rPr/>
      </w:pPr>
      <w:r>
        <w:rPr>
          <w:rFonts w:ascii="IRNazanin" w:hAnsi="IRNazanin" w:eastAsia="IRNazanin"/>
          <w:color w:val="111111"/>
          <w:sz w:val="28"/>
          <w:sz w:val="28"/>
          <w:szCs w:val="28"/>
          <w:rtl w:val="true"/>
          <w:lang w:bidi="fa-IR"/>
        </w:rPr>
        <w:t>لم أقف علی من صرّح بذلک أو نبّه علیه، و لکن مقتضی جملة ما مرّت إلیه الإشارة هو الثانی، و سیأتی تمام الکلام فیه فی کتاب القضاء إن شاء اللّه سبحانه</w:t>
      </w:r>
      <w:r>
        <w:rPr>
          <w:rFonts w:eastAsia="IRNazanin" w:cs="IRNazanin"/>
          <w:color w:val="111111"/>
          <w:sz w:val="28"/>
          <w:szCs w:val="28"/>
          <w:rtl w:val="true"/>
          <w:lang w:bidi="fa-IR"/>
        </w:rPr>
        <w:t>.</w:t>
      </w:r>
    </w:p>
    <w:p>
      <w:pPr>
        <w:pStyle w:val="Heading4"/>
        <w:numPr>
          <w:ilvl w:val="3"/>
          <w:numId w:val="1"/>
        </w:numPr>
        <w:rPr/>
      </w:pPr>
      <w:bookmarkStart w:id="273" w:name="__RefHeading___Toc3055609_2314609296"/>
      <w:bookmarkStart w:id="274" w:name="_Toc108"/>
      <w:bookmarkEnd w:id="273"/>
      <w:r>
        <w:rPr>
          <w:rtl w:val="true"/>
        </w:rPr>
        <w:t>المقصد الثانی فی المستفتی و ما یتعلّق به من الشروط و الآداب و الأحکام</w:t>
      </w:r>
      <w:bookmarkEnd w:id="274"/>
    </w:p>
    <w:p>
      <w:pPr>
        <w:pStyle w:val="Heading5"/>
        <w:numPr>
          <w:ilvl w:val="4"/>
          <w:numId w:val="1"/>
        </w:numPr>
        <w:rPr/>
      </w:pPr>
      <w:bookmarkStart w:id="275" w:name="__RefHeading___Toc3055611_2314609296"/>
      <w:bookmarkStart w:id="276" w:name="_Toc109"/>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و فیه أبحاث</w:t>
      </w:r>
      <w:r>
        <w:rPr>
          <w:rFonts w:eastAsia="IRNazanin" w:cs="IRNazanin"/>
          <w:color w:val="111111"/>
          <w:sz w:val="28"/>
          <w:szCs w:val="28"/>
          <w:rtl w:val="true"/>
          <w:lang w:bidi="fa-IR"/>
        </w:rPr>
        <w:t>:</w:t>
      </w:r>
    </w:p>
    <w:p>
      <w:pPr>
        <w:pStyle w:val="Heading5"/>
        <w:numPr>
          <w:ilvl w:val="4"/>
          <w:numId w:val="1"/>
        </w:numPr>
        <w:rPr/>
      </w:pPr>
      <w:bookmarkStart w:id="277" w:name="__RefHeading___Toc3055613_2314609296"/>
      <w:bookmarkStart w:id="278" w:name="_Toc110"/>
      <w:bookmarkEnd w:id="277"/>
      <w:r>
        <w:rPr>
          <w:rtl w:val="true"/>
        </w:rPr>
        <w:t>البحث الأوّل فی بیان ما یشترط فی المستفتی و صحّة استفتائه، و العمل بما أفتی له به المفتی الجامع للشروط السالفة و تقلیده</w:t>
      </w:r>
      <w:bookmarkEnd w:id="278"/>
    </w:p>
    <w:p>
      <w:pPr>
        <w:pStyle w:val="Heading6"/>
        <w:numPr>
          <w:ilvl w:val="5"/>
          <w:numId w:val="1"/>
        </w:numPr>
        <w:rPr/>
      </w:pPr>
      <w:bookmarkStart w:id="279" w:name="__RefHeading___Toc3055615_2314609296"/>
      <w:bookmarkStart w:id="280" w:name="_Toc111"/>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و هو امور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قاطعا بالحکم، فلو کان قاطعا به عمل بقطعه، و لا یجوز و لا یصحّ له فیه الاستفتاء، بلا خلاف، بل علیه الإجماع القاطع، کما یستفاد من کلماتهم فی الاصول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مضافا إلی کون الاستفتاء حینئذ لغوا و تحصیلا للحاصل، أو</w:t>
      </w:r>
      <w:r>
        <w:rPr>
          <w:rStyle w:val="FootnoteAnchor"/>
          <w:rtl w:val="true"/>
        </w:rPr>
        <w:footnoteReference w:id="515"/>
      </w:r>
      <w:r>
        <w:rPr>
          <w:rFonts w:ascii="IRNazanin" w:hAnsi="IRNazanin" w:eastAsia="IRNazanin"/>
          <w:color w:val="111111"/>
          <w:sz w:val="28"/>
          <w:sz w:val="28"/>
          <w:szCs w:val="28"/>
          <w:rtl w:val="true"/>
          <w:lang w:bidi="fa-IR"/>
        </w:rPr>
        <w:t>للأدنی مع وجود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دلّ علی وجوب اتّباع العلم و العمل به، و عدم جواز العمل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فحوی ما دلّ علی عدم جواز الاستفتاء للمفتی و المجتهد فی الجملة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المجتهد و المتجزّئ و العامی الصرف و من بحکمه قطعا، فتوی و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شرط فی وجوبه أیضا حیثما قلنا به؟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إجماعا فتوی و دلیلا ممّا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مجتهدا مطلقا قادرا علی تحصیل الحکم الجاهل به المحتاج إلیه بالاجتهاد،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له الاستفتاء و العمل بفتوی غیره الجامع للشرائط، کما مرّ؛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أیضا شرط الوجوب فیه کذلک؟</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قولا واحدا فیما أعلم فتوی و دلیلا،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متجزّیا فی الحکم الذی یرید استفتاءه من المفتی و العمل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 علی الوجه المعتبر فی بعض الأحکام خاصّة، فلو کان متجزّیا و مجتهدا فی هذا الحکم مثلا، فلا یصحّ له بالإضافة إلی ما اجتهد فیه علی الوجه المعتبر فیه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إمکانه عقلا و وقوعا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الاستفتاء و العمل بفتوی المفتی فیه علی الأصحّ</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لجماعة، بل المشهور کما فی بعض العبائر</w:t>
      </w:r>
      <w:r>
        <w:rPr>
          <w:rStyle w:val="FootnoteAnchor"/>
          <w:rtl w:val="true"/>
        </w:rPr>
        <w:footnoteReference w:id="516"/>
      </w:r>
      <w:r>
        <w:rPr>
          <w:rFonts w:ascii="IRNazanin" w:hAnsi="IRNazanin" w:eastAsia="IRNazanin"/>
          <w:color w:val="111111"/>
          <w:sz w:val="28"/>
          <w:sz w:val="28"/>
          <w:szCs w:val="28"/>
          <w:rtl w:val="true"/>
          <w:lang w:bidi="fa-IR"/>
        </w:rPr>
        <w:t>، بل المعظم کما فی آخر</w:t>
      </w:r>
      <w:r>
        <w:rPr>
          <w:rStyle w:val="FootnoteAnchor"/>
          <w:rtl w:val="true"/>
        </w:rPr>
        <w:footnoteReference w:id="5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العلّامة فی التهذیب و المبادی و القواعد و التحریر</w:t>
      </w:r>
      <w:r>
        <w:rPr>
          <w:rStyle w:val="FootnoteAnchor"/>
          <w:rtl w:val="true"/>
        </w:rPr>
        <w:footnoteReference w:id="518"/>
      </w:r>
      <w:r>
        <w:rPr>
          <w:rFonts w:ascii="IRNazanin" w:hAnsi="IRNazanin" w:eastAsia="IRNazanin"/>
          <w:color w:val="111111"/>
          <w:sz w:val="28"/>
          <w:sz w:val="28"/>
          <w:szCs w:val="28"/>
          <w:rtl w:val="true"/>
          <w:lang w:bidi="fa-IR"/>
        </w:rPr>
        <w:t>، و الشهیدان فی الذکری و الدروس و المقاصد العلیّة</w:t>
      </w:r>
      <w:r>
        <w:rPr>
          <w:rStyle w:val="FootnoteAnchor"/>
          <w:rtl w:val="true"/>
        </w:rPr>
        <w:footnoteReference w:id="519"/>
      </w:r>
      <w:r>
        <w:rPr>
          <w:rFonts w:ascii="IRNazanin" w:hAnsi="IRNazanin" w:eastAsia="IRNazanin"/>
          <w:color w:val="111111"/>
          <w:sz w:val="28"/>
          <w:sz w:val="28"/>
          <w:szCs w:val="28"/>
          <w:rtl w:val="true"/>
          <w:lang w:bidi="fa-IR"/>
        </w:rPr>
        <w:t>، و شیخنا البهائی و والده فی الزبدة و شرح الألفیّة</w:t>
      </w:r>
      <w:r>
        <w:rPr>
          <w:rStyle w:val="FootnoteAnchor"/>
          <w:rtl w:val="true"/>
        </w:rPr>
        <w:footnoteReference w:id="520"/>
      </w:r>
      <w:r>
        <w:rPr>
          <w:rFonts w:ascii="IRNazanin" w:hAnsi="IRNazanin" w:eastAsia="IRNazanin"/>
          <w:color w:val="111111"/>
          <w:sz w:val="28"/>
          <w:sz w:val="28"/>
          <w:szCs w:val="28"/>
          <w:rtl w:val="true"/>
          <w:lang w:bidi="fa-IR"/>
        </w:rPr>
        <w:t>، و الفاضل الهندی فی الکشف</w:t>
      </w:r>
      <w:r>
        <w:rPr>
          <w:rStyle w:val="FootnoteAnchor"/>
          <w:rtl w:val="true"/>
        </w:rPr>
        <w:footnoteReference w:id="521"/>
      </w:r>
      <w:r>
        <w:rPr>
          <w:rFonts w:ascii="IRNazanin" w:hAnsi="IRNazanin" w:eastAsia="IRNazanin"/>
          <w:color w:val="111111"/>
          <w:sz w:val="28"/>
          <w:sz w:val="28"/>
          <w:szCs w:val="28"/>
          <w:rtl w:val="true"/>
          <w:lang w:bidi="fa-IR"/>
        </w:rPr>
        <w:t>، و التونی فی الوافیة</w:t>
      </w:r>
      <w:r>
        <w:rPr>
          <w:rStyle w:val="FootnoteAnchor"/>
          <w:rtl w:val="true"/>
        </w:rPr>
        <w:footnoteReference w:id="522"/>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للأصل و الاستصحاب و العمومات المقتضیة لعدم صحّة التقلید و عدم مشروعیّته و عدم مشروعیّة العمل بغیر العلم و عدم حجّیّته شرعا، السلیمة عمّا یصلح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خلافا للمعالم</w:t>
      </w:r>
      <w:r>
        <w:rPr>
          <w:rStyle w:val="FootnoteAnchor"/>
          <w:rtl w:val="true"/>
        </w:rPr>
        <w:footnoteReference w:id="523"/>
      </w:r>
      <w:r>
        <w:rPr>
          <w:rFonts w:ascii="IRNazanin" w:hAnsi="IRNazanin" w:eastAsia="IRNazanin"/>
          <w:color w:val="111111"/>
          <w:sz w:val="28"/>
          <w:sz w:val="28"/>
          <w:szCs w:val="28"/>
          <w:rtl w:val="true"/>
          <w:lang w:bidi="fa-IR"/>
        </w:rPr>
        <w:t>، و للمحکیّ فی المفاتیح للسیّد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و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524"/>
      </w:r>
      <w:r>
        <w:rPr>
          <w:rFonts w:ascii="IRNazanin" w:hAnsi="IRNazanin" w:eastAsia="IRNazanin"/>
          <w:color w:val="111111"/>
          <w:sz w:val="28"/>
          <w:sz w:val="28"/>
          <w:szCs w:val="28"/>
          <w:rtl w:val="true"/>
          <w:lang w:bidi="fa-IR"/>
        </w:rPr>
        <w:t>للاستصحاب و العمومات المقتضیة لوجوب التقلید مطلقا، و لزوم الاقتصار فیما خالفهما علی القدر المتیقّن خروجه بالدلیل، و هو المجتهد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کما تری لا یصلحان للدلالة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الاستصحاب علی تقدیر جریانه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محلّ التأمّل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یعارض ما مرّ من الدلیل، کما تقرّر فی محلّه، خصوصا مع تأییده أو اعتضاده بالشهرة المحصّلة و المحکیّة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الدلیل المعتبر فی حقّه بالفرض، الدالّ علی أنّ الحکم الشرعیّ المتعیّن فی حقّه هو ما دلّ علیه الدلیل و أدّی إلیه اجتهاده، المندفع به أیضا هذا الاستصحاب کما لا یخفی علی اولی الألباب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العموم بحیث یشمل ما نحن فیه جدّا، و لئن سلّم فمعارض بما</w:t>
      </w:r>
      <w:bookmarkStart w:id="281" w:name="pg19819_193504"/>
    </w:p>
    <w:p>
      <w:pPr>
        <w:pStyle w:val="BookText"/>
        <w:rPr/>
      </w:pPr>
      <w:bookmarkEnd w:id="281"/>
      <w:r>
        <w:rPr>
          <w:rFonts w:ascii="IRNazanin" w:hAnsi="IRNazanin" w:eastAsia="IRNazanin"/>
          <w:color w:val="111111"/>
          <w:sz w:val="28"/>
          <w:sz w:val="28"/>
          <w:szCs w:val="28"/>
          <w:rtl w:val="true"/>
          <w:lang w:bidi="fa-IR"/>
        </w:rPr>
        <w:t>دلّ علی عدم جواز التقلید و مشروعیّته تعارض العامّین من وجه، و لا شکّ فی أنّ الترجیح فی تخصیص هذا العامّ بذاک؛ لتأییده، أو اعتضاده بالأصل و الاستصحاب و الشهرة المحصّلة و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الدلیل المعتبر فی حقّه بالفرض، الدالّ علی ما أدّی إلیه اجتهاده الخاصّ المطلق بالإضافة إلیه، کما لا یخفی</w:t>
      </w:r>
      <w:r>
        <w:rPr>
          <w:rFonts w:eastAsia="IRNazanin" w:cs="IRNazanin"/>
          <w:color w:val="111111"/>
          <w:sz w:val="28"/>
          <w:szCs w:val="28"/>
          <w:rtl w:val="true"/>
          <w:lang w:bidi="fa-IR"/>
        </w:rPr>
        <w:t>.</w:t>
      </w:r>
    </w:p>
    <w:p>
      <w:pPr>
        <w:pStyle w:val="Heading6"/>
        <w:numPr>
          <w:ilvl w:val="5"/>
          <w:numId w:val="1"/>
        </w:numPr>
        <w:rPr/>
      </w:pPr>
      <w:bookmarkStart w:id="282" w:name="__RefHeading___Toc3055617_2314609296"/>
      <w:bookmarkStart w:id="283" w:name="_Toc112"/>
      <w:bookmarkEnd w:id="282"/>
      <w:r>
        <w:rPr>
          <w:rtl w:val="true"/>
        </w:rPr>
        <w:t>مسائل</w:t>
      </w:r>
      <w:r>
        <w:rPr>
          <w:rtl w:val="true"/>
        </w:rPr>
        <w:t>:</w:t>
      </w:r>
      <w:bookmarkEnd w:id="283"/>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شرط الوجوب أیضا؟</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خلاف فیه بین القائلین بالمختار فیه فیما أعلم؛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له و یجب علیه التقلید و العمل بفتوی المفتی الجامع للشرائط فیما لم یجتهد و لم یقدر علی الاجتهاد فیه؟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خلاف ظاهر فیه بین القائلین بمشروعیّة التقلید فی حقّ العامی فیما أعلم؛ لما سیأتی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علی المختار بالإضافة إلی ما اجتهد فیه العمل به مطلقا، کما هو اللائح أو الظاهر من معظم القائلین بالمختار، أم لا، بل یجب علیه الاحتیاط إن أمکن، و إلّا فیتخیّر بینه و بین العمل بفتوی المفتی الجامع للشرائط، کما مال إلیه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مع قوله بأولویّة العمل بما أدّی إلیه اجتهاده</w:t>
      </w:r>
      <w:r>
        <w:rPr>
          <w:rStyle w:val="FootnoteAnchor"/>
          <w:rtl w:val="true"/>
        </w:rPr>
        <w:footnoteReference w:id="5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قولان، أجودهما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أمّا فیما إذا تعذّر أو تعسّر علیه الاحتیاط و العمل بفتوی المفتی الجامع للشرائط فواضح لا یخفی؛ إذ لا مفرّ له حینئذ بالفرض إلیه مع فرض عدم سقوط التکلیف الثابت فی حقّه، مضافا إلی ما سیأتی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تمکّن بسهولة منهما معا أو من أحدهما؛ فللدلیل المعتبر بالفرض الدالّ</w:t>
      </w:r>
    </w:p>
    <w:p>
      <w:pPr>
        <w:pStyle w:val="BookText"/>
        <w:rPr/>
      </w:pPr>
      <w:r>
        <w:rPr>
          <w:rFonts w:ascii="IRNazanin" w:hAnsi="IRNazanin" w:eastAsia="IRNazanin"/>
          <w:color w:val="111111"/>
          <w:sz w:val="28"/>
          <w:sz w:val="28"/>
          <w:szCs w:val="28"/>
          <w:rtl w:val="true"/>
          <w:lang w:bidi="fa-IR"/>
        </w:rPr>
        <w:t>علی ما أدّی إلیه اجتهاده، و علی کونه المتّبع و المعمول به، المعتضد بعموم ما دلّ علی عدم جواز التقلید، و عدم جواز العمل بغیر العلم، و عدم وجوب الاحتیاط، و بالعمومات الآتیة الدالّة علی حجّیّة عمل العالم بعلمه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تأییده أو اعتضاده بوجوه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به جماعة من روایة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المنجبر ضعف سندها بالاشتهار بین الأصحاب و اتّفاقهم، کما عن المسالک</w:t>
      </w:r>
      <w:r>
        <w:rPr>
          <w:rStyle w:val="FootnoteAnchor"/>
          <w:rtl w:val="true"/>
        </w:rPr>
        <w:footnoteReference w:id="526"/>
      </w:r>
      <w:r>
        <w:rPr>
          <w:rFonts w:ascii="IRNazanin" w:hAnsi="IRNazanin" w:eastAsia="IRNazanin"/>
          <w:color w:val="111111"/>
          <w:sz w:val="28"/>
          <w:sz w:val="28"/>
          <w:szCs w:val="28"/>
          <w:rtl w:val="true"/>
          <w:lang w:bidi="fa-IR"/>
        </w:rPr>
        <w:t>، و فی مجمع الفائدة و غیره علی العمل بمضمونها و لو فی الجملة</w:t>
      </w:r>
      <w:r>
        <w:rPr>
          <w:rStyle w:val="FootnoteAnchor"/>
          <w:rtl w:val="true"/>
        </w:rPr>
        <w:footnoteReference w:id="5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انظروا إلی رجل یعلم شیئا من قضایانا، فاجعلوه بینکم قاضیا، فإنّی قد جعلته قاضیا، فتحاکموا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العقل و الإجماع المنقول فی صریح المنیة علی وجوب ترجیح الراجح علی المرجوح و بطلان ترجیح المرجوح؛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العقل و الإجماع المنقول من الإیضاح و غیره علی وجوب دفع الضرر المظنون</w:t>
      </w:r>
      <w:r>
        <w:rPr>
          <w:rStyle w:val="FootnoteAnchor"/>
          <w:rtl w:val="true"/>
        </w:rPr>
        <w:footnoteReference w:id="52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 العمل بالروایات فی عصر الأئمّة للرواة بل و غیرهم أیضا لم یکن موقوفا علی إحاطتهم بمدارک کلّ الأحکام و القوّة القویّة علی الاستنباط، بل یظهر بطلانه بأدنی اطّلاع علی حقیقة أحوال قدماء الأصحاب</w:t>
      </w:r>
      <w:r>
        <w:rPr>
          <w:rStyle w:val="FootnoteAnchor"/>
          <w:rtl w:val="true"/>
        </w:rPr>
        <w:footnoteReference w:id="529"/>
      </w:r>
      <w:r>
        <w:rPr>
          <w:rFonts w:ascii="Amiri" w:hAnsi="Amiri" w:eastAsia="Amiri" w:cs="Amiri"/>
          <w:color w:val="111111"/>
          <w:sz w:val="28"/>
          <w:sz w:val="28"/>
          <w:szCs w:val="28"/>
          <w:rtl w:val="true"/>
          <w:lang w:bidi="ar-SA"/>
        </w:rPr>
        <w:t>فتأمّل فیه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الأعاظم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اشتراط الاطّلاع علی مدارک جمیع الأحکام بالنسبة إلی کلّ مسألة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یطّلع علی أنّها هل لها دخل فیها،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عظیم، و مناف للملّة السمحة السهلة، و یأبی عنه خصوصیّات التکالیف الواردة و التتبّع فیها و فی سائر الأحکام الصادرة، و کذا الأحادیث الخاصّة الواردة فی التوسعة، فالأصل عدمه، بل الظاهر أنّه لم یوجد مجتهد</w:t>
      </w:r>
    </w:p>
    <w:p>
      <w:pPr>
        <w:pStyle w:val="BookText"/>
        <w:rPr/>
      </w:pPr>
      <w:r>
        <w:rPr>
          <w:rFonts w:ascii="IRNazanin" w:hAnsi="IRNazanin" w:eastAsia="IRNazanin"/>
          <w:color w:val="111111"/>
          <w:sz w:val="28"/>
          <w:sz w:val="28"/>
          <w:szCs w:val="28"/>
          <w:rtl w:val="true"/>
          <w:lang w:bidi="fa-IR"/>
        </w:rPr>
        <w:t>بهذه المثابة فی المسلمین، کما لا یخفی علی المطّلع بأحوال الماهرین منهم المشهورین، فضلا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تکلیف بما لا یطاق بعد ملاحظة أنّ کلّ أحد مبتلی بامور معاشه الضروریّة و سائر أفعاله اللازمة العادیّة و ممتحن بحسب العادة بالآفات السماویّة و الأرضیّة فی بدنه و أهله و أقربائه و أصدقائه و ماله فی أیّامه و دهوره و أعوانه، سیّما بالنسبة إلی بعض الأزمنة، مثل زماننا الذی جعل الولدان شیبا</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مصیر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الأخذ بما أدّی إلیه اجتهاده، بل فی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مخالفا إلّا صاحب المعالم، فإنّه هو الذی فتح باب المناقشة فی حجّیّة ظنّ المتجزّئ، بعد تسلیم تحقّقه، و لو ادّعی شذوذه و عدم الالتفات إلی خلافه لم یکن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الموارد التی لم یثبت فیها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کالقبلة و الوقت و الصلاة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فیکتفی فیها بمجرّد حصول الظنّ، و لم یشترط معه شی‌ء زائد علیه، فکذا الاجتهاد؛ عملا بالاستقراء</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بالظنّ فی مقام انسداد باب العلم من مقتضیات العقول، کما لا یخفی علی من لاحظ العقلاء فی محاوراتهم و معاملاتهم، و من الظاهر أنّهم لا یوجبون شیئا زائدا علی نفسه؛ إذ لم یسمع إلی الآن أنّ أحدا أبطل ظنّا فی مقام باعتبار عدم القدرة علی تحصیله فی مقام آخر؛ فتأمّل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شرعیّة التقلید تستلزم شرعیّة العمل بمثل هذا الاجتهاد بالطریق الأولی؛ فتأمّل فیه جدّا</w:t>
      </w:r>
      <w:r>
        <w:rPr>
          <w:rFonts w:eastAsia="IRNazanin" w:cs="IRNazanin"/>
          <w:color w:val="111111"/>
          <w:sz w:val="28"/>
          <w:szCs w:val="28"/>
          <w:rtl w:val="true"/>
          <w:lang w:bidi="fa-IR"/>
        </w:rPr>
        <w:t>.</w:t>
      </w:r>
      <w:bookmarkStart w:id="284" w:name="pg19819_193507"/>
    </w:p>
    <w:p>
      <w:pPr>
        <w:pStyle w:val="BookText"/>
        <w:rPr/>
      </w:pPr>
      <w:bookmarkEnd w:id="284"/>
      <w:r>
        <w:rPr>
          <w:rFonts w:ascii="IRNazanin" w:hAnsi="IRNazanin" w:eastAsia="IRNazanin"/>
          <w:color w:val="111111"/>
          <w:sz w:val="28"/>
          <w:sz w:val="28"/>
          <w:szCs w:val="28"/>
          <w:rtl w:val="true"/>
          <w:lang w:bidi="fa-IR"/>
        </w:rPr>
        <w:t>و بما ذکر جمع یندفع عموم ما دلّ علی وجوب التقلید و صحّته بالإضافة إلیه لو سلّم شموله لما نحن فیه، کما یندفع أیضا ما دلّ علی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ما کان، فالحقّ و الصواب هو المختار، کما لا یخفی بعد علی اولی الأبصار و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اجتهد فی هذه المسألة و أدّی اجتهاده فیها علی الوجه المعتبر فی حقّه إلی المنع و عدم الصحّة، تعیّن فی حقّه حینئذ القول بالعدم؛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فی الواقعة التی یرید الاستفتاء و العمل بفتوی من یریده منه فیها مقلّدا للمفتی الآخر الجامع للشرائط، و لا عاملا بفتواه، فلو کان قد قلّده و عمل بفتواه فیها، لم یصحّ له ذلک علی بعض ما سیأتی إلیه الإشارة من الوجوه و الأقوال فیما بعد إن شاء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المستفتی عنه من الأحکام الشرعیّة الفرعیّة و النظریّة فی حقّه، فلو کان من غیرها من المطالب و الأحکام العقلیّة و الشرعیّة المتعلّقة باصول الدین و اصول الفقه و غیرها من مبادی الفقه و اصوله، و المطالب الکلامیّة و اللغویّة و المنطقیّة، و الموضوعات الصرفة للأحکام الشرعیّة و غیرها، فلا یصحّ له الاستفتاء شرعا، کما لا یصحّ للمفتی أیضا الإفتاء، بلا خلاف فی ذلک فتوی و دلیلا، کما مرّ؛ لما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شرط الوجوب أیضا؟</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و لو حکما بکون من یرید الاستفتاء عنه و العمل بفتواه مفتیا جامعا للشرائط بالإضافة إلیه فی حال الاستفتاء، فلا یصحّ له الاستفتاء عمّن جهل بکونه جامعا لها کذلک، و لا عمّن علم بعدم کونه کذلک، إجماعا فتوی و دلیلا کما عرفتها و ستعرفها أیضا مفصّلا</w:t>
      </w:r>
      <w:r>
        <w:rPr>
          <w:rFonts w:eastAsia="IRNazanin" w:cs="IRNazanin"/>
          <w:color w:val="111111"/>
          <w:sz w:val="28"/>
          <w:szCs w:val="28"/>
          <w:rtl w:val="true"/>
          <w:lang w:bidi="fa-IR"/>
        </w:rPr>
        <w:t>.</w:t>
      </w:r>
    </w:p>
    <w:p>
      <w:pPr>
        <w:pStyle w:val="Heading6"/>
        <w:numPr>
          <w:ilvl w:val="5"/>
          <w:numId w:val="1"/>
        </w:numPr>
        <w:rPr/>
      </w:pPr>
      <w:bookmarkStart w:id="285" w:name="__RefHeading___Toc3055619_2314609296"/>
      <w:bookmarkStart w:id="286" w:name="_Toc113"/>
      <w:bookmarkEnd w:id="285"/>
      <w:r>
        <w:rPr>
          <w:rtl w:val="true"/>
        </w:rPr>
        <w:t>[</w:t>
      </w:r>
      <w:r>
        <w:rPr>
          <w:rtl w:val="true"/>
        </w:rPr>
        <w:t>مسائل</w:t>
      </w:r>
      <w:r>
        <w:rPr>
          <w:rtl w:val="true"/>
        </w:rPr>
        <w:t>:]</w:t>
      </w:r>
      <w:bookmarkEnd w:id="28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له الاستفتاء عمّن ظنّ بعدم کونه کذلک، و العمل بفتواه</w:t>
      </w:r>
    </w:p>
    <w:p>
      <w:pPr>
        <w:pStyle w:val="BookText"/>
        <w:rPr/>
      </w:pPr>
      <w:r>
        <w:rPr>
          <w:rFonts w:ascii="IRNazanin" w:hAnsi="IRNazanin" w:eastAsia="IRNazanin"/>
          <w:color w:val="111111"/>
          <w:sz w:val="28"/>
          <w:sz w:val="28"/>
          <w:szCs w:val="28"/>
          <w:rtl w:val="true"/>
          <w:lang w:bidi="fa-IR"/>
        </w:rPr>
        <w:t>من حیث هو کذلک؟</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بلا خلاف ظاهر أجده فیه؛ لفقد الشرط و لو ظنّا بالفرض، و یلزمه فقد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الاصول و العمومات المشار إلیها، السلیمة عمّا یصلح للمعارضة، و ما دلّ علی اعتبار الظنّ لو کان معتبرا؛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کونه کذلک و لم یکن هناک ما یدلّ علی کونه کذلک و لو تعبّدا شرعا، فهل یصحّ له الاستفتاء عنه و العمل بفتواه؟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بلا خلاف فیه فیما أعلم؛ لعین 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 بکونه کذلک، فهل یصحّ له الاستفتاء عنه و العمل بفتواه؟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الظنّ معتبرا شرعا فی حقّه هنا، أو قلنا باعتباره هنا مطلقا، بلا خلاف ظاهر فیه فیما أعلم؛ لما دلّ علی اعتبار الظنّ کما هو المفروض، و کونه بالفرض فی حکم من علم بکونه کذلک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الظنّ معتبرا شرعا، أو قلنا بعدم اعتبار مطلق الظنّ هنا، فالمعتمد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بلا خلاف ظاهر فیه أیضا فیما أعلم؛ لما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شرط الوجوب أیضا؟</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قولا واحدا فیما أعلم فتوی و دلیلا، فلو جهله وجب علیه و لو من باب المقدّمة السعی فی تحصیله و معرفته مهما تیسّر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فهل یجب علیه فی معرفة کونه بالغا الاقتصار علی العلم الحاصل له به، و علی ما یفیده، فلا یثبت له بغیره أصلا، أم لا، فیثبت بغیره أیضا؟</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لثبوت البلوغ شرعا بشهادة العدلین، بلا خلاف ظاهر أجده فیه، بل و لعلّه علیه الإجماع، کما یظهر من کلماتهم فی کتاب الشهادات و غیره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الحجّة، مضافا إلی الاستقراء، و الخبر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شهادة العدلین، و ثبوت الموضوعات بها شرعا مطلقا، إلّا ما أخرجه الدلیل، و لیس</w:t>
      </w:r>
    </w:p>
    <w:p>
      <w:pPr>
        <w:pStyle w:val="BookText"/>
        <w:rPr/>
      </w:pPr>
      <w:r>
        <w:rPr>
          <w:rFonts w:ascii="Amiri" w:hAnsi="Amiri" w:eastAsia="Amiri" w:cs="Amiri"/>
          <w:color w:val="111111"/>
          <w:sz w:val="28"/>
          <w:sz w:val="28"/>
          <w:szCs w:val="28"/>
          <w:rtl w:val="true"/>
          <w:lang w:bidi="ar-SA"/>
        </w:rPr>
        <w:t>هذا منه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إطلاق الإجماعات المنقولة سابقا، و بالشیاع المفید للظنّ أیضا، و بالخبر الواحد العدل المفید للظنّ، بلا خلاف ظاهر فی ثبوته بهما أیضا، و بقوله المفید للظنّ أیضا من دون یمین بلا خلاف ظاهر أجده فیه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حمل قول المسلم کفعله علی الصحّة فیما لم یعلم خلافه؛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فی معرفة کونه عاقلا الاقتصار علی العلم و ما یفیده، فلا یثبت بغیره أصلا، أم لا، فیثبت؟</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کثبوت العقل شرعا بشهادة العدلین، بلا خلاف أجده فیه فیما أعلم، بل و لعلّه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الحجّة کما مرّ، مضافا إلی الاستقراء و الأصل و الاستصحاب و العمومات الدالّة علی عدم جواز نقض الیقین إلّا بالیقین فیما علم سبق علمه و شکّ بعده فی بقائه؛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بالشیاع و الخبر الواحد العدل المفیدین للظنّ به، بلا خلاف ظاهر أجده فی ثبوتهما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مرّت إلیه الإشارة آنفا؛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الاقتصار فی معرفة کونه مؤمنا علی العلم و ما یفیده؟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لثبوت إیمان المرء مطلقا بظاهر حاله و قوله و دعواه، بلا خلاف ظاهر فیه فیما أعلم، بل و لعلّه موضع وفاق، فهو الحجّة، کأصالة حمل فعل غیر المسلم و فعله کقوله و فعله علی الصحّة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الأصل و الاستصحاب و العمومات المانعة عن نقض الیقین إلّا بالیقین فیما لو علم تولّده علی الإیمان و بقاؤه علیه و لو تبعا و حکما، و العمومات النافیة للعسر و الحرج فی الشریعة، المؤیّدة أو المعتضدة بغیرها من الأخبار و الاعتبار،</w:t>
      </w:r>
    </w:p>
    <w:p>
      <w:pPr>
        <w:pStyle w:val="BookText"/>
        <w:rPr/>
      </w:pPr>
      <w:r>
        <w:rPr>
          <w:rFonts w:ascii="IRNazanin" w:hAnsi="IRNazanin" w:eastAsia="IRNazanin"/>
          <w:color w:val="111111"/>
          <w:sz w:val="28"/>
          <w:sz w:val="28"/>
          <w:szCs w:val="28"/>
          <w:rtl w:val="true"/>
          <w:lang w:bidi="fa-IR"/>
        </w:rPr>
        <w:t>و بشهادة العدلین أیضا، بلا خلاف فیه فیما أعلم، بل و لعلّه علیه الإجماع، کما یظهر من کلماتهم، و 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مرّ، و بالشیاع و الخبر العدل الواحد المفیدین للظنّ أیضا بلا خلاف فیه أیضا، بل و لعلّه علیه الإجماع قولا و فعلا، کما لا یخفی علی المطّلع علی أقوالهم و أفعاله، و هو الحجّة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الاقتصار فی معرفة کونه عادلا علی العلم و ما یفیده، فلا یثبت بغیره؟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لثبوت العدالة بقول مطلق شرعا بشهادة العدلین، بلا خلاف ظاهر أجده فیه کما عن مجمع الفائدة</w:t>
      </w:r>
      <w:r>
        <w:rPr>
          <w:rStyle w:val="FootnoteAnchor"/>
          <w:rtl w:val="true"/>
        </w:rPr>
        <w:footnoteReference w:id="533"/>
      </w:r>
      <w:r>
        <w:rPr>
          <w:rFonts w:ascii="IRNazanin" w:hAnsi="IRNazanin" w:eastAsia="IRNazanin"/>
          <w:color w:val="111111"/>
          <w:sz w:val="28"/>
          <w:sz w:val="28"/>
          <w:szCs w:val="28"/>
          <w:rtl w:val="true"/>
          <w:lang w:bidi="fa-IR"/>
        </w:rPr>
        <w:t>، بل و لعلّه علیه الإجماع کما فی کلام بعض السادة الأجلّة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فی هذا الباب؛ مضافا إلی ما مرّت إلیه الإشارة و غیرها ممّا یأتی إن شاء اللّه فی محلّه؛ و بالمعاشرة المفیدة للظنّ بها علی الأصحّ، وفاقا لظاهر جماعة، و صریح اخری، و للمحکیّ فی بعض العبائر عن صریح مجمع البیان و المختلف و المنتهی و التذکرة و القواعد و التحریر و الشرائع و الإرشاد و المسالک و روض الجنان و مجمع الفائدة و کنز العرفان و الموجز،</w:t>
      </w:r>
      <w:r>
        <w:rPr>
          <w:rStyle w:val="FootnoteAnchor"/>
          <w:rtl w:val="true"/>
        </w:rPr>
        <w:footnoteReference w:id="534"/>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علیه فی ظاهر جملة من العبائر، ففی کلام بعض السادة من أفاضل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إطباق العلماء علی جواز الاجتزاء بالظنّ بتحقّقها من المعاشرة، و فی کلام بعض فضلاء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العلم بتحقّقها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العبارات الآتیة الظاهرة الدالّة علی أنّ الاکتفاء بالظنّ بها مطلقا مجمع علیه؛ فترقّب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النافیة للعسر و الحرج فی الشریعة؛ بناء علی استلزام القول بعدم ثبوتها بها خصوصا فیما نحن فیه لذلک، إمّا مطلقا أو فی الجملة، مع عدم ظهور القائل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السادة الأجلّة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العلم ممّا یوجب الاختلال بکثیر من الامور المهمّة التی لا بدّ منها فی المعاش و المعاد، و اللازم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و إن لم ندّع استحالة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ادّعی فی المختلف و الروض و غیرهما</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الإنصاف أنّه فی غایة الندرة، و أنّه لیس إلّا فی واحد بعد واحد، فلو اعتبرنا العلم یلزم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نقطع فی أنّ الترغیب البلیغ و التحثیث الأکید من الشارع فی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للاهتمام و المحافظة علیها و تداولها بین الناس، و قد استفاض دعوی الإجماع فی توقّفها علی العدالة، فلو اعتبرنا العلم بها لا یتأتّی ذلک، و هکذا الحال فی المرافعات و الحدود و غیرها</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المعتبرة الدالّة علی الاکتفاء فی ثبوت العدالة مطلقا بظهورها و الظنّ بها، المؤیّدة أو المعتضدة بما سیأتی إلیه الإشارة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للمحکیّ فی بعض العبائر عن ظاهر موضع من المختلف و الذکری، فقالا بعدم ثبوتها به</w:t>
      </w:r>
      <w:r>
        <w:rPr>
          <w:rStyle w:val="FootnoteAnchor"/>
          <w:rtl w:val="true"/>
        </w:rPr>
        <w:footnoteReference w:id="537"/>
      </w:r>
      <w:r>
        <w:rPr>
          <w:rFonts w:ascii="IRNazanin" w:hAnsi="IRNazanin" w:eastAsia="IRNazanin"/>
          <w:color w:val="111111"/>
          <w:sz w:val="28"/>
          <w:sz w:val="28"/>
          <w:szCs w:val="28"/>
          <w:rtl w:val="true"/>
          <w:lang w:bidi="fa-IR"/>
        </w:rPr>
        <w:t>، و لا وجه لهما عدا الأصل و العمومات المندفع کلّ منهما بما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بشهادة العدل الواحد المفید للظنّ بها أیضا، إمّا مطلقا، أو هنا خاصّة، بلا خلاف صریح ظاهر أجده فیه هنا، بل و لعلّه علیه الإجماع، کما یظهر من جملة من العبائر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فی هذا الباب، المعتضدة أو المؤیّدة بالمعتبرة المشار إلیها، و بعموم ما دلّ علی حجّیّة قول المفتی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بالشیاع المفید للظنّ بها، إمّا مطلقا، أو هنا خاصّة، بلا خلاف ظاهر أجده فیه هنا، بل و لعلّه علیه الإجماع، کما فی ظاهر جملة من العبائر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المعتضدة أو المؤیّدة بما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باقتداء العدلین به فی الصلاة، المفید للظنّ بها علی الأصحّ، وفاقا للمحکیّ عن الدروس و الروض و الروضة و الموجز؛</w:t>
      </w:r>
      <w:r>
        <w:rPr>
          <w:rStyle w:val="FootnoteAnchor"/>
          <w:rtl w:val="true"/>
        </w:rPr>
        <w:footnoteReference w:id="538"/>
      </w:r>
      <w:r>
        <w:rPr>
          <w:rFonts w:ascii="IRNazanin" w:hAnsi="IRNazanin" w:eastAsia="IRNazanin"/>
          <w:color w:val="111111"/>
          <w:sz w:val="28"/>
          <w:sz w:val="28"/>
          <w:szCs w:val="28"/>
          <w:rtl w:val="true"/>
          <w:lang w:bidi="fa-IR"/>
        </w:rPr>
        <w:t>لاعتبار الظنّ بها فی ثبوتها بحکم ما مرّ، و سیأتی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باستفتاء العدلین العارفین و تقلیدهما له، و تحاکمهما إلیه، المفید للظنّ بها أیضا علی الأقرب کذلک،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فی معرفة کونه مجتهدا و فقیها الاقتصار علی العلم به، فلا یثبت بغیره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إلی ظاهر الذریعة و المعارج</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فیثبت بغیره أیضا کما علیه المعظم؟ قولان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المعتمد هو الثانی؛ لثبوته بشهادة العدلین علی الأصحّ، وفاقا لصریح جماعة، منهم شیخنا الشهید الثانی فی المنیة، و ولده فی المعالم،</w:t>
      </w:r>
      <w:r>
        <w:rPr>
          <w:rStyle w:val="FootnoteAnchor"/>
          <w:rtl w:val="true"/>
        </w:rPr>
        <w:footnoteReference w:id="540"/>
      </w:r>
      <w:r>
        <w:rPr>
          <w:rFonts w:ascii="IRNazanin" w:hAnsi="IRNazanin" w:eastAsia="IRNazanin"/>
          <w:color w:val="111111"/>
          <w:sz w:val="28"/>
          <w:sz w:val="28"/>
          <w:szCs w:val="28"/>
          <w:rtl w:val="true"/>
          <w:lang w:bidi="fa-IR"/>
        </w:rPr>
        <w:t>و ظاهر اخری ممّا یأتی إلی ذکرهم الإشارة؛ لما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سیأتی من حجّیّة الظنّ فی مثل المقام، و لا شکّ فی إفادتها الظنّ به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دلّ علی ثبوت ولایة القاضی، مع عدم ظهور القائل بالفرق، أو ظهور عدمه، أو فحواه؛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للمحکیّ عن ظاهر الذریعة و المعارج و الجعفریّة و الوافیة، فقالوا بعدمه</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لا وجه لهم، عدا الأصل و العمومات المندفع کلّ منهما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542"/>
      </w:r>
      <w:r>
        <w:rPr>
          <w:rFonts w:ascii="IRNazanin" w:hAnsi="IRNazanin" w:eastAsia="IRNazanin"/>
          <w:color w:val="111111"/>
          <w:sz w:val="28"/>
          <w:sz w:val="28"/>
          <w:szCs w:val="28"/>
          <w:rtl w:val="true"/>
          <w:lang w:bidi="fa-IR"/>
        </w:rPr>
        <w:t>بالخبر الواحد العدل، المفید للظنّ، کما صرّح به بعض الأعلام، لما مرّ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بغیر ما ذکر من الأسباب و الأمارات المفیدة للظنّ به و لو کان دعوی المدّعی، بلا خلاف صریح ظاهر أجده فیه، بل و لعلّه علیه الإجماع، کما فی ظاهر جملة من العبائر</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ففی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أنّه لا یجوز أن یستفتی إلّا من غلب علی ظنّه أنّه من أهل الاجتهاد و الورع، بأن یراه منتصبا للفتوی بمشهد من الخلق، و علی أنّه لا یجوز أن یسأل من یظنّه غیر عالم و لا متدیّن</w:t>
      </w:r>
      <w:r>
        <w:rPr>
          <w:rFonts w:eastAsia="IRNazanin" w:cs="IRNazanin"/>
          <w:color w:val="111111"/>
          <w:sz w:val="28"/>
          <w:szCs w:val="28"/>
          <w:rtl w:val="true"/>
          <w:lang w:bidi="fa-IR"/>
        </w:rPr>
        <w:t>.</w:t>
      </w:r>
      <w:r>
        <w:rPr>
          <w:rStyle w:val="FootnoteAnchor"/>
          <w:rtl w:val="true"/>
        </w:rPr>
        <w:footnoteReference w:id="54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أنّه لا یجوز استفتاء من اتّفق، بل یجب أن یجمع المفتی 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و لا یجب علی المستفتی الاجتهاد البالغ فی معرفة المجتهد المتورّع، بل یکفیه البناء علی الظاهر، بأن یراه منتصبا للفتوی بمشهد من الخلق، و یری اجتماع الخلق علیه، و الانقیاد إلی ما یفتیهم به، و إقبال المسلمین علی سؤاله، و قد وقع الإجماع علی أنّه لا یجوز أن یقلّد من یظنّه غیر عالم و لا متدیّن، و إنّما وجب علیه ذلک لأنّه بمنزلة نظر المجتهد</w:t>
      </w:r>
    </w:p>
    <w:p>
      <w:pPr>
        <w:pStyle w:val="BookText"/>
        <w:rPr/>
      </w:pPr>
      <w:r>
        <w:rPr>
          <w:rFonts w:ascii="IRNazanin" w:hAnsi="IRNazanin" w:eastAsia="IRNazanin"/>
          <w:color w:val="111111"/>
          <w:sz w:val="28"/>
          <w:sz w:val="28"/>
          <w:szCs w:val="28"/>
          <w:rtl w:val="true"/>
          <w:lang w:bidi="fa-IR"/>
        </w:rPr>
        <w:t>فی الأمارات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المستفتی علمه بصحّة اجتهاد المفتی، بل یجب علیه ظنّه أنّه من أهل الاجتهاد و الورع، و إنّما یحصل له الظنّ برؤیته له منتصبا له للفتوی بمشهد من الخلق، و اجتماع المسلمین علی استفتائه و تعظیمه، و إذا غلب علی ظنّ المستفتی أنّ المفتی غیر عالم و لا متدیّن، حرم استفتاؤه إجماعا؛ لأنّه بمنزلة نظر المجتهد فی الأمارات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فی شرح المبادی لفخر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أنّه لا یجوز استفتاء من اتّفق، بل یجب أن یجمع الاجتهاد و الورع، و لا یجب علی المستفتی الاجتهاد البالغ فی معرفة المجتهد المتورّع، بل یکفی البناء علی غلبة الظنّ، بأن یراه منتصبا للفتوی بمشهد من الخلق، و یری اجتماع الخلق علیه و الانقیاد إلی ما یفتیهم به، و إقبال المسلمین علی سؤاله، و قد وقع الإجماع علی أنّه لا یجوز أن یقلّد من یظنّه غیر عالم و لا متدیّن</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فی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واقع علی أنّه لا یجوز تقلید من یظنّه غیر عالم و لا متدیّن،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الواجب علی المستفتی استفتاء من یغلب علی ظنّه وصفی العلم و الورع</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فی 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أنّ العامی لیس له أن یستفتی إلّا من غلب علی ظنّه أنّه من أهل الاجتهاد و الورع، بأن یراه منتصبا للفتوی بمشهد من الخلق، و یری إجماع المسلمین علی سؤاله</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فی إحکام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بوجوب الاستفتاء علی العامی اتّفقوا علی جواز استفتائه لمن عرفه بالعلم و أهلیّة الاجتهاد و العدالة، بأن یراه منتصبا للفتوی و الناس متّفقون علی سؤاله و الاعتقاد فیه، و علی امتناعه فیمن عرفه بالضدّ من ذلک</w:t>
      </w:r>
      <w:r>
        <w:rPr>
          <w:rFonts w:eastAsia="IRNazanin" w:cs="IRNazanin"/>
          <w:color w:val="111111"/>
          <w:sz w:val="28"/>
          <w:szCs w:val="28"/>
          <w:rtl w:val="true"/>
          <w:lang w:bidi="fa-IR"/>
        </w:rPr>
        <w:t>.</w:t>
      </w:r>
      <w:r>
        <w:rPr>
          <w:rStyle w:val="FootnoteAnchor"/>
          <w:rtl w:val="true"/>
        </w:rPr>
        <w:footnoteReference w:id="55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مختصر الحاجبی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استفتاء من عرف بالعلم و العدالة، أو یراه</w:t>
      </w:r>
    </w:p>
    <w:p>
      <w:pPr>
        <w:pStyle w:val="BookText"/>
        <w:rPr/>
      </w:pPr>
      <w:r>
        <w:rPr>
          <w:rFonts w:ascii="IRNazanin" w:hAnsi="IRNazanin" w:eastAsia="IRNazanin"/>
          <w:color w:val="111111"/>
          <w:sz w:val="28"/>
          <w:sz w:val="28"/>
          <w:szCs w:val="28"/>
          <w:rtl w:val="true"/>
          <w:lang w:bidi="fa-IR"/>
        </w:rPr>
        <w:t>منتصبا و الناس مستفتون معظّمون، و علی امتناعه فی ضدّه</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عن شرح العضدی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المستفتی إمّا أن یظنّ المفتی علمه و عدالته، أو عدم علمه و عدالته، أو یجهل حاله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ظنّ علمه و عدالته إمّا بالخبر، و إمّا بأن یراه منتصبا للفتوی و الناس متّفقون علی سؤاله و تعظیمه؛ فیستفتیه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ظنّ عدم علمه، أو عدم عدالته، أو کلاهما، فلا یستفتیه اتّفاقا انتهی</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هو الحجّة فی ذلک، مضافا إلی ما أفاده سیّدنا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الاقتصار علی العلم و شهادة العدلین بذلک حرجا عظیما کما لا یخفی، فلیس بلازم، فیلزم حجّیّة الظنّ مطلقا؛ إذ لا قائل بالفصل علی الظاهر، و أنّ الاعتماد علی الظنّ مطلقا فی ذلک هو المعهود من سیرة المسلمین، کما لا یخفی؛ مضافا إلی شهرة القائل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 فحوی ما دلّ علی قبول شهادة العدلین، و مرسل یونس عن مولانا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أشیاء یجب علی الناس الأخذ بظاهر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الولایات، و المناکح، و الذبائح، و الشهادات، و الأنساب</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عدم إشارة العلّامة و ابنه و السیّد عمید الدین و الشهید إلی وجود المخالف فی ذلک، انتهی</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أو یعضده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حمل فعل المسلم و قوله علی الصحّة؛ فتنبّه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فی معرفة کونه طاهر المولد الاقتصار علی العلم به و ما یفیده، فلا یثبت بغیره؟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یکفیه عدم العلم به، و عدم ثبوته أیضا بالشهادة المعتبرة إجماعا</w:t>
      </w:r>
    </w:p>
    <w:p>
      <w:pPr>
        <w:pStyle w:val="BookText"/>
        <w:rPr/>
      </w:pPr>
      <w:r>
        <w:rPr>
          <w:rFonts w:ascii="IRNazanin" w:hAnsi="IRNazanin" w:eastAsia="IRNazanin"/>
          <w:color w:val="111111"/>
          <w:sz w:val="28"/>
          <w:sz w:val="28"/>
          <w:szCs w:val="28"/>
          <w:rtl w:val="true"/>
          <w:lang w:bidi="fa-IR"/>
        </w:rPr>
        <w:t>فتوی و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فی معرفة کونه حال الإفتاء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حکم اللّه الاقتصار علی العلم و ما یفیده، فلا یثبت بغیره؟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یکفیه عدم العلم بکونه غیر عالم کذلک به، و الاعتماد علی ظاهر حاله، بلا خلاف ظاهر یفید به فیه فیما أعلم؛ لأصالة حمل فعل المسلم و قوله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الإجماع المنقول علیه فی صریح موضع من نهایة الاصول،</w:t>
      </w:r>
      <w:r>
        <w:rPr>
          <w:rStyle w:val="FootnoteAnchor"/>
          <w:rtl w:val="true"/>
        </w:rPr>
        <w:footnoteReference w:id="555"/>
      </w:r>
      <w:r>
        <w:rPr>
          <w:rFonts w:ascii="IRNazanin" w:hAnsi="IRNazanin" w:eastAsia="IRNazanin"/>
          <w:color w:val="111111"/>
          <w:sz w:val="28"/>
          <w:sz w:val="28"/>
          <w:szCs w:val="28"/>
          <w:rtl w:val="true"/>
          <w:lang w:bidi="fa-IR"/>
        </w:rPr>
        <w:t>و العمومات النافیة للعسر و الحرج فی الشریعة، و النافیة للتکلیف بما فوق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المحکیّ عن السیّد المرتضی فی المسائل التبّانیّات و من السیّد ابن زهرة فی الغنیة وجوب الاقتصار فیه علی العلم به</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هو کما تری، سیّما بعد ما ستقف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فی معرفة کونه أعلم و أورع حیثما قلنا باشتراطه علی العلم به و ما یفیده، فلا یثبت بغیره؟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لثبوته أیضا بغیره ممّا یثبت الاجتهاد و الفقاهة؛ لعین 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فی معرفة کونه حیّا حیثما قلنا باشتراطه الاقتصار علی العلم و ما یفیده، فلا یثبت بغیره؟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لثبوته بما یثبت به الاجتهاد و الفقاهة؛ لما مرّت إلیه الإشارة، و بالاستصحاب أیضا فیما لو علم حیاته ثمّ شکّ فی بقائها علی احتمال قویّ؛ فتأمّل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یکون قاطعا فی الواقعة المحتاج إلی حکمها ببطلان ما أدّی إلیه اجتهاده و لو إجمالا و حکما، فلا یصحّ له فیما لو علم بذلک الاستفتاء عنه و العمل به حینئذ إجماعا</w:t>
      </w:r>
    </w:p>
    <w:p>
      <w:pPr>
        <w:pStyle w:val="BookText"/>
        <w:rPr/>
      </w:pPr>
      <w:r>
        <w:rPr>
          <w:rFonts w:ascii="IRNazanin" w:hAnsi="IRNazanin" w:eastAsia="IRNazanin"/>
          <w:color w:val="111111"/>
          <w:sz w:val="28"/>
          <w:sz w:val="28"/>
          <w:szCs w:val="28"/>
          <w:rtl w:val="true"/>
          <w:lang w:bidi="fa-IR"/>
        </w:rPr>
        <w:t>فتوی و دلیلا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یلحق به ما لو ظنّ ببطلانه،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بکون التقلید من باب الأسباب و التعبّد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للأصل أو الاصول و العمومات الدالّة علی عدم العبرة بالظنّ، و الدالّة علی صحّة فتوی المفتی و العمل بها، السلیمة عمّا یصلح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بکونه من باب الظنّ، فالمعتمد هو الأوّل؛ للظنّ بخلاف ما أفتی به، و بعدم کونه حکم اللّه فی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یلحق به ما إذا قطع بفساد مدرک المجتهد فی الحکم مع عدم القطع بفساد أصل الحکم، فلا یصحّ الاستفتاء عنه و لا التقلید بما أفتی به، أم لا، فیصحّ، و یحکم بالصحّة تعبّدا؟</w:t>
      </w:r>
    </w:p>
    <w:p>
      <w:pPr>
        <w:pStyle w:val="BookText"/>
        <w:rPr/>
      </w:pPr>
      <w:r>
        <w:rPr>
          <w:rFonts w:ascii="IRNazanin" w:hAnsi="IRNazanin" w:eastAsia="IRNazanin"/>
          <w:color w:val="111111"/>
          <w:sz w:val="28"/>
          <w:sz w:val="28"/>
          <w:szCs w:val="28"/>
          <w:rtl w:val="true"/>
          <w:lang w:bidi="fa-IR"/>
        </w:rPr>
        <w:t>وجهان، و لکنّ المعتمد هو الثانی؛ وفاقا لصریح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557"/>
      </w:r>
      <w:r>
        <w:rPr>
          <w:rFonts w:ascii="IRNazanin" w:hAnsi="IRNazanin" w:eastAsia="IRNazanin"/>
          <w:color w:val="111111"/>
          <w:sz w:val="28"/>
          <w:sz w:val="28"/>
          <w:szCs w:val="28"/>
          <w:rtl w:val="true"/>
          <w:lang w:bidi="fa-IR"/>
        </w:rPr>
        <w:t>و ظاهر غیره من الأصحاب؛ للعمومات الدالّة علی صحّة التقلید مطلقا، و علی کونه من قبیل الأسباب، السلیمة عمّا یصلح للمعارضة، المعتضدة أو المؤیّدة بإطلاق الفتاوی و الإجماعات المنقولة علی حجّیّة قول المفتی، و علی کون ما أدّی إلیه اجتهاده حکم اللّه فی حقّه و حقّ مقلّدیه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و لو حکما فی اعتقاده و بینه و بین اللّه بکون ما أفتی به المفتی الجامع للشرائط حکم اللّه الشرعی فی حقّه، و حجّة شرعیّة له، فلو کان جاهلا بذلک لم یصحّ له الاستفتاء، و یکون فعله لغوا غیر صحیح، بلا خلاف فی ذلک فتوی و دلیلا کما مرّ و سیأتی إلیه الإشارة</w:t>
      </w:r>
      <w:r>
        <w:rPr>
          <w:rFonts w:eastAsia="IRNazanin" w:cs="IRNazanin"/>
          <w:color w:val="111111"/>
          <w:sz w:val="28"/>
          <w:szCs w:val="28"/>
          <w:rtl w:val="true"/>
          <w:lang w:bidi="fa-IR"/>
        </w:rPr>
        <w:t>.</w:t>
      </w:r>
      <w:bookmarkStart w:id="287" w:name="pg19819_193518"/>
    </w:p>
    <w:p>
      <w:pPr>
        <w:pStyle w:val="Heading5"/>
        <w:numPr>
          <w:ilvl w:val="4"/>
          <w:numId w:val="1"/>
        </w:numPr>
        <w:rPr/>
      </w:pPr>
      <w:bookmarkStart w:id="288" w:name="__RefHeading___Toc3055621_2314609296"/>
      <w:bookmarkStart w:id="289" w:name="_Toc114"/>
      <w:bookmarkEnd w:id="287"/>
      <w:bookmarkEnd w:id="288"/>
      <w:r>
        <w:rPr>
          <w:rtl w:val="true"/>
        </w:rPr>
        <w:t>البحث الثانی فیما یتعلّق به من الآداب و لنذکره فی ضمن مسائل</w:t>
      </w:r>
      <w:r>
        <w:rPr>
          <w:rtl w:val="true"/>
        </w:rPr>
        <w:t>:</w:t>
      </w:r>
      <w:bookmarkEnd w:id="28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للمستفتی أن یتأدّب مع المفتی و یبجّله فی خطابه و جوابه و نحو ذلک، و لا یومئ بیده إلی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تحفظه فی کذا و کذا، و لا إذا 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فهمت،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لی، أو نحو ذلک،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أفتانی فلان أو غیرک بهذا أو بخلافه،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جوابک موافقا لما کتب فاکتب،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یسأله و هو قائم و لا مستوفز</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 لا مشغول بما یمنعه من تمام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یطالبه بدلیل، و لا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کذا؟ فإن أحبّ أن تسکن نفسه بسماع الحجّة، طلبها فی مجلس آخر، أو فی ذلک المجلس بعد قبول الفتوی مجرّدة</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جیّد، و یعضده أیضا ما یدلّ علی رجحان تعظیم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دلّ علی حرّیّة الرجال أو العلماء، و لعلّه یأتی إلی بعضها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جمع خطّ المفتین فی ورقة واحدة، فالأولی البداءة بالأعلم فالأعلم، ثمّ بالأورع، ثمّ بالأعدل، ثمّ بالأسنّ، و هکذا، علی ترتیب المرجّحات 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إفراد الأجوبة فی رقاع، بدأ بمن شاء، و لتکن رقعة الاستفتاء واسعة، لیتمکّن المفتی من استیفاء الجواب واضحا، لا مختصرا مضرّا بالمستفتی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قاله أیضا فی المنیة،</w:t>
      </w:r>
      <w:r>
        <w:rPr>
          <w:rStyle w:val="FootnoteAnchor"/>
          <w:rtl w:val="true"/>
        </w:rPr>
        <w:footnoteReference w:id="560"/>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یستفتی بنفسه، و أن یبعث ثقة یعتمد علیه أو رقعة، و له الاعتماد علی خطّ المفتی إذا أخبره عدل أنّه خطّه، أو کان یعرف خطّه و لم یشکّ فی کون ذلک</w:t>
      </w:r>
    </w:p>
    <w:p>
      <w:pPr>
        <w:pStyle w:val="BookText"/>
        <w:rPr/>
      </w:pPr>
      <w:r>
        <w:rPr>
          <w:rFonts w:ascii="IRNazanin" w:hAnsi="IRNazanin" w:eastAsia="IRNazanin"/>
          <w:color w:val="111111"/>
          <w:sz w:val="28"/>
          <w:sz w:val="28"/>
          <w:szCs w:val="28"/>
          <w:rtl w:val="true"/>
          <w:lang w:bidi="fa-IR"/>
        </w:rPr>
        <w:t>الجواب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یعرف لغة المفتی، افتقر إلی المترجم العدل، و هل یکفی الواحد، أم یشترط عدلان؟ وجهان، أجودهما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قاله أیضا فیها،</w:t>
      </w:r>
      <w:r>
        <w:rPr>
          <w:rStyle w:val="FootnoteAnchor"/>
          <w:rtl w:val="true"/>
        </w:rPr>
        <w:footnoteReference w:id="561"/>
      </w:r>
      <w:r>
        <w:rPr>
          <w:rFonts w:ascii="IRNazanin" w:hAnsi="IRNazanin" w:eastAsia="IRNazanin"/>
          <w:color w:val="111111"/>
          <w:sz w:val="28"/>
          <w:sz w:val="28"/>
          <w:szCs w:val="28"/>
          <w:rtl w:val="true"/>
          <w:lang w:bidi="fa-IR"/>
        </w:rPr>
        <w:t>و لا بأس به، غیر أنّ فی اشتراط العدلین فی المترجم مع تعذّرهما أو تعسّرهما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کاتب الرقعة ممّن یحسن السؤال، و یضعه علی الغرض مع إبانة الخطّ و اللفظ، و صیانتهما عمّا یتعرّض للتصحیف، و یبیّن مواضع السؤال و ینقط مواضع الاشتباه و یضبطها، و إن کان من أهل العلم، فهو أجود، و کان بعض العلماء لا یکتب فتواه إلّا فی رقعة کتبها رجل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قاله أیضا فیها،</w:t>
      </w:r>
      <w:r>
        <w:rPr>
          <w:rStyle w:val="FootnoteAnchor"/>
          <w:rtl w:val="true"/>
        </w:rPr>
        <w:footnoteReference w:id="562"/>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 الدعاء فی الرقعة للمفتی، فإن اقتصر علی فتوی واحد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رحمک اللّه،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سدّدک، 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عن والدیک و نحو ذلک؛ و لا یحسن أن یدخل نفسه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جواب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رضی اللّه عنکم؟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الفقهاء سدّدهم اللّه،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أیّدهم؟ و نحوه؛ و إن أتی بعبارة الجمع لتعظیم الواحد فهو أولی، و یدفع الرقعة إلی المفتی منشورة و یأخذها منشورة، و لا یحوجه إلی نشرها و لا إلی 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قاله أیضا فیها،</w:t>
      </w:r>
      <w:r>
        <w:rPr>
          <w:rStyle w:val="FootnoteAnchor"/>
          <w:rtl w:val="true"/>
        </w:rPr>
        <w:footnoteReference w:id="563"/>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المحاسن و غیره مسندا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من مجلسه تعظیما 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 إلّا لرجل فی الدین</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أیضا فی المحاسن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جلست إلی عالم فکن علی أن تسمع أحرص منک علی أن تقول، و تعلم حسن الاستماع کما تعلم حسن القول، و لا تقطع حدیثه</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أیضا فی المحاسن و غیره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حقّ العالم أن لا تکثر علیه السؤال، و لا تجرّ علیه بثوبه، و إذا دخلت علیه و عنده قوم فسلّم علیهم جمیعا، و خصّه بالتحیّة دونهم، و اجلس بین یدیه، و لا تجلس خلفه، و لا تغمز بعینیک، و لا تشر بیدک، و لا تکثر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 قال فلان، خلافا لقوله، و لا تضجر بطول صحبته، فإنّما مثل العالم مثل النخلة، ینتظر بها متی یسقط علیک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6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عن علیّ بن الحسین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سائسک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التعظیم له، و التوقیر لمجلسه، و حسن الاستماع إلیه، و الإقبال علیه، و أن لا ترفع علیه صوتک، و لا تجیب أحدا یسأله عن شی‌ء حتّی یکون هو الذی یجیب، و لا تحدّث أحدا فی مجلسه، و لا تغتاب عنده أحدا، و أن تدفع عنه إذا ذکر عندک بسوء، و أن تستر عیوبه، و تظهر مناقبه، و لا تجالس له عدوّا، و لا تعادی له ولیّا، فإذا فعلت ذلک، شهدت لک ملائکة اللّه بأنّک قصدته، و تعلّمت علمه للّه جلّ اسمه لا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رعیّتک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تعلم أنّ اللّه عزّ و جلّ إنّما جعلک قیّما لهم فیما آتاک من العلم، و فتح لک من خزائنه الحکمة؛ فإن أحسنت فی تعلیم الناس، و لم تخرق</w:t>
      </w:r>
      <w:r>
        <w:rPr>
          <w:rStyle w:val="FootnoteAnchor"/>
          <w:rtl w:val="true"/>
        </w:rPr>
        <w:footnoteReference w:id="567"/>
      </w:r>
      <w:r>
        <w:rPr>
          <w:rFonts w:ascii="IRNazanin" w:hAnsi="IRNazanin" w:eastAsia="IRNazanin"/>
          <w:color w:val="111111"/>
          <w:sz w:val="28"/>
          <w:sz w:val="28"/>
          <w:szCs w:val="28"/>
          <w:rtl w:val="true"/>
          <w:lang w:bidi="fa-IR"/>
        </w:rPr>
        <w:t>بهم، و لم تضجر علیهم، زادک اللّه من فضله؛ و إن أنت منعت الناس علمک، أو خرقت بهم عند طلبهم العلم منک، کان حقّا علی اللّه عزّ و جلّ أن یسلبک العلم و بهاءه، و یسقط من القلوب محلّک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68"/>
      </w:r>
      <w:bookmarkStart w:id="290" w:name="pg19819_193521"/>
    </w:p>
    <w:p>
      <w:pPr>
        <w:pStyle w:val="Heading5"/>
        <w:numPr>
          <w:ilvl w:val="4"/>
          <w:numId w:val="1"/>
        </w:numPr>
        <w:rPr/>
      </w:pPr>
      <w:bookmarkStart w:id="291" w:name="__RefHeading___Toc3055623_2314609296"/>
      <w:bookmarkStart w:id="292" w:name="_Toc115"/>
      <w:bookmarkEnd w:id="290"/>
      <w:bookmarkEnd w:id="291"/>
      <w:r>
        <w:rPr>
          <w:rtl w:val="true"/>
        </w:rPr>
        <w:t>البحث الثالث فیما یتعلّق به من الأحکام و فیه مسائل</w:t>
      </w:r>
      <w:r>
        <w:rPr>
          <w:rtl w:val="true"/>
        </w:rPr>
        <w:t>:</w:t>
      </w:r>
      <w:bookmarkEnd w:id="292"/>
    </w:p>
    <w:p>
      <w:pPr>
        <w:pStyle w:val="Heading6"/>
        <w:numPr>
          <w:ilvl w:val="5"/>
          <w:numId w:val="1"/>
        </w:numPr>
        <w:rPr/>
      </w:pPr>
      <w:bookmarkStart w:id="293" w:name="__RefHeading___Toc3055625_2314609296"/>
      <w:bookmarkStart w:id="294" w:name="_Toc116"/>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المکلّفین جامعا للشروط السالفة المعتبرة فی الاستفتاء و التقلید، هل یجوز و یصحّ له التقلید و العمل بفتوی المفتی الجامع للشرائط حیثما أمکن مطلقا؟ کما فی العدّة،</w:t>
      </w:r>
      <w:r>
        <w:rPr>
          <w:rStyle w:val="FootnoteAnchor"/>
          <w:rtl w:val="true"/>
        </w:rPr>
        <w:footnoteReference w:id="569"/>
      </w:r>
      <w:r>
        <w:rPr>
          <w:rFonts w:ascii="IRNazanin" w:hAnsi="IRNazanin" w:eastAsia="IRNazanin"/>
          <w:color w:val="111111"/>
          <w:sz w:val="28"/>
          <w:sz w:val="28"/>
          <w:szCs w:val="28"/>
          <w:rtl w:val="true"/>
          <w:lang w:bidi="fa-IR"/>
        </w:rPr>
        <w:t>و موضع من السرائر و النهایة و التهذیب و القواعد و الإرشاد و التحریر و الذکری و الألفیّة و الجعفریّة و حاشیة الشرائع و منیة اللبیب و منیة المرید و الروضة و التمهید و المسالک و المعالم و غایة المأمول و غیرها، و عن الذریعة و المعارج و المبادی و التبصرة و التذکرة و الإیضاح و شرح المبادی و الدروس و القواعد الشهیدیّة و المقاصد العلیّة</w:t>
      </w:r>
      <w:r>
        <w:rPr>
          <w:rFonts w:eastAsia="IRNazanin" w:cs="IRNazanin"/>
          <w:color w:val="111111"/>
          <w:sz w:val="28"/>
          <w:szCs w:val="28"/>
          <w:rtl w:val="true"/>
          <w:lang w:bidi="fa-IR"/>
        </w:rPr>
        <w:t>.</w:t>
      </w:r>
      <w:r>
        <w:rPr>
          <w:rStyle w:val="FootnoteAnchor"/>
          <w:rtl w:val="true"/>
        </w:rPr>
        <w:footnoteReference w:id="57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لا؟ بل یتعیّن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تحصیل العلم بالحکم الشرعی الفرعی کلزوم تحصیله فی اصول الدین، کما یظهر من السیّد السند المرتضی فی بعض رسائله و لعلّه التبّانیّات، و السیّد ابن زهرة فی الغنیة،</w:t>
      </w:r>
      <w:r>
        <w:rPr>
          <w:rStyle w:val="FootnoteAnchor"/>
          <w:rtl w:val="true"/>
        </w:rPr>
        <w:footnoteReference w:id="571"/>
      </w:r>
      <w:r>
        <w:rPr>
          <w:rFonts w:ascii="IRNazanin" w:hAnsi="IRNazanin" w:eastAsia="IRNazanin"/>
          <w:color w:val="111111"/>
          <w:sz w:val="28"/>
          <w:sz w:val="28"/>
          <w:szCs w:val="28"/>
          <w:rtl w:val="true"/>
          <w:lang w:bidi="fa-IR"/>
        </w:rPr>
        <w:t>بل عزّاه فی الأوّل إلی کثیر ممّن نفی الاجتهاد</w:t>
      </w:r>
    </w:p>
    <w:p>
      <w:pPr>
        <w:pStyle w:val="BookText"/>
        <w:rPr/>
      </w:pPr>
      <w:r>
        <w:rPr>
          <w:rFonts w:ascii="IRNazanin" w:hAnsi="IRNazanin" w:eastAsia="IRNazanin"/>
          <w:color w:val="111111"/>
          <w:sz w:val="28"/>
          <w:sz w:val="28"/>
          <w:szCs w:val="28"/>
          <w:rtl w:val="true"/>
          <w:lang w:bidi="fa-IR"/>
        </w:rPr>
        <w:t>و القیاس و العمل بأخبار الآحاد،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ممّن نفی الاجتهاد و القیاس و العمل بأخبار الآحاد فی الشریعة لا یوجب تقلید العامی للعالم، و لا العمل بقوله إلّا بعد العلم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57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w:t>
      </w:r>
      <w:r>
        <w:rPr>
          <w:rStyle w:val="FootnoteAnchor"/>
          <w:rtl w:val="true"/>
        </w:rPr>
        <w:footnoteReference w:id="573"/>
      </w:r>
      <w:r>
        <w:rPr>
          <w:rFonts w:ascii="IRNazanin" w:hAnsi="IRNazanin" w:eastAsia="IRNazanin"/>
          <w:color w:val="111111"/>
          <w:sz w:val="28"/>
          <w:sz w:val="28"/>
          <w:szCs w:val="28"/>
          <w:rtl w:val="true"/>
          <w:lang w:bidi="fa-IR"/>
        </w:rPr>
        <w:t>الاجتهاد، کالمجتهد، فلا یشرع له التقلید و العمل بفتوی المفتی الجامع للشرائط أصلا، کما عزّاه فی الذکری إلی بعض قدماء الإمامیّة و فقهاء حلب،</w:t>
      </w:r>
      <w:r>
        <w:rPr>
          <w:rStyle w:val="FootnoteAnchor"/>
          <w:rtl w:val="true"/>
        </w:rPr>
        <w:footnoteReference w:id="574"/>
      </w:r>
      <w:r>
        <w:rPr>
          <w:rFonts w:ascii="IRNazanin" w:hAnsi="IRNazanin" w:eastAsia="IRNazanin"/>
          <w:color w:val="111111"/>
          <w:sz w:val="28"/>
          <w:sz w:val="28"/>
          <w:szCs w:val="28"/>
          <w:rtl w:val="true"/>
          <w:lang w:bidi="fa-IR"/>
        </w:rPr>
        <w:t>و فی 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کثیر من قدماء و فقهاء حلب، کأبی الصلاح و ابن حمزة، و جعله فی العدّة أحد قولی أصحابنا؟</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أقوال، أو قولان، و لکنّ المعتمد هو الأوّل؛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المحصّل القولی علیه، و لا سیّما من متأخّری علماء الطائفة، و الإجماع النقلی و العملی من الشیعة کافّة، بل المسلمین کافّة، عدا من شذّ من مجتهدیهم، کما ادّعاه أو أشار إلیه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یدلّ علی حسن تقلید العامی أنّه لا خلاف بین الامّة قدیما و حدیثا فی وجوب رجوع العامی إلی المفتی، و إنّما یلزمه قبول قوله؛ لأنّه غیر متمکّن من العلم بأحکام الحوادث، و من خالف فی ذلک کان خارقا للإجماع، و لیس یمکن للمخالف رفع الإجماع علی الرجوع إلی الفتوی و الإرشاد إلیها، و الإقرار علیها، و إنّما یتأوّل هذا الرجوع بما هو بعید،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رجوع للتنبیه علی النظر و الاستدلال، و هذا التأویل غیر معلوم، ضرورة خلافه، و أنّ العامی لا یستفتی علی وجه طلب التنبیه علی النظر، بل لیلتزم</w:t>
      </w:r>
      <w:r>
        <w:rPr>
          <w:rFonts w:eastAsia="IRNazanin" w:cs="IRNazanin"/>
          <w:color w:val="111111"/>
          <w:sz w:val="28"/>
          <w:szCs w:val="28"/>
          <w:rtl w:val="true"/>
          <w:lang w:bidi="fa-IR"/>
        </w:rPr>
        <w:t>.</w:t>
      </w:r>
      <w:r>
        <w:rPr>
          <w:rStyle w:val="FootnoteAnchor"/>
          <w:rtl w:val="true"/>
        </w:rPr>
        <w:footnoteReference w:id="57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نذهب إلیه أنّه یجوز للعامی الذی لا یقدر علی البحث و التفتیش</w:t>
      </w:r>
    </w:p>
    <w:p>
      <w:pPr>
        <w:pStyle w:val="BookText"/>
        <w:rPr/>
      </w:pPr>
      <w:r>
        <w:rPr>
          <w:rFonts w:ascii="IRNazanin" w:hAnsi="IRNazanin" w:eastAsia="IRNazanin"/>
          <w:color w:val="111111"/>
          <w:sz w:val="28"/>
          <w:sz w:val="28"/>
          <w:szCs w:val="28"/>
          <w:rtl w:val="true"/>
          <w:lang w:bidi="fa-IR"/>
        </w:rPr>
        <w:t>تقلید العالم؛ یدلّ علی ذلک أنّی وجدت عامّة الطائفة من عهد أمیر المؤمنین علیه السّلام إلی زماننا هذا یرجعون إلی علمائنا، و یستفتون فی الأحکام و فی العبادات، و یفتونهم العلماء فیها، و یسوّغون لهم العمل بما یفتونهم به، و ما سمعنا أحدا منهم قال لمستفت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لک الاستفتاء و لا العمل به، بل ینبغی أن تنظر و تعلم کما علمت، و لا أنکر علیه العمل بما یفتونهم، و قد کان منهم الخلق العظیم عاصروا الأئمّة علیهم السّلام، و لم یحک عن واحد من الأئمّة النکیر علی أحد من هؤلاء، و لا إیجاب القول بخلافه، بل کانوا یصوّبونهم فی ذلک، فمن خالف ذلک کان مخالفا لما هو المعلوم خلافه</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فی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للعامی العمل بفتوی العالم فی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علماء الأعصار علی الإذن للعوامّ فی العمل بفتوی العلماء من غیر تناکر، و قد ثبت أنّ إجماع أهل کلّ عصر حجّة</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فی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یجوز التقلید فی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إنکار العلماء فی جمیع الأوقات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فی موضع من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المحقّقون علی أنّه یجوز للعامی تقلید المجتهدین فی فروع الشرع، و کذا من لیس بمجتهد، و إن کان محصّلا لبعض الامور المعتبرة فی الاجتهاد، بل یجب علیه ذلک و الأخذ بقول المفتی</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العامی یلزمه تقلید العلماء بالإجماع</w:t>
      </w:r>
      <w:r>
        <w:rPr>
          <w:rFonts w:eastAsia="IRNazanin" w:cs="IRNazanin"/>
          <w:color w:val="111111"/>
          <w:sz w:val="28"/>
          <w:szCs w:val="28"/>
          <w:rtl w:val="true"/>
          <w:lang w:bidi="fa-IR"/>
        </w:rPr>
        <w:t>.</w:t>
      </w:r>
      <w:r>
        <w:rPr>
          <w:rStyle w:val="FootnoteAnchor"/>
          <w:rtl w:val="true"/>
        </w:rPr>
        <w:footnoteReference w:id="58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فی مقام الاحتجاج 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فإنّه لم یزل العامّة فی زمن الصحابة و التابعین قبل حدوث المخالفین یرجعون فی الأحکام إلی قول المجتهدین و یستفتونهم فی الأحکام الشرعیّة، و العلماء یسارعون إلی الأجوبة من غیر إشارة إلی ذکر دلیل، و لا ینتهونهم علی ذلک، فکان ذلک إجماعا</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التقلید فی أهل الحکم الشرعی إجماعا</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فی موضع من شرح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قد اختلف فی جواز التقلید فی الفروع، فجوّزه الإمامیّة کافّة و أکثر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قبل حدوث المخالف، فإنّه لم یزل العامّة فی زمن الصحابة و التابعین یرجعون فی الأحکام الشرعیّة إلی قول المجتهدین و یستفتونهم فی الأحکام الشرعیّة، و العلماء یسارعون إلی ذکر الأجوبة، من غیر إشارة إلی دلیل، و لم ینکروا علیهم ذلک، فکان إجماعا</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فی منیة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المحقّقون علی ذلک</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فی الذکری بعد ذکر قول فقهاء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إجماع السلف و الخلف علی الاستفتاء من غیر نکیر و لا تعرّض لدلیل بوجه من الوجوه</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فی 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المتأخّرین و المحقّقین من أصحابنا</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فی المعالم بعد أن عزّاه إلی أکثر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غیر واحد من الأصحاب اتّفاق العلماء علی الإذن للعوامّ فی الاستفتاء من غیر تناکر</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فی 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التقلید فی الکتاب المجید، خرجت الفروع بالإجماع، فبقیت الاصول</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 فی موضع من شرحها للفاضل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یدلّ علی تقلید العامی للمجتهد إجماع السلف من الامّة علی ترک النکیر فی تقلید العوامّ للعلماء من غیر مانع لهم من الإنکار، و کذا إجماع التابعین علی ذلک، فکان المخالف فیه مخالفا للإجماع</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علی جواز التقلید فی الفروع، و إن خالف فیه شذوذ،</w:t>
      </w:r>
    </w:p>
    <w:p>
      <w:pPr>
        <w:pStyle w:val="BookText"/>
        <w:rPr/>
      </w:pPr>
      <w:r>
        <w:rPr>
          <w:rFonts w:ascii="IRNazanin" w:hAnsi="IRNazanin" w:eastAsia="IRNazanin"/>
          <w:color w:val="111111"/>
          <w:sz w:val="28"/>
          <w:sz w:val="28"/>
          <w:szCs w:val="28"/>
          <w:rtl w:val="true"/>
          <w:lang w:bidi="fa-IR"/>
        </w:rPr>
        <w:t>سبقهم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من کلام بعض الأعاظم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 البدیهیّات للنساء و العوامّ فی أعصار النبیّ صلّی اللّه علیه و آله و الأئمّة علیهم السّلام، کان بناؤهم علی التقلید، مع أنّ جوازه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الفضلاء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جواز التقلید مطلقا، سواء کان عامیّا بحتا، أو عالما بطرف من العلوم؛ للإجماع المعلوم بتتبّع حال السلف من الإفتاء و الاستفتاء و تقریرهم و عدم إنکارهم و المدّعی فی کلماتهم، و صرّح بالإجماع السیّد المرتضی و غیره من علماء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المفاتیح للسیّد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مجمع علیه</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فی إحکام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العامی و من لیس له أهلیّة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محصّلا لبعض العلوم المعتبرة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اتّباع قول المجتهدین و الأخذ بقوله عند المحقّقین من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النصّ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الإجماع، فهو أنّه لم تزل العامّة من زمن الصحابة و التابعین قبل حدوث المخالفین یستفتون المجتهدین، و یتبعونهم فی الأحکام الشرعیّة، و العلماء منهم یبادرونهم إلی إجابة سؤالهم من غیر إشارة إلی ذکر الدلیل، و لا ینهونهم عن ذلک من غیر نکیر، فکان إجماعا علی جواز اتّباع العامی للمجتهد مطلقا</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فی شرح العضدی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العلماء یستفتون، فیفتون و یتبعون من غیر إبداء المستند، و شاع و ذاع، و لم ینکر علیهم، فکان إجماعا</w:t>
      </w:r>
      <w:r>
        <w:rPr>
          <w:rFonts w:eastAsia="IRNazanin" w:cs="IRNazanin"/>
          <w:color w:val="111111"/>
          <w:sz w:val="28"/>
          <w:szCs w:val="28"/>
          <w:rtl w:val="true"/>
          <w:lang w:bidi="fa-IR"/>
        </w:rPr>
        <w:t>.</w:t>
      </w:r>
      <w:r>
        <w:rPr>
          <w:rStyle w:val="FootnoteAnchor"/>
          <w:rtl w:val="true"/>
        </w:rPr>
        <w:footnoteReference w:id="59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یعضده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الإجماعات المنقولة السالفة علی حجّیّة قول المفتی، و الإجماع المحصّل و المنقول علی عدم وجوب النفر و الخروج للتفقّه فی الدین علی کلّ طائفة</w:t>
      </w:r>
    </w:p>
    <w:p>
      <w:pPr>
        <w:pStyle w:val="BookText"/>
        <w:rPr/>
      </w:pPr>
      <w:r>
        <w:rPr>
          <w:rFonts w:ascii="IRNazanin" w:hAnsi="IRNazanin" w:eastAsia="IRNazanin"/>
          <w:color w:val="111111"/>
          <w:sz w:val="28"/>
          <w:sz w:val="28"/>
          <w:szCs w:val="28"/>
          <w:rtl w:val="true"/>
          <w:lang w:bidi="fa-IR"/>
        </w:rPr>
        <w:t>من کلّ فرقة فی جملة من العبائر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النهایة فی طیّ الاحتجاج بآیة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عدم وجوب أن یخرج من کلّ فرقة طائفة</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فی منیة اللبیب فی طیّ هذا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یلزم من ذلک وجوب خروج واحد من الثلاثة للتفقّه، و هو باطل إجماعا،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الإجماع علی عدم وجوب خروج طائفة من کلّ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الزبدة للفاضل الصالح المازندرانی فی طیّ هذا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 عامّ یقتضی خروج واحد من کلّ ثلاثة، و وجوب العمل بخبر الواحد، إلّا أنّه خصّ فی الحکم بالإجماع؛ لانعقاده علی عدم خروج واحد من کلّ ثلاثة، فیبقی معمولا به فی الحکم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من کلام بعض السادة الأجلّة من المشایخ فی طیّ هذا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للزوم خروج الواحد من کلّ ثلاثة، و هو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المدّعی علی عدم وجوب النفر و التفقّه و الإنذار کفایة، فضلا عن الوجوب عینا علی کلّ ثلاثة ثلاثة،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دعوی الإجماع، بل ضرورة الدین علی عدم وجوب نفر عدد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علی عدم وجوب الإنذار علی الطائفة من کلّ فرقة، قلیلة أو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الأمر کما قلناه، لزم الاختلال فی امور معاش کافّة الخلق، بل و معادهم أیضا و لو فی الجملة، و اللازم باطل، فکذا الملزوم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فلدوران الأمر حینئذ بین ما قلناه، و بین تحصیل العلم بالأحکام الشرعیّة، و بین الاجتهاد فیها، و بعد فرض ارتفاع الشقّ الأوّل، تعیّن أحد الشقّین</w:t>
      </w:r>
    </w:p>
    <w:p>
      <w:pPr>
        <w:pStyle w:val="BookText"/>
        <w:rPr/>
      </w:pPr>
      <w:r>
        <w:rPr>
          <w:rFonts w:ascii="IRNazanin" w:hAnsi="IRNazanin" w:eastAsia="IRNazanin"/>
          <w:color w:val="111111"/>
          <w:sz w:val="28"/>
          <w:sz w:val="28"/>
          <w:szCs w:val="28"/>
          <w:rtl w:val="true"/>
          <w:lang w:bidi="fa-IR"/>
        </w:rPr>
        <w:t>الأخیرین، و من البیّن أنّه یلزم حینئذ رفع الید عن الامور المتعلّقة بالمعاد، کما لا یخفی، و هل هذا إلّا الملازمة المدّعاة؟</w:t>
      </w:r>
    </w:p>
    <w:p>
      <w:pPr>
        <w:pStyle w:val="BookText"/>
        <w:rPr/>
      </w:pPr>
      <w:r>
        <w:rPr>
          <w:rFonts w:ascii="Amiri" w:hAnsi="Amiri" w:eastAsia="Amiri" w:cs="Amiri"/>
          <w:color w:val="111111"/>
          <w:sz w:val="28"/>
          <w:sz w:val="28"/>
          <w:szCs w:val="28"/>
          <w:rtl w:val="true"/>
          <w:lang w:bidi="ar-SA"/>
        </w:rPr>
        <w:t>أمّا بطلان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الْفَسادَ</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مضافا إلی العقل و الإجماع، بل الضرورة الحاکمة بالبطلان، و ببطلان نقض الفرض و نقیضه، و ببطلان خراب الدنیا و فساد الحرث و النسل؛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الأمر کذلک، لزم إمّا القول بسقوط التکلیف بالإضافة إلی العامی رأسا، و إمّا القول بوجوب الاحتیاط علیه، و وجوب البناء علیه، و إمّا البناء علی أصالة البراءة عن التعبّد بالأحکام، و إمّا القول بالتخییر بینهما و لو فی الجملة، و إمّا التوقّف، و إمّا العمل بالظنّ من أیّ شی‌ء حصل، و إمّا التکلیف بما لا یطاق، و إمّا العسر و الحرج الشدیدان، و إمّا الضرر، و إمّا ترجیح المرجوح علی الراجح، و إمّا الترجیح بلا مرجّح، و إمّا ارتکاب الضرر المظنون أو المقطوع، و اللازم بجمیع شقوقه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فظاهرة؛ إذ من البیّن أنّ بعد سدّ باب التقلید، إمّا أن یکون العامی مکلّفا بشی‌ء من الأحکام، أم لا؟</w:t>
      </w:r>
    </w:p>
    <w:p>
      <w:pPr>
        <w:pStyle w:val="BookText"/>
        <w:rPr/>
      </w:pPr>
      <w:r>
        <w:rPr>
          <w:rFonts w:ascii="IRNazanin" w:hAnsi="IRNazanin" w:eastAsia="IRNazanin"/>
          <w:color w:val="111111"/>
          <w:sz w:val="28"/>
          <w:sz w:val="28"/>
          <w:szCs w:val="28"/>
          <w:rtl w:val="true"/>
          <w:lang w:bidi="fa-IR"/>
        </w:rPr>
        <w:t>فعلی الثانی، یلزم سقوط التکلیف و التعبّد بالأحکام الشرعیّة الفرعیّة،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الواجب علیه حینئذ تحصیل العلم بالأحکام الشرعیّة و التعبّد بها، أم لا، فعلی الأوّل یلزم التکلیف بما لا یطاق، بالإضافة إلی کثیر من الأشخاص و فی أغلب الأحوال؛ لتعذّر تحصیل العلم بها بالإضافة إلی المجتهدین غالبا، فبالإضافة إلی غیرهم من المکلّفین یکون متعذّرا بطریق أولی، کما لا یخفی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أیضا بالإضافة إلی المعظم و فی أغلب الأحوال العسر و الحرج الشدیدان</w:t>
      </w:r>
    </w:p>
    <w:p>
      <w:pPr>
        <w:pStyle w:val="BookText"/>
        <w:rPr/>
      </w:pPr>
      <w:r>
        <w:rPr>
          <w:rFonts w:ascii="IRNazanin" w:hAnsi="IRNazanin" w:eastAsia="IRNazanin"/>
          <w:color w:val="111111"/>
          <w:sz w:val="28"/>
          <w:sz w:val="28"/>
          <w:szCs w:val="28"/>
          <w:rtl w:val="true"/>
          <w:lang w:bidi="fa-IR"/>
        </w:rPr>
        <w:t>جدّا، کیف و یلزمان بالإضافة إلی المجتهدین غالبا، فهنا أولی ثمّ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أیضا الضرر بما لا یتحمّل عادة و لو فی الجملة، کما یلزم أیضا کذلک ارتکاب الضرر الدینی و الدنیوی المظنون، بل المقطوع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یلزم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العالم بهذه المعرکة فی هذه المسألة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المرجوح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الواجب علیه الاجتهاد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 علی الأوّل یلزم جمیع ما یلزم علی تقدیر وجوب تحصیل العلم بعینه إطلاقا و تقییدا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لا مفرّ من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الاحتیاط مطلقا، و إمّا علی مقتضی الاصول العدمیّة کذلک، و إمّا علی الاحتیاط فی بعضی الوقائع و العمل بالأصل فی الآخر، و إمّا علی التخییر بینهما، أو فی الجملة، و إمّا علی التوقّف فی ذلک، و إمّا البناء علی الظنّ من أیّ شی‌ء حصل، و هل هذا إلّا الملازمة المدّعاة؟</w:t>
      </w:r>
    </w:p>
    <w:p>
      <w:pPr>
        <w:pStyle w:val="BookText"/>
        <w:rPr/>
      </w:pPr>
      <w:r>
        <w:rPr>
          <w:rFonts w:ascii="IRNazanin" w:hAnsi="IRNazanin" w:eastAsia="IRNazanin"/>
          <w:color w:val="111111"/>
          <w:sz w:val="28"/>
          <w:sz w:val="28"/>
          <w:szCs w:val="28"/>
          <w:rtl w:val="true"/>
          <w:lang w:bidi="fa-IR"/>
        </w:rPr>
        <w:t>و أمّا بطلان اللازم،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الشقّ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خلاف المفروض مضافا إلی قیام الأدلّة المعتبرة علی ثبوته و بقائه و عدم سقوطه من الکتاب و السنّة المعتبرة، أو العقل، أو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صریح النهایة و التهذیب و منیة اللبیب و إحکام الآمدی</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الضرورة الحاکمة بکون العامی کغیره من المکلّفین، و باشتراک المعدومین فی زمن الخطاب مع الموجودین فیه مطلقا، کما صرّح به جماعة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الشقّ الثانی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لتعذّره بالإضافة إلیه بدون التقلید و لو فی مسألة وجوب الاحتیاط، و إمّا لتعذّره بالذات فی کثیر من المواضع، و إمّا لتعذّره فی حقّه، بالإضافة إلی جمیع الوقائع المنسدّ فیها باب العلم، و إمّا لتعسّره بما لا یتحمّل عادة، و إمّا لاستلزامه فساد الحرث و النسل و الفساد و اختلال امور المعاش، بل و المعاد أیضا</w:t>
      </w:r>
    </w:p>
    <w:p>
      <w:pPr>
        <w:pStyle w:val="BookText"/>
        <w:rPr/>
      </w:pPr>
      <w:r>
        <w:rPr>
          <w:rFonts w:ascii="IRNazanin" w:hAnsi="IRNazanin" w:eastAsia="IRNazanin"/>
          <w:color w:val="111111"/>
          <w:sz w:val="28"/>
          <w:sz w:val="28"/>
          <w:szCs w:val="28"/>
          <w:rtl w:val="true"/>
          <w:lang w:bidi="fa-IR"/>
        </w:rPr>
        <w:t>و لو فی الجملة، و إمّا للإجماع علی عدم وجوب الاحتیاط کذلک فی حقّ المجتهد، فهنا أولی، و إمّا للإجماع هنا علی عدم وجوبه علیه من الشیعة، بل من المسلمین کافّة عدا من شذّ؛ لأنّهم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بوجوب الاجتهاد علیه، و قائل بوجوب تحصیل العلم بالحکم، و قائل بوجوب التقلید علیه، فالقول بوجوب الاحتیاط علیه حینئذ قول رابع، أو ثالث، و خرق للإجماع، و إمّا لعدم الدلیل المعتبر الدالّ علی وجوبه حینئذ، مع بطلان الافتراج فی الدین إجماعا من المسلمین، بل بالضرورة من الدین؛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لتعذّر جریانه هنا، لاستلزامه رفع التکلیف الثابت بالفرض و سقوطه، و إمّا لتعذّره بالإضافة إلیه بدون التقلید و لو فی هذه المسألة، و إمّا لقیام الإجماع، کما فی صریح التهذیب و النهایة، بل الاتّفاق، کما فی صریح منیة اللبیب علی عدم جواز البناء علیه،</w:t>
      </w:r>
      <w:r>
        <w:rPr>
          <w:rStyle w:val="FootnoteAnchor"/>
          <w:rtl w:val="true"/>
        </w:rPr>
        <w:footnoteReference w:id="596"/>
      </w:r>
      <w:r>
        <w:rPr>
          <w:rFonts w:ascii="IRNazanin" w:hAnsi="IRNazanin" w:eastAsia="IRNazanin"/>
          <w:color w:val="111111"/>
          <w:sz w:val="28"/>
          <w:sz w:val="28"/>
          <w:szCs w:val="28"/>
          <w:rtl w:val="true"/>
          <w:lang w:bidi="fa-IR"/>
        </w:rPr>
        <w:t>و إمّا للإجماع و الضرورة، کما صرّح بهما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غیرهما علی اشتراک العامی مع غیره من المکلّفین الموجودین فی هذا الزمان و من تأخّر عنه مع الموجودین فی زمن الخطاب و التعبّد بالأحکام، و إمّا للإجماع هنا علی عدم جوازه له من الشیعة، بل المسلمین کافّة عدا من شذّ، لأنّهم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و قاله بعضی الأجلّة</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قائلین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بوجوب تحصیل العلم علیه، و قائل بوجوب الاجتهاد علیه، و قائل بوجوب التقلید، فالقول بذلک خرق للإجماع و غیره من الأدلّة المعتبرة علی حجّیّته هنا، و إمّا لعدم الدلیل علی اعتبار الأصل و البناء علیه حینئذ، مع بطلان الافتراج فی الشریعة إجماعا من الامّة، بل الضرورة الدینیّة؛ فتأمّل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لأنّه لا معنی للتخییر هنا؛ لإرجاعه فی الحقیقة إلی التخییر بین الوجوب و العدم، و إمّا لکونه خرقا للإجماع البسیط و المرکّب فی أصل المسألة،</w:t>
      </w:r>
    </w:p>
    <w:p>
      <w:pPr>
        <w:pStyle w:val="BookText"/>
        <w:rPr/>
      </w:pPr>
      <w:r>
        <w:rPr>
          <w:rFonts w:ascii="IRNazanin" w:hAnsi="IRNazanin" w:eastAsia="IRNazanin"/>
          <w:color w:val="111111"/>
          <w:sz w:val="28"/>
          <w:sz w:val="28"/>
          <w:szCs w:val="28"/>
          <w:rtl w:val="true"/>
          <w:lang w:bidi="fa-IR"/>
        </w:rPr>
        <w:t>کما لا یخفی، سیّما بعد ما مرّت إلیه الإشارة، و إمّا لتعذّره بالإضافة إلیها بدون التقلید فی هذه المسألة، و إمّا للإجماع، بل الضرورة علی بطلانه و عدم اعتباره هنا، و إمّا لعدم الدلیل علی التخییر، مع بطلان الافتراج فی الشریعة إجماعا من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کونه کالشقوق السابقة ترجیحا بلا مرجّح، بل ترجیح مرجوح، سیّما بعد ما مرّ و سیأتی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ما فی الشقّ الخامس، أی التوقّف أیضا، سواء ارید بالتوقّف ما یعمّ مقامی الاعتقاد و العمل، أو یختصّ بأحدهما؛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لتعذّره بالإضافة إلیه بدون التقلید فی هذه المسألة، و إمّا لاستلزامه الهرج و المرج فی الشریعة، و إمّا لکونه خرقا للإجماع البسیط أو المرکّب فی أصل المسألة، کما لا یخفی، سیّما بعد ما مرّت إلیه الإشارة، و إمّا للإجماع و غیره من الأدلّة المعتبرة علی عدم اعتباره و عدم حجّیّته و عدم جواز اتّباعه هنا، کما لا یخفی، و إمّا لعدم الدلیل علی اعتباره و حجّیّته هنا، مع بطلان الافتراج فی الشریعة بإجماع الامّة؛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الشقّ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فلاستحالته و بطلانه عقلا و نقلا من الکتاب و السنّة القطعیّة و الإجماع، بل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الشقّ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دلّ من الکتاب و السنّة المعتبرة و الإجماع و غیرها علی نفی العسر و الحرج فی الشریعة؛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الشقّ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دلّ من النصّ و الإجماع علی نفی الضرر فی الشریعة؛ فتنبّه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الشقوق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دلّ من العقل علی امتناع ترجیح المرجوح و الترجیح بلا مرجّح، و ارتکاب الضرر المظنون کالمقطوع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Style w:val="FootnoteAnchor"/>
          <w:rtl w:val="true"/>
        </w:rPr>
        <w:footnoteReference w:id="598"/>
      </w:r>
      <w:r>
        <w:rPr>
          <w:rFonts w:ascii="IRNazanin" w:hAnsi="IRNazanin" w:eastAsia="IRNazanin"/>
          <w:color w:val="111111"/>
          <w:sz w:val="28"/>
          <w:sz w:val="28"/>
          <w:szCs w:val="28"/>
          <w:rtl w:val="true"/>
          <w:lang w:bidi="fa-IR"/>
        </w:rPr>
        <w:t>فإنّ المستفاد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اتّباع</w:t>
      </w:r>
    </w:p>
    <w:p>
      <w:pPr>
        <w:pStyle w:val="BookText"/>
        <w:rPr/>
      </w:pPr>
      <w:r>
        <w:rPr>
          <w:rFonts w:ascii="Amiri" w:hAnsi="Amiri" w:eastAsia="Amiri" w:cs="Amiri"/>
          <w:color w:val="111111"/>
          <w:sz w:val="28"/>
          <w:sz w:val="28"/>
          <w:szCs w:val="28"/>
          <w:rtl w:val="true"/>
          <w:lang w:bidi="ar-SA"/>
        </w:rPr>
        <w:t>أحسن القول بضمیمة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إِلَی اللَّهِ وَ عَمِلَ صالِحاً</w:t>
      </w:r>
      <w:r>
        <w:rPr>
          <w:rStyle w:val="FootnoteAnchor"/>
          <w:rtl w:val="true"/>
        </w:rPr>
        <w:footnoteReference w:id="599"/>
      </w:r>
      <w:r>
        <w:rPr>
          <w:rFonts w:ascii="IRNazanin" w:hAnsi="IRNazanin" w:eastAsia="IRNazanin"/>
          <w:color w:val="111111"/>
          <w:sz w:val="28"/>
          <w:sz w:val="28"/>
          <w:szCs w:val="28"/>
          <w:rtl w:val="true"/>
          <w:lang w:bidi="fa-IR"/>
        </w:rPr>
        <w:t>إذ المستفاد منه أنّ من دعا إلی اللّه و عمل صالحا، أحسن قولا، و یلزمه بمقتضی الآیة السالفة و هذه أیضا حجّیّته و رجحان اتّباعه و عدم وجوب تحصیل العلم و لا الاجتهاد علینا علی جمیع المکلّفین، و بعد انضمام عدم القائل بالفصل فی المسألة إلیه تتمّ المدّعی؛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600"/>
      </w:r>
      <w:r>
        <w:rPr>
          <w:rFonts w:ascii="IRNazanin" w:hAnsi="IRNazanin" w:eastAsia="IRNazanin"/>
          <w:color w:val="111111"/>
          <w:sz w:val="28"/>
          <w:sz w:val="28"/>
          <w:szCs w:val="28"/>
          <w:rtl w:val="true"/>
          <w:lang w:bidi="fa-IR"/>
        </w:rPr>
        <w:t>فإنّ المستفاد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النفر للتفقّه فی الدین علی کلّ واحد، و یلزمه عدم وجوب تحصیل العلم و لا الاجتهاد عینا علی کلّ واحد من المکلّفین، و هو عین المدّعی أو ملزوم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ظهور جواز الحذر بعد الإنذار و الإبلاغ مع التخویف أو مطلقا، و یلزمه حجّیّة قولهم فی حقّهم و مشروعیّة الاعتماد لهم علیه مطلقا أو فی الجملة، و بضمیمة عدم القول بالفصل فی المسألة، یتمّ المدّعی أیضا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فیها من حیث الدلالة بأکثر ما قالوه فی الاصول فی مبحث حجّیّة الخبر الواحد، أو یمکن أن یقال، هیّنة هنا بعد التأمّل و الإنصاف و عدم الخروج عن ظاهر الآیة، خصوصا بعد ملاحظة ما ورد فی تفسیرها من الخبر الآتی إلیه الإشارة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w:t>
      </w:r>
      <w:r>
        <w:rPr>
          <w:rStyle w:val="FootnoteAnchor"/>
          <w:rtl w:val="true"/>
        </w:rPr>
        <w:footnoteReference w:id="601"/>
      </w:r>
      <w:r>
        <w:rPr>
          <w:rFonts w:ascii="IRNazanin" w:hAnsi="IRNazanin" w:eastAsia="IRNazanin"/>
          <w:color w:val="111111"/>
          <w:sz w:val="28"/>
          <w:sz w:val="28"/>
          <w:szCs w:val="28"/>
          <w:rtl w:val="true"/>
          <w:lang w:bidi="fa-IR"/>
        </w:rPr>
        <w:t>إذ المستفاد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اتّباع الهادی إلی الحقّ بقول مطلق و حجّیّته کذلک، کما یلزمه أیضا عدم وجوب تحصیل العلم و لا الاجتهاد عینا علی جمیع المکلّفین، و المفروض أیضا أنّ المجتهد و الفقیه الجامع للشرائط أیضا هاد إلی الحقّ لغة و عرفا و شرعا؛ فتفطّن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الْأَعْمی وَ الْبَصِیرُ</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یَعْلَمُ أَنَّما أُنْزِلَ إِلَیْکَ مِنْ رَبِّکَ الْحَقُّ کَمَنْ هُوَ أَعْمی</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نظائر ذلک من الآیات الدالّة بعمومها علی عدم الاستواء بین العالم و الجاهل بقول مطلق،</w:t>
      </w:r>
      <w:r>
        <w:rPr>
          <w:rStyle w:val="FootnoteAnchor"/>
          <w:rtl w:val="true"/>
        </w:rPr>
        <w:footnoteReference w:id="605"/>
      </w:r>
      <w:r>
        <w:rPr>
          <w:rFonts w:ascii="IRNazanin" w:hAnsi="IRNazanin" w:eastAsia="IRNazanin"/>
          <w:color w:val="111111"/>
          <w:sz w:val="28"/>
          <w:sz w:val="28"/>
          <w:szCs w:val="28"/>
          <w:rtl w:val="true"/>
          <w:lang w:bidi="fa-IR"/>
        </w:rPr>
        <w:t>و یلزمه عدم وجوب تحصیل العلم و لا الاجتهاد عینا علی العامی الجاهل، کما هو المفروض بالحکم الشرعی، و بعد انضمام عدم القول بالفصل إلی ذلک یتمّ المدّعی،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الدالّة علی أنّ شفاء العیّ</w:t>
      </w:r>
      <w:r>
        <w:rPr>
          <w:rStyle w:val="FootnoteAnchor"/>
          <w:rtl w:val="true"/>
        </w:rPr>
        <w:footnoteReference w:id="606"/>
      </w:r>
      <w:r>
        <w:rPr>
          <w:rFonts w:ascii="IRNazanin" w:hAnsi="IRNazanin" w:eastAsia="IRNazanin"/>
          <w:color w:val="111111"/>
          <w:sz w:val="28"/>
          <w:sz w:val="28"/>
          <w:szCs w:val="28"/>
          <w:rtl w:val="true"/>
          <w:lang w:bidi="fa-IR"/>
        </w:rPr>
        <w:t>أو دواءه السؤال، و الدالّة علی أنّ وظیفة الجاهل السؤال عن الفقیه و العالم، و العمل بمقتضی جوابه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الکافی عن علیّ بن إبراهیم، عن أبیه، عن ابن أبی عمیر،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مجدور</w:t>
      </w:r>
      <w:r>
        <w:rPr>
          <w:rStyle w:val="FootnoteAnchor"/>
          <w:rtl w:val="true"/>
        </w:rPr>
        <w:footnoteReference w:id="607"/>
      </w:r>
      <w:r>
        <w:rPr>
          <w:rFonts w:ascii="IRNazanin" w:hAnsi="IRNazanin" w:eastAsia="IRNazanin"/>
          <w:color w:val="111111"/>
          <w:sz w:val="28"/>
          <w:sz w:val="28"/>
          <w:szCs w:val="28"/>
          <w:rtl w:val="true"/>
          <w:lang w:bidi="fa-IR"/>
        </w:rPr>
        <w:t>أصابته جنابة فغسّلوه فمات؟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قتلوه، ألّا سألوا، فإنّ دواء العیّ السؤال</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عن أحمد بن محمّد، عن بکر بن صالح و ابن فضّال، عن عبد اللّه بن إبراهیم الغفاری، عن جعفر بن إبراهیم الجعفری، عن أبی عبد اللّه علیه السّلام، 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ذکر له أنّ رجلا أصابته جنابة علی جرح کان به، فأمر بالغسل، فاغتسل، فکزّ</w:t>
      </w:r>
      <w:r>
        <w:rPr>
          <w:rStyle w:val="FootnoteAnchor"/>
          <w:rtl w:val="true"/>
        </w:rPr>
        <w:footnoteReference w:id="609"/>
      </w:r>
      <w:r>
        <w:rPr>
          <w:rFonts w:ascii="IRNazanin" w:hAnsi="IRNazanin" w:eastAsia="IRNazanin"/>
          <w:color w:val="111111"/>
          <w:sz w:val="28"/>
          <w:sz w:val="28"/>
          <w:szCs w:val="28"/>
          <w:rtl w:val="true"/>
          <w:lang w:bidi="fa-IR"/>
        </w:rPr>
        <w:t>، فمات،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إنّما کان دواء العیّ السؤال</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عن علیّ بن إبراهیم، عن أبیه، عن ابن أبی عمیر، عن محمّد بن مسکین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أصابته جنابة و هو مجدور، فغسّلوه،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ألّا سألوا، ألّا یمّموه، إنّ شفاء العیّ السؤال</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نحوه رواه الصدوق مرسلا فی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قیل لرسوله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الحدیث</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البحار عن مستطرفات السرائر نقلا عن کتاب محمّد بن علیّ بن محبوب، عن ابن أبی عمیر، عن محمّد بن مسکین و غیره،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یا رسول اللّه، إنّ فلانا أصابته الجنابة و هو مجدور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ألّا سألوا، ألّا یمّموه، إنّ شفاء العیّ السؤال</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العلل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أبی عبد اللّه الکوفی، عن أبی الخیر صالح بن أبی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أبی عمیر، عن عبد المؤمن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یروون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اختلافهم رحمة فاجتماعهم عذاب؟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حیث تذهب و ذهبوا، إنّما أراد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w:t>
      </w:r>
      <w:r>
        <w:rPr>
          <w:rFonts w:eastAsia="Amiri" w:cs="Amiri" w:ascii="Amiri" w:hAnsi="Amiri"/>
          <w:color w:val="111111"/>
          <w:sz w:val="28"/>
          <w:szCs w:val="28"/>
          <w:rtl w:val="true"/>
          <w:lang w:bidi="ar-SA"/>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الآیة، إلی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فأمرهم أن ینفروا إلی رسول اللّه صلّی اللّه علیه و آله، و یختلفوا إلیه، فیتعلّموا، ثمّ یرجعوا إلی قومهم، فیعلّموهم، إنّما أراد اختلافهم من البلدان، اختلافا فی دین اللّه، إنّما الدین واحد، إنّما الدین واحد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رواه الطبرسی فی الاحتجاج مرسلا عن عبد المؤمن الأنصاری بأدنی تغییر</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الکافی عن علیّ بن إبراهیم، عن محمّد بن عیسی، عن یونس بن عبد الرحمن،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 الناس ترک المسألة عمّا یحتاجون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رواه السمیّ البرقی فی المحاسن عن أبیه و موسی بن القاسم، عن یونس بن عبد الرحمن، عن بعض أصحابهما،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الحسن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أیضا فی الکافی عن علیّ بن محمّد بن عبد اللّه، عن أحمد بن محمّد بن خالد، عن عثمان بن عیسی،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فی الدین، فإنّه من لم یتفقّه منکم فی الدین فهو أعرابیّ، 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لِیَتَفَقَّهُوا فِی الدِّینِ وَ لِیُنْذِرُوا قَوْمَهُمْ إِذا رَجَعُوا إِلَیْهِمْ لَعَلَّهُمْ یَحْذَرُونَ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 رواه أیضا فی المحاسن عن عثمان بن عیسی، عن علیّ بن أبی حمزة مثله، غیر أنّه أسقط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r>
        <w:rPr>
          <w:rStyle w:val="FootnoteAnchor"/>
          <w:rtl w:val="true"/>
        </w:rPr>
        <w:footnoteReference w:id="62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الکافی عن محمّد بن یحیی، عن أحمد بن محمّد بن عیسی، عن حمّاد بن عیسی، عن حریز، عن زرارة و محمّد بن مسلم و برید العجلی،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لحمران بن أعین فی شی‌ء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یهلک الناس لأنّهم لا یسألون</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المحاسن عن أبیه، عن یونس بن عبد الرحمن، عن أبی جعفر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 الناس حتّی یسألوا، أو یتفقّهوا</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فإنّه یوشک أن یحتاج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فإنّ المستفاد 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وظیفة الجاهل إنّما هو السؤال عن العالم، و العمل بمقتضی ما أجابه هو عنه مطلقا، و إن هذا إلّا عین المدّعی أو ملزوم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المتظافرة أو المتواترة بالمعنی، الدالّة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الإفتاء بالعلم و بما یعلم،</w:t>
      </w:r>
      <w:r>
        <w:rPr>
          <w:rStyle w:val="FootnoteAnchor"/>
          <w:rtl w:val="true"/>
        </w:rPr>
        <w:footnoteReference w:id="625"/>
      </w:r>
      <w:r>
        <w:rPr>
          <w:rFonts w:ascii="IRNazanin" w:hAnsi="IRNazanin" w:eastAsia="IRNazanin"/>
          <w:color w:val="111111"/>
          <w:sz w:val="28"/>
          <w:sz w:val="28"/>
          <w:szCs w:val="28"/>
          <w:rtl w:val="true"/>
          <w:lang w:bidi="fa-IR"/>
        </w:rPr>
        <w:t>الملزوم لما هو المدّعی کما لا یخفی علی المتأمّل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المعتبرة الدالّة علی وجوب إظهار العلم علی العالم فیما إذا ظهرت البدع فی الامّة،</w:t>
      </w:r>
      <w:r>
        <w:rPr>
          <w:rStyle w:val="FootnoteAnchor"/>
          <w:rtl w:val="true"/>
        </w:rPr>
        <w:footnoteReference w:id="626"/>
      </w:r>
      <w:r>
        <w:rPr>
          <w:rFonts w:ascii="IRNazanin" w:hAnsi="IRNazanin" w:eastAsia="IRNazanin"/>
          <w:color w:val="111111"/>
          <w:sz w:val="28"/>
          <w:sz w:val="28"/>
          <w:szCs w:val="28"/>
          <w:rtl w:val="true"/>
          <w:lang w:bidi="fa-IR"/>
        </w:rPr>
        <w:t>و المتضمّنة للّعن علی العالم التارک له حینئذ، و الدالّة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الملزوم للمدّعی،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القریبة من التواتر معنی، بل المتواترة کذلک الدالّة علی المدّعی بالنصّ أو الظهور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العیون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خلفاؤک؟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یأتون من بعدی، و یروون عنّی أحادیثی و سنّتی، فیعلّمونها الناس من بعدی</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ورّام فی مجموعته مرسلا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داع دعا إلی الهدی فاتّبع، فله مثل اجورهم من غیر أن ینقص من اجورهم شی‌ء، و أیّما داع دعا إلی ضلالة فاتّبع، فإنّ علیه مثل أوزار من اتّبعه، من غیر أن ینقص من أوزارهم شی‌ء</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کذلک فیها 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تعلّم فریضة أو فریضتین، فیعمل بها، أو یعلّمهما من یعمل بها، فینطوی علیها، ثمّ یحملها إلی أخ له مسلم یعلّمه إیّاها، و أنّها لتعدل عبادة سنة</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کذلک فیها، عن علیّ بن الحسین علیهما السّلام أنّه قال فی حدیث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الرجل، کلّ الرجل، نعم الرجل هو الذی جعل هواه تبعا لأمر اللّه، و قواه مبذولة فی قضاء اللّه تعالی، یری الذلّ مع الحقّ أقرب إلی عزّ الأبد مع العزّ فی الباطل، و یعلم أنّ قلیل ما یحتمله من ضرّائها یؤدّیه إلی دوام النعیم فی دار لا تبید و لا تنفد، و إنّ کثیرا ما یلحقه من سرّائها إن اتّبع هواه یؤدّیه إلی عذاب لا انقطاع له و لا زوال، فذلک الرجل نعم الرجل، فبه فتمسّکوا، و بسنّته فاقتدوا، و إلی ربّکم فیه فتوسّلوا، فإنّه لا یردّ له دعوة، و لا یخیّب له طلبة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رواه أیضا السمیّ الطبرسی فی الاحتجاج بالإسناد الآتی إلیه الإشارة عن الرضا علیه السّلام عنه علیه السّلام</w:t>
      </w:r>
      <w:r>
        <w:rPr>
          <w:rFonts w:eastAsia="IRNazanin" w:cs="IRNazanin"/>
          <w:color w:val="111111"/>
          <w:sz w:val="28"/>
          <w:szCs w:val="28"/>
          <w:rtl w:val="true"/>
          <w:lang w:bidi="fa-IR"/>
        </w:rPr>
        <w:t>.</w:t>
      </w:r>
      <w:r>
        <w:rPr>
          <w:rStyle w:val="FootnoteAnchor"/>
          <w:rtl w:val="true"/>
        </w:rPr>
        <w:footnoteReference w:id="63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الحرّ العاملی فی الوسائل،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بأسانید تقدّمت فی إسباغ</w:t>
      </w:r>
    </w:p>
    <w:p>
      <w:pPr>
        <w:pStyle w:val="BookText"/>
        <w:rPr/>
      </w:pPr>
      <w:r>
        <w:rPr>
          <w:rFonts w:ascii="IRNazanin" w:hAnsi="IRNazanin" w:eastAsia="IRNazanin"/>
          <w:color w:val="111111"/>
          <w:sz w:val="28"/>
          <w:sz w:val="28"/>
          <w:szCs w:val="28"/>
          <w:rtl w:val="true"/>
          <w:lang w:bidi="fa-IR"/>
        </w:rPr>
        <w:t>الوضوء عن الرضا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خلفاؤک؟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یأتون من بعدی و یروون عن أحادیثی و سنّتی، فیعلّمونها الناس من بعدی</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ما رواه فی معانی الأخبار عن أبیه، عن علیّ بن إبراهیم، عن أبیه، عن النوفلی، عن الیعقوبی، عن عیسی بن عبد اللّه العلوی، عن أبیه، عن جدّه، عن علیّ علیه السّلام مثله</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کتاب الإکمال،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عصام الکلینی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یعقوب الکلینی، عن إسحاق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رضی اللّه عنه، أن یوصل لی کتابا قد سألت فیه عن مسائل أشکلت علیّ، فورد فی التوقیع بخطّ مولانا صاحب الزمان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علیهم، و أمّا محمّد بن عثمان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و عن أبیه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ثقتی، کتابه کتابی</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رواه السمیّ الطبرسی فی الاحتجاج عن محمّد بن یعقوب الکلینی، عن إسحاق بن یعقوب مثله،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رواه أیضا شیخ الطائفة فی کتاب الغیبة، فقال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جماعة، عن جعفر بن محمّد بن قولویه و أبی غالب الزراری و غیرهما، عن محمّد بن یعقوب الکلینی، عن إسحاق بن یعقوب مثله، إلّا أنّ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 اللّه عنه</w:t>
      </w:r>
      <w:r>
        <w:rPr>
          <w:rFonts w:eastAsia="IRNazanin" w:cs="IRNazanin"/>
          <w:color w:val="111111"/>
          <w:sz w:val="28"/>
          <w:szCs w:val="28"/>
          <w:rtl w:val="true"/>
          <w:lang w:bidi="fa-IR"/>
        </w:rPr>
        <w:t>».</w:t>
      </w:r>
      <w:r>
        <w:rPr>
          <w:rStyle w:val="FootnoteAnchor"/>
          <w:rtl w:val="true"/>
        </w:rPr>
        <w:footnoteReference w:id="63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جماعة، عن أبی القاسم جعفر بن محمّد بن قولویه</w:t>
      </w:r>
    </w:p>
    <w:p>
      <w:pPr>
        <w:pStyle w:val="BookText"/>
        <w:rPr/>
      </w:pPr>
      <w:r>
        <w:rPr>
          <w:rFonts w:ascii="IRNazanin" w:hAnsi="IRNazanin" w:eastAsia="IRNazanin"/>
          <w:color w:val="111111"/>
          <w:sz w:val="28"/>
          <w:sz w:val="28"/>
          <w:szCs w:val="28"/>
          <w:rtl w:val="true"/>
          <w:lang w:bidi="fa-IR"/>
        </w:rPr>
        <w:t>و أبی غالب الزراری و أبی محمّد التلّعکبری کلّهم، عن محمّد بن یعقوب،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رحمه اللّه أن یوصل لی کتابا قد سألت فیه عن مسائل أشکلت علیّ، فوقع التوقیع بخطّ مولانا صاحب الدار علیه السّلام، و ذکرنا الخبر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محمّد بن عثمان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و عن أبیه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ثقتی، و کتابه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ما رواه الشیخ أیضا فی کتاب الغیبة، فقال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بعض أصحابنا،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و الشیخ أبو عمرو عند أحمد بن إسحاق بن سعد الأشعری، فغمزنی أحمد بن إسحاق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أخبرنی أبو علیّ أحمد بن إسحاق أنّه سأل أبا الحسن صاحب العسکر علیه السّلام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اعامل؟ و عمّن آخذ؟ و قول من أقبل؟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ثقتی، فما أدّی إلیک عنّی فعنّی یؤدّی، و ما قال لک فعنّی یقول، فاسمع له و أطع، فإنّه الثقة المأمون</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أخبرنی أبو علیّ أنّه سأل أبا محمّد علیه السّلام مثل ذلک،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 ابنه ثقتان، فما أدّیا إلیک فعنّی یؤدّیان، و ما قالا عنّی فعنّی یقولان، فاسمع لهما و أطعهما، فإنّهما الثقتان المأمونان، فهذا قول إمامین قد مضیا فیک، فخرّ أبو عمر ساجدا و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3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جماعة عن أبی القاسم جعفر بن محمّد بن قولویه و أبی غالب الزراری و أبی محمّد التلّعکبری کلّهم، عن محمّد بن یعقوب الکلینی، عن محمّد بن عبد اللّه و محمّد بن یحیی،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 الشیخ أبو عمرو عند أحمد بن إسحاق بن سعد الأشعری القمّی، فغمزنی أحمد بن</w:t>
      </w:r>
    </w:p>
    <w:p>
      <w:pPr>
        <w:pStyle w:val="BookText"/>
        <w:rPr/>
      </w:pPr>
      <w:r>
        <w:rPr>
          <w:rFonts w:ascii="IRNazanin" w:hAnsi="IRNazanin" w:eastAsia="IRNazanin"/>
          <w:color w:val="111111"/>
          <w:sz w:val="28"/>
          <w:sz w:val="28"/>
          <w:szCs w:val="28"/>
          <w:rtl w:val="true"/>
          <w:lang w:bidi="fa-IR"/>
        </w:rPr>
        <w:t>إسحاق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أخبرنی أحمد بن إسحاق أبو علیّ،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اعامل؟ و عمّن آخذ؟ و قول من أقبل؟</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ثقتی، فما أدّی إلیک فعنّی یؤدّی، و ما قال لک فعنّی یقول، فاسمع له و 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أبو علیّ أنّه سأل أبا محمّد الحسن بن علیّ عن مثل ذلک؟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 ابنه ثقتان، فما أدّیا إلیک فعنّی یؤدّیان، و ما قالا، فعنّی یقولان، فاسمع لهما و أطعهما، فإنّهما الثقتان المأمونان، فهذا قول إمامین قد مضیا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رواه ثقة الإسلام أیضا فی الکافی عن محمّد بن عبد اللّه و محمّد بن یحیی جمیعا، عن عبد اللّه بن جعفر الحمیری مثله بأدنی تغییر</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فی عوالی اللآلی مرسلا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خلفائی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خلفاؤک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یأتون بعدی و یروون سنّتی و یحفظون حدیثی علی امّتی، أولئک رفقائی فی الجنّة</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مرسلا فیه 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الرّسل ما لم یدخلوا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دخلهم فی الدنیا؟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السلطان، فإن فعلوا ذلک فاحذروهم علی دینکم</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 رواه کذلک فی غیره أیضا بأدنی تغییر</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الأمالی،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عبید الیقطینی،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زیاد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طریف،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 تعلّمه حسنة، و مدارسته تسبیح، و البحث عنه جهاد، و تعلیمه من لا یعلمه صدقة، و هو عند اللّه لأهله قربة، لأنّه معالم الحلال و الحرام، و سالک لطالبه سبیل الجنّة، و هو أنیس فی الوحشة، و صاحب الوحدة، و صلاح علی الأعداء، و زین الأخلّاء، یرفع اللّه به أقواما یجعلهم فی الخیر أئمّة یقتدی بهم، ترمق أعمالهم، و تقتبس آثارهم، و ترغب الملائکة فی خلّتهم، یمسحونهم بأجنحتهم فی صلواتهم، لأنّ العلم حیاة القلوب، و نور الأبصار من العمی، و قوّة الأبدان من الضعف، ینزل اللّه حامله منازل الأبرار، و یمنحه مجالسة الأخیار فی الدنیا و الآخرة، بالعلم یطاع اللّه و یعبد، و بالعلم یعرف اللّه و یوحّد، و بالعلم یوصل الأرحام، و به یعرف الحلال و الحرام، و العلم إمام العقل، و العقل تابعة، یلهمه اللّه السعداء، و یحرمه الأشقیاء</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رواه أیضا فی الخصال،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 بن عیسی بن عبید الیقطینی،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 أصحابنا رفعوه إلی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64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الکشّی فی رجاله،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 إبراهیم ابنا نصیر،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حبیب المدائنی، عن علیّ بن سوید النسائی،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الحسن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ذکرت یا علیّ ممّن</w:t>
      </w:r>
    </w:p>
    <w:p>
      <w:pPr>
        <w:pStyle w:val="BookText"/>
        <w:rPr/>
      </w:pPr>
      <w:r>
        <w:rPr>
          <w:rFonts w:ascii="IRNazanin" w:hAnsi="IRNazanin" w:eastAsia="IRNazanin"/>
          <w:color w:val="111111"/>
          <w:sz w:val="28"/>
          <w:sz w:val="28"/>
          <w:szCs w:val="28"/>
          <w:rtl w:val="true"/>
          <w:lang w:bidi="fa-IR"/>
        </w:rPr>
        <w:t>تأخذ معالم دینک، لا تأخذنّ معالم دینک من غیر شیعتنا، فإنّک إن تعدّیتهم أخذت دینک عن الخائنین الذین خانوا اللّه و رسوله، و خانوا أماناتهم، أنّهم اؤتمنوا علی کتاب اللّه عزّ و جلّ، فحرّفوه و بدّلوه، فعلیهم لعنة اللّه و لعنة ملائکته و لعنة آبائی الکرام، و لعنتی و لعنة شیعتی إلی یوم القیامة</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جبرائیل بن محمّد الفارابی،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ماهویه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آخذ معالم دینی؟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أخوه أیضا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ذکرتما، فاصمدا فی دینکما علی مستنّ فی حبّنا، و کلّ کثیر القدم فی أمرنا، فإنّهم کافوکما إن شاء اللّه</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الفقیه،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طریف،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خلفاؤک؟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یأتون من بعدی، یروون حدیثی و سنّتی</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روی أبو محمّد إبراهیم بن إسحاق رضی اللّه عنه، عن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بکیر المرادی، عن موسی بن جعفر، عن أبیه، عن جدّه، عن علیّ بن الحسین، عن أبیه علیهم السّلام، عن أمیر المؤمنین علیه السّلام أنّه 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فی الدین، فإنّ الفقهاء ورثة الأنبیاء، لأنّ الأنبیاء لم یورّثوا دینارا و لا درهما، و لکنّهم ورّثوا العلم، فمن أخذ منه أخذ بحظّ وافر، و اعلم أنّ طالب العلم یستغفر له من فی السماوات و الأرض، حتّی الطیر فی جوّ السماء، و الحوت فی البحر، و أنّ</w:t>
      </w:r>
    </w:p>
    <w:p>
      <w:pPr>
        <w:pStyle w:val="BookText"/>
        <w:rPr/>
      </w:pPr>
      <w:r>
        <w:rPr>
          <w:rFonts w:ascii="IRNazanin" w:hAnsi="IRNazanin" w:eastAsia="IRNazanin"/>
          <w:color w:val="111111"/>
          <w:sz w:val="28"/>
          <w:sz w:val="28"/>
          <w:szCs w:val="28"/>
          <w:rtl w:val="true"/>
          <w:lang w:bidi="fa-IR"/>
        </w:rPr>
        <w:t>الملائکة لتضع أجنحتها لطالب العلم رضی به، و فیه شرف الدنیا و الفوز بالجنّة یوم القیامة، لأنّ الفقهاء هم الدعاة إلی الجنان، و الأدلّاء علی اللّه عزّ و جلّ</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العیون،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 اللّه بن أحمد بن أبی عبد اللّه البرقی و محمّد بن موسی البرقی و محمّد بن علیّ ماجیلویه و محمّد بن علیّ بن هاشم و علیّ بن عیسی المجار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ماجیلویه، عن أحمد بن محمّد بن خالد، عن أحمد بن محمّد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الأمر، لا أجد بدّا من معرفته، و لیس فی البلد الذی أنا فیه أحد أستفتیه من موالیک؟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فقیه البلد، فاستفته فی أمرک، فإذا أفتاک بشی‌ء فخذ بخلافه، فإنّ الحقّ فیه</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الخصال،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 اللّه البرقی، عن أبیه، عن محمّد بن سنان، عن زیاد بن المنذر، عن سعد بن طریف،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الدینار داء الدین، و العالم طبیب الدین، فإذا رأیتم الطبیب یجرّ الداء إلی نفسه فاتّهموه، و اعلموا أنّه غیر ناصح لغیره</w:t>
      </w:r>
      <w:r>
        <w:rPr>
          <w:rFonts w:eastAsia="IRNazanin" w:cs="IRNazanin"/>
          <w:color w:val="111111"/>
          <w:sz w:val="28"/>
          <w:szCs w:val="28"/>
          <w:rtl w:val="true"/>
          <w:lang w:bidi="fa-IR"/>
        </w:rPr>
        <w:t>».</w:t>
      </w:r>
      <w:r>
        <w:rPr>
          <w:rStyle w:val="FootnoteAnchor"/>
          <w:rtl w:val="true"/>
        </w:rPr>
        <w:footnoteReference w:id="65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السمیّ البرقی فی المحاسن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أخرجها من ضلالة إلی هدی فقد أحیاها، و من أخرجها من هدی إلی ضلالة فقد قتلها</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أیضا فیه عن علیّ بن الحکم، عن أبان بن عثمان،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أَحْیاها فَکَأَنَّما أَحْیَا النَّاسَ جَمِیعاً؟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أخرجها من ضلال إلی هدی؟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تأویلها الأعظم</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عن ابن محبوب، عن إسماعیل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استنّ بسنّة عدل فاتّبع، کان له أجر من عمل بها من غیر أن ینقص من اجورهم شی‌ء، و من استنّ بسنّة جور فاتّبع، کان له مثل وزر من عمل به من غیر أن ینقص من أوزارهم شی‌ء</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أبان بن محمّد البجلی، عن العلاء بن رزین،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باب هدی، کان له أجر من عمل به، و لا ینقص اولئک من اجورهم، و من علّم باب ضلال، کان علیه مثل وزر من عمل به، و لا ینقص اولئک من أوزارهم</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الوسائل عن معانی الأخبار، عن عبد الواحد بن محمّد بن عبدوس، عن علیّ بن محمّد بن قتیبة، عن حمدان بن سلیمان، 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یحیی أمرکم؟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 علومنا و یعلّمها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عنه عن أحمد بن محمّد بن الهیثم، عن أحمد بن یحیی، عن بکر بن عبد اللّه، عن تمیم بن بهلول، عن أبیه، عن محمّد بن سنان،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استأکل بعلمه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شیعتنا قوما یتحمّلون علومکم و یبثّونها فی شیعتکم فلا یعدمون منهم البرّ و الصلة و الإکرام؟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اولئک بمستأکلین، إنّما ذاک الذی یفتی بغیر علم و لا هدی من اللّه لیبطل به الحقوق، طمعا فی حطام الدنیا</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عن محمّد بن عمر الکشّی فی کتاب الرجال، عن محمّد بن قولویه، عن سعد بن عبد اللّه، عن أحمد بن محمّد بن عیسی، عن عبد الله بن محمّد الحجّال، عن العلاء بن رزین،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کلّ ساعة ألقاک، و لا یمکن القدوم، و یجی‌ء الرجل من أصحابنا فیسألنی، و لیس عندی فی کلّ ما یسألنی 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یمنعک من محمّد بن مسلم الثقفی، فإنّه سمع من أبی و کان عنده وجیها</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عنه بالإسناد، عن الحجّال،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لکم من مفزع؟ أما لکم من مستراح تستریحون إلیه؟</w:t>
      </w:r>
    </w:p>
    <w:p>
      <w:pPr>
        <w:pStyle w:val="BookText"/>
        <w:rPr/>
      </w:pPr>
      <w:r>
        <w:rPr>
          <w:rFonts w:ascii="IRNazanin" w:hAnsi="IRNazanin" w:eastAsia="IRNazanin"/>
          <w:color w:val="111111"/>
          <w:sz w:val="28"/>
          <w:sz w:val="28"/>
          <w:szCs w:val="28"/>
          <w:rtl w:val="true"/>
          <w:lang w:bidi="fa-IR"/>
        </w:rPr>
        <w:t>ما یمنعکم من الحارث بن المغیرة النصری؟</w:t>
      </w:r>
      <w:r>
        <w:rPr>
          <w:rFonts w:eastAsia="IRNazanin" w:cs="IRNazanin"/>
          <w:color w:val="111111"/>
          <w:sz w:val="28"/>
          <w:szCs w:val="28"/>
          <w:rtl w:val="true"/>
          <w:lang w:bidi="fa-IR"/>
        </w:rPr>
        <w:t>»</w:t>
      </w:r>
      <w:r>
        <w:rPr>
          <w:rStyle w:val="FootnoteAnchor"/>
          <w:rtl w:val="true"/>
        </w:rPr>
        <w:footnoteReference w:id="66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محمّد بن نصیر، عن محمّد بن عیسی، عن عبد العزیز بن المهتدی و الحسن بن علیّ بن یقطین جمیعا،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أکاد أصل إلیک أسألک</w:t>
      </w:r>
    </w:p>
    <w:p>
      <w:pPr>
        <w:pStyle w:val="BookText"/>
        <w:rPr/>
      </w:pPr>
      <w:r>
        <w:rPr>
          <w:rFonts w:ascii="IRNazanin" w:hAnsi="IRNazanin" w:eastAsia="IRNazanin"/>
          <w:color w:val="111111"/>
          <w:sz w:val="28"/>
          <w:sz w:val="28"/>
          <w:szCs w:val="28"/>
          <w:rtl w:val="true"/>
          <w:lang w:bidi="fa-IR"/>
        </w:rPr>
        <w:t>عن کلّ ما أحتاج إلیه من معالم دینی، أ فیونس بن عبد الرحمن ثقة آخذ عنه ما أحتاج إلیه من معالم دینی؟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عن علیّ بن محمّد القتیبی، عن الفضل بن شاذان، عن عبد العزیز بن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خیر قمّی رأیته، و کان وکیل الرضا علیه السّلام و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ألقاک فی کلّ وقت، فعمّن آخذ معالم دینی؟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عن یونس بن عبد الرحمن</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عن جبرئیل بن أحمد، عن محمّد بن عیسی، عن عبد العزیز بن المهتدی،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شقّتی بعیدة، فلست أصل إلیک فی کلّ وقت، فآخذ معالم دینی عن یونس مولی آل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عن حمدویه و إبراهیم ابنی نصیر، عن یعقوب بن یزید، عن ابن أبی عمیر، عن حسین بن معاذ، عن أبیه معاذ بن مسلم النحوی،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 تقعد فی الجامع فتفتی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أردت أن أسألک عن ذلک قبل أن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أقعد فی المسجد، فیجی‌ء الرجل فیسألنی عن الشی‌ء، فإذا عرفته بالخلاف لکم أخبرته بما یفعلون، و یجی‌ء الرجل أعرفه بمودّتکم و حبّکم و اخبره بما جاء عنکم، و یجی‌ء الرجل لا أعرفه و لا أدری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کذا، و جاء عن فلان کذا، فأدخل قولکم فیما بین ذلک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کذا، فإنّی کذا أصنع</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رواه الصدوق فی العلل عن جعفر بن علیّ، عن علیّ بن عبد اللّه، عن معاذ مثله</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السمیّ الطبرسی فی کتاب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نأتی فی أکثر ما نورده من الأخبار بأسناده، إمّا لوجود الإجماع علیه، أو موافقته لما دلّت العقول علیه، أو لاشتهاره فی السیر و الکتب بین المخالف و المؤالف، إلّا ما أوردته عن أبی محمّد الحسن بن علیّ العسکری علیه السّلام، فإنّه لیس فی الاشتهار علی حدّ ما سواه و إن کان مشتملا علی مثل الذی قدّمناه، فلأجل ذلک ذکرت أسناده فی أوّل جزء من ذلک، دون غیره، لأنّ جمیع ما رویت عنه علیه السّلام إنّما رویته بإسناد واحد، من جملة الأخبار التی ذکرها علیه السّلام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العالم العابد أبو جعفر مهدیّ بن حرب الحسینی المرعشی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الصادق أبو عبد اللّه جعفر بن محمّد بن أحمد الدوریستی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السعید أبو جعفر محمّد بن علیّ بن الحسین بن موسی بن بابویه القمّی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الحسن محمّد بن القاسم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یعقوب یوسف بن محمّد بن زیاد و أبو الحسن علیّ بن محمّد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من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محمّد الحسن بن علیّ العسکری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آبائه علیهم السّلام،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من یتم الیتیم الذی انقطع عن أمّه و أبیه یتم یتیم انقطع عن إمامه و لا یقدر الوصول إلیه، و لا یدری کیف حکمه فیما یبتلی به من شرائع دینه، ألا فمن کان من شیعتنا عالما بعلومنا، و هذا الجاهل بشریعتنا المنقطع عن مشاهدتنا یتیم فی حجره، ألا فمن هداه و أرشده و علّمه شریعتنا کان معنا فی الرفیق الأعلی</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أبی محمّد الحسن العسکری علیه 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شیعتنا عالما بشریعتنا، فأخرج ضعفاء شیعتنا من ظلمة جهلهم إلی نور العلم الذی حبوناه به، جاء یوم القیامة و علی رأسه تاج</w:t>
      </w:r>
    </w:p>
    <w:p>
      <w:pPr>
        <w:pStyle w:val="BookText"/>
        <w:rPr/>
      </w:pPr>
      <w:r>
        <w:rPr>
          <w:rFonts w:ascii="IRNazanin" w:hAnsi="IRNazanin" w:eastAsia="IRNazanin"/>
          <w:color w:val="111111"/>
          <w:sz w:val="28"/>
          <w:sz w:val="28"/>
          <w:szCs w:val="28"/>
          <w:rtl w:val="true"/>
          <w:lang w:bidi="fa-IR"/>
        </w:rPr>
        <w:t>من نور یضی‌ء لجمیع أهل العرصات، و حلّة لا تقوم لأقلّ سلک منها الدنیا بحذافیرها، 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هذا عالم من تلامذة بعض علماء آل محمّد، ألا فمن أخرجه فی الدنیا من حیرة جهله، فلیتشبّث بنوره لیخرجه من حیرة ظلمة هذه العرصات إلی نزهة الجنان، فیخرج کلّ من کان علّمه فی الدنیا خیرا، أو فتح عن قلبه من الجهل قفلا، أو أوضح له عن شبهة</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أبی محمّد العسکری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کفل لنا یتیما قطعته عنّا محنتنا باستتارنا فواساه من علومنا التی سقطت إلیه حتّی أرشده و هداه،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العبد الکریم المواسی لأخیه أنا أولی بالکرم منک، اجعلوا له یا ملائکتی فی الجنان بعدد کلّ حرف علّمه ألف ألف قصر، و ضمّوا إلیها ما یلیق بها من سائر النعم</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کمن معه شمعة تضی‌ء للناس، فکلّ من أبصر بشمعته دعا له بخیر، کذلک العالم معه شمعة تزیل ظلمة الجهل و الحیرة، فکلّ من أضاءت له، فخرج بها من حیرة أو نجا بها من جهل، فهو من عتقائه من النار، و اللّه یعوّضه عن ذلک لکلّ شعرة لمن أعتقه ما هو أفضل له من الصدقة بمائة ألف قنطار علی الوجه الذی أمر اللّه عزّ و جلّ به، بل تلک الصدقة و بال علی صاحبها، لکن یعطیه اللّه ما هو أفضل من مائة ألف رکعة یصلّیها من بین یدی الکعبة</w:t>
      </w:r>
      <w:r>
        <w:rPr>
          <w:rFonts w:eastAsia="IRNazanin" w:cs="IRNazanin"/>
          <w:color w:val="111111"/>
          <w:sz w:val="28"/>
          <w:szCs w:val="28"/>
          <w:rtl w:val="true"/>
          <w:lang w:bidi="fa-IR"/>
        </w:rPr>
        <w:t>».</w:t>
      </w:r>
      <w:r>
        <w:rPr>
          <w:rStyle w:val="FootnoteAnchor"/>
          <w:rtl w:val="true"/>
        </w:rPr>
        <w:footnoteReference w:id="67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شیعتنا مرابطون فی الثغر الذی یلی إبلیس و عفاریته، یمنعونهم عن الخروج علی ضعفاء شیعتنا، و عن أن یتسلّط علیهم إبلیس و شیعته و النواصب،</w:t>
      </w:r>
    </w:p>
    <w:p>
      <w:pPr>
        <w:pStyle w:val="BookText"/>
        <w:rPr/>
      </w:pPr>
      <w:r>
        <w:rPr>
          <w:rFonts w:ascii="IRNazanin" w:hAnsi="IRNazanin" w:eastAsia="IRNazanin"/>
          <w:color w:val="111111"/>
          <w:sz w:val="28"/>
          <w:sz w:val="28"/>
          <w:szCs w:val="28"/>
          <w:rtl w:val="true"/>
          <w:lang w:bidi="fa-IR"/>
        </w:rPr>
        <w:t>ألا فمن انتصب لذلک من شیعتنا کان أفضل ممّن جاهد الروم و الترک و الخزر ألف ألف مرّة، لأنّه یدفع عن أدیان محبّینا، و ذلک یدفع عن أبدانهم</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فقال علیه السّلام بالإسناد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جعفر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واحد ینقذ یتیما من أیتامنا المنقطعین عنّا و عن مشاهدتنا بتعلیم ما هو محتاج إلیه، أشدّ علی إبلیس من ألف ألف عابد؛ لأنّ العابد همّه ذات نفسه فقط، و الفقیه همّه ذات نفسه و ذوات عباد اللّه و إمائه، لینقذهم من ید إبلیس و مردته، فلذلک هو أفضل عند اللّه من ألف ألف عابد و ألف ألف عابدة</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موسی الرضا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کنت، همّتک ذات نفسک، و کفیت مئونتک، فادخل الجنّة، ألا إنّ الفقیه من أفاض علی الناس خیره و أنقذهم من أعدائهم، و وفّر علیهم نعم جنان اللّه تعالی، و حصّل لهم رضوان اللّه تعالی، و یقال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الکافل لأیتام آل محمّد الهادی لضعفاء محبّیهم و 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حتّی نشفع لکلّ من أخذ عنک أو تعلّم منک، فیقف، فیدخل الجنّة معه فئاما</w:t>
      </w:r>
      <w:r>
        <w:rPr>
          <w:rStyle w:val="FootnoteAnchor"/>
          <w:rtl w:val="true"/>
        </w:rPr>
        <w:footnoteReference w:id="673"/>
      </w:r>
      <w:r>
        <w:rPr>
          <w:rFonts w:ascii="IRNazanin" w:hAnsi="IRNazanin" w:eastAsia="IRNazanin"/>
          <w:color w:val="111111"/>
          <w:sz w:val="28"/>
          <w:sz w:val="28"/>
          <w:szCs w:val="28"/>
          <w:rtl w:val="true"/>
          <w:lang w:bidi="fa-IR"/>
        </w:rPr>
        <w:t>و فئاما و فئاما،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و هم الذین أخذوا عنه علومه، و أخذوا عمّن أخذ عنه و عمّن أخذ عمّن أخذ عنه إلی یوم القیامة، فانظروا کیف صرف</w:t>
      </w:r>
      <w:r>
        <w:rPr>
          <w:rStyle w:val="FootnoteAnchor"/>
          <w:rtl w:val="true"/>
        </w:rPr>
        <w:footnoteReference w:id="674"/>
      </w:r>
      <w:r>
        <w:rPr>
          <w:rFonts w:ascii="IRNazanin" w:hAnsi="IRNazanin" w:eastAsia="IRNazanin"/>
          <w:color w:val="111111"/>
          <w:sz w:val="28"/>
          <w:sz w:val="28"/>
          <w:szCs w:val="28"/>
          <w:rtl w:val="true"/>
          <w:lang w:bidi="fa-IR"/>
        </w:rPr>
        <w:t>ما بین المنزلتین</w:t>
      </w:r>
      <w:r>
        <w:rPr>
          <w:rFonts w:eastAsia="IRNazanin" w:cs="IRNazanin"/>
          <w:color w:val="111111"/>
          <w:sz w:val="28"/>
          <w:szCs w:val="28"/>
          <w:rtl w:val="true"/>
          <w:lang w:bidi="fa-IR"/>
        </w:rPr>
        <w:t>».</w:t>
      </w:r>
      <w:r>
        <w:rPr>
          <w:rStyle w:val="FootnoteAnchor"/>
          <w:rtl w:val="true"/>
        </w:rPr>
        <w:footnoteReference w:id="67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موضع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من یبقی بعد غیبة قائمکم علیه السّلام من العلماء الداعین إلیه، و الدالّین علیه، و الذابّین عن دینه بحجج اللّه، و المنقذین لضعفاء عباد اللّه من شباک إبلیس و مردته و من فخاخ النواصب، لما بقی أحد إلّا ارتدّ عن دین اللّه، و لکنّهم الذین یمسکون أزمّة قلوب ضعفاء الشیعة، کما یمسک صاحب السفینة سکّانها، اولئک هم الأفضلون عند اللّه عزّ و جلّ</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فی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علیّ بن محمّد الهادی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من 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علماء شیعتنا القوّامون بضعفاء محبّینا و أهل ولایتنا یوم القیامة و الأنوار تسطع من تیجانهم، علی رأس کلّ واحد منهم تاج بهاء قد انبثّت تلک الأنوار فی عرصات القیامة، و دورها مسیرة ثلاثمائة ألف سنة، فشعاع تیجانهم ینبثّ فیها کلّها، فلا یبقی هناک یتیم قد کفلوه، و من ظلمة الجهل علّموه، و من حیرة التیه أخرجوه إلّا تعلّق بشعبة من أنوارهم، فرفعتهم إلی العلو حتّی تحاذی بهم فوق الجنان، ثمّ ینزلهم علی منازلهم المعدّة فی جوار استادیهم و معلّمیهم و بحضرة أئمّتهم الذین کانوا إلیهم یدعون، و لا یبقی ناصب من النواصب یصیبه من شعاع تلک التیجان إلّا عمیت عینه و أصمّت اذنه و أخرس لسانه و تحوّل علیه أشدّ من لهب النیران، فیحملهم حتّی یدفعهم إلی الزبانیة، فیدعونهم</w:t>
      </w:r>
      <w:r>
        <w:rPr>
          <w:rStyle w:val="FootnoteAnchor"/>
          <w:rtl w:val="true"/>
        </w:rPr>
        <w:footnoteReference w:id="678"/>
      </w:r>
      <w:r>
        <w:rPr>
          <w:rFonts w:ascii="IRNazanin" w:hAnsi="IRNazanin" w:eastAsia="IRNazanin"/>
          <w:color w:val="111111"/>
          <w:sz w:val="28"/>
          <w:sz w:val="28"/>
          <w:szCs w:val="28"/>
          <w:rtl w:val="true"/>
          <w:lang w:bidi="fa-IR"/>
        </w:rPr>
        <w:t>إلی سواء الجهیم</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محبّی آل محمّد مساکین، مواساتهم أفضل من مواساة مساکین الفقراء، و هم الذین سکنت جوارحهم و ضعفت قواهم من مقاتلة أعداء اللّه الذین یعیّرونهم بدینهم، و یسفّهون أحلامهم، ألا فمن قوّاهم بفقهه و علّمهم حتّی أزال مسکنتهم، ثمّ یسلّطهم علی الأعداء الظاهرین النواصب، و علی الأعداء الباطنین إبلیس و مردته حتّی یهزموهم عن دین اللّه یذودوهم</w:t>
      </w:r>
      <w:r>
        <w:rPr>
          <w:rStyle w:val="FootnoteAnchor"/>
          <w:rtl w:val="true"/>
        </w:rPr>
        <w:footnoteReference w:id="680"/>
      </w:r>
      <w:r>
        <w:rPr>
          <w:rFonts w:ascii="IRNazanin" w:hAnsi="IRNazanin" w:eastAsia="IRNazanin"/>
          <w:color w:val="111111"/>
          <w:sz w:val="28"/>
          <w:sz w:val="28"/>
          <w:szCs w:val="28"/>
          <w:rtl w:val="true"/>
          <w:lang w:bidi="fa-IR"/>
        </w:rPr>
        <w:t>عن أولیاء آل الرسول صلّی اللّه علیه و آله، حوّل اللّه تعالی تلک المسکنة إلی شیاطینهم فأعجزهم عن إضلالهم، قضی اللّه تعالی بذلک قضاء حقّا علی لسان رسول اللّه صلّی اللّه علیه و آله</w:t>
      </w:r>
      <w:r>
        <w:rPr>
          <w:rFonts w:eastAsia="IRNazanin" w:cs="IRNazanin"/>
          <w:color w:val="111111"/>
          <w:sz w:val="28"/>
          <w:szCs w:val="28"/>
          <w:rtl w:val="true"/>
          <w:lang w:bidi="fa-IR"/>
        </w:rPr>
        <w:t>».</w:t>
      </w:r>
      <w:r>
        <w:rPr>
          <w:rStyle w:val="FootnoteAnchor"/>
          <w:rtl w:val="true"/>
        </w:rPr>
        <w:footnoteReference w:id="68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محمّد الحسن بن علیّ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قوّی مسکینا فی دینه، ضعیفا فی معرفته علی ناصب مخالف، فأفحمه</w:t>
      </w:r>
      <w:r>
        <w:rPr>
          <w:rStyle w:val="FootnoteAnchor"/>
          <w:rtl w:val="true"/>
        </w:rPr>
        <w:footnoteReference w:id="682"/>
      </w:r>
      <w:r>
        <w:rPr>
          <w:rFonts w:ascii="IRNazanin" w:hAnsi="IRNazanin" w:eastAsia="IRNazanin"/>
          <w:color w:val="111111"/>
          <w:sz w:val="28"/>
          <w:sz w:val="28"/>
          <w:szCs w:val="28"/>
          <w:rtl w:val="true"/>
          <w:lang w:bidi="fa-IR"/>
        </w:rPr>
        <w:t>، لقّنه اللّه تعالی یوم یدلی فی قبره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 محمّد نبیّی، و علیّ ولیّی، و الکعبة قبلتی، و القرآن بهجتی و عدّتی، و المؤمنون إخوانی؛ فیقول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أدلیت</w:t>
      </w:r>
      <w:r>
        <w:rPr>
          <w:rStyle w:val="FootnoteAnchor"/>
          <w:rtl w:val="true"/>
        </w:rPr>
        <w:footnoteReference w:id="683"/>
      </w:r>
      <w:r>
        <w:rPr>
          <w:rFonts w:ascii="IRNazanin" w:hAnsi="IRNazanin" w:eastAsia="IRNazanin"/>
          <w:color w:val="111111"/>
          <w:sz w:val="28"/>
          <w:sz w:val="28"/>
          <w:szCs w:val="28"/>
          <w:rtl w:val="true"/>
          <w:lang w:bidi="fa-IR"/>
        </w:rPr>
        <w:t>بالحجّة، فوجبت لک أعالی درجات الجنّة، فعند ذلک یتحوّل علیه قبره أنزه ریاض الجنّة</w:t>
      </w:r>
      <w:r>
        <w:rPr>
          <w:rFonts w:eastAsia="IRNazanin" w:cs="IRNazanin"/>
          <w:color w:val="111111"/>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فتأمّل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أیضا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المتکرّر، عن أبی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w:t>
      </w:r>
      <w:r>
        <w:rPr>
          <w:rStyle w:val="FootnoteAnchor"/>
          <w:rtl w:val="true"/>
        </w:rPr>
        <w:footnoteReference w:id="685"/>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القوم من الیهود، کتبوا صفة زعموا أنّها صفة النبیّ المبعوث فی آخر الزمان أنّه طویل عظیم البدن و البطن، أهداف</w:t>
      </w:r>
      <w:r>
        <w:rPr>
          <w:rStyle w:val="FootnoteAnchor"/>
          <w:rtl w:val="true"/>
        </w:rPr>
        <w:footnoteReference w:id="686"/>
      </w:r>
      <w:r>
        <w:rPr>
          <w:rFonts w:ascii="IRNazanin" w:hAnsi="IRNazanin" w:eastAsia="IRNazanin"/>
          <w:color w:val="111111"/>
          <w:sz w:val="28"/>
          <w:sz w:val="28"/>
          <w:szCs w:val="28"/>
          <w:rtl w:val="true"/>
          <w:lang w:bidi="fa-IR"/>
        </w:rPr>
        <w:t>، أصهب الشعر، و محمّد بخلافه، و هو یجی‌ء بعد هذا الزمان بخمسمائة سنة، و إنّما أرادوا بذلک أن تبقی لهم علی ضعفائهم ریاستهم، و تدوم لهم إصابتهم، و یکفوا أنفسهم مئونة خدمة رسول اللّه صلّی اللّه علیه و آله و خدمة علیّ علیه السّلام و أهل بیته و خاصّته، فقال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لَهُمْ مِمَّا کَتَبَتْ أَیْدِیهِمْ وَ وَیْلٌ لَهُمْ مِمَّا یَکْسِبُونَ من هذه الصفات المحرّفات و المخالفات لصفحة محمّد صلّی اللّه علیه و آله و علیّ علیه السّلام الشدّة لهم من العذاب فی أسوإ بقاع جهنّم، و ویل لهم الشدّة فی العذاب ثانیة مضافة إلی الاولی، بما یکسبونه من الأموال التی یأخذونها إذا ثبتوا عوامّهم علی الکفر بمحمّد رسول اللّه صلّی اللّه علیه و آله، و الحجّة لوصیّة و أخیه علیّ بن أبی طالب علیه السّلام ولیّ اللّه</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هؤلاء القوم من الیهود لا یعرفون الکتاب إلّا بما یسمعونه من علمائهم، لا سبیل لهم إلی غیره، فکیف ذمّهم بتقلیدهم</w:t>
      </w:r>
    </w:p>
    <w:p>
      <w:pPr>
        <w:pStyle w:val="BookText"/>
        <w:rPr/>
      </w:pPr>
      <w:r>
        <w:rPr>
          <w:rFonts w:ascii="IRNazanin" w:hAnsi="IRNazanin" w:eastAsia="IRNazanin"/>
          <w:color w:val="111111"/>
          <w:sz w:val="28"/>
          <w:sz w:val="28"/>
          <w:szCs w:val="28"/>
          <w:rtl w:val="true"/>
          <w:lang w:bidi="fa-IR"/>
        </w:rPr>
        <w:t>و القبول من علمائهم، و هل عوامّ الیهود إلّا کعوامّنا یقلّدون علماءهم؟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عوامّنا و علمائنا و عوامّ الیهود و علمائهم فرق من جهة، و تسویة من جهة، أمّا من حیث استووا، فإنّ اللّه قد ذمّ عوامنا بتقلیدهم علماءهم کما ذمّ عوامّهم، و أمّا من حیث افترقوا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لی یا بن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عوامّ الیهود کانوا قد عرفوا علماءهم بالکذب الصراح، و بأکل الحرام و الرشاء و بتغییر الأحکام عن واجبها بالشفاعات و العنایات و المصانعات، و عرفوهم بالتعصّب الشدید الذی یفارقون به أدیانهم، و أنّهم إذا تعصّبوا أزالوا حقوق من تعصّبوا علیه، و أعطوا ما لا یستحقّه من تعصّبوا له من أموال غیرهم، و ظلموهم من أجلهم، و عرفوهم یقارفون المحرّمات، و اضطرّوا بمعارف قلوبهم إلی أنّ من فعل ما یفعلونه فهو فاسق لا یجوز أن یصدّق علی اللّه و لا علی الوسائط بین الخلق و بین اللّه، فذلک ذمّهم لما قلّدوا من قد عرفوه، و من قد علموا أنّه لا یجوز قبول خبره، و لا تصدیقه فی حکایته، و لا العمل بما یؤدّیه إلیهم عمّن لم یشاهدوه، و وجب علیهم النظر بأنفسهم فی أمر رسول اللّه صلّی اللّه علیه و آله، إذ کانت دلائله أوضح من أن تخفی، و أشهر من أن لا تظهر لهم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عوامّ امّتنا، إذا عرفوا من فقهائهم الفسق الظاهر، و العصبیّة الشدیدة، و التکالب علی حطام الدنیا و حرامها، و إهلاک من یتعصّبون علیه و إن کان لإصلاح أمره مستحقّا، و بالترفرف بالبرّ و الإحسان علی من تعصّبوا له و إن کان للإذلال و الإهانة مستحقّا، فمن قلّد من عوامّنا مثل هؤلاء الفقهاء، فهم مثل الیهود الذین ذمّهم اللّه بالتقلید لفسقة فقهائهم، فأمّا من کان من الفقهاء صائنا لنفسه، حافظا لدینه، مخالفا علی هواه، مطیعا لأمر مولاه، فللعوامّ أن یقلّدوه، و ذلک لا یکون إلّا بعض فقهاء الشیعة، لا جمیعهم، فإنّ من رکب من القبائح و الفواحش مراکب فسقة العامّة، فلا تقبلوا منّا عنه شیئا و لا کرامة، و إنّما کثر التخلیط فیما یتحمّل عنّا أهل البیت لذلک، لأنّ الفسقة یتحمّلون عنّا، فیحرّفونه بأسره بجهلهم، و یضعون الأشیاء علی غیر</w:t>
      </w:r>
    </w:p>
    <w:p>
      <w:pPr>
        <w:pStyle w:val="BookText"/>
        <w:rPr/>
      </w:pPr>
      <w:r>
        <w:rPr>
          <w:rFonts w:ascii="IRNazanin" w:hAnsi="IRNazanin" w:eastAsia="IRNazanin"/>
          <w:color w:val="111111"/>
          <w:sz w:val="28"/>
          <w:sz w:val="28"/>
          <w:szCs w:val="28"/>
          <w:rtl w:val="true"/>
          <w:lang w:bidi="fa-IR"/>
        </w:rPr>
        <w:t>وجهها لقلّة معرفتهم، و آخرون یتعمّدون الکذب علینا لیجرّوا من عرض الدنیا ما هو زادهم إلی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قوم نصّاب، لا یقدرون علی القدح فینا، یتعلّمون بعض علومنا الصحیحة، فیتوجّهون به عند شیعتنا، و ینتقصون بنا عند نصّابنا، ثمّ یضیفون إلیه أضعافه، و أضعاف أضعافه من الأکاذیب علینا التی نحن براء منها، فیتقبّله المستسلمون من شیعتنا، علی أنّه من علومنا، فضلّوا و أضلّوا، و هم أضرّ علی ضعفاء شیعتنا من جیش یزید علی الحسین بن علیّ علیهما السّلام و أصحابه، فإنّهم یسلبونهم الأرواح و الأموال، و هؤلاء علماء السوء الناصبون المتشبّهون بأنّهم لنا موالون، و لأعدائنا معادون، و یدخلون الشکّ و الشبهة علی ضعفاء شیعتنا، فیضلّونهم و یمنعونهم عن قصد الحقّ المصیب، لا جرم أنّ من علم اللّه من قلبه من هؤلاء القوم أنّه لا یرید إلّا صیانة دینه، و تعظیم ولیّه، لم یترکه فی ید هذا المتلبّس الکافر، و لکنّه یقیض له مؤمنا یقف به علی الصواب، ثمّ یوفّقه اللّه للقبول منه، فیجمع اللّه له بذلک خیر الدنیا و الآخرة، و یجمع علی من أصله لعنا فی الدنیا و 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أشرار علماء 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المضلّون عنّا، القاطعون للطرق إلینا، المسمّون أضدادنا بأسمائنا، الملقّبون أندادنا بألقابنا، یصلّون علیهم و هم للّعن مستحقّون، و یلعنونا و نحن بکرامات اللّه مغمورون، و بصلوات اللّه و صلوات ملائکته المقرّبین علینا عن صلواتهم مستغنون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خلق اللّه بعد أئمّة الهدی و مصابیح الدجی؟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إذا صلحوا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شرار خلق اللّه بعد إبلیس و فرعون و نمرود، و بعد المتسمّین بأسمائکم، و المتلقّبین بألقابکم، و الآخذین لأمکنتکم، و المتأمّرین فی ممالککم؟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فسدوا، و هم المظهرون للأباطیل، الکاتمون للحقائق، و فیهم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یَلْعَنُهُمُ اللَّهُ وَ یَلْعَنُهُمُ اللَّاعِنُونَ إِلَّا الَّذِینَ تابُوا وَ أَصْلَحُوا وَ بَیَّنُوا فَأُولئِکَ</w:t>
      </w:r>
    </w:p>
    <w:p>
      <w:pPr>
        <w:pStyle w:val="BookText"/>
        <w:rPr/>
      </w:pPr>
      <w:r>
        <w:rPr>
          <w:rFonts w:ascii="Amiri" w:hAnsi="Amiri" w:eastAsia="Amiri" w:cs="Amiri"/>
          <w:color w:val="111111"/>
          <w:sz w:val="28"/>
          <w:sz w:val="28"/>
          <w:szCs w:val="28"/>
          <w:rtl w:val="true"/>
          <w:lang w:bidi="ar-SA"/>
        </w:rPr>
        <w:t>أَتُوبُ عَلَیْهِمْ وَ أَنَا التَّوَّابُ الرَّحِیمُ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المرویّة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المنجبر ضعفها إن ثبت، إمّا بعمل الأصحاب کما فی المسالک</w:t>
      </w:r>
      <w:r>
        <w:rPr>
          <w:rStyle w:val="FootnoteAnchor"/>
          <w:rtl w:val="true"/>
        </w:rPr>
        <w:footnoteReference w:id="690"/>
      </w:r>
      <w:r>
        <w:rPr>
          <w:rFonts w:ascii="IRNazanin" w:hAnsi="IRNazanin" w:eastAsia="IRNazanin"/>
          <w:color w:val="111111"/>
          <w:sz w:val="28"/>
          <w:sz w:val="28"/>
          <w:szCs w:val="28"/>
          <w:rtl w:val="true"/>
          <w:lang w:bidi="fa-IR"/>
        </w:rPr>
        <w:t>و غیره، أو بإجماعهم کما صرّح به السیّد السند الاستاد دام ظلّه فی المفاتیح</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أیضا فی الفقیه و التهذیب و الاحتجاج و العوالی بأدنی تغییر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أبی خدیجة المرویّة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المنجبر ضعفها إن تمّ 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یعلم شیئا من قضایانا، فاجعلوه بینکم قاضیا، فتحاکموا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الفقیه و التهذیب و العوالی بأدنی تغییر</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سابقها أیضا واضحة الدلالة علی المدّعی، سیّما بعد ملاحظة السبق أو اللحوق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أفاده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الترافع قد یکون باعتبار النزاع فی الموضوع، کما إذا ادّعی ملکیّة دار فی یده، و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باعتبار اشتباه الحکم، کما إذا تخالفا فیما انتقل إلیه بالبیع الواقع علی وجه المعاطاة، و الرجوع</w:t>
      </w:r>
    </w:p>
    <w:p>
      <w:pPr>
        <w:pStyle w:val="BookText"/>
        <w:rPr/>
      </w:pPr>
      <w:r>
        <w:rPr>
          <w:rFonts w:ascii="IRNazanin" w:hAnsi="IRNazanin" w:eastAsia="IRNazanin"/>
          <w:color w:val="111111"/>
          <w:sz w:val="28"/>
          <w:sz w:val="28"/>
          <w:szCs w:val="28"/>
          <w:rtl w:val="true"/>
          <w:lang w:bidi="fa-IR"/>
        </w:rPr>
        <w:t>إلی الحاکم حینئذ تقلید له کما لا یخفی، و الروایة مطلقة شاملة للقسمین؛ فهی بإطلاقها تدلّ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و لکن قبول الحکم یستلزم جواز التقلید بطریق أولی، علی أنّ الظاهر أنّه لا قائل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695"/>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العلل عن أبیه، عن محمّد بن یحیی، عن محمّد بن الحسن بن أبی الخطّاب، عن الحسن بن محبوب، عن یعقوب بن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الأرض بلا عالم حیّ ظاهر، یفزع إلیه الناس فی حلالهم و حرامهم؟</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 یعبد اللّه یا أبا یوسف</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یعضد المختار أو یؤیّده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المرسل المشهور فی الألسنة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کأنبیاء بنی إسرائیل</w:t>
      </w:r>
      <w:r>
        <w:rPr>
          <w:rFonts w:eastAsia="IRNazanin" w:cs="IRNazanin"/>
          <w:color w:val="111111"/>
          <w:sz w:val="28"/>
          <w:szCs w:val="28"/>
          <w:rtl w:val="true"/>
          <w:lang w:bidi="fa-IR"/>
        </w:rPr>
        <w:t>»</w:t>
      </w:r>
      <w:r>
        <w:rPr>
          <w:rStyle w:val="FootnoteAnchor"/>
          <w:rtl w:val="true"/>
        </w:rPr>
        <w:footnoteReference w:id="69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الآخر المرسل المرویّ فی روضة الواعظین،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بابا من العلم عمّن یثق به، کان أفضل من أن یصلّی ألف رکعة</w:t>
      </w:r>
      <w:r>
        <w:rPr>
          <w:rStyle w:val="FootnoteAnchor"/>
          <w:rtl w:val="true"/>
        </w:rPr>
        <w:footnoteReference w:id="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الحدیث؛ و رواه المحدّث الحرّ العاملی فی 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روضة الواعظین کما ذکره المصنّف، فلاحظ</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الخصال و مجموعة ورّام عن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امّتی إذا صلحا صلحت الامّة، و إذا فسدا فسدت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الامراء</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أنّ العلماء ورثة الأنبیاء</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الأخبار علی ترجیح مداد العلماء علی دماء الشهداء</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أفضلیّة العالم من العابد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الأخبار علی أنّ فینا أو فی کلّ قرن عدولا</w:t>
      </w:r>
      <w:r>
        <w:rPr>
          <w:rStyle w:val="FootnoteAnchor"/>
          <w:rtl w:val="true"/>
        </w:rPr>
        <w:footnoteReference w:id="703"/>
      </w:r>
      <w:r>
        <w:rPr>
          <w:rFonts w:ascii="IRNazanin" w:hAnsi="IRNazanin" w:eastAsia="IRNazanin"/>
          <w:color w:val="111111"/>
          <w:sz w:val="28"/>
          <w:sz w:val="28"/>
          <w:szCs w:val="28"/>
          <w:rtl w:val="true"/>
          <w:lang w:bidi="fa-IR"/>
        </w:rPr>
        <w:t>، ینفون عن الدین تأویل المبطلین و تحریف الغالین و انتحال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الاجتهاد علی أنّ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عالم، أو متعلّم، أو غیرهما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منها علی أنّه لا خیر فی العیش إلّا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مطاع، أو مستمع واع</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المحاسن مرسلا،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شاهد الحقّ، و محمّد صلّی اللّه علیه و آله لذلک مستقرّ، فمن اتّخذ سببا إلی سبب اللّه لم یقطع به الأسباب، و من اتّخذ غیر ذلک سببا مع کلّ کذّاب، فاتّقوا اللّه، فإنّ اللّه قد أوضح لکم أعلام دینکم، و منار هداکم، فلا تأخذوا أمرکم بالوهن، و لا أدیانکم هزوا، فتدحض أعمالکم، و تخبطوا سبیلکم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من حزب الشیطان، فتضلّوا، یهلک من هلک عن بیّنة، و یحیا من حیّ عن بیّنة، و علی اللّه البیان، بیّن لکم فاهتدوا، و بقول العلماء فانتفعوا، و السبیل</w:t>
      </w:r>
    </w:p>
    <w:p>
      <w:pPr>
        <w:pStyle w:val="BookText"/>
        <w:rPr/>
      </w:pPr>
      <w:r>
        <w:rPr>
          <w:rFonts w:ascii="IRNazanin" w:hAnsi="IRNazanin" w:eastAsia="IRNazanin"/>
          <w:color w:val="111111"/>
          <w:sz w:val="28"/>
          <w:sz w:val="28"/>
          <w:szCs w:val="28"/>
          <w:rtl w:val="true"/>
          <w:lang w:bidi="fa-IR"/>
        </w:rPr>
        <w:t>فی ذلک إلی اللّه، فمن یهدی اللّه فهو المهتدی، و من یضلل اللّه فلن تجد له ولیّا مرشدا</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عنوان البصری، المرویّة فی الوسائل و غیرها، عن أبی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العلماء ما جهلت</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 الأخبار الدالّة علی مشروعیّة الأمر بالمعروف و النهی عن المنکر و وجوبهما الکفائی؛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أَحْیاها فَکَأَنَّما أَحْیَا النَّاسَ جَمِیعاً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الْفاسِقُونَ</w:t>
      </w:r>
      <w:r>
        <w:rPr>
          <w:rStyle w:val="FootnoteAnchor"/>
          <w:rtl w:val="true"/>
        </w:rPr>
        <w:footnoteReference w:id="7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Style w:val="FootnoteAnchor"/>
          <w:rtl w:val="true"/>
        </w:rPr>
        <w:footnoteReference w:id="71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الْکافِرُونَ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کُونُوا مَعَ الصَّادِقِینَ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لَمَعَ الْمُحْسِنِینَ</w:t>
      </w:r>
      <w:r>
        <w:rPr>
          <w:rStyle w:val="FootnoteAnchor"/>
          <w:rtl w:val="true"/>
        </w:rPr>
        <w:footnoteReference w:id="71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الاستصحاب، و العمومات الدالّة علی عدم جواز نقض الیقین إلّا بالیقین، و العمومات الدالّة علی عدم جواز العمل بغیر العلم، أو العمومات الدالّة علی أنّ طلب العلم فریضة علی کلّ مسلم و مسلمة، و علی وجوب التفقّه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من العمومات و غیرها علی قبح التقلید و امتناعه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w:t>
      </w:r>
      <w:r>
        <w:rPr>
          <w:rStyle w:val="FootnoteAnchor"/>
          <w:rtl w:val="true"/>
        </w:rPr>
        <w:footnoteReference w:id="715"/>
      </w:r>
      <w:r>
        <w:rPr>
          <w:rFonts w:ascii="IRNazanin" w:hAnsi="IRNazanin" w:eastAsia="IRNazanin"/>
          <w:color w:val="111111"/>
          <w:sz w:val="28"/>
          <w:sz w:val="28"/>
          <w:szCs w:val="28"/>
          <w:rtl w:val="true"/>
          <w:lang w:bidi="fa-IR"/>
        </w:rPr>
        <w:t>الإجماع الظاهر أو اللائح من الغنیة علیه، و أنّه لو جاز التقلید هنا،</w:t>
      </w:r>
    </w:p>
    <w:p>
      <w:pPr>
        <w:pStyle w:val="BookText"/>
        <w:rPr/>
      </w:pPr>
      <w:r>
        <w:rPr>
          <w:rFonts w:ascii="IRNazanin" w:hAnsi="IRNazanin" w:eastAsia="IRNazanin"/>
          <w:color w:val="111111"/>
          <w:sz w:val="28"/>
          <w:sz w:val="28"/>
          <w:szCs w:val="28"/>
          <w:rtl w:val="true"/>
          <w:lang w:bidi="fa-IR"/>
        </w:rPr>
        <w:t>لجاز فی اصول الدین، و التالی باطل،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الجمیع نظر لا یخفی، سیّما علی اولی النّهی، خصوصا بعد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استفتی المستفتی فی واقعة فاجیب، ثمّ حدثت تلک الواقعة مرّة اخری، فهل یلزمه تجدید السؤال، أم لا، بل یکفیه السؤال السابق ما لم یمنع عنه مانع؟</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وفاقا لصریح شیخنا الشهید الثانی فی المنیة</w:t>
      </w:r>
      <w:r>
        <w:rPr>
          <w:rStyle w:val="FootnoteAnchor"/>
          <w:rtl w:val="true"/>
        </w:rPr>
        <w:footnoteReference w:id="716"/>
      </w:r>
      <w:r>
        <w:rPr>
          <w:rFonts w:ascii="IRNazanin" w:hAnsi="IRNazanin" w:eastAsia="IRNazanin"/>
          <w:color w:val="111111"/>
          <w:sz w:val="28"/>
          <w:sz w:val="28"/>
          <w:szCs w:val="28"/>
          <w:rtl w:val="true"/>
          <w:lang w:bidi="fa-IR"/>
        </w:rPr>
        <w:t>، و سائر کلمات الطائفة؛ للأصل، و الاستصحاب، و العمومات المقتضیة لعدم الوجوب و البقاء علی ما کان، السلیمة عمّا یصلح للمعارضة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بالعمومات النافیة للحرج و العسر و الضرر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السیرة المعهودة المستمرّة بین الشیعة، بل بین المسلمین فی جمیع الأعصار و الأمصار، من زمن النبیّ صلّی اللّه علیه و آله إلی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اتّحد المفتی الجامع للشرائط تعیّن علیه الاستفتاء عنه و تقلیده فی جمیع ما ورد علیه من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فإن اتّفقوا فی الفتوی، تعیّن علیه الأخذ بها بلا خلاف ظاهر فی ذلک بین القائلین بالمختار فتوی و دلیلا، و لکن هل یجب علیه فی الصورة الثانیة تعیین من قلّده من المفتین؟</w:t>
      </w:r>
    </w:p>
    <w:p>
      <w:pPr>
        <w:pStyle w:val="BookText"/>
        <w:rPr/>
      </w:pP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المفاتیح</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أخذا بالمتیقّن و إن کان فی تعیینه کلام و إشکال، کما سیأتی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اختلفوا فی العلم و العدالة و الورع، و قلنا بتعیین الأعلم و الأورع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 حسبما نقل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علیه الأخذ من الأعلم و الأورع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تساووا فی ذلک، أو قلنا بتخییره مطلقا، تخیّر فی الأخذ بفتوی من شاء منهم</w:t>
      </w:r>
    </w:p>
    <w:p>
      <w:pPr>
        <w:pStyle w:val="BookText"/>
        <w:rPr/>
      </w:pPr>
      <w:r>
        <w:rPr>
          <w:rFonts w:ascii="IRNazanin" w:hAnsi="IRNazanin" w:eastAsia="IRNazanin"/>
          <w:color w:val="111111"/>
          <w:sz w:val="28"/>
          <w:sz w:val="28"/>
          <w:szCs w:val="28"/>
          <w:rtl w:val="true"/>
          <w:lang w:bidi="fa-IR"/>
        </w:rPr>
        <w:t>فیما ورد علیه من الوقائع، بلا خلاف فی ذلک فتوی و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المستفتی و المقلّد تعیین شخص من یقلّده و یعمل بفتواه حال العمل مطلقا، فلا یصحّ و لا یکفی بدون ذلک کذلک؟</w:t>
      </w:r>
    </w:p>
    <w:p>
      <w:pPr>
        <w:pStyle w:val="BookText"/>
        <w:rPr/>
      </w:pPr>
      <w:r>
        <w:rPr>
          <w:rFonts w:ascii="IRNazanin" w:hAnsi="IRNazanin" w:eastAsia="IRNazanin"/>
          <w:color w:val="111111"/>
          <w:sz w:val="28"/>
          <w:sz w:val="28"/>
          <w:szCs w:val="28"/>
          <w:rtl w:val="true"/>
          <w:lang w:bidi="fa-IR"/>
        </w:rPr>
        <w:t>أم لا کذلک، فیصحّ عمله، و یکفی فی صحّته اعتقاده القطعی أو القائم مقامه شرعا بموافقته لفتوی مفت ما جامع للشرائط، مع عدم تعیینه بخصوصه عنده شرعا کذلک؟</w:t>
      </w:r>
    </w:p>
    <w:p>
      <w:pPr>
        <w:pStyle w:val="BookText"/>
        <w:rPr/>
      </w:pPr>
      <w:r>
        <w:rPr>
          <w:rFonts w:ascii="IRNazanin" w:hAnsi="IRNazanin" w:eastAsia="IRNazanin"/>
          <w:color w:val="111111"/>
          <w:sz w:val="28"/>
          <w:sz w:val="28"/>
          <w:szCs w:val="28"/>
          <w:rtl w:val="true"/>
          <w:lang w:bidi="fa-IR"/>
        </w:rPr>
        <w:t>أم التفصیل بما إذا تعذّر أو تعسّر التعیین؛ فالثانی، و غیره؛ فالأوّل؟ أوجه 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مهما أمکن، و إن کان المسیر إلی الثانی لا یخلو عن وجه و قوّة؛ للعمومات المشار إلیها، الدالّة علی الصحّة، و علی الاکتفاء بذلک، السلیمة عمّا یصلح للمعارضة، المؤیّدة أو المعتضدة بعدم تصریح التعیین فیما وقفت علیه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الجهل و عدم التعیین مانعا عن ثبوت کونه جامعا للشرائط المعتبرة فی حقّه، فحینئذ یتّجه القول بلزوم التعیین، 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لأجل اشتراطه و وجوبه، بل لأجل عدم ثبوت کونه جامعا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الحکم فیما لو کان المفتی لا علی التعیین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بالإضافة إلی نفسه، و بالإضافة إلی المقلّد أیضا، کما لو أفتی جماعة من المفتین بصحّة شی‌ء، و بنی المقلّد عمله علی الصحّة و مقتضاه، و لکن لم یعیّن علی نفسه، بل علی واحد منهم لا بعینه، و منشأ الإشکال إنّما هو عدم تحقّق المصداق للواحد لا بعینه، و استلزامه لخروجه عن تحت الأدلّة الدالّة علی حجّیّة فتوی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إذا ثبت حجّیّة فتوی المفتی و الحکم المؤدّی إلیه اجتهاده من حیث إنّهما حکمه و فتواه، من دون مدخلیّة لخصوص شخص المفتی و تعیینه، فحینئذ یتّجه أیضا ما قلناه، و لکن ثبوتها کذلک لا یخلو عن إشکال، کما لا یخفی علی المطّلع علی حقیقة الحال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شرعا للمستفتی و المقلّد فی الواقعة الشخصیّة تقلید</w:t>
      </w:r>
    </w:p>
    <w:p>
      <w:pPr>
        <w:pStyle w:val="BookText"/>
        <w:rPr/>
      </w:pPr>
      <w:r>
        <w:rPr>
          <w:rFonts w:ascii="IRNazanin" w:hAnsi="IRNazanin" w:eastAsia="IRNazanin"/>
          <w:color w:val="111111"/>
          <w:sz w:val="28"/>
          <w:sz w:val="28"/>
          <w:szCs w:val="28"/>
          <w:rtl w:val="true"/>
          <w:lang w:bidi="fa-IR"/>
        </w:rPr>
        <w:t>أکثر من واحد ممّن یصحّ له تقلیده و العمل بفتواه، کما أفتی جماعة ممّن یصحّ له تقلیدهم بانفعال الماء القلیل، و اطّلع علیه المستفتی و المقلّد، ثمّ بنی عمله علی فتوی هؤلاء الجماعة بأجمعهم، و اعتقد و عزم بتقلید جمیعهم، ثمّ عمل علیه؟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وفاقا لظاهر کلّ من قال فی صورة تعذّر المفتی و اتّفاقهم فی الفتوی بأخذ المستفتی و المقلّد بها مطلقا، کالعلّامة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 و العمیدی فی منیة اللبیب، و شیخنا الشهید الثانی فی منیة المرید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لظاهر کلّ من قال بأنّ فتوی المجتهد و المفتی بالإضافة إلی المقلّد بمنزلة الأمارة الشرعیّة بالإضافة إلی المجتهد؛ للعمومات المشار إلیها، السلیمة عمّا یصلح للمعارضة، المعتضدة أو المؤیّدة بالأولویّة و الاعتبار، و بعدم التصریح فی کلماتهم فیما أعلم باشتراط وحدة المفتی فی صحّة العمل بفتواه، مع أنّه لو کانت شرطا فیها، لاشتهر غایة الاشتهار بحکم العادة؛ لکونه من الامور العامّة البلوی،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یصحّ شرعا للمقلّد و المستفتی فیما لو قلّد المفتی الجامع للشرائط و علم بفتواه فی واقعة، تقلید الآخر کذلک و العمل بفتواه فی واقعة اخری، أم لا، بل یتعیّن علیه الرجوع إلی من قلّده ابتداء و العمل بفتواه؟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المفتی الأوّل أعلم و أورع من الآخر، تعیّن علیه فیها 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مرّ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الأوّل و تقلیده، بناء علی ما مرّ من لزوم تقلید الأعلم و الأورع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أعلم أو أورع تعیّن علیه فیها 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إلیه و تقلیده، بناء علی لزوم تقلید الأعلم و الأورع کما تقدّم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الواقعة ممّا یتفرّع علی الواقعة التی قلّد فیها الأوّل، تعیّن علیه الرجوع إلیه بحکم ما دلّ علی صحّة تقلیده الأوّل، و وجوب البقاء علیه علی أحد القولین الآتی</w:t>
      </w:r>
    </w:p>
    <w:p>
      <w:pPr>
        <w:pStyle w:val="BookText"/>
        <w:rPr/>
      </w:pPr>
      <w:r>
        <w:rPr>
          <w:rFonts w:ascii="IRNazanin" w:hAnsi="IRNazanin" w:eastAsia="IRNazanin"/>
          <w:color w:val="111111"/>
          <w:sz w:val="28"/>
          <w:sz w:val="28"/>
          <w:szCs w:val="28"/>
          <w:rtl w:val="true"/>
          <w:lang w:bidi="fa-IR"/>
        </w:rPr>
        <w:t>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متساویین علما و ورعا، أو لم یثبت له شرعا بعد التتبّع و الفحص اللازم علیه تفاوتهما فی ذلک، أو قلنا بعدم وجوب تقلید الأعلم و الأورع، تخیّر فیما عدا ما یتفرّع علی ما قلّد الأوّل من الأحکام علی أحد القولین الآتیین بین الرجوع إلی کلّ منهما، و العمل بفتوی کلّ من شاء منهما علی الأصحّ، وفاقا للنهایة و التهذیب و منیة اللبیب و الذکری و الجعفریّة و منیة المرید و غیرها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للمحکیّ عن المقاصد العلیّة و الإحکام و المختصر و شرحه، بل الأکثر کما فی منیة اللبیب، بل المعظم کما فی صریح المفاتیح</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للأصل، و الاستصحاب، و العمومات الدالّة علی عدم جواز نقض الیقین إلّا بالیقین، الموجبة لبقاء التخییر و عدم التعیین الثابتین قبل التقلید؛ و العمومات الکثیرة المشار إلیها، الدالّة علی التخییر و الصحّة و الجواز فیما نحن فیه، السلیمة عمّا یصلح للمعارضة، المعتضدة أو المؤیّدة بالعمومات النافیة للحرج و الضرر فی الشریعة؛ و بعدم اشتهار القول بتعیین الرجوع إلی الأوّل مع کونه من الامور العامّة البلوی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بالسیرة المستمرّة المعهودة بین الشیعة، بل المسلمین کافّة؛ و بما قاله فی النهایة و المنیة و الإحکام و المختصر و شرحه للعضدی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حکاه السیّد السند الاستاد دام ظلّه العالی فی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العلماء لم یوجبوا فی کلّ عصر رجوع من استفتاهم فی کلّ حکم إلیهم فی جمیع الأحکام، بل سوّغ الصحابة و غیرهم استفتاء العامی لکلّ عالم فی مسألة و لم یحجروا علی العامّة فی ذلک، و لو کان ذلک واجبا لما سوّغوا السکوت</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للمحکیّ فی منیة اللبیب عن قوم، فمنعوه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 أنّه لا وجه له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فی الغایة، سیّما بعد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فیمکن حمله علی الرجوع بدون التقلید بالجواز و الصحّة، فإنّ الرجوع منه إلیه بدونه غیر صحیح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له فی الواقعة الشخصیّة التی عمل فیها بقول المفتی الجامع للشرائط و فتواه، الرجوع بعد العمل فیها إلی الآخر المفتی بخلافه، کما لو أفتی المفتی الأوّل بصحّة النکاح بغیر إذن الولیّ، أو بصحّة العقد الفضولی مع الإجازة مثلا، و أوقع المقلّد هذا النکاح و العقد بتقلیده، و بنی علی صحّته بمقتضی فتواه، ثمّ اطّلع بعد ذلک مثلا علی فتوی الآخر ببطلانهما، فأراد البناء فیهما علی هذا الفتوی، صحّ له ذلک، أم لا یصحّ، و یجب علیه البناء علی ما بنی علیه أوّلا و عمل بمقتضاه؟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بلا خلاف صریح ظاهر أجده فیه، بل و لعلّه علیه الإجماع، کما فی صریح النهایة و منیة اللبیب</w:t>
      </w:r>
      <w:r>
        <w:rPr>
          <w:rStyle w:val="FootnoteAnchor"/>
          <w:rtl w:val="true"/>
        </w:rPr>
        <w:footnoteReference w:id="722"/>
      </w:r>
      <w:r>
        <w:rPr>
          <w:rFonts w:ascii="IRNazanin" w:hAnsi="IRNazanin" w:eastAsia="IRNazanin"/>
          <w:color w:val="111111"/>
          <w:sz w:val="28"/>
          <w:sz w:val="28"/>
          <w:szCs w:val="28"/>
          <w:rtl w:val="true"/>
          <w:lang w:bidi="fa-IR"/>
        </w:rPr>
        <w:t>، بل الاتّفاق کما فی إحکام الآمدی</w:t>
      </w:r>
      <w:r>
        <w:rPr>
          <w:rStyle w:val="FootnoteAnchor"/>
          <w:rtl w:val="true"/>
        </w:rPr>
        <w:footnoteReference w:id="723"/>
      </w:r>
      <w:r>
        <w:rPr>
          <w:rFonts w:ascii="IRNazanin" w:hAnsi="IRNazanin" w:eastAsia="IRNazanin"/>
          <w:color w:val="111111"/>
          <w:sz w:val="28"/>
          <w:sz w:val="28"/>
          <w:szCs w:val="28"/>
          <w:rtl w:val="true"/>
          <w:lang w:bidi="fa-IR"/>
        </w:rPr>
        <w:t>، و عن صریح المختصر و شرحه للعضدی</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 هو الحجّة، مضافا إلی الأصل، و عدم الدلیل علی صحّة الرجوع، و عدم اشتهاره مع عموم البلوی، و توفّر الدواعی، و الاستصحاب، و العمومات الدالّة علی عدم جواز نقض الیقین إلّا بالیقین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العمومات النافیة للحرج و العسر و الضرر فی الشریعة، السلیمة عمّا یصلح للمعارضة، المؤیّدة أو المعتضدة بخصوص عمل المسلمین و سیرتهم المستمرّة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الْفَسادَ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لاستلزام القول بالرجوع للفساد و الهرج و المرج فی امور المعاش و المعاد، کما لا یخفی علی اولی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الأدلّة الدالّة علی صحّة العمل بمقتضی فتوی المفتی الأوّل، و علی کونه حکم اللّه المعتبر فی حقّه بالفرض، و الدالّة علی عدم جواز نقضه، السلیمة عن المعارض، المعتضدة بما مرّ، و بغیره من الاعتبار أو غیره فی الجملة،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بعد ذلک بفساد ما أفتی به الأوّل، اتّجه الرجوع کما مرّ سابقا؛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المفتی الثانی أعلم و أورع، أم لا، کما صرّح به فی المفاتیح</w:t>
      </w:r>
      <w:r>
        <w:rPr>
          <w:rStyle w:val="FootnoteAnchor"/>
          <w:rtl w:val="true"/>
        </w:rPr>
        <w:footnoteReference w:id="726"/>
      </w:r>
      <w:r>
        <w:rPr>
          <w:rFonts w:ascii="IRNazanin" w:hAnsi="IRNazanin" w:eastAsia="IRNazanin"/>
          <w:color w:val="111111"/>
          <w:sz w:val="28"/>
          <w:sz w:val="28"/>
          <w:szCs w:val="28"/>
          <w:rtl w:val="true"/>
          <w:lang w:bidi="fa-IR"/>
        </w:rPr>
        <w:t>، و هو قضیّة إطلاق سائر الفتاوی، و عموم 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فرق فی ذلک بین أن یکون المفتی الأوّل حیّا، أم لا، کما صرّح به أیضا فی المفاتیح</w:t>
      </w:r>
      <w:r>
        <w:rPr>
          <w:rStyle w:val="FootnoteAnchor"/>
          <w:rtl w:val="true"/>
        </w:rPr>
        <w:footnoteReference w:id="727"/>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فرق أیضا فی ذلک بین العبادات و المعاملات؛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له بعد ذلک فی وقت آخر بالإضافة إلی مثل تلک الواقعة الرجوع عن الأوّل، و العدول إلی فتوی الآخر المخالف له فی الفتوی، و الأدون له فی العلم و الورع؟</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لما تقدّم من لزوم تقلید الأعلم و الأورع، و تعیّن اتّباعه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بعدم لزومه، اتّجه ما سیأتی فی المسألة العاشرة الآتیة من الکلام، فترقّب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له بعد ذلک فی وقت آخر بالإضافة إلی مثل تلک الواقعة العدول إلی فتوی الآخر المخالف له فی الفتوی، و الأعلی منه فی العلم و الورع؟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وفاقا لصریح جماعة منهم عمید الدین فی منیة اللبیب</w:t>
      </w:r>
      <w:r>
        <w:rPr>
          <w:rStyle w:val="FootnoteAnchor"/>
          <w:rtl w:val="true"/>
        </w:rPr>
        <w:footnoteReference w:id="728"/>
      </w:r>
      <w:r>
        <w:rPr>
          <w:rFonts w:ascii="IRNazanin" w:hAnsi="IRNazanin" w:eastAsia="IRNazanin"/>
          <w:color w:val="111111"/>
          <w:sz w:val="28"/>
          <w:sz w:val="28"/>
          <w:szCs w:val="28"/>
          <w:rtl w:val="true"/>
          <w:lang w:bidi="fa-IR"/>
        </w:rPr>
        <w:t>، و بعض</w:t>
      </w:r>
    </w:p>
    <w:p>
      <w:pPr>
        <w:pStyle w:val="BookText"/>
        <w:rPr/>
      </w:pPr>
      <w:r>
        <w:rPr>
          <w:rFonts w:ascii="IRNazanin" w:hAnsi="IRNazanin" w:eastAsia="IRNazanin"/>
          <w:color w:val="111111"/>
          <w:sz w:val="28"/>
          <w:sz w:val="28"/>
          <w:szCs w:val="28"/>
          <w:rtl w:val="true"/>
          <w:lang w:bidi="fa-IR"/>
        </w:rPr>
        <w:t>الأعاظم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تحقیقاته، و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لظاهر إطلاق نهایة الوصول و الجعفریّة و منیة المرید</w:t>
      </w:r>
      <w:r>
        <w:rPr>
          <w:rStyle w:val="FootnoteAnchor"/>
          <w:rtl w:val="true"/>
        </w:rPr>
        <w:footnoteReference w:id="730"/>
      </w:r>
      <w:r>
        <w:rPr>
          <w:rFonts w:ascii="IRNazanin" w:hAnsi="IRNazanin" w:eastAsia="IRNazanin"/>
          <w:color w:val="111111"/>
          <w:sz w:val="28"/>
          <w:sz w:val="28"/>
          <w:szCs w:val="28"/>
          <w:rtl w:val="true"/>
          <w:lang w:bidi="fa-IR"/>
        </w:rPr>
        <w:t>و غیرهما، و للمحکیّ فی بعض العبائر من موضع من التذکرة و نهایة الأحکام</w:t>
      </w:r>
      <w:r>
        <w:rPr>
          <w:rStyle w:val="FootnoteAnchor"/>
          <w:rtl w:val="true"/>
        </w:rPr>
        <w:footnoteReference w:id="731"/>
      </w:r>
      <w:r>
        <w:rPr>
          <w:rFonts w:ascii="IRNazanin" w:hAnsi="IRNazanin" w:eastAsia="IRNazanin"/>
          <w:color w:val="111111"/>
          <w:sz w:val="28"/>
          <w:sz w:val="28"/>
          <w:szCs w:val="28"/>
          <w:rtl w:val="true"/>
          <w:lang w:bidi="fa-IR"/>
        </w:rPr>
        <w:t>لمثل ما سیأتی إلیه الإشارة من الاستصحاب و العمومات، السلیمة عمّا یصلح للمعارضة، المؤیّدة بفحوی ما سیأتی إلیه الإشارة من الصحّة فی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القول بوجوب تقلید الأعلم و الأورع و عدمه، کما صرّح به السیّد السند المعظّم له</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إطلاق غیره ممّن مرّ؛ لعموم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له البقاء علی ما کان علیه، و یجزی له البناء علی ما بنی علیه فیها و عمل بمقتضی فتوی الأوّل فی الجملة، أم لا، فیجب علیه الرجوع إلی الآخر؟ وجهان، صار إلی أوّلهما السیّد السند المعظم إلیه فی المفاتیح</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یقتضیه التحقیق بزعم العبد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بأنّ هذا المقلّد بالإضافة إلی الأعمال التی یرید الإتیان بها أیضا حقیقة لهذا المفتی، فالمعتمد هو الأوّل؛ للاستصحاب و غیره ممّا سیأتی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کونه مقلّدا له حقیقة بالإضافة إلیها، فالمعتمد هو الثانی؛ لوجوب تقلید الأعلم و الأورع و تعیّنه کما هو المختار، و عموم ما دلّ علی ذلک، کما مرّ؛ فتدبّر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له بعد ذلک فی وقت آخر بالإضافة إلی مثل تلک الواقعة الرجوع عن الأوّل، و العدول إلی فتوی الآخر المخالف له فی الفتوی المساوی له فی</w:t>
      </w:r>
    </w:p>
    <w:p>
      <w:pPr>
        <w:pStyle w:val="BookText"/>
        <w:rPr/>
      </w:pPr>
      <w:r>
        <w:rPr>
          <w:rFonts w:ascii="IRNazanin" w:hAnsi="IRNazanin" w:eastAsia="IRNazanin"/>
          <w:color w:val="111111"/>
          <w:sz w:val="28"/>
          <w:sz w:val="28"/>
          <w:szCs w:val="28"/>
          <w:rtl w:val="true"/>
          <w:lang w:bidi="fa-IR"/>
        </w:rPr>
        <w:t>العلم و الورع و العمل بها مطلقا، فیصحّ له فی المسألتین الماضیتین لو أراد ثانیا النکاح بغیر إذن الولیّ و العقد الفضولی البناء علی البطلان و العمل بمقتضی فتوی المفتی به؟</w:t>
      </w:r>
    </w:p>
    <w:p>
      <w:pPr>
        <w:pStyle w:val="BookText"/>
        <w:rPr/>
      </w:pPr>
      <w:r>
        <w:rPr>
          <w:rFonts w:ascii="IRNazanin" w:hAnsi="IRNazanin" w:eastAsia="IRNazanin"/>
          <w:color w:val="111111"/>
          <w:sz w:val="28"/>
          <w:sz w:val="28"/>
          <w:szCs w:val="28"/>
          <w:rtl w:val="true"/>
          <w:lang w:bidi="fa-IR"/>
        </w:rPr>
        <w:t>کما فی نهایة الاصول و الجعفریّة و منیة المرید</w:t>
      </w:r>
      <w:r>
        <w:rPr>
          <w:rStyle w:val="FootnoteAnchor"/>
          <w:rtl w:val="true"/>
        </w:rPr>
        <w:footnoteReference w:id="734"/>
      </w:r>
      <w:r>
        <w:rPr>
          <w:rFonts w:ascii="IRNazanin" w:hAnsi="IRNazanin" w:eastAsia="IRNazanin"/>
          <w:color w:val="111111"/>
          <w:sz w:val="28"/>
          <w:sz w:val="28"/>
          <w:szCs w:val="28"/>
          <w:rtl w:val="true"/>
          <w:lang w:bidi="fa-IR"/>
        </w:rPr>
        <w:t>، و عزّاه فی منیة اللبیب إلی بعضهم، و فی المفاتیح إلی المقاصد العلیّة</w:t>
      </w:r>
      <w:r>
        <w:rPr>
          <w:rStyle w:val="FootnoteAnchor"/>
          <w:rtl w:val="true"/>
        </w:rPr>
        <w:footnoteReference w:id="735"/>
      </w:r>
      <w:r>
        <w:rPr>
          <w:rFonts w:ascii="IRNazanin" w:hAnsi="IRNazanin" w:eastAsia="IRNazanin"/>
          <w:color w:val="111111"/>
          <w:sz w:val="28"/>
          <w:sz w:val="28"/>
          <w:szCs w:val="28"/>
          <w:rtl w:val="true"/>
          <w:lang w:bidi="fa-IR"/>
        </w:rPr>
        <w:t>، و فی غیرها إلی ظاهر المحقّق فی موضع من المعتبر و العلّامة فی موضع من التذکرة و نهایة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لا، فلا کذلک، کما عزّاه فی المفاتیح إلی ظاهر التهذیب و منیة اللبیب و الذکری، و جعله أقوی</w:t>
      </w:r>
      <w:r>
        <w:rPr>
          <w:rStyle w:val="FootnoteAnchor"/>
          <w:rtl w:val="true"/>
        </w:rPr>
        <w:footnoteReference w:id="736"/>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خروجا عن شبهة الخلاف، و إن کان تعیّنه فی غایة الإشکال؛ إذ لا دلیل علیه، عدا ما أفاده سیّدنا السند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البراءة الیقینیّة من التکلیف الثابت لا تحصل إلّا بالبقاء علی تقلید المجتهد الأوّل، و عدم الرجوع عنه؛ و لاستصحاب بقاء الأحکام التی تعلّقت به، کوجوب فعل و حرمة آخر، و صحّة عمله باعتبار تقلیده؛ و لأصالة صحّة تقلید الأوّل؛ إذ الرجوع یقتضی فساده</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ربما یقال من أنّ تعدّد المفتین المخالفین فی الفتوی المتساوین فی العلم و الورع بالإضافة إلی المقلّد، کتعدّد الأدلّة المتعارضة المتکافئة بالإضافة إلی المجتهد فیما یتعیّن فی حقّه التخییر و الأخذ بواحد منها، و من البیّن أنّ المجتهد بعد الأخذ بواحد منها تعیّن علیه العمل به، و لا یصحّ له الرجوع عنه إلی غیره ما لم یثبت مرجّح له، فلیکن المقلّد أیضا کذلک</w:t>
      </w:r>
      <w:r>
        <w:rPr>
          <w:rFonts w:eastAsia="IRNazanin" w:cs="IRNazanin"/>
          <w:color w:val="111111"/>
          <w:sz w:val="28"/>
          <w:szCs w:val="28"/>
          <w:rtl w:val="true"/>
          <w:lang w:bidi="fa-IR"/>
        </w:rPr>
        <w:t>.</w:t>
      </w:r>
      <w:bookmarkStart w:id="295" w:name="pg19819_193565"/>
    </w:p>
    <w:p>
      <w:pPr>
        <w:pStyle w:val="Heading6"/>
        <w:numPr>
          <w:ilvl w:val="5"/>
          <w:numId w:val="1"/>
        </w:numPr>
        <w:rPr/>
      </w:pPr>
      <w:bookmarkStart w:id="296" w:name="__RefHeading___Toc3055627_2314609296"/>
      <w:bookmarkStart w:id="297" w:name="_Toc117"/>
      <w:bookmarkEnd w:id="295"/>
      <w:bookmarkEnd w:id="296"/>
      <w:r>
        <w:rPr>
          <w:rtl w:val="true"/>
        </w:rPr>
        <w:t>و أنت خبیر بأنّ شیئا من هذه لا یصلح للدلالة علی ذلک</w:t>
      </w:r>
      <w:r>
        <w:rPr>
          <w:rtl w:val="true"/>
        </w:rPr>
        <w:t>:</w:t>
      </w:r>
      <w:bookmarkEnd w:id="297"/>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انحصار تحصیل البراءة الیقینیّة فی البقاء علی تقلید المجتهد الأوّل، فإنّ البراءة الیقینیّة کما تحصل بالبقاء علی تقلید المجتهد الأوّل، فکذا تحصل بالرجوع عنه إلی تقلید المجتهد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الأدلّة المعتبرة الدالّة علی مشروعیّة التقلید، کما تدلّ علی صحّة البقاء، فکذلک تدلّ علی صحّة الرجوع أیضا، مضافا إلی اندفاع هذه القاعدة بها و بغیرها ممّا ستقف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بقاء الأحکام المتعلّقة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جریانه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 فلأنّ البقاء فرع التعلّق، و هو أوّل المدّعی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و المفتی الأوّل إن لم یجتهد فی المسألة المتنازع فیها، لم یمکنه القول بتعلّق الأحکام التی قلّده المقلّد فیها، بالإضافة إلی الواقعة المتنازع فیها، خصوصا فیما إذا کان المقلّد قد قلّد من أفتی فی هذه المسألة بالجواز، أو لم یقلّد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التعلّق المدّعی فرع ثبوت القول بعدم الجواز فی هذه المسألة، کما لا یخفی، فلا معنی حینئذ لإثباته به، و إلّا لزم المصادرة، أو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اجتهد فیها و أدّی اجتهاده إلی الجواز، فمقتضاه عدم التعلّق المدّعی، بل التعلّق المراعی بعدم الرجوع کما لا یخفی، خصوصا فیما إذا قلّد المقلّد فیها من أفتی بالجواز، أو لم یقلّد فیها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اجتهد فأدّی اجتهاده إلی المنع، فإن قلّد المقلّد فیها من أفتی بالجواز، أو لم یقلّد فیها أصلا، فالحکم بالتعلّق المدّعی أوّل الدعوی، بل ممنوع جدّا؛ مقتضی تقلیده عدمه، کما لا یخفی، و مقتضی عدمه تعلّقه المراعی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قلّد فیها من أفتی بالمنع، فالحکم بالتعلّق المدّعی حینئذ و إن کان مسلّما إلّا أنّه خارج عن الفرض، و مع هذا، فلا یثبت التعلّق المدّعی، بالإضافة إلی القائل</w:t>
      </w:r>
    </w:p>
    <w:p>
      <w:pPr>
        <w:pStyle w:val="BookText"/>
        <w:rPr/>
      </w:pPr>
      <w:r>
        <w:rPr>
          <w:rFonts w:ascii="IRNazanin" w:hAnsi="IRNazanin" w:eastAsia="IRNazanin"/>
          <w:color w:val="111111"/>
          <w:sz w:val="28"/>
          <w:sz w:val="28"/>
          <w:szCs w:val="28"/>
          <w:rtl w:val="true"/>
          <w:lang w:bidi="fa-IR"/>
        </w:rPr>
        <w:t>بعدم الجواز فی المتنازع فیه جدّا؛ لعدم الدلیل علیه، بل الدلیل علی عدمه قائم، کما ستقف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توقّف صحّة القول بالمنع علی ثبوت التعلّق المدّعی، و هو بالفرض موقوف علی تقلید المقلّد فی المسألة من أفتی بالمنع و قوله به، و هل هذا إلّا الدور المحال؟</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التعلّق المدّعی إنّما هو فرع التقلید و دوام حکمه، و استلزام التقلید فی الواقعة الشخصیّة و سببیّته لتعلّق الحکم به بالإضافة إلیها للتقلید، و لزوم دوامه بالإضافة إلی أمثال هذه الواقعة و سببیّته لتعلّق الحکم به بالإضافة إلیها أیضا، و هذا عین المدّعی، فیکون مصادرة أو أوّل الدعوی، إمّا لعدم الدلیل علیه، و إمّا للدلیل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أدائه إلی الدور أیضا، کما لا یخفی، سیّما بعد ما مضی؛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بالبقاء المستصحب، إن کان البقاء المراعی بعدم الرجوع و البقاء الذی هو أحد فردی الواجب المخیّر، أو أفراده، فهو علی تقدیر تسلیمه غیر مقیّد و لا نافع،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البقاء المطلق الغیر المراعی بعدم الرجوع، بأن یکون هو المتعیّن فی حقّه و الواجب علیه لا غیر، فهو ممنوع جدّا؛ لأنّه فرع ثبوت ذلک ابتداء کذلک، مع أنّه لیس کذلک بالفرض؛ إذ الثابت أوّلا إنّما هو التخییر و صحّة الرجوع إلی کلّ من المفتین، و مشروعیّة تقلید کلّ منهم علی سبیل التخییر و البدلیّة، و مجرّد اختیار أحد الفردین أو الأفراد فی الواجب المخیّر لا یرفع التخییر الثابت، و لا یصیر الواجب التخییری تعیینیّا، سواء فی ذلک التخییر الاختیاری و الاجتهادی و الاضطراری و الفقاهتی، إلّا ما خرج بالدلیل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ما فی الباب إنّما هو لزوم التعیین بالإضافة إلی شخص الاختیار بالإضافة إلی الواقعة الشخصیّة، و أین هذا من التعیین المدّعی؟</w:t>
      </w:r>
    </w:p>
    <w:p>
      <w:pPr>
        <w:pStyle w:val="BookText"/>
        <w:rPr/>
      </w:pPr>
      <w:r>
        <w:rPr>
          <w:rFonts w:ascii="IRNazanin" w:hAnsi="IRNazanin" w:eastAsia="IRNazanin"/>
          <w:color w:val="111111"/>
          <w:sz w:val="28"/>
          <w:sz w:val="28"/>
          <w:szCs w:val="28"/>
          <w:rtl w:val="true"/>
          <w:lang w:bidi="fa-IR"/>
        </w:rPr>
        <w:t>بالإضافة إلی جمیع الوقائع المجرّدة عن الاختیار، و أین هذا من استلزام هذا الشخص من الاختیار لتعیین الاختیار بالإضافة إلی الجمیع، و لتعیّن هذا المختار مطلقا؟ و لذا لو اختار المکلّف الواجب علیه الکفّارة المخیّرة بین الأنواع الثلاث إحدی خصاله فی وقت، لم یتعیّن علیه هذا الفرد فی سائر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مقتضاه إنّما هو صحّة البقاء لا وجوب البقاء و تعیینه، و المقیّد للخصم و المضرّ بنا هو الثانی، لا الأوّل، و الثابت و المسلّم هنا هو الأوّل،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الاستصحاب کما یقتضی صحّة البقاء، فکذا یقتضی صحّة الرجوع و صحّة تقلید الآخر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البقاء المستصحبة إنّما هی فرع صحّة الرجوع إلی المجتهد و المفتی الأوّل، و هی فرع ما دلّ علی صحّة التقلید و الرجوع إلی من شاء من المجتهدین و المفتین، کما هو المفروض، و هو کما یقتضی الأوّل فکذا یقتضی الثانی، و کما یلزمه استصحاب صحّة البقاء فیما نحن فیه، فکذا یلزمه أیضا استصحاب صحّة الرجوع عنه إلی الآخر و تقلیده، و یلزمه التخییر بین الأمرین، و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صحّة البقاء بطلان الرجوع، و مقتضی صحّة الرجوع بطلان البقاء، فیقع التعارض بین الاستصحابین، و لو لم یکن الاستصحاب المقتضی لصحّة البقاء أولی بالترجیح، فلا أقلّ من التساوی و التوقّف، و معه یلزم تحصیل البراءة الیقینیّة، و هو إنّما یکون بالبقاء علی تقلید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إذ مقتضی کلّ من صحّة البقاء و صحّة الرجوع، إنّما یقتضی بطلان الآخر لو کان بعنوان التعیین، و أمّا لو کان بعنوان التخییر، فلا یقتضی ذلک جدّا، و إلّا لزم انتفاء الواجب المخیّر رأسا، و هو باطل، و بعد ثبوت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الاستصحابین و لا تعارض حتی یرد ما ذکر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المسلّم من التخییر إنّما هو قبل الاختیار، و أمّا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w:t>
      </w:r>
      <w:bookmarkStart w:id="298" w:name="pg19819_193568"/>
    </w:p>
    <w:p>
      <w:pPr>
        <w:pStyle w:val="BookText"/>
        <w:rPr/>
      </w:pPr>
      <w:bookmarkEnd w:id="298"/>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فینقلب التخییر بالتعیین؛ إذ القدر المسلم من التخییر الثابت فی حقّ المکلّف، إنّما هو التخییر فی الاختیار و قبله، لا أزید من ذلک؛ لعدم الدلیل علیه، و بعد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تخییر له، و یلزمه تعیّن المختار فی حقّه، و معه لا یجری استصحاب التخییر و صحّة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فاسد، لما مرّت إلیه الإشارة</w:t>
      </w:r>
      <w:r>
        <w:rPr>
          <w:rFonts w:eastAsia="IRNazanin" w:cs="IRNazanin"/>
          <w:color w:val="111111"/>
          <w:sz w:val="28"/>
          <w:szCs w:val="28"/>
          <w:rtl w:val="true"/>
          <w:lang w:bidi="fa-IR"/>
        </w:rPr>
        <w:t>.</w:t>
      </w:r>
    </w:p>
    <w:p>
      <w:pPr>
        <w:pStyle w:val="Heading6"/>
        <w:numPr>
          <w:ilvl w:val="5"/>
          <w:numId w:val="1"/>
        </w:numPr>
        <w:rPr/>
      </w:pPr>
      <w:bookmarkStart w:id="299" w:name="__RefHeading___Toc3055629_2314609296"/>
      <w:bookmarkStart w:id="300" w:name="_Toc118"/>
      <w:bookmarkEnd w:id="299"/>
      <w:r>
        <w:rPr>
          <w:rtl w:val="true"/>
        </w:rPr>
        <w:t>و إن شئت توضیح ذلک فاعلم أنّ التخییر فی الشرعیّات علی أقسام</w:t>
      </w:r>
      <w:r>
        <w:rPr>
          <w:rtl w:val="true"/>
        </w:rPr>
        <w:t>:</w:t>
      </w:r>
      <w:bookmarkEnd w:id="30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الاختیاری الثابت بنصّ الشارع تعالی، کالخصال الثلاث فی الکفّارة المخیّرة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الاختیاری الثابت بحکم العقل، کالتخییر فی مقام الإتیان بالواجبات العینیّة الکلّیّة بین الأنواع و الأصناف و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الاضطراری الثابت بنصّ الشارع، کتخییر المجتهد فی الخبرین المتعارضین بین الأخذ بأیّهما شاء من 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الاضطراری الثابت بحکم العقل، کتخییره أیضا فیما دار الأمر بین الوجوب و الحرمة، أو بین الاستحباب و الکراهة، مع فقد المرجّع لواحد من ذلک أصلا بین الأخذ فی الأوّل بأیّ من الحرمة و الوجوب شاء، و فی الثانی بأیّ من الاستحباب و الکراهة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و الواضح أنّ اختیار أحد الفردین أو الأفراد فیما کان من القسمین الأوّلین من أقسام التخییر لا یکون سببا لتعیین أمثال المختار، و لا واقعا للتخییر الثابت بالفرض بالإجماع و غیره من الأدلّة الدالّة علی التخییر و علی بقائه و عدم تعیین أمثاله المختار فی حقّه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اختیاره فیما کان من القسم الثانی فیما إذا کان الإتیان بالکلّی منحصرا فی دفعة واحدة یکون سببا للتعیین و رافعا للتخییر، بل فی الحقیقة التخییر حینئذ إنّما هو قبل الاختیار بالإضافة إلی أفراد هذا الکلّی، و بعد الاختیار و تعیینه لأحد أفراده و إتیانه فی</w:t>
      </w:r>
    </w:p>
    <w:p>
      <w:pPr>
        <w:pStyle w:val="BookText"/>
        <w:rPr/>
      </w:pPr>
      <w:r>
        <w:rPr>
          <w:rFonts w:ascii="IRNazanin" w:hAnsi="IRNazanin" w:eastAsia="IRNazanin"/>
          <w:color w:val="111111"/>
          <w:sz w:val="28"/>
          <w:sz w:val="28"/>
          <w:szCs w:val="28"/>
          <w:rtl w:val="true"/>
          <w:lang w:bidi="fa-IR"/>
        </w:rPr>
        <w:t>الخارج لا تخییر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اختیاره فیما کان من القسمین الأخیرین أیضا لا یکون سببا للتعیین، و لا رافعا للتخییر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دلّ علی ثبوت التخییر حینئذ عامّا شاملا لما قبل الاختیار و ما بعده معا؛ لعموم الدلیل الدالّ علی التخییر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دلّ علی ثبوت التخییر مقیّدا بما قبل الاختیار و بالاختیار الابتدائی، فالحقّ حینئذ الحکم بالتعیین بعد الاختیار، لا لانقلاب التخییر بالتعیین، بل لعدم ثبوت التخییر حینئذ، و یلزمه تعیّن التعیین، إمّا بمقتضی الأصل و القاعدة، و إمّا بمقتضی الاستصحاب و العمومات و غیرها، المفیدة للتعیین، المؤیّدة أو المعتضدة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بغیرها ممّا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دلّ علی ثبوته مجملا و مهملا، ففی إلحاقه بالأوّل؛ عملا بالاستصحاب و العمومات الدالّة علی عدم جواز نقض الیقین إلّا بالیقین، المقتضیة لبقاء التخییر الثابت بعد الاختیار أیضا، أو الثانی؛ عملا بالأصل و الاستصحاب و العمومات، المقتضیة لعدم ثبوت التخییر بالإضافة إلی ما بعد الاختیار؛ و اقتصارا فیما خالفها و خالف العمومات الدالّة علی عدم جواز التقلید، و العمل بغیر العلم علی القدر المتیقّن؟ إشکال، و إن کان المصیر إلی الثانی لا یخلو عن وجه فی وجه، و شی‌ء فی 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تحصّل أنّ التخییر بأقسامه المشار إلیها إمّا مطلق و عامّ، و إمّا مقیّد و خاصّ بما قبل الاختیار و بنفسه، و إمّا مهمل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البیّن أنّ ما لا یجری فیه استصحاب التخییر و صحّة الرجوع و الاختیار الجدید إنّما هو القسم الثانی من هذه الأقسام الثلاثة خاصّة، دون غیره، و المفروض أنّ محلّ البحث لا یکون من هذا القسم،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القسم الأوّل، کما هو الظاهر بمقتضی أکثر الأدلّة السالفة الدالّة علی صحّة التقلید المفتی الجامع للشرائط للمقلّد، و علی صحّة الرجوع إلی کلّ واحد من المفتیین المتساویین فی العلم و العدالة</w:t>
      </w:r>
    </w:p>
    <w:p>
      <w:pPr>
        <w:pStyle w:val="BookText"/>
        <w:rPr/>
      </w:pPr>
      <w:r>
        <w:rPr>
          <w:rFonts w:ascii="IRNazanin" w:hAnsi="IRNazanin" w:eastAsia="IRNazanin"/>
          <w:color w:val="111111"/>
          <w:sz w:val="28"/>
          <w:sz w:val="28"/>
          <w:szCs w:val="28"/>
          <w:rtl w:val="true"/>
          <w:lang w:bidi="fa-IR"/>
        </w:rPr>
        <w:t>الجامعین للشرائط مطلقا، من الآیات و الروایات، المؤیّدة أو المعتضدة بغیرها أیضا و 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القسم الثالث، کما هو المحتمل بالنظر إلی بعض الأدلّة السالفة الدالّة علی صحّة التقلید و علی التخییر، کالإجماعات المنقولة، و الدلیل العقلی و غیره، و علی أیّ من التقدیرین یتّجه الاستصحاب المدّعی، کما لا یخفی، سیّما علی المتأمّل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الاستصحاب علی تقدیر تمامیّة دلالته علی المنع عن الرجوع و سلامته عمّا مرّ، مندفع بما دلّ علی الجواز و الصحّة، من الاستصحاب و العمومات الدالّة علی عدم جواز نقض الیقین إلّا بالیقین، و الدالّة علی صحّة الرجوع إلی المفتی الثانی أیضا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علی تقدیر سلامته عمّا مرّ، إنّما یدلّ علی المنع فیما إذا لم یکن المقلّد مقلّدا فی هذه المسألة لمن أفتی بالجواز، و أمّا إذا کان مقلّدا له فیها فلا یجری فیه، و لا یدلّ علی المنع بالإضافة إلیه جدّا، فیکون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یفصّل فی المسألة، أو یتمّ المدّعی بعدم القول بالفصل فیها، و کلاهما کما تری؛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علی تقدیر سلامته عمّا مرّ، إنّما یتمّ فیما إذا لم یکن المقلّد مقلّدا له فی تلک الواقعة الشخصیّة خاصّة، بل یکون مقلّدا له بالإضافة إلیها، و إلی جمیع أمثالها فی جمیع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مقلّدا له فیها خاصّة،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القول فی ذلک یحتاج إلی بیان حقیقة التقلید الواجب علی المقلّد و المشروع له، و سیأتی مفصّلا عن قریب إن شاء اللّه تعالی؛ فترقّب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ظهر ما فی سائر الوجوه المشار إلیها المستدلّ بها علی المنع، کما ظهر أیضا ما فی غیرها ممّا ربما یستدلّ علیه، من العمومات الدالّة علی عدم جواز نقض</w:t>
      </w:r>
    </w:p>
    <w:p>
      <w:pPr>
        <w:pStyle w:val="BookText"/>
        <w:rPr/>
      </w:pPr>
      <w:r>
        <w:rPr>
          <w:rFonts w:ascii="IRNazanin" w:hAnsi="IRNazanin" w:eastAsia="IRNazanin"/>
          <w:color w:val="111111"/>
          <w:sz w:val="28"/>
          <w:sz w:val="28"/>
          <w:szCs w:val="28"/>
          <w:rtl w:val="true"/>
          <w:lang w:bidi="fa-IR"/>
        </w:rPr>
        <w:t>الیقین إلّا بالیقین، و الدالّة علی عدم مشروعیّة التقلید، و عدم جواز العمل بغیر العلم، و لزوم الاقتصار فیما خالفها علی القدر المتیقّن المتّفق علیه، و هو فی الفرض تقلید الأوّل و البقاء علیه خاصّة، دون غیره؛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القول بالجواز و الصحّة نظرا إلی الاستصحاب و العمومات المشار إلیها لا یخلو عن وجه، بل هو المتّجه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یناقش فیهما بما یخرجان عن الصلاحیة للدلالة، فیتّجه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کما تری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الحکم بجواز الرجوع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أمثال الواقعة التی قلّد فیها الأوّل و صحّة تقلیده الثانی حیثما قلنا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کان کلّ منهما حال تقلید الأوّل موجودا و جامعا للشرائط و مخالفا للآخر فی الحکم، و کان المکلّف المقلّد حینئذ أیضا عالما بهما کذلک، و متمکّنا من الوصول إلی کلّ منهما بسهولة؟</w:t>
      </w:r>
    </w:p>
    <w:p>
      <w:pPr>
        <w:pStyle w:val="BookText"/>
        <w:rPr/>
      </w:pPr>
      <w:r>
        <w:rPr>
          <w:rFonts w:ascii="IRNazanin" w:hAnsi="IRNazanin" w:eastAsia="IRNazanin"/>
          <w:color w:val="111111"/>
          <w:sz w:val="28"/>
          <w:sz w:val="28"/>
          <w:szCs w:val="28"/>
          <w:rtl w:val="true"/>
          <w:lang w:bidi="fa-IR"/>
        </w:rPr>
        <w:t>أم لا، بل یعمّه و غیره من الأقسام المتصوّرة أیضا؟</w:t>
      </w:r>
    </w:p>
    <w:p>
      <w:pPr>
        <w:pStyle w:val="BookText"/>
        <w:rPr/>
      </w:pPr>
      <w:r>
        <w:rPr>
          <w:rFonts w:ascii="IRNazanin" w:hAnsi="IRNazanin" w:eastAsia="IRNazanin"/>
          <w:color w:val="111111"/>
          <w:sz w:val="28"/>
          <w:sz w:val="28"/>
          <w:szCs w:val="28"/>
          <w:rtl w:val="true"/>
          <w:lang w:bidi="fa-IR"/>
        </w:rPr>
        <w:t>لم أقف علی من تعرّض له صریحا، و لکنّ الأحوط هو الأوّل، بل و لعلّه المتعیّن إن لم یثبت العموم فی الأدلّة الدالّة علی صحّة التقلید و علی التخییر بحیث تشمل ما نحن فیه أیضا؛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الحکم بعدم جواز الرجوع إلی الثانی و المنع بالإضافة إلی أمثال تلک الواقعة علی القول بهما، بما إذا لم یکن البقاء علی تقلید الأوّل مستلزما للحرج و العسر أو الضرر علی المقلّد، أم لا، بل یعمّه و ما إذا کان مستلزما لذلک أیضا؟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وفاقا لصریح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738"/>
      </w:r>
      <w:r>
        <w:rPr>
          <w:rFonts w:ascii="IRNazanin" w:hAnsi="IRNazanin" w:eastAsia="IRNazanin"/>
          <w:color w:val="111111"/>
          <w:sz w:val="28"/>
          <w:sz w:val="28"/>
          <w:szCs w:val="28"/>
          <w:rtl w:val="true"/>
          <w:lang w:bidi="fa-IR"/>
        </w:rPr>
        <w:t>للعمومات النافیة للعسر و الحرج و الضرر، المعتضدة أو المؤیّدة بما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یکونا متساویین فی العلم و العدالة، أو متفاوتین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أن یکون المقلّد حال تقلیده الأوّل عالما باستلزامه الحرج، أم لا، کما صرّح بذلک فی المفاتیح</w:t>
      </w:r>
      <w:r>
        <w:rPr>
          <w:rStyle w:val="FootnoteAnchor"/>
          <w:rtl w:val="true"/>
        </w:rPr>
        <w:footnoteReference w:id="739"/>
      </w:r>
      <w:r>
        <w:rPr>
          <w:rFonts w:ascii="IRNazanin" w:hAnsi="IRNazanin" w:eastAsia="IRNazanin"/>
          <w:color w:val="111111"/>
          <w:sz w:val="28"/>
          <w:sz w:val="28"/>
          <w:szCs w:val="28"/>
          <w:rtl w:val="true"/>
          <w:lang w:bidi="fa-IR"/>
        </w:rPr>
        <w:t>للعمومات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التزم المقلّد علی نفسه تقلید مجتهد خاصّ فی الواقعة الشخصیّة بوصف الشخصیّة، أو الکلّیّة بعنوان الکلّیّة، أو فی جمیع ما صار إلیه المجتهد فی مصنّف من مصنّفاته، أو فی باب من أبواب الفقه علی وجه الإجمال، و بنی باعتقاده علی ذلک، و لکن لم یحقّق له العمل بمقتضاه فی الخارج من جهة التقلید أصلا، فهل یجب علیه البقاء علی ما التزم علی نفسه و بنی عمله کذلک علیه مطلقا، فلا یصحّ له الرجوع عنه فی ذلک إلی الآخر المساوی له الجامع للشرائط ما لم یخرج الأوّل عن أهلیّة العمل بقوله فی حقّه، کما فی ظاهر منیة اللبیب</w:t>
      </w:r>
      <w:r>
        <w:rPr>
          <w:rStyle w:val="FootnoteAnchor"/>
          <w:rtl w:val="true"/>
        </w:rPr>
        <w:footnoteReference w:id="740"/>
      </w:r>
      <w:r>
        <w:rPr>
          <w:rFonts w:ascii="IRNazanin" w:hAnsi="IRNazanin" w:eastAsia="IRNazanin"/>
          <w:color w:val="111111"/>
          <w:sz w:val="28"/>
          <w:sz w:val="28"/>
          <w:szCs w:val="28"/>
          <w:rtl w:val="true"/>
          <w:lang w:bidi="fa-IR"/>
        </w:rPr>
        <w:t>، و اختاره سیّدنا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7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 لا کذلک، فیصحّ له الرجوع عنه إلیه کذلک، کما اختاره بعض الأعاظم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تحقیقاته، و لعلّه الظاهر ممّن قال بجواز الرجوع بعد العمل بالإضافة إلی الوقائع الحادثة بعده، و اللائح أو الظاهر من کلّ من جوّز نقض الفتوی قبل العمل؟</w:t>
      </w:r>
    </w:p>
    <w:p>
      <w:pPr>
        <w:pStyle w:val="BookText"/>
        <w:rPr/>
      </w:pPr>
      <w:r>
        <w:rPr>
          <w:rFonts w:ascii="IRNazanin" w:hAnsi="IRNazanin" w:eastAsia="IRNazanin"/>
          <w:color w:val="111111"/>
          <w:sz w:val="28"/>
          <w:sz w:val="28"/>
          <w:szCs w:val="28"/>
          <w:rtl w:val="true"/>
          <w:lang w:bidi="fa-IR"/>
        </w:rPr>
        <w:t>أم التفصیل بین المسائل المتّصل بها عمله؛ فالأوّل، و غیره؛ فالثانی، کما عزّاه فی المفاتیح إلی ظاهر جماعة من العامّة، کالآمدی فی الإحکام، و الحاجبی فی مختصره، و العضدی فی شرحه</w:t>
      </w:r>
      <w:r>
        <w:rPr>
          <w:rStyle w:val="FootnoteAnchor"/>
          <w:rtl w:val="true"/>
        </w:rPr>
        <w:footnoteReference w:id="742"/>
      </w:r>
      <w:r>
        <w:rPr>
          <w:rFonts w:ascii="IRNazanin" w:hAnsi="IRNazanin" w:eastAsia="IRNazanin"/>
          <w:color w:val="111111"/>
          <w:sz w:val="28"/>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أوجه و أقوال، أحوطها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إن کان تعیینه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القول فی ذلک یحتاج إلی ذکر مقدّمتین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المکلّفین من الناس بالإضافة إلی الأحکام الشرعیّة المتعلّقة بأفعالهم و الإتیان بها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جماعة، بل الأکثر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بعض العبائر</w:t>
      </w:r>
      <w:r>
        <w:rPr>
          <w:rStyle w:val="FootnoteAnchor"/>
          <w:rtl w:val="true"/>
        </w:rPr>
        <w:footnoteReference w:id="743"/>
      </w:r>
      <w:r>
        <w:rPr>
          <w:rFonts w:ascii="IRNazanin" w:hAnsi="IRNazanin" w:eastAsia="IRNazanin"/>
          <w:color w:val="111111"/>
          <w:sz w:val="28"/>
          <w:sz w:val="28"/>
          <w:szCs w:val="28"/>
          <w:rtl w:val="true"/>
          <w:lang w:bidi="fa-IR"/>
        </w:rPr>
        <w:t>، بل کلّهم کما قیل</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مقلّد، و هو کذلک بمقتضی الإجماع الظاهر و المدّعی و غیره من الأدلّة المعتبرة العقلیّة و غیرها، القطعیّة و غیرها، حسبما سنفصّل المقال فی ذلک بعد ذلک إن شاء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العمل الصادر عن المجتهد من حیث هو مجتهد المحکوم علیه حین الصدور عنه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 الشرع إنّما هو بعد العلم الحاصل له من الاجتهاد و استفراغ الوسع، و بذل الجهد فی المآخذ و الأدلّة المعتبرة الشرعیّة بالحکم المتعلّق بهذا العمل، و مطابقة العمل و لو باعتقاده خاصّة لما هو مقتضی علمه و مؤدّی اجتهاده و صدوره عنه من حیث إنّه مطابق له، و من جهة أنّه مقتضاه و 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للمجتهد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علمه و لو إجمالا بثبوت الأحکام الشرعیّة و تعلّقها به، و لزوم تحصیلها علیه من مأخذها و مظانّها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تحقیق أدلّة الأحکام و دلیلیّتها و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الرجوع إلیها و استنباطها عنها، و تحصیل الاعتقاد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متأخّر عن السابق، و موقوف علی تحقّقه،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تحصیل الاعتقاد له بها و بما المستنبط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موقوف علی تحقّقه، کما ینبغی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تصحیح الاعتقاد و حجّیّة ما تحصل له من المعتضدات، و تحصیل القطع بصحّتها و حجّیّتها بحسب الاعتقاد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موقوف علی تحقّقه،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تحصیل الاعتقاد له بوجوب العمل بما تحصل له من الاعتقاد بها فی الخارج 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موقوف علی تحقّقه،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تحصیل الاعتقاد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موقوف علی تحقّقه،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تصحیح هذا الاعتقاد و حجّیّة ما تحصّل له من هذا الاعتقاد و تحصیل القطع بصحّته و حجّیّته بحسب الاعتقاد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موقوف علی تحقّقه،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التوطئة و التهیّؤ للإتیان بذلک فی الخارج و العزم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موقوف علی تحقّقه،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الإتیان بذلک فی الخارج من القول و الإفتاء و القضاء و الحکم و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موقوف علی تحقّقه،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مدخلیّة ما عدا الثامن من المقامات علی سبیل الترتیب فی صحّة المقام الأخیر شرعا، و عدم مدخلیّة الثامن فی صحّته کذلک، و مدخلیّته فی وجوده من باب المقدّمة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صحّة إطلاق المجتهد حقیقة علی المجتهد المفروض، بالإضافة إلی کلّ من المقامات السبعة الاول، و مدخلیّة الاجتهاد علی سبیل التحقیق فیها کما لا یخفی، و عدم مدخلیّة الاجتهاد فی الثامن، و عدم صحّة إطلاق المجتهد علیه بالإضافة إلیه و صحّة سلبه عنه بحکم العقل و غیره، و کذلک الحال بالإضافة إلی المقام الأخیر، فلا یصحّ إطلاق المجتهد حقیقة علیه باعتبار کونه فی هذا المقام، و من حیث کونه عاملا و آتیا؛ لخروجه عن مقام الاجتهاد، و عدم مدخلیّته فیه أصلا و رأسا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للاجتهاد بجمیع مقاماته السبعة و حیثیّته الملحوظة و لو حکما حال العمل و مع الإتیان بذلک مدخلیّة فی صحّتها و صحّة المعمول و المأتیّ به فی الخارج، و عدم انفکاک صحّة ذلک عن هذه الحیثیّة، و لا عن لحاظها حینئذ و لو حکما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أیضا أنّ العمل الصادر عن المقلّد من حیث هو مقلّد المحکوم علیه حال الصدور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 الشرع، إنّما هو بعد العلم الحاصل له من السعی و الرجوع إلی المجتهد و المفتی الجامع للشرائط بالحکم المتعلّق بهذا العمل، و مطابقة العمل و لو باعتقاده خاصّة لما هو مقتضی علمه و مؤدّی سعیه و تحصیله و صدوره عنه فی الخارج، من حیث إنّه مطابق له، و من جهة أنّه مقتضی ما یحصل له من مفتیه و مؤدّی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للمقلّد أیضا بعد علمه و لو إجمالا بثبوت الأحکام الشرعیّة و تعلّقها به و وجوب تحصیلها علیه من محالّها و مآخذها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تحقیق المحالّ و المآخذ، أی أصحاب الاجتهاد و أرباب الفتوی الجامعین للشرائط و تحقیق اعتبارهم و حجّیّتهم و تحصیل من هو المعتبر منهم و تعیینه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الرجوع إلیهم و السؤال و الأخذ بما هو المعتبر شرعا عنهم، و تحصیل الاعتقاد بما أجابوه و أعطوه و قالوا فی حقّه فی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متأخّر عن السابق و متوقّف علی تحقّقه،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تصحیح الاعتقاد و حجّیّة ما تحصل له من الأقوال و الفتاوی، و تحصیل القطع بصحّتها و حجّیّتها بحسب الاعتقاد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متفرّع علی تحقّقه،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تحصیل الاعتقاد له بوجوب العمل علیه بما تحصّل له من الاعتقاد بها فی الخارج 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متفرّع علی تحقّقه، کما ینبغی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تحصیل الاعتقاد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متفرّع علی تحصّله،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تصحیح هذا الاعتقاد و حجّیّة ما تحصّل له منه و تحصیل القطع بصحّته و حجّیّته بحسب الاعتقاد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متفرّع علی تحصّله،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مقام التوطئة و التهیّؤ للإتیان بذلک فی الخارج و العزم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متفرّع علی تحصّله،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الإتیان و العمل بذلک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متأخّر عن السابق و متفرّع علی تحصّله،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مدخلیّة ما عدا الثامن من المقامات علی سبیل الترتیب فی صحّة المقام الأخیر شرعا، و عدم مدخلیّة الثامن فی صحّته أصلا، و مدخلیّته فی وجوده من باب المقدّمة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عدم مدخلیّة التقلید و الحیثیّة التقلیدیّة علی سبیل التحقیق فی الثامن، کعدم مدخلیّة ذلک فی تحصّل المقام الأخیر و تحقّقه الخارجی، کما فی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مقاماته و اعتباراته السبعة الاول و حیثیّته الملحوظة و لو حکما حال العمل و مع الإتیان بذلک علی وجه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مدخلیّة فی صحّتهما و صحّة المعمول به و المأتیّ به فی الخارج، و عدم انفکاک صحّة ذلک عن هذه الحیثیّة و لا عن لحاظها و لو حکما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ظهر أنّ کلّا من المجتهد و المقلّد بالإضافة إلی المقامین الآخرین غیر مخالف للآخر فی عدم کونهما مقلّدا و لا مجتهدا، و فی عدم مدخلیّة الاجتهاد و التقلید فیهما، بل متماثلان أو متّحدان فی ذلک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أیضا أنّ کلّا منهما بالإضافة إلی سائر المقامات عدا الأوّل منها غیر مخالف للآخر فی کونهما مجتهدا و لو حکما و فی مدخلیّة الاجتهاد و اعتباره فیها، بل متماثلان أو متّحدان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کلّا منهما بالإضافة إلی المقام الأوّل ممتاز و مفارق عن الآخر، و مخالف له فی کون المجتهد مجتهدا غیر مقلّد، و المقلّد مقلّدا غیر مجتهد، و فی مدخلیّة الاجتهاد المصطلح المقابل للتقلید المصطلح خاصّة و اعتباره فیه بالإضافة إلی المجتهد، و مدخلیّة التقلید خاصّة و اعتباره فیه بالإضافة إلی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تمایز کلّ من المجتهد و المقلّد و افتراقهما من حیث هما کذلک، إنّما هو فی هذا المقام و باعتبار کون المرجع و المتّبع للأوّل هو الأدلّة المعتبرة المعروفة و ما یستفاد منها بالشروط المعتبرة، و للثانی هو المجتهد و ما یستفاد منه من الأقوال و الفتاوی بالشروط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ظهر أیضا أنّ کلّا منهما فی هذا المقام أیضا بالإضافة إلی تحقیق مرجعیّة المرجع و متّبعیّة المتّبع و إثبات حجّیّتهما أیضا غیر مخالف للآخر فی کونهما مجتهدا و لو حکما، و فی مدخلیّة الاجتهاد و اعتباره بهذا القدر فیه، بل متماثلان أو متّحدان فی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أیضا أنّ العمل من حیث هو عمل لیس من الاجتهاد و التقلید بشی‌ء، بل هو أمر آخر بعدهما، و مشروط صحّته بهما، و هذا واضح بحمد اللّه لا خفاء فیه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لاح عمّا مرّ فی المقدّمة السابقة أنّه تعتبر فی صحّة عمل المجتهد فی الخارج الحیثیّة الاجتهادیّة و لحاظها حال العمل و لو حکما، بأن یکون المجتهد حال العمل معتقدا و لو حکما بحکمه الشرعی المستفاد له من الأدلّة و بثبوته و بمطابقته لما هو المتعیّن فی حقّه بحکمها، و یعتبر فی صحّة عمل المقلّد فی الخارج الحیثیّة التقلیدیّة المرکّبة و لو فی التحلیل العقلی من الحیثیّة الاجتهادیّة، بالإضافة إلی ما یکون مجتهدا فیه، و الحیثیّة التقلیدیّة بالإضافة إلی ما هو مقلّد فیه له، و لحاظها حال العمل و لو حکما، بأن یکون حال العمل معتقدا و لو حکما بحکمه الشرعی المستفاد له من مفتیه الجامع للشرائط من القول و الفتوی و الاعتقاد، و بثبوته و بمطابقته لما هو المتعیّن فی حقّه بحکم ما هو المستفاد له من المفتی، و دلّ علی اعتباره و صحّته و صحّة</w:t>
      </w:r>
    </w:p>
    <w:p>
      <w:pPr>
        <w:pStyle w:val="BookText"/>
        <w:rPr/>
      </w:pP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یکون المقلّد بالإضافة إلی المقامات السبعة الاول الثابتة للمفتی، الملحوظة فی صحّة إفتائه له، و بالإضافة إلی نفس فتواه من حیث هی فتواه مقلّدا حقیقة، و بالإضافة إلی المقامات السبعة الاول الثابتة له، الملحوظة فی صحّة عمله، الصادر عنه بمقتضی فتواه مجتهدا و لو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العلّة عند التأمّل و التحقیق واضح لا خفاء فیه و لا إشکال یعتریه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الخفاء أو الإشکال فی بادئ النظر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یعتبر فی صحّة العمل الصادر من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مقتضی اجتهاده، من حیث کونه عاملا له بالاجتهاد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أزید من الاعتقاد الخاصّ الحاصل له من اجتهاده بالحکم المتعلّق بهذا العمل و اعتباره و ملاحظته حال العمل و معه و لو حکما، أم لا؟</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و لعلّه لا خلاف فیه فیما أعلم، بل و لعلّه موضع وفاق بینهم، کما یلوح، بل یظهر من أقوالهم و أفعالهم و سیرتهم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الحجّة، مضافا إلی العمومات السلیمة عمّا یصلح للمعارضة، المعتضدة أو المؤیّدة بالاصول و غیرها ممّا لا یخفی علی الخبیر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یعتبر فی استقرار هذا الاعتقاد صدور العمل عن المجتهد بمقتضاه من الإفتاء و القضاء و الحکم و الإتیان به فی الخارج؟</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لعلّه أیضا ممّا لا خلاف فیه، بل و لعلّه موضع وفاق،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الحجّة لما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حکم العقل بعنوان القطع و الیقین بعدم توقّف استقرار العلم علی العمل بمقتضاه و بأدائه علی فرض توقّفه علیه إلی الدور المحال الباطل بالضرورة؛ فتدبّر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یعتبر فی صحّة العمل الصادر عنه بقاؤه علی هذا الاعتقاد و لو حکما، فیدور صحّته مداره، فبانتفائه انتفت الصحّة؟</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لعلّه أیضا ممّا لا خلاف فیه، بل و لعلّه موضع وفاق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الحجّة کما مرّ، مضافا إلی ما دلّ علی توقّف العمل الصحیح علی العلم و بطلانه بدونه، مع أنّ المفروض انتفاؤه، و لذا لو تجدّد رأیه و اعتقد باجتهاده المتجدّد خلاف ما اعتقده باجتهاده السابق تعیّن علیه العمل بمقتضی اعتقاده المتجدّد و لو کان بعد صدور العمل عنه بمقتضی اعتقاده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یعتبر فی صحّة العمل الصادر عن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مقتضی تقلیده و اعتقاده، من حیث کونه عاملا له من حیث التقلید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أزید من الاعتقاد الخاصّ الحاصل له من التقلید المعتبر فی حقّه بالحکم المتعلّق بهذا العمل و اعتباره و ملاحظته حال العمل و معه و لو حکما؟</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لعلّه أیضا ممّا لا خلاف فیه بینهم، بل و لعلّه موضع وفاق بینهم کما یلوح، بل یظهر من کلماتهم و أقوالهم و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مضافا إلی 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استقرار هذا الاعتقاد صدور العمل عن المقلّد فی الخارج بمقتضاه؟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بلا خلاف صریح ظاهر أجده فیه فیما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لعلّه موضع وفاق بینهم کما لا یخفی علی المطّلع علی کلماتهم و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الحجّة، مضافا إلی 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یعتبر فی صحّة العمل الصادر عنه بقاؤه علی هذا الاعتقاد و لو حکما حیثما قلنا باعتباره بالإضافة إلیه فی صحّته؟</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خلاف ظاهر فیه فیما أعلم، بل و لعلّه موضع وفاق بینهم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الحجّة، کما مرّت إلیه الإشارة ممّا دلّ علی اعتباره فی صحّة العمل الصادر عن المجتهد، فلو انتفی هذا الاعتقاد تعیّن علیه الرجوع عنه و تحصیل الاعتقاد بهذا الوصف مجدّدا، و لا یصحّ له البقاء علی الاعتقاد السابق، و لا العمل بمقتضاه، کما</w:t>
      </w:r>
    </w:p>
    <w:p>
      <w:pPr>
        <w:pStyle w:val="BookText"/>
        <w:rPr/>
      </w:pPr>
      <w:r>
        <w:rPr>
          <w:rFonts w:ascii="IRNazanin" w:hAnsi="IRNazanin" w:eastAsia="IRNazanin"/>
          <w:color w:val="111111"/>
          <w:sz w:val="28"/>
          <w:sz w:val="28"/>
          <w:szCs w:val="28"/>
          <w:rtl w:val="true"/>
          <w:lang w:bidi="fa-IR"/>
        </w:rPr>
        <w:t>مرّت إلیه الإشارة سابقا لذلک، مضافا إلی 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صدور العمل عنه بمقتضی الاعتقاد السابق و عدمه؛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یصیر به العامّی المکلّف مقلّدا، و یتحقّق به حقیقة التقلید المصطلح، هل هو العمل بقول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الجامع للشرائط، کما عن النهایة و فی المعالم و غیرهما</w:t>
      </w:r>
      <w:r>
        <w:rPr>
          <w:rStyle w:val="FootnoteAnchor"/>
          <w:rtl w:val="true"/>
        </w:rPr>
        <w:footnoteReference w:id="745"/>
      </w:r>
      <w:r>
        <w:rPr>
          <w:rFonts w:ascii="IRNazanin" w:hAnsi="IRNazanin" w:eastAsia="IRNazanin"/>
          <w:color w:val="111111"/>
          <w:sz w:val="28"/>
          <w:sz w:val="28"/>
          <w:szCs w:val="28"/>
          <w:rtl w:val="true"/>
          <w:lang w:bidi="fa-IR"/>
        </w:rPr>
        <w:t>، أو الأخذ بقوله، کما عن المقاصد العلیّة</w:t>
      </w:r>
      <w:r>
        <w:rPr>
          <w:rStyle w:val="FootnoteAnchor"/>
          <w:rtl w:val="true"/>
        </w:rPr>
        <w:footnoteReference w:id="746"/>
      </w:r>
      <w:r>
        <w:rPr>
          <w:rFonts w:ascii="IRNazanin" w:hAnsi="IRNazanin" w:eastAsia="IRNazanin"/>
          <w:color w:val="111111"/>
          <w:sz w:val="28"/>
          <w:sz w:val="28"/>
          <w:szCs w:val="28"/>
          <w:rtl w:val="true"/>
          <w:lang w:bidi="fa-IR"/>
        </w:rPr>
        <w:t>، أو قبوله کما فی منیة المرید و غیرها، و عن شرح المبادی لفخر الإسلام و جامع المقاصد و المدارک و الوافیة</w:t>
      </w:r>
      <w:r>
        <w:rPr>
          <w:rStyle w:val="FootnoteAnchor"/>
          <w:rtl w:val="true"/>
        </w:rPr>
        <w:footnoteReference w:id="747"/>
      </w:r>
      <w:r>
        <w:rPr>
          <w:rFonts w:ascii="IRNazanin" w:hAnsi="IRNazanin" w:eastAsia="IRNazanin"/>
          <w:color w:val="111111"/>
          <w:sz w:val="28"/>
          <w:sz w:val="28"/>
          <w:szCs w:val="28"/>
          <w:rtl w:val="true"/>
          <w:lang w:bidi="fa-IR"/>
        </w:rPr>
        <w:t>، أو ما یشمل العزم، إمّا إلی الفعل و العمل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إلی القبول و الأخذ خاصّة، و إمّا إلیهما، أو شی‌ء آخر غیر ما مرّ؟</w:t>
      </w:r>
    </w:p>
    <w:p>
      <w:pPr>
        <w:pStyle w:val="BookText"/>
        <w:rPr/>
      </w:pPr>
      <w:r>
        <w:rPr>
          <w:rFonts w:ascii="IRNazanin" w:hAnsi="IRNazanin" w:eastAsia="IRNazanin"/>
          <w:color w:val="111111"/>
          <w:sz w:val="28"/>
          <w:sz w:val="28"/>
          <w:szCs w:val="28"/>
          <w:rtl w:val="true"/>
          <w:lang w:bidi="fa-IR"/>
        </w:rPr>
        <w:t>أوجه 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التقلید هو مجرّد المتابعة للغیر، سواء کان فی الاعتقاد خاصّة، أو فی القول خاصّة، أو فی الفعل خاصّة، أو فی الاثنین منها، أو فی الجمیع، فمقلّد المجتهد لا یکون مقلّدا له إلّا بعد المتابعة له، فإن کانت المتابعة له فی الاعتقاد خاصّة، کان مقلّدا له فیه خاصّة، و إن کانت فی القول خاصّة، کان مقلّدا له فیه خاصّة، و إن کانت فی الفعل خاصّة، کان له مقلّدا فیه خاصّة، و هکذا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البیّن أنّ المتابعة لا تحقّق لها فی الخارج قطعا إلّا بعد تحقّق التابع و المتبوع و التبعیّة و ما فیه التبعیّة فی الخارج، و کما تنتفی المتابعة الحقیقیّة بعدم تحقّق کلّ من التابع و المتبوع فی الخارج، فکذا تنتفی أیضا بعدم تحقّق کلّ من التبعیّة و ما فیه التبعیّة فیه؛ ضرورة انتفاء الکلّ و المشروط بانتفاء الجزء و الشرط من حیث هما کذلک، فلو کان المتبوع أحد المفتیین لا علی التعیین فی حدّ ذاته و فی اعتقاد التابع أیضا، لما</w:t>
      </w:r>
    </w:p>
    <w:p>
      <w:pPr>
        <w:pStyle w:val="BookText"/>
        <w:rPr/>
      </w:pPr>
      <w:r>
        <w:rPr>
          <w:rFonts w:ascii="IRNazanin" w:hAnsi="IRNazanin" w:eastAsia="IRNazanin"/>
          <w:color w:val="111111"/>
          <w:sz w:val="28"/>
          <w:sz w:val="28"/>
          <w:szCs w:val="28"/>
          <w:rtl w:val="true"/>
          <w:lang w:bidi="fa-IR"/>
        </w:rPr>
        <w:t>تحقّقت المتابعة؛ إذ لا تحقّق له فی الخارج، کما هو المفروض؛ فتأمّل فیه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أیضا أنّه لا یتحقّق التبعیّة من التابع بمجرّد مطابقة اعتقاد التابع و قوله و فعله لاعتقاد المتبوع و قوله و فعله، بل لا بدّ فیه من ملاحظة التابع حیثیّة التبعیّة، بأن کان قاصدا لها و عازما علیها، و لذا یصحّ سلب اسم المتابعة حقیقة عرفا و لغة و عقلا عن المطابق الغیر الملحوظ معه هذه الحیثیّة، و یصحّ سلب اسم المتابعة کذلک عن مجرّد العزم علی التبعیّة و القصد لها من دون أصلها، و لا یصحّ إطلاقها حقیقة کذلک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یتحقّق ما فیه التبعیّة فی الخارج أیضا إلّا مع تعیّنه و تشخّصه؛ إذ الکلّی لا وجود له إلّا فی ضمن الجزئی الحقیقی و الفرد، أو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استلزامه بدون التعیّن و التشخّص لعدم تحصّل التبعیّة فی الخارج، الملزوم لانتفاء المتابعة رأسا، و استلزامه للعزم علیها و القصد لها لو سلّم غیر مقیّد و لا مثمر فی صدق المتابعة الحقیقیّة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أیضا أنّ التقلید الاعتقادی خاصّة بدون اعتقاد المقلّد مطابقا لاعتقاد المفتی لا یکون تقلیدا ما دام کذلک، و کذا التقلید القولی خاصّة بدون قول المقلّد مطابقا لقول المفتی أو اعتقاده لا یکون تقلیدا ما دام کذلک، و کذا التقلید الفعلی بدون فعل المقلّد مطابقا لفعل المفتی أو قوله أو اعتقاده لا یکون تقلیدا له،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أیضا أنّ المقلّد إذا بنی فی الأحکام الکلّیّة المأخوذة من المفتی علی ما أفتی بعمومه و عمل ببعض جزئیّاته، لا یکون مقلّدا له فی العمل خاصّة أو مطلقا، بالإضافة إلی سائر الجزئیّات التی لم یعمل بها، بل هو مقلّد له بالإضافة إلی ما عمل خاصّة، دون غیره و إن کان عازما علی المتابعة فیه قاصدا 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لعلّه من الوضوح بحیث لا حاجة له إلی البیان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هاتین المقدّمتین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الالتزام المذکور لیس من التقلید بشی‌ء کما عرفت فی مطاوی ما ذکر من المقدّمتین، فلا معنی لأصل البقاء علیه، فضلا عن وجوبه؛ لعدم الدلیل، بل الدلیل علی عدمه قائم، من الأصل أو الاصول و العمومات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الإجماع و غیره ممّا مرّ فی محلّه علی جواز الرجوع قبل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الأدلّة الدالّة علی صحّة التقلید و مشروعیّته و وجوبه علی من کان التقلید وظیفته و لم یقلّد، و علی صحّة الرجوع إلی من شاء من المفتین مع التساوی فی العلم و العدالة أو مطلقا علی القول بعدم وجوب تقلید الأعلم و الأورع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لعمری واضح لا شبهة فیه و لا مریة تعتریه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شرعا عند المقلّد کون المفتی جامعا لجمیع شرائط الفتوی و العمل بقوله، صحّ له تقلیده و العمل بفتواه ما لم یثبت شرعا عنده اختلال شی‌ء من الشرائط المعتبرة فی صحّة العمل بقوله و فتواه، بلا خلاف ظاهر أجده فیه، بل و لعلّه موضع وفاق بینهم، کما یلوح من کلماتهم و یظهر من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الحجّة، مضافا إلی الاستصحاب و العمومات الدالّة علی عدم جواز نقض الیقین إلّا بالیقین، المعتضدة أو المؤیّدة بالعمومات النافیة للعسر و الحرج و الضرر فی الشریعة، و الدالّة علی صحّة العمل بقول العلماء العارفین بالأحکام الشرعیّة؛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 من قلّده المقلّد و عمل بفتواه، و اطّلع علیه المقلّد، فهل یصحّ له البقاء حال جنونه أیضا، فلا یجب علیه العدول مطلقا، أو لا، فیجب کذلک، أم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بین ما إذا کان زمان الجنون قلیلا؛ فالأوّل، و کثیرا؛ فالثانی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بین ما إذا أمکن تقلید المفتی الجامع للشرائط؛ فالثانی، و غیره؛ فالأوّل؟</w:t>
      </w:r>
    </w:p>
    <w:p>
      <w:pPr>
        <w:pStyle w:val="BookText"/>
        <w:rPr/>
      </w:pPr>
      <w:r>
        <w:rPr>
          <w:rFonts w:ascii="IRNazanin" w:hAnsi="IRNazanin" w:eastAsia="IRNazanin"/>
          <w:color w:val="111111"/>
          <w:sz w:val="28"/>
          <w:sz w:val="28"/>
          <w:szCs w:val="28"/>
          <w:rtl w:val="true"/>
          <w:lang w:bidi="fa-IR"/>
        </w:rPr>
        <w:t>أوجه و احتمالات، صار إلی ثانیها المحقّق الشیخ علیّ فی حاشیة الشرائع</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الأحوط فی الجملة، أو مطلقا، و إن کان تعیینه محلّ التأمّل؛ نظرا إلی الاستصحاب و العمومات الدالّة علی عدم جواز نقض الیقین إلّا بالیقین، المقتضیة لصحّة البقاء علی ما بنی علیه قبل الجنون؛ و لعدم صلاحیة الجنون للرفع و الإبطال، المؤیّدة أو المعتضدة بالعمومات أو الإطلاقات الدالّة علی حجّیّة قول المفتی و فتواه،</w:t>
      </w:r>
    </w:p>
    <w:p>
      <w:pPr>
        <w:pStyle w:val="BookText"/>
        <w:rPr/>
      </w:pPr>
      <w:r>
        <w:rPr>
          <w:rFonts w:ascii="IRNazanin" w:hAnsi="IRNazanin" w:eastAsia="IRNazanin"/>
          <w:color w:val="111111"/>
          <w:sz w:val="28"/>
          <w:sz w:val="28"/>
          <w:szCs w:val="28"/>
          <w:rtl w:val="true"/>
          <w:lang w:bidi="fa-IR"/>
        </w:rPr>
        <w:t>و بعدم بطلان ما صدر من العاقل حال العقل من الأفعال و الأعمال و العقود و الإیقاعات الصحیحة و الشهادة و الإقرار و الحکم و القضاء بعروض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دلیل هنا علی البطلان و وجوب الرجوع عدا ما یتوهّم من إطلاق اشتراط العقل فی کلماتهم، و الأصل و الاستصحاب و العمومات، المقتضیة لعدم صحّة التقلید و الدالّة علی عدم حجّیّة غیر العلم؛ و شی‌ء منها لا یصلح للدلالة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فلانصرافه إلی التقلید الابتدائی خاصّة، کما لا یخفی علی من لاحظ بعض تعلیلاتهم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یعارض الدلیل، بل مندفع به، کما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لاندفاعه بما مرّ، و إمّا لمعارضته بما هو أرجح منه من وجوه عدیدة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فلاختصاصه أو تخصیصه بالتقلید الغیر المعتبر شرعا، و ما نحن فیه تقلید معتبر شرعا بحکم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فلاختصاصه أو تخصیصه بغیر العلم الغیر المعتبر شرعا، و ما نحن فیه و إن کان غیر العلم بذاته، إلّا أنّه معتبر بالفرض، مع أنّه لیس من العمل بغیر العلم أیضا، بل هو أیضا عمل بالعلم و لو حکما و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یناقش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الاستصحاب؛ فلعدم صحّة جریانه هنا، أمّا علی تقدیر کون المفتی المجنون بالفرض حال الصحّة قائلا بعدم صحّة البقاء علی التقلید بعروض الجنون، فواضح؛ إذ مقتضی قوله هذا اختصاص صحّة العمل بقوله إلی وقت الجنون خاصّة، و بطلانه به و بعده، فلا معنی للاستصحاب حینئذ لنا، مضافا إلی ما سیأتی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تقدیر کونه قائلا بصحّته، و کذا علی تقدیر عدم کونه قائلا بشی‌ء منهما؛ لعدم اجتهاده فی هذه المسألة و عدم ثبوته؛ فلأنّ القدر المتیقّن الحاصل من صغری و کبری قیاسه المصحّح لعمل المقلّد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ککبری و صغری قیاس المقلّد المصحّح</w:t>
      </w:r>
    </w:p>
    <w:p>
      <w:pPr>
        <w:pStyle w:val="BookText"/>
        <w:rPr/>
      </w:pPr>
      <w:r>
        <w:rPr>
          <w:rFonts w:ascii="IRNazanin" w:hAnsi="IRNazanin" w:eastAsia="IRNazanin"/>
          <w:color w:val="111111"/>
          <w:sz w:val="28"/>
          <w:sz w:val="28"/>
          <w:szCs w:val="28"/>
          <w:rtl w:val="true"/>
          <w:lang w:bidi="fa-IR"/>
        </w:rPr>
        <w:t>له العمل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ما قبل الجنون خاصّة، فما بعده مندرجا تحت الأصل الأصیل و الاستصحاب و العمومات المانعة عن التقلید و العمل بغیر العلم، خصوصا مع ملاحظة ما دلّ علی عدم العبرة بقول المجنون، خصوصا فیما إذا قلّد المقلّد المفروض لمن أفتی بالمنع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یترتّب علی الفتوی بالجواز و صحّة البقاء فی مثل هذا المقام من المفاسد الآتی إلیها الإشارة فی بعض المسائل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کیفما کان فالتوصّل إلی الاستصحاب هنا 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العمومات المشار إلیها و غیرها، و سیأتی بیانه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تمّ الاستصحاب و العمومات حجّة علی صحّة البقاء، کان القول بها متّجها،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یخلو من وجه بعد ما ستقف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فالمصیر إلی ما قاله المحقّق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جدّا؛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من عمل بفتواه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الإیمان، أو عن العدالة بعد العمل بها، و اطّلع علیه أیضا، فهل یصحّ له البقاء فیما عمل بفتواه علی ما کان علیه، فلا یجب علیه الرجوع، أم لا، فیجب، أم التفصیل بمثل ما مرّ؟</w:t>
      </w:r>
    </w:p>
    <w:p>
      <w:pPr>
        <w:pStyle w:val="BookText"/>
        <w:rPr/>
      </w:pPr>
      <w:r>
        <w:rPr>
          <w:rFonts w:ascii="IRNazanin" w:hAnsi="IRNazanin" w:eastAsia="IRNazanin"/>
          <w:color w:val="111111"/>
          <w:sz w:val="28"/>
          <w:sz w:val="28"/>
          <w:szCs w:val="28"/>
          <w:rtl w:val="true"/>
          <w:lang w:bidi="fa-IR"/>
        </w:rPr>
        <w:t>أوجه و احتمالات، صار إلی ثانیها المحقّق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الشرائع</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الأحوط، بل و لعلّه المتعیّن، لما سیأتی بیانه مفصّلا من الأصل أو الاصول و العمومات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مرّت إلیه الإشارة، من العمومات الدالّة علی عدم صحّة الاعتماد علی قول غیر المؤمن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یندفع الاستصحاب و العمومات المقتضیة لصحّة البقاء علی تقلیده علی تقدیر اقتضائهما لها؛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انحطّ المفتی عن درجة الاجتهاد و الفقاهة، فهل یصحّ لمن قلّده و عمل بفتواه قبل الانحطاط البقاء علی تقلیده له فیما قلّده و عمل به مطلقا، فلا یجب علیه العدول، أم لا، فیجب کذلک، أم التفصیل بمثل ما مرّ؟</w:t>
      </w:r>
    </w:p>
    <w:p>
      <w:pPr>
        <w:pStyle w:val="BookText"/>
        <w:rPr/>
      </w:pPr>
      <w:r>
        <w:rPr>
          <w:rFonts w:ascii="IRNazanin" w:hAnsi="IRNazanin" w:eastAsia="IRNazanin"/>
          <w:color w:val="111111"/>
          <w:sz w:val="28"/>
          <w:sz w:val="28"/>
          <w:szCs w:val="28"/>
          <w:rtl w:val="true"/>
          <w:lang w:bidi="fa-IR"/>
        </w:rPr>
        <w:t>أوجه و احتمالات، صار إلی ثانیها المحقّق الشیخ علیّ فی حاشیة الشرائع</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الأحوط، بل المتعیّن؛ لما سیأتی بیانه مفصّلا من الأصل أو الاصول و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مرّت إلیه الإشارة من العمومات الدالّة علی عدم صحّة الاعتماد علی قول غیر العالم و الفقیه، و علی عدم صحّة الفتوی من غیر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بذا یندفع الاستصحاب و العمومات المقتضیة لصحّة البقاء علی تقلیده علی تقدیر اقتضائهما لها؛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المفتی، فهل یصحّ لمن قلّده حال الحیاة و عمل بفتواه حینئذ البقاء فیما قلّده علی تقلیده و العمل بفتواه، فلا یجب علیه بموته العدول فیه مطلقا، أم لا، فیجب کذلک، أم التفصیل بما إذا تمکّن من الآخر الحیّ الجامع للشرائط؛ فالثانی، و غیره؛ فالأوّل؟</w:t>
      </w:r>
    </w:p>
    <w:p>
      <w:pPr>
        <w:pStyle w:val="BookText"/>
        <w:rPr/>
      </w:pPr>
      <w:r>
        <w:rPr>
          <w:rFonts w:ascii="IRNazanin" w:hAnsi="IRNazanin" w:eastAsia="IRNazanin"/>
          <w:color w:val="111111"/>
          <w:sz w:val="28"/>
          <w:sz w:val="28"/>
          <w:szCs w:val="28"/>
          <w:rtl w:val="true"/>
          <w:lang w:bidi="fa-IR"/>
        </w:rPr>
        <w:t>أوجه و احتمالات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 إلی أوّلها جماعة، منهم الشیخان الجلیلان المعاصران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ثراهما</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الأعاظم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تحقیقاته، و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و غیره</w:t>
      </w:r>
      <w:r>
        <w:rPr>
          <w:rStyle w:val="FootnoteAnchor"/>
          <w:rtl w:val="true"/>
        </w:rPr>
        <w:footnoteReference w:id="752"/>
      </w:r>
      <w:r>
        <w:rPr>
          <w:rFonts w:ascii="IRNazanin" w:hAnsi="IRNazanin" w:eastAsia="IRNazanin"/>
          <w:color w:val="111111"/>
          <w:sz w:val="28"/>
          <w:sz w:val="28"/>
          <w:szCs w:val="28"/>
          <w:rtl w:val="true"/>
          <w:lang w:bidi="fa-IR"/>
        </w:rPr>
        <w:t>، و عزّاه البعض تارة إلی الفاضل المحقّق</w:t>
      </w:r>
      <w:bookmarkStart w:id="301" w:name="pg19819_193586"/>
    </w:p>
    <w:p>
      <w:pPr>
        <w:pStyle w:val="BookText"/>
        <w:rPr/>
      </w:pPr>
      <w:bookmarkEnd w:id="301"/>
      <w:r>
        <w:rPr>
          <w:rFonts w:ascii="IRNazanin" w:hAnsi="IRNazanin" w:eastAsia="IRNazanin"/>
          <w:color w:val="111111"/>
          <w:sz w:val="28"/>
          <w:sz w:val="28"/>
          <w:szCs w:val="28"/>
          <w:rtl w:val="true"/>
          <w:lang w:bidi="fa-IR"/>
        </w:rPr>
        <w:t>الشیخ سلیمان البحرانی و بعض المتأخّرین</w:t>
      </w:r>
      <w:r>
        <w:rPr>
          <w:rStyle w:val="FootnoteAnchor"/>
          <w:rtl w:val="true"/>
        </w:rPr>
        <w:footnoteReference w:id="753"/>
      </w:r>
      <w:r>
        <w:rPr>
          <w:rFonts w:ascii="IRNazanin" w:hAnsi="IRNazanin" w:eastAsia="IRNazanin"/>
          <w:color w:val="111111"/>
          <w:sz w:val="28"/>
          <w:sz w:val="28"/>
          <w:szCs w:val="28"/>
          <w:rtl w:val="true"/>
          <w:lang w:bidi="fa-IR"/>
        </w:rPr>
        <w:t>، و اخری إلی بعض المتأخّرین</w:t>
      </w:r>
      <w:r>
        <w:rPr>
          <w:rStyle w:val="FootnoteAnchor"/>
          <w:rtl w:val="true"/>
        </w:rPr>
        <w:footnoteReference w:id="754"/>
      </w:r>
      <w:r>
        <w:rPr>
          <w:rFonts w:ascii="IRNazanin" w:hAnsi="IRNazanin" w:eastAsia="IRNazanin"/>
          <w:color w:val="111111"/>
          <w:sz w:val="28"/>
          <w:sz w:val="28"/>
          <w:szCs w:val="28"/>
          <w:rtl w:val="true"/>
          <w:lang w:bidi="fa-IR"/>
        </w:rPr>
        <w:t>، و مستقرب الآخر، و اسند إلی بعض فضلاء العصر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مختار کلّ من قال بجواز تقلید المیّت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إلی ثانیها المحقّق الشیخ علیّ فی حاشیة الشرائع، و جماعة من فضلاء العصر</w:t>
      </w:r>
      <w:r>
        <w:rPr>
          <w:rStyle w:val="FootnoteAnchor"/>
          <w:rtl w:val="true"/>
        </w:rPr>
        <w:footnoteReference w:id="756"/>
      </w:r>
      <w:r>
        <w:rPr>
          <w:rFonts w:ascii="IRNazanin" w:hAnsi="IRNazanin" w:eastAsia="IRNazanin"/>
          <w:color w:val="111111"/>
          <w:sz w:val="28"/>
          <w:sz w:val="28"/>
          <w:szCs w:val="28"/>
          <w:rtl w:val="true"/>
          <w:lang w:bidi="fa-IR"/>
        </w:rPr>
        <w:t>، و عزّاه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إلی والده العلّامة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اللائح أو الظاهر من جمیع من أطلق القول بالمنع و عدم الاعتبار بقول المیّت، و التعلیل بأنّ المیّت إذا مات سقط اعتبار قوله و صار قوله مثله، و بعد انعقاد الإجماع مع خلافه حال حیاته، و انعقاده علی خلافه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إلیه أیضا ما قاله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المحقّق الثانی و الشهید الثانی</w:t>
      </w:r>
      <w:r>
        <w:rPr>
          <w:rStyle w:val="FootnoteAnchor"/>
          <w:rtl w:val="true"/>
        </w:rPr>
        <w:footnoteReference w:id="758"/>
      </w:r>
      <w:r>
        <w:rPr>
          <w:rFonts w:ascii="IRNazanin" w:hAnsi="IRNazanin" w:eastAsia="IRNazanin"/>
          <w:color w:val="111111"/>
          <w:sz w:val="28"/>
          <w:sz w:val="28"/>
          <w:szCs w:val="28"/>
          <w:rtl w:val="true"/>
          <w:lang w:bidi="fa-IR"/>
        </w:rPr>
        <w:t>و الفاضل العماد الأمیر محمّد باقر الداماد فی کتابه شارع النجاة، و المحقّق البهبهانی علی ما حکی</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المجتهد إذا مات انعدم ظنّه، و ما سننقله من صاحب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بعض الأصحاب القول الأوّل فی جملة ما قاله العامّة من الأقوال فی أصل مسألة اشتراط الحیاة فی المجتهد و المفتی، و ذکره مقابلا لسائرها</w:t>
      </w:r>
      <w:r>
        <w:rPr>
          <w:rFonts w:eastAsia="IRNazanin" w:cs="IRNazanin"/>
          <w:color w:val="111111"/>
          <w:sz w:val="28"/>
          <w:szCs w:val="28"/>
          <w:rtl w:val="true"/>
          <w:lang w:bidi="fa-IR"/>
        </w:rPr>
        <w:t>.</w:t>
      </w:r>
    </w:p>
    <w:p>
      <w:pPr>
        <w:pStyle w:val="Heading6"/>
        <w:numPr>
          <w:ilvl w:val="5"/>
          <w:numId w:val="1"/>
        </w:numPr>
        <w:rPr/>
      </w:pPr>
      <w:bookmarkStart w:id="302" w:name="__RefHeading___Toc3055631_2314609296"/>
      <w:bookmarkStart w:id="303" w:name="_Toc119"/>
      <w:bookmarkEnd w:id="302"/>
      <w:r>
        <w:rPr>
          <w:rtl w:val="true"/>
        </w:rPr>
        <w:t>و هذا القول لعلّه المعتمد لوجوه</w:t>
      </w:r>
      <w:r>
        <w:rPr>
          <w:rtl w:val="true"/>
        </w:rPr>
        <w:t>:</w:t>
      </w:r>
      <w:bookmarkEnd w:id="30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بصحّة البقاء علی تقلید المیّت المفروض و حجّیّة قوله بعده حکم شرعیّ، فیتوقّف علی دلیل شرعیّ، و هو مفقود بحکم ما ستقف علیه، فلا بدّ من الحکم بعدمهما، کما هو مقتضی الأصل و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إذ لا شکّ و لا شبهة فی أنّ کلّا من الحجّیّة و الصحّة من الأحکام الشرعیّة، و لا شکّ فی کونهما حادثتین و مسبوقتین بالعدم الأزلی، فلا بدّ من الحکم ببقائهما علی الحالة السابقة الیقینیّة فی هذه الحالة أیضا؛ عملا بالاستصحاب؛ لعدم ثبوت الواقع الیقینی و لا القائم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تقرّر الاستصحاب بطریق آخر، هو أنّه لا شکّ فی عدم الصحّة و عدم الحجّیّة بالإضافة إلی المقلّد بعد الموت و قبل التقلید، و الرجوع إلی المفتی الحیّ القائل بالصحّة، فکذا بعده؛ عملا بالاستصحاب؛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عدم جواز نقض الیقین إلّا بالیقین علی تقدیر مغایرتها للاستصحاب بالتقریب المشار إلیه، خرج عنها المفتی الحیّ الجامع للشرائط، بالإجماع و غیره من الأدلّة، 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عدم العبرة بالتقلید و غیر العلم، المؤیّدة أو المعتضدة بما مرّت إلیه الإشارة من إطلاق الإجماعات المنقولة السالفة، و إطلاق فتاوی المعظم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أفاده فی المعالم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القول بالجواز قلیل الجدوی علی اصولنا؛ لأنّ المسألة اجتهادیّة، و فرض العامی فیها الرجوع إلی فتوی المجتهد، و حینئذ فالقائل بالجواز إن کان میّتا، فالرجوع إلی فتواه دور ظاهر، و إن کان حیّا، فاتّباعه فیها و العمل بفتوی الموتی فی غیرها بعید عن الاعتبار غالبا، مخالف لما یظهر من اتّفاق علمائنا علی المنع من الرجوع إلی فتوی المیّت مع وجود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حکی الإجماع فیه صریحا بعض الأصحاب</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کما تری ظاهر الشمول لما نحن فیه أیضا؛ فتأمّل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الْأَحْیاءُ وَ لَا الْأَمْواتُ</w:t>
      </w:r>
      <w:r>
        <w:rPr>
          <w:rStyle w:val="FootnoteAnchor"/>
          <w:rtl w:val="true"/>
        </w:rPr>
        <w:footnoteReference w:id="761"/>
      </w:r>
      <w:r>
        <w:rPr>
          <w:rFonts w:ascii="IRNazanin" w:hAnsi="IRNazanin" w:eastAsia="IRNazanin"/>
          <w:color w:val="111111"/>
          <w:sz w:val="28"/>
          <w:sz w:val="28"/>
          <w:szCs w:val="28"/>
          <w:rtl w:val="true"/>
          <w:lang w:bidi="fa-IR"/>
        </w:rPr>
        <w:t>بالتقریب المشار إلیه سابقا، خصوصا مع اعتضاده بالأخبار الکثیرة المتواترة و لو معنی الآمرة بأخذ</w:t>
      </w:r>
    </w:p>
    <w:p>
      <w:pPr>
        <w:pStyle w:val="BookText"/>
        <w:rPr/>
      </w:pPr>
      <w:r>
        <w:rPr>
          <w:rFonts w:ascii="IRNazanin" w:hAnsi="IRNazanin" w:eastAsia="IRNazanin"/>
          <w:color w:val="111111"/>
          <w:sz w:val="28"/>
          <w:sz w:val="28"/>
          <w:szCs w:val="28"/>
          <w:rtl w:val="true"/>
          <w:lang w:bidi="fa-IR"/>
        </w:rPr>
        <w:t>ما وافق الکتاب و طرح ما خالفه؛ فتنبّه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w:t>
      </w:r>
      <w:r>
        <w:rPr>
          <w:rStyle w:val="FootnoteAnchor"/>
          <w:rtl w:val="true"/>
        </w:rPr>
        <w:footnoteReference w:id="762"/>
      </w:r>
      <w:r>
        <w:rPr>
          <w:rFonts w:ascii="IRNazanin" w:hAnsi="IRNazanin" w:eastAsia="IRNazanin"/>
          <w:color w:val="111111"/>
          <w:sz w:val="28"/>
          <w:sz w:val="28"/>
          <w:szCs w:val="28"/>
          <w:rtl w:val="true"/>
          <w:lang w:bidi="fa-IR"/>
        </w:rPr>
        <w:t>بالتقریب المشار إلیه سابقا؛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القول بالجواز و الصحّة الذی أفتی به المفتی الحیّ الجامع للشرائط، للزم إمّا التناقض، و إمّا أن لا تصحّ فتوی هذا المفتی الحیّ و لا اجتهاده، إمّا مطلقا، و إمّا بالإضافة إلی المسائل المخالف هو فیها للمیّت الذی حکم بصحّة فتواه و العمل بها لغیره من المقلّدین، و اللازم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لاستحالة التناقض، للأدلّة الدالّة علی صحّة اجتهاده و فتواه، بالإضافة إلی غیر هذه المسألة المفروضة، مضافا إلی کون المفروض صحّتهما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مقتضی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المتوقّف علیه فتواه بالإضافة إلی سائر المسائل المخالف هو فیها للمیّت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الشرعی المتعلّق بها إنّما هو ما أدّی إلیه اجتهاده خاصّة، دون غیره، و أنّه الصحیح المعمول به و المعوّل علیه فی حقّه و حقّ مقلّده فی مقام العمل و الإفتاء و غیرهما، دون غیره، و مقتضی تجویزه العمل بقول هذا المیّت و فتواه لهذا المقلّد و المستفتی و الحکم بصحّتهما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الشرعی المتعلّق بها إنّما هو ما أدّی إلیه اجتهاد هذا المیّت و أفتی به، دون غیره، و أنّه الصحیح المعمول به و المعوّل علیه فی حقّ هذا المقلّد و المستفتی فی مقام العمل بالإضافة إلیه، و فی مقام الإفتاء بالإضافة إلی هذا المفتی نفسه، و هل هذا إلّا تناقض واضح، و هو المدّعی من الملازمة و لو فی الجملة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البیّن أنّ الأمر حینئذ دائر بین الأخذ بالأمرین معا، و بین طرحهما معا، و بین الأخذ بالأوّل و طرح الثانی، و بین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فرض عدم الأخذ بالشقّ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الأخذ بواحد من الباقی الشقوق، و یلزمه ما ذکرنا من الملازمة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إن اخذ بهما معا، لزمه الحکم ببطلان أحد المقتضیین و الحکمین المتناقضین، و إلّا لزم اجتماع النقیضین فی الفرض، و هو باطل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یلزمه حینئذ بطلان ما دلّ علی صحّة اجتهاده و فتواه أیضا مطلقا؛ لاستلزامه المحال، و مستلزم المحال محال باطل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طرحهما معا، لزم ارتفاع النقیضین فی الفرض، و هو أیضا محال باطل، و یلزمه أیضا بطلان ما دلّ علی صحّة اجتهاده و فتواه أیضا کذلک؛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اخذ بالثانی، أی تجویزه البقاء علی تقلید المیّت و فتواه کذلک، لزم أن لا یصحّ فتوی هذا المفتی الحیّ، و لا اجتهاده بالإضافة إلی المسائل المخالف هو فیها للمیّت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بعد ما ذکر من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طرح الثانی و الأخذ بالأوّل، أی تجویز المفتی الحیّ العمل بما أدّی إلیه اجتهاده بالإضافة إلی المسائل المخالف هو فیها للمیّت المفروض و فتواه کذلک خاصّة، دون غیره، و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یتمّ إذا کان فتوی المفتی الحیّ بصحّة البقاء علی العمل بفتوی هذا المیّت بعنوان الیقین و الانحصار، بحیث لا یصحّ للمقلّد و المستفتی المفروض العمل بغیرها، و أمّا إذا کان بعنوان التخییر و عدم الانحصار، فیکون المقلّد و المستفتی مخیّرا بین الأخذ بفتوی المیّت المفروض، و بین الأخذ و العمل بما أدّی إلیه اجتهاد الحیّ المفروض بالإضافة إلی غیر هذه الفتوی و سائر الوقائع و الأحکام المخالف له فیها، فلا ینحصر المعمول به و المعوّل علیه کذلک فی الأوّل، حیث یکون حینئذ من باب أحد فردی الواجب التخییری، و معه لا یلزم ما ذکر من الملازمة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إذ لا ینفکّ ما فرضنا عمّا ذکرنا؛ نظرا إلی عدم انفکاک هذا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القول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التعیین عند التأمّل</w:t>
      </w:r>
      <w:bookmarkStart w:id="304" w:name="pg19819_193590"/>
    </w:p>
    <w:p>
      <w:pPr>
        <w:pStyle w:val="BookText"/>
        <w:rPr/>
      </w:pPr>
      <w:bookmarkEnd w:id="304"/>
      <w:r>
        <w:rPr>
          <w:rFonts w:ascii="IRNazanin" w:hAnsi="IRNazanin" w:eastAsia="IRNazanin"/>
          <w:color w:val="111111"/>
          <w:sz w:val="28"/>
          <w:sz w:val="28"/>
          <w:szCs w:val="28"/>
          <w:rtl w:val="true"/>
          <w:lang w:bidi="fa-IR"/>
        </w:rPr>
        <w:t>و التحقیق و لو فی الجملة، و یلزمه ما ذکرنا من الملازمة جدّا؛ فافهم هذا، فإنّه دقیق و بالتصدیق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بصحّة البقاء لو صحّ لزم الفتوی من المفتی الحیّ المفروض بالإضافة إلی المسائل المخالف هو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بما لا یعلم من الحکم الشرعی، و إمّا بما علم عدم کونه حکما شرعیّا، و اللازم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بطلان اللازم فواضح بعد ما مرّت إلیه </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ظاهرا، من المنع و عدم الصحّة فیما إذا کان المیّت المفروض قائلا بهما حال الحیاة، أو کان المقلّد المفروض مقلّدا فی المسألة لمن أفتی بهما، و الصحّة و الجواز فیما إذا کان قائلا بهما، أو لم یکن قائلا بعدمهما، أو کان المقلّد المفروض مقلّدا فیها لمن أفتی بهما أو غیر مقلّد أصلا؛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لاتّفاق الفریقین ظاهرا علی بطلان البقاء علی تقلید المیّت المفروض من حیث هو، و بدون التقلید لمن أفتی من المفتین الجامعین للشرائط بصحّة البقاء و عدم صلاحیته بذاته للحجّیّة و الاعتبار قبله، فکیف ینقلب الباطل بذاته و غیر المعتبر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بالصحیح و المعتبر،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الدلیل المعتبر الدالّ علی صحّة البقاء و جوازه أیضا عدا ما توهّمه الخصم من الوجوه الآتیة، مع ما فیهما من القصور و الضعف عن الدلالة علی ذلک؛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الحال أیضا فیما لو لم یثبت من المیّت المفروض قول فی المسألة أصلا؛ فتذکّر</w:t>
      </w:r>
      <w:r>
        <w:rPr>
          <w:rFonts w:eastAsia="IRNazanin" w:cs="IRNazanin"/>
          <w:color w:val="111111"/>
          <w:sz w:val="28"/>
          <w:szCs w:val="28"/>
          <w:rtl w:val="true"/>
          <w:lang w:bidi="fa-IR"/>
        </w:rPr>
        <w:t>.</w:t>
      </w:r>
    </w:p>
    <w:p>
      <w:pPr>
        <w:pStyle w:val="Heading6"/>
        <w:numPr>
          <w:ilvl w:val="5"/>
          <w:numId w:val="1"/>
        </w:numPr>
        <w:rPr/>
      </w:pPr>
      <w:bookmarkStart w:id="305" w:name="__RefHeading___Toc3055633_2314609296"/>
      <w:bookmarkStart w:id="306" w:name="_Toc120"/>
      <w:bookmarkEnd w:id="305"/>
      <w:r>
        <w:rPr>
          <w:rtl w:val="true"/>
        </w:rPr>
        <w:t>حجّة القول الأوّل وجوه</w:t>
      </w:r>
      <w:r>
        <w:rPr>
          <w:rtl w:val="true"/>
        </w:rPr>
        <w:t>:</w:t>
      </w:r>
      <w:bookmarkEnd w:id="30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إذ لا شکّ أنّ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الوجوب و الندب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تعلّق بالمکلّف بتقلیده حال الحیاة، و لم یعلم کون الموت رافعا له، فالأصل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تقلید المقلّد قد صحّ فی حال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بقاؤه بعد الوفاة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المقلّد بعد التقلید و العمل بفتوی المفتی حال الحیاة لا یجوز و لا یصحّ له العدول عنه فیما قلّده إلی غیره من دون سبب شرعیّ مجوّز للعدول، و لم یعلم کون الموت سببا شرعیّا مجوّزا للعدول، فیستصحب البقاء و عدم جواز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المفتی و فتواه حجّة شرعا حال الحیاة، و لم یعلم کون الموت مانعا عن الحجّیّة، فتستصحب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جریان الاستصحاب بجمیع هذه التقریرات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عدم إمکان الوصول إلی المفتی الحیّ الجامع للشرائط، فواضح؛ إذ حجّیّة الاستصحاب إنّما هی بالإضافة إلی المفتی خاصّة، و الفرض عدم إمکان الوصول إلیه، فأین الاستصحاب النافع للمقلّد المفروض؟</w:t>
      </w:r>
    </w:p>
    <w:p>
      <w:pPr>
        <w:pStyle w:val="BookText"/>
        <w:rPr/>
      </w:pPr>
      <w:r>
        <w:rPr>
          <w:rFonts w:ascii="IRNazanin" w:hAnsi="IRNazanin" w:eastAsia="IRNazanin"/>
          <w:color w:val="111111"/>
          <w:sz w:val="28"/>
          <w:sz w:val="28"/>
          <w:szCs w:val="28"/>
          <w:rtl w:val="true"/>
          <w:lang w:bidi="fa-IR"/>
        </w:rPr>
        <w:t>و کذا علی تقدیر عدم إمکان الوصول إلّا إلی المفتی المیّت؛ إمّا لذلک، و إمّا لعدم إمکان المصیر إلیه فی ذلک؛ للزوم الدور أو التسلسل أو غیرهما ممّا لا یخفی، سیّما بعد ما مضی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إمکان الوصول إلی المفتی الحیّ الجامع للشرائط القائل بالمنع و عدم الصحّة، فواضح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إمکان الوصول إلی المفتی الحیّ الجامع للشرائط القائل بالجواز، فکذلک ظاهر لا یخفی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تقدیر کون المفتی المیّت المفروض قائلا بعدم جواز البقاء علی تقلید المیّت فیما قلّده المقلّد، و بعدم صحّته بعد موته، فلوضوح اختصاص جمیع ما افتی به و صحّته و حجّیّته فی حقّه و حقّ مقلّدیه بحال حیاته خاصّة، و عدم صحّته و عدم حجّیّته بعد وفاته أصلا و رأسا کما هو مقتضی فتواه، و معه لا معنی لجریان الاستصحاب هنا؛ إمّا لتغیّر موضوع الحکم بالصحّة و الحجّیّة من حیث هو موضوع،</w:t>
      </w:r>
    </w:p>
    <w:p>
      <w:pPr>
        <w:pStyle w:val="BookText"/>
        <w:rPr/>
      </w:pPr>
      <w:r>
        <w:rPr>
          <w:rFonts w:ascii="IRNazanin" w:hAnsi="IRNazanin" w:eastAsia="IRNazanin"/>
          <w:color w:val="111111"/>
          <w:sz w:val="28"/>
          <w:sz w:val="28"/>
          <w:szCs w:val="28"/>
          <w:rtl w:val="true"/>
          <w:lang w:bidi="fa-IR"/>
        </w:rPr>
        <w:t>و إمّا لانقضاء أمد الحکم بالصحّة و الحجّیّة، مع ثبوت کونه موقّتا بوقت حیاة المفتی الجامع للشرائط، و منتهیا بانتهائها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کون المیّت المفروض قائلا بالجواز و صحّة البقاء، مع تقلید المقلّد المفروض لغیره الجامع للشرائط فی هذه المسألة المفروضة من أفتی بالمنع و عدم الصحّة، فکذلک؛ لمثل ذلک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کونه قائلا بالجواز و صحّة البقاء، مع کون المقلّد أیضا مقلّدا له فی ذلک، أو لغیره، مع موته أیضا، أو غیر مقلّد أصلا؛ فلأنّه لا شکّ فی اختصاص الحکم بالصحّة و الحجّیّة بحال الحیاة، و یلزمه إمّا عدم الحکم بهما بعد الموت، أو الحکم بعدمهما، و معه لا معنی لجریان الاستصحاب، إمّا لتغیّر الموضوع، و إمّا لانقضاء أمد الحکم و لو بالإضافة إلی هذه المسألة المفروضة، و یلزمه ذلک بالإضافة إلی غیرها من المسائل أیضا کما لا یخفی علی المتأمّل، خصوصا فی صغری و کبری قیاس هذا المفتی، و الدلیل الدالّ علی کلّیّة کبراه و صحّتها؛ إذ القدر المتیقّن المخرج عن تحت الاصول و العمومات و غیرها الدالّة علی عدم الجواز و عدم الحجّیّة إنّما هو حجّیّة کلّ ما أدّی إلیه اجتهاده و أفتی به ما دام کونه حیّا و کونه حکم اللّه فی حقّه و حقّ من تبعه کذلک، لا مطلقا، و إلّا لما احتاج إلی ضمیمة تقلید المفتی الحیّ القائل بالجواز و صحّة البقاء؛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لک أیضا عدم جریان الاستصحاب هنا علی تقدیر کون المفتی المیّت المفروض مجهول المذهب و المختار و الفتوی فی المسألة المفروضة، بحیث لا یثبت منه شی‌ء أصلا، لا الجواز و الصحّة، و لا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لک عدم جریانه هنا أیضا علی تقدیر عدم کون المقلّد المفروض مقلّدا فی هذه المسألة المفروضة أصلا، إمّا لمثل ما مرّ، و إمّا بطریق أولی، هذا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یرد أیضا علی التقریر الأوّل للاستصحاب، من المنع المتوجّه علی التعلّق المدّعی، و علی عدم معلومیّة کون الموت رافعا له، خصوصا بعد ملاحظة ما مرّ</w:t>
      </w:r>
    </w:p>
    <w:p>
      <w:pPr>
        <w:pStyle w:val="BookText"/>
        <w:rPr/>
      </w:pPr>
      <w:r>
        <w:rPr>
          <w:rFonts w:ascii="IRNazanin" w:hAnsi="IRNazanin" w:eastAsia="IRNazanin"/>
          <w:color w:val="111111"/>
          <w:sz w:val="28"/>
          <w:sz w:val="28"/>
          <w:szCs w:val="28"/>
          <w:rtl w:val="true"/>
          <w:lang w:bidi="fa-IR"/>
        </w:rPr>
        <w:t>و یأتی إلیه الإشارة، من اتّفاقهم الظاهر علی بطلان التعلّق بالموت و رافعیّته له، مع قطع النظر عن التقلید فی مسألة البقاء لمن أفتی به؛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التقریر الثالث، من المنع المتوجّه علی عدم صحّة العدول و عدم جوازه حال الحیاة کذلک أیضا، لما قد عرفت سابقا من الجواز و الصحّة بحکم الأدلّة المشار إلیها؛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الاستصحاب علی تقدیر صحّة جریانه هنا معارض بالمثل من الاستصحاب المقتضی لعدم حجّیّة غیر العلم و التقلید بعنوان الخصوص، أو العموم، أو الإطلاق الشامل لما نحن فیه، فلا بدّ فی الترجیح من الرجوع إلی المرجّحات، و هی مع هذا الاستصحاب جدّا؛ لاعتضاده و تأییده بما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الغمض عنها، فلا بدّ من التوقّف و المصیر إلی الأصل، و مقتضاه ما اخترناه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فلاندفاعه بما مرّت إلیه الإشارة من العمومات الکثیرة و غیرها، من الوجوه القویّة المعتضدة بالأصل و غیره؛ إذ المقرّر فی محلّه أنّ الاستصحاب لا یعارض ما عدا الأصل التعبّدی الابتدائی من سائر الأدلّة المعتبرة الظنّیّة العامّة و الخاصّة کالقطعیّة؛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فلانقطاع الصحّة بالموت، کاندفاع الاستصحاب به؛ نظرا إلی ظهور الاتّفاق علی عدم صحّة البقاء بعد الموت فی حدّ ذاته، و مع قطع النظر عن التقلید فی مسألة البقاء لمن أفتی 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مع الغمض عمّا مرّ معارض بما هو أقوی و أرجح منه من وجوه عدیدة، من الوجوه السالفة الدالّة علی الخلاف بالعموم و الخصوص مطلقا، أو فی الجملة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سلامته عمّا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فیما إذا انحصر التقلید و العمل بفتوی المفتی فی الکلّیّات و بوصف الکلّیّة، و أمّا لو صحّ التقلید و العمل</w:t>
      </w:r>
    </w:p>
    <w:p>
      <w:pPr>
        <w:pStyle w:val="BookText"/>
        <w:rPr/>
      </w:pPr>
      <w:r>
        <w:rPr>
          <w:rFonts w:ascii="IRNazanin" w:hAnsi="IRNazanin" w:eastAsia="IRNazanin"/>
          <w:color w:val="111111"/>
          <w:sz w:val="28"/>
          <w:sz w:val="28"/>
          <w:szCs w:val="28"/>
          <w:rtl w:val="true"/>
          <w:lang w:bidi="fa-IR"/>
        </w:rPr>
        <w:t>بفتواه فی الجزئیّات و الوقائع الشخصیّة بعنوان الشخصیّة و قلّد المفروض للمفتی المفتی هکذا، فلا یتّجه و لا یجری هذا الاستصحاب کما لا یخفی، فیکون الدلیل علی فرض تمامیّته أخصّ من المدّعی؛ فلا بدّ من التفصیل فی المسألة بما لا یقول به ظاهرا أحد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یتمّ بعدم القول بالفصل فیها المدّعی فی کلام السیّد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شی‌ء؛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الدالّة علی عدم جواز نقض الیقین إلّا بالیقین، بالتقریب المشار إلیه فی الوجه السابق؛ بناء علی مغایرتها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 سیّما بعد ما مضی آنفا و سابقا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به السیّد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765"/>
      </w:r>
      <w:r>
        <w:rPr>
          <w:rFonts w:ascii="IRNazanin" w:hAnsi="IRNazanin" w:eastAsia="IRNazanin"/>
          <w:color w:val="111111"/>
          <w:sz w:val="28"/>
          <w:sz w:val="28"/>
          <w:szCs w:val="28"/>
          <w:rtl w:val="true"/>
          <w:lang w:bidi="fa-IR"/>
        </w:rPr>
        <w:t>، من أنّه لو وجب العدول لاشتهر، بل و تواتر، و التالی باطل،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فلکونه من الامور العامّة البلوی و توفّر الدواعی علی نقلها، و یلزمه بحسب العادة الاشتهار و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اشتهاره و عدم تواتره، کیف؟ و نحن إلی الآن لم نسمع أنّ المقلّدین عدلوا دفعا أو تدریجا عن تقلید مجتهدیهم بعد موتهم، و لم نسمع أیضا أنّ الأئمّة علیهم السّلام بعد فوت مقلّدی أصحابهم أمروا بالرجوع إلی غیرهم من أهل الفتوی من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الملازمة؛ لعدم کونه من الامور العامّة البلوی مطلقا، حتّی فی زمن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لعدم انفتاح باب الحیرة، و انفتاح باب العلم بالإضافة إلی أصحاب</w:t>
      </w:r>
    </w:p>
    <w:p>
      <w:pPr>
        <w:pStyle w:val="BookText"/>
        <w:rPr/>
      </w:pPr>
      <w:r>
        <w:rPr>
          <w:rFonts w:ascii="IRNazanin" w:hAnsi="IRNazanin" w:eastAsia="IRNazanin"/>
          <w:color w:val="111111"/>
          <w:sz w:val="28"/>
          <w:sz w:val="28"/>
          <w:szCs w:val="28"/>
          <w:rtl w:val="true"/>
          <w:lang w:bidi="fa-IR"/>
        </w:rPr>
        <w:t>الأئمّة علیهم السّلام، و لکون رجوع مقلّدی أصحابهم إلیهم إنّما هو لأجل حصول العلم لهم عادة، من قولهم بأنّ ما قالوه هو قول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حال أصحاب الأئمّة علیهم السّلام بالإضافة إلی تابعیهم و مقلّدیهم فی صحّة رجوعهم إلیهم و العمل بقولهم کحال المجتهدین و الفقهاء فی زمن الغیبة بالإضافة إلی الرواة و الأخبار المرویّة عنهم، فکما لا یموت و لا یسقط الأخبار المعتبرة عندهم عن درجة الاعتبار بموتهم أصلا، فیمکن أن یکون قول أصحاب الأئمّة علیهم السّلام بالإضافة إلی تابعیهم کذلک، بل و لعلّ هذا هو الظاهر کما لا یخفی علی المطّلع علی الأخبار و سیرة أصحابهم و تابعیهم، فلا یلزم أن یموت أقوالهم بموتهم بالإضافة إلیهم، و لا تسقط به عن درجة الاعتبار کما لا یخفی علی أولی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بعد ما احتملنا لا یلزم الاشتهار و لا التواتر المدّعی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تنزّلنا عن ذلک و سلّمنا کونه منها مماشاة، فنمنع لزوم الاشتهار و التواتر من جهة اخری، هی أنّ العادة بذاتها و إن اقتضت الاشتهار و التواتر بالإضافة إلی الامور العامّة البلوی، إلّا أنّها مشروطة بفقد المانع عن الاشتهار و التواتر و بفقد الرافع لهما، و کلاهما فی الفرض محتمل الحصول و التحقّق احتمالا مساویا، بل راجحا؛ نظرا إلی ما هو المشهور بین العامّة من جواز تقلید المیّت مطلقا، أو فی الجملة، فیترجّح احتمال التقیّة و الخوف المانعین عن الصدور و الاشتهار و التواتر، أو الرافعین لما صدر، و لاشتهاره و تواتره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انحصار المانع و الرافع فی احتمال الخوف و التقیّة و الضرورة؛ فتنبّه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زمان المعصومین علیه السّلام، و أمّا بالإضافة إلی زمان المتشرّعة و الفقهاء و المجتهدین فی زمن الغیبة، فکونه منها و إن کان مسلّما، إلّا أنّه مع الغمض عمّا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تقلید المیّت و قولهم بأنّ قوله کالمیّت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عدم الاشتهار و التواتر لأجل ذهولهم عن هذه المسألة و عدم التفاتهم إلیها، کما هی</w:t>
      </w:r>
    </w:p>
    <w:p>
      <w:pPr>
        <w:pStyle w:val="BookText"/>
        <w:rPr/>
      </w:pPr>
      <w:r>
        <w:rPr>
          <w:rFonts w:ascii="IRNazanin" w:hAnsi="IRNazanin" w:eastAsia="IRNazanin"/>
          <w:color w:val="111111"/>
          <w:sz w:val="28"/>
          <w:sz w:val="28"/>
          <w:szCs w:val="28"/>
          <w:rtl w:val="true"/>
          <w:lang w:bidi="fa-IR"/>
        </w:rPr>
        <w:t>التی لم یتعرّضوا لها و لا لحکمها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لذا لم یتعرّض لذکر هذه المسألة المفروضة صریحا من تقدّم علی المحقّق الشیخ علیّ</w:t>
      </w:r>
      <w:r>
        <w:rPr>
          <w:rStyle w:val="FootnoteAnchor"/>
          <w:rtl w:val="true"/>
        </w:rPr>
        <w:footnoteReference w:id="766"/>
      </w:r>
      <w:r>
        <w:rPr>
          <w:rFonts w:ascii="IRNazanin" w:hAnsi="IRNazanin" w:eastAsia="IRNazanin"/>
          <w:color w:val="111111"/>
          <w:sz w:val="28"/>
          <w:sz w:val="28"/>
          <w:szCs w:val="28"/>
          <w:rtl w:val="true"/>
          <w:lang w:bidi="fa-IR"/>
        </w:rPr>
        <w:t>من الفقهاء أحد فیما أعلم، و لا یحضرنی الآن من کتب قدماء الفقهاء و الاصولیّین من الخاصّة و العامّة شی‌ء؛ فتذکّر و تأمّل لعلّ اللّه یحدث لک بعد ذلک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بطلان التالی بعد اشتهار القول بعدم جواز تقلید المیّت، و بأنّ قول المیّت کالمیّت، و بأنّ المفتی إذا مات سقط قوله عن درجة الاعتبار فیما بینهم، و بمصیر جماعة من قدماء الفقهاء إلی وجوب الاجتهاد، و عدم جواز أصل التقلید بغیر العلم؛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الوجه علی تقدیر تمامیّته منقوض بکثیر من الامور العامّة البلوی الآن، مع أنّه غیر مشتهر الحکم و لا متواتر، فکلّ ما هو الجواب عن هذا فهو الجواب عن ذاک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غایة ما یستفاد من هذا الوجه علی فرض سلامته عمّا مرّ الظنّ بمختار الخصم، و هذا الظنّ علی اعتباره هنا معارض بما هو أقوی و أرجح منه من وجوه شتّی من الوجوه السالفة، الدالّة علی بطلان مذهب الخصم و صحّة المختار فی أصل المسألة لو أغمضنا عن إفادة بعضها القطع بذلک، و إلّا فالظنّ لا یصلح للمقاومة مع القطع، بل مندفع به کما تقرّر فی محلّه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به أیضا السیّد السند المعظّم إلیه فی المفاتیح، من العمومات النافیة للعسر و الحرج فی الشریعة؛ بناء علی أنّه لو لم یصحّ البقاء و تعیّن العدول بعد موت المفتی إلی فتوی الآخر الحیّ الجامع للشرائط، للزم العسر و الحرج الشدیدان، إمّا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ادّعاه سیّدنا الاستاد دام ظلّه العالی</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مطلقا، أو فی الجملة،</w:t>
      </w:r>
    </w:p>
    <w:p>
      <w:pPr>
        <w:pStyle w:val="BookText"/>
        <w:rPr/>
      </w:pPr>
      <w:r>
        <w:rPr>
          <w:rFonts w:ascii="IRNazanin" w:hAnsi="IRNazanin" w:eastAsia="IRNazanin"/>
          <w:color w:val="111111"/>
          <w:sz w:val="28"/>
          <w:sz w:val="28"/>
          <w:szCs w:val="28"/>
          <w:rtl w:val="true"/>
          <w:lang w:bidi="fa-IR"/>
        </w:rPr>
        <w:t>و المفروض نفیهما فی الشریعة بحکم هذه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لا نمنع لزوم العسر و الحرج أصلا، کیف؟ و الرجوع حینئذ إلی فتوی المفتی الحیّ لیس بأصعب من رجوع من کان ابتداء تقلیده للمفتی الحیّ إلیه بالإضافة إلی ما یجب علیه الرجوع من الأحکام و المسائل، و لم یقل أحد بلزوم الحرج و العسر حینئذ، فلیکن ما نحن فیه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هذا الرجوع إلی فتوی أصعب من ذاک و إن کان مسلّما بالإضافة إلی المسائل التی لا خلاف بین هذین المفتیین فی حکمها، إلّا أنّه بالإضافة إلی المسائل التی یکون الحیّ فی حکمها مخالفا للمیّت، أصعب من ذاک جدّا؛ لفقد الحرج و عدم لزوم المحذور المذکور فی التقلید الابتدائی أصلا، بخلاف ما نحن فیه؛ إذ علی تقدیر الرجوع حینئذ لا بدّ من الحکم بفساد ما بنی علی صحّته و بصحّة ما بنی علی فساده من العبادة و الإیقاع و المعاملة، و لا بدّ أیضا من الحکم بنجاسة ما بنی علی طهارته و بطهارة ما بنی علی نجاسته، و الحکم بعدم انتقال ما بنی علی انتقاله، و بانتقال ما بنی علی عدمه، إلی غیر ذلک ممّا لا یخفی علی الخبیر و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إلّا کونه أصعب من ذاک، و کونه حرجا عظیما و عسرا شدیدا؟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تری واضح البطلان، فإنّه إن کان المراد أنّ بعد الرجوع إلی فتوی الحیّ و بناء العمل علی قوله، لا بدّ من الحکم بما ذکر بالإضافة إلی مستقبل زمانه و المتأخّر عن الرجوع، فیحکم بعد ذلک بالإضافة إلی الوقائع الواردة علیه و الأفعال الصادرة عنه حینئذ خاصّة بفساد ما کان قبل ذلک قد بنی علی صحّته، و بصحّة ما کان قبله قد بنی علی فساده، و بنجاسة ما بنی قبله علی طهارته، و طهارة ما بنی قبله علی نجاسته،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مسلّم و صحیح، و لکنّه کما تری لا یلزم منه حرج و لا عسر، و لا کونه أصعب من ذاک، بل هو مثله فی عدم لزوم الحرج و العسر و الصعوبة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أنّ بعد الرجوع لا بدّ من الحکم بما ذکر بالإضافة إلی الزمان الماضی</w:t>
      </w:r>
    </w:p>
    <w:p>
      <w:pPr>
        <w:pStyle w:val="BookText"/>
        <w:rPr/>
      </w:pPr>
      <w:r>
        <w:rPr>
          <w:rFonts w:ascii="IRNazanin" w:hAnsi="IRNazanin" w:eastAsia="IRNazanin"/>
          <w:color w:val="111111"/>
          <w:sz w:val="28"/>
          <w:sz w:val="28"/>
          <w:szCs w:val="28"/>
          <w:rtl w:val="true"/>
          <w:lang w:bidi="fa-IR"/>
        </w:rPr>
        <w:t>و السابق علی الرجوع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اللازم من ذلک و إن کان ما ذکر من الحکم بصحّة ما بنی علی فساده و بفساد ما بنی علی صحّته، و هکذا، و استلزامه للحرج و العسر و الأصعبیّة کما لا یخفی علی الخبیر المنصف، إلّا أنّ اقتضاء الرجوع للحکم بما ذکر کذلک و استلزام القول به له فی حیّز المنع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لم یقل به أحد فیما أعلم؛ مضافا إلی منافاته لهذه العمومات و غیرها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توضیح ذلک، فاعلم أنّ الأحکام الشرعیّة الثابتة لموضوعاتها المتعلّقة بأفعال المکلّفین باعتبار ترتّب آثارها الخارجیّة علیها حال التعلّق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یقتضی الدوام و الاستمرار و الاستدامة مطلقا، کالعتق المتعلّق بالمملوک حیث یقتضی الحرّیّة و أحکامها المترتّبة علیها علی سبیل الدوام و الاستمرار ما دام الحیاة، و کالرضاع و نحوه من الأسباب الموجبة لتحریم النکاح المؤبّد، و کبعض أقسام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یقتضی الدوام و الاستمرار ما لم یمنع عنه مانع شرعیّ، ککثیر من أقسام العقود و الإیقاعات الصحیحة حیث یترتّب علیها آثارها المترتّبة علیها بعنوان الدوام و الاستمرار إلّا إذا طرأ مانع من الموانع الشرعیّة، کالطهارة و الحدث و النجاسة و الحلّیّة و الحرمة المتعلّقة بالأعیان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یقتضی الدوام و الاستمرار، ککثیر من العبادات و الأحکام المتعلّقة بالحدود و القصاص و الدیات و النذور و العهود و المطاعم و المشارب و المکاسب و الصید و الذباحة و نحوها، حیث یترتّب علیها آثارها المترتّبة علیها، و لکن لا بعنوان الدوام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البیّن أنّ الفتوی أیضا تختلف باختلافها من حیث الدوام و الاستمرار مطلقا، أو ما لم یمنع عنه مانع شرعیّ و عدمهما، و تنقسم بانقسامها إلی الثلاثة، و یلزم ذلک</w:t>
      </w:r>
    </w:p>
    <w:p>
      <w:pPr>
        <w:pStyle w:val="BookText"/>
        <w:rPr/>
      </w:pPr>
      <w:r>
        <w:rPr>
          <w:rFonts w:ascii="IRNazanin" w:hAnsi="IRNazanin" w:eastAsia="IRNazanin"/>
          <w:color w:val="111111"/>
          <w:sz w:val="28"/>
          <w:sz w:val="28"/>
          <w:szCs w:val="28"/>
          <w:rtl w:val="true"/>
          <w:lang w:bidi="fa-IR"/>
        </w:rPr>
        <w:t>اختلاف التقلید و العمل بها للمقلّد أیضا، و انقسامهما أیضا إلی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التقلید من القسم الأوّل، فمقتضاه حیثما وقع صحیحا ترتّب آثاره المترتّبة علیه دائما، فمن قلّد المفتی الحیّ الجامع للشرائط حال الحیاة فی مسألة العتق، أو مسألة من الامور الموجبة لتحریم النکاح المؤبّد، فأعتق مملوکا، او أوقع نکاح المحرّمة کذلک بمقتضی فتوی المفتی مثلا، انعتق هذا المملوک، و فسد هذا النکاح دائما، فلو قلّد بعد حیاته من أفتی ببطلان مثل هذا العتق و صحّة هذا النکاح و حلّیّته فیهما، لزمه البناء علیهما بالإضافة إلی ما یرید بعد ذلک من مثل هذا العتق و صحّة هذا النکاح و حلّیّته، و لا یلزمه الحکم ببطلان ما فعل من العتق، و لا الحکم بصحّة ما أوقع من النکاح، لما مرّت إلیه الإشارة سابقا، من العمومات و غیرها من الوجوه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بعد البناء علی فتوی المفتی الثانی بخطإ المفتی الأوّل اتّجه اللزوم بالإضافة إلی الحکم الوضعی المترتّب علیه خاصّة،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التقلید من القسم الثانی، فمقتضاه حیثما وقع صحیحا ترتّب آثاره المترتّبة علیه ما لم یمنع مانع شرعیّ کذلک؛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القسم الثالث، فمقتضاه حیثما وقع صحیحا ترتّب آثاره المترتّبة علیه لا دائما، فمن قلّد المفتی الجامع للشرائط حال حیاته فی مسألة عدم وجوب السورة فی الصلاة، فصلّی بدونها، و مسألة عدم نجاسة الخمر مثلا، فصلّی معها، ثمّ مات هذا المفتی، و قلّد من أفتی بوجوب السورة و نجاسة الخمر، و أراد الصلاة، وجب علیه الصلاة مع السورة و الطهارة عن الخمر، و لکن حینئذ لا یجب علیه إعادة هذه الصلاة و لا قضاؤها و إن وجب علیه حینئذ غسل ما لاقی الخمر حال کونه مقلّدا لهذا المفتی لو أفتی بوجوبه المفتی الحیّ؛ لکونه حینئذ محکوما علیه شرعا بالنجاسة، و إن کان الأمر فی المثال بالعکس انعکس ما قلناه من الحکم کما قلناه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ظهر سند المنع المدّعی، و بطلان الاقتضاء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ظهر أیضا عدم لزوم الحرج و العسر و الصعوبة علی المختار، من وجوب الرجوع إلی فتوی الحیّ</w:t>
      </w:r>
    </w:p>
    <w:p>
      <w:pPr>
        <w:pStyle w:val="BookText"/>
        <w:rPr/>
      </w:pPr>
      <w:r>
        <w:rPr>
          <w:rFonts w:ascii="IRNazanin" w:hAnsi="IRNazanin" w:eastAsia="IRNazanin"/>
          <w:color w:val="111111"/>
          <w:sz w:val="28"/>
          <w:sz w:val="28"/>
          <w:szCs w:val="28"/>
          <w:rtl w:val="true"/>
          <w:lang w:bidi="fa-IR"/>
        </w:rPr>
        <w:t>المفروض، و قد مرّ سابقا أیضا تحقیق ذلک؛ فتذکّر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هذه العمومات علی تقدیر شمولها لما نحن فیه معارضة بما هو أقوی و أرجح منها من وجوه شتّی من أکثر الوجوه السالفة المعتضدة بما مرّت إلیه الإشارة، فلا بدّ من تخصیصها بذاک؛ جمعا بین الأدلّة، و عملا بالقاعدة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أغمضنا عن الترجیح، فلا بدّ من التوقّف و الرجوع إلی الأصل، و مقتضاه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علی فرض سلامتها عمّا مرّ، إنّما تقتضی البقاء بالإضافة إلی بعض الصور و الأحکام المومئ إلیها، لا مطلقا، و مقتضاه التفصیل فی المسألة، إلّا أن یتمّ بعدم القول بالفصل فیها المدّعی فی المفاتیح</w:t>
      </w:r>
      <w:r>
        <w:rPr>
          <w:rStyle w:val="FootnoteAnchor"/>
          <w:rtl w:val="true"/>
        </w:rPr>
        <w:footnoteReference w:id="768"/>
      </w:r>
      <w:r>
        <w:rPr>
          <w:rFonts w:ascii="IRNazanin" w:hAnsi="IRNazanin" w:eastAsia="IRNazanin"/>
          <w:color w:val="111111"/>
          <w:sz w:val="28"/>
          <w:sz w:val="28"/>
          <w:szCs w:val="28"/>
          <w:rtl w:val="true"/>
          <w:lang w:bidi="fa-IR"/>
        </w:rPr>
        <w:t>، 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شی‌ء؛ لإمکان المعارضة بالمثل من وجه، بل أکثر؛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علی فرض سلامتها عمّا مرّ، إنّما تتمّ فیما إذا لم یکن المفتی الحیّ الجامع للشرائط أعلم من المیّت المفروض، أو لم نقل بوجوب الأخذ بفتوی الأعلم و الأورع و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أعلم و أورع و قلنا بوجوب الأخذ بفتواه، فحینئذ یقع التعارض بینها و بین ما دلّ علی وجوب الأخذ بفتوی الأعلم و الأورع تعارض العامّین من وجه، فلا بدّ إمّا من التفصیل أیضا بما لا قائل به ظاهرا فی المسألة؛ و إمّا من التوقّف و الرجوع إلی الأصل، و مقتضاه المختار؛ و إمّا من الترجیح، و هو أیضا مع ما دلّ علی المختار؛ فتأمّل فیه جدّا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صحّ هذا الوجه، لزم فیما إذا قلّد المفتی و بنی عمله علی فتواه ثمّ حصل بعد العمل الرجوع للمفتی فیما أفتی به عنه إلی خلافه، أن لا یصحّ للمقلّد البقاء علی ما عدل عنه، مع علمه بعدوله عنه إلی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التفرقة بین الموردین فی لزوم هذا المحذور، و کونه علی تقدیر تمامیّته مشترک الورود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 عرفته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علی فرض تمامیّته منقوض بهذه الصور، فکلّ ما هو المخلص من هذا فیها، فهو المخلص عنه فیما نحن فیه؛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الإجماع المنقول علی عدم جواز عدول المقلّد فی الواقعة التی عمل فیها بفتوی المجتهد الجامع للشرائط عنها فی ذلک الحکم بعد العمل إلی الآخر من دون سبب شرعیّ؛ نظرا إلی شموله لما نحن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سیّما بعد ما مضی سابقا من جواز العدول فی مثل هذه الواقعة، و عدم نقل أحد من العامّة و الخاصّة الإجماع علی عدمه فیه أصلا، فضلا عن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الإجماع المحصّل و المنقول فی کلام جماعة واقع علی عدم جواز العدول فی نفس الواقعة التی عمل فیها بفتوی المجتهد الجامع للشرائط إلی الآخر بعد العمل، ما لم یحصل القطع للمقلّد بفساد فتوی الأوّل و صحّة فتوی الثانی، کما سبق بیانه فی محلّه، و أین هذا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هذا المیّت یفید الظنّ، فیصحّ العمل به و البقاء علیه؛ لعموم ما دلّ علی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الصغری، خصوصا فیما إذا حصل من فتوی الحیّ المفروض الظنّ المساوی للظنّ الحاصل من فتوی المیّت، أو أقوی، فیکون الدلیل علی تقدیر تسلیم الکبری أخصّ من المدّعی، إلّا أن یتمّ بعدم القائل بالفصل فی المسألة، و لکنّه علی فرض تمامیّته معارض بالمثل أیضا و لو فی الجملة؛ فتدبّر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الغمض من الصغری؛ فلمنع الکبری إن کان المراد عموم ما دلّ علی حجّیّة الظنّ بالإضافة إلی المقلّد؛ لما عرفت سابقا، من أنّ التقلید و العمل بفتوی</w:t>
      </w:r>
    </w:p>
    <w:p>
      <w:pPr>
        <w:pStyle w:val="BookText"/>
        <w:rPr/>
      </w:pPr>
      <w:r>
        <w:rPr>
          <w:rFonts w:ascii="IRNazanin" w:hAnsi="IRNazanin" w:eastAsia="IRNazanin"/>
          <w:color w:val="111111"/>
          <w:sz w:val="28"/>
          <w:sz w:val="28"/>
          <w:szCs w:val="28"/>
          <w:rtl w:val="true"/>
          <w:lang w:bidi="fa-IR"/>
        </w:rPr>
        <w:t>المفتی فی مثل الفرض لیس من باب الظنّ، بل من باب التعبّد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الدلیل علی حجّیّة الظنّ بالإضافة إلیه، بل الدلیل علی عدمها قائم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عموم ما دلّ علی حجّیّة الظنّ بالإضافة إلی المفتی، فهو علی تقدیر تسلیمه بحیث یشمل ما نحن فیه أیضا غیر مفید؛ لعدم ارتباطه بالمدّعی، مضافا إلی عدم تکرّر الحدّ الأوسط، فلا یلزمه النتیجة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استلزامه لعدم حجّیّته، بناء علی حصول الظنّ لهذا المفتی الحیّ، بخلاف ما أفتی به المفتی المیّت فی المسائل المخالف هو له فیها، و بعد ضمیمة عدم القائل بالفصل المدّعی، لا یتمّ المدّعی، و هو خلاف مدّعی المستدلّ؛ فهذا الوجه دلیل لنا فی الجملة أو مطلقا، لا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یرد علی هذا الوجه هنا زیادة علی ما ذکر بعض ما ذکرنا سابقا فی الجواب عن هذا الوجه أیضا؛ فتنبّه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یمکن أن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w:t>
      </w:r>
      <w:r>
        <w:rPr>
          <w:rStyle w:val="FootnoteAnchor"/>
          <w:rtl w:val="true"/>
        </w:rPr>
        <w:footnoteReference w:id="769"/>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المستفاد من ظاهره رجحان اتّباع أحسن القول، و بعد انضمام ما یستفاد من إطلاق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إِلَی اللَّهِ وَ عَمِلَ صالِحاً</w:t>
      </w:r>
      <w:r>
        <w:rPr>
          <w:rStyle w:val="FootnoteAnchor"/>
          <w:rtl w:val="true"/>
        </w:rPr>
        <w:footnoteReference w:id="770"/>
      </w:r>
      <w:r>
        <w:rPr>
          <w:rFonts w:ascii="IRNazanin" w:hAnsi="IRNazanin" w:eastAsia="IRNazanin"/>
          <w:color w:val="111111"/>
          <w:sz w:val="28"/>
          <w:sz w:val="28"/>
          <w:szCs w:val="28"/>
          <w:rtl w:val="true"/>
          <w:lang w:bidi="fa-IR"/>
        </w:rPr>
        <w:t>من أنّ المفتی الجامع للشرائط أیضا ممّن دعا إلی اللّه و عمل صالحا، و أنّه أحسن قولا و لو کان میّتا، إلی ذلک یتمّ المدّعی، کما لا یخفی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أیضا ما لا یخفی، فإنّ هاتین الآیتین معا و إن اقتضتا ذلک ظاهرا بشهادة الإنصاف، إلّا أنّهما لمعارضتها بالمثل، أو بما هو أرجح منهما من وجوه شتّی ممّا مضی من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سیّما 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الْأَحْیاءُ وَ لَا الْأَمْواتُ</w:t>
      </w:r>
      <w:r>
        <w:rPr>
          <w:rStyle w:val="FootnoteAnchor"/>
          <w:rtl w:val="true"/>
        </w:rPr>
        <w:footnoteReference w:id="7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خصوص غیره ممّا مرّت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تصلحان للدلالة علی ذلک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لک أیضا ما فی غیرها من العمومات السالفة الممکن احتجاج الخصم بها علی مدّعاه، خصوصا مع إمکان المناقشة فی عموم کلّها أو جلّها بحیث یشمل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یظهر أیضا لک من مطاوی ما ذکر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إلیه و غیره الممکن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فالمختار هو الحقّ و الصواب، کما لا یخفی بعد علی اولی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الوصول إلی المجتهد الجامع للشرائط السالفة، فهل یصحّ شرعا للعامی و من بحکمه حینئذ تقلید غیره، أم لا؟</w:t>
      </w:r>
    </w:p>
    <w:p>
      <w:pPr>
        <w:pStyle w:val="BookText"/>
        <w:rPr/>
      </w:pPr>
      <w:r>
        <w:rPr>
          <w:rFonts w:ascii="IRNazanin" w:hAnsi="IRNazanin" w:eastAsia="IRNazanin"/>
          <w:color w:val="111111"/>
          <w:sz w:val="28"/>
          <w:sz w:val="28"/>
          <w:szCs w:val="28"/>
          <w:rtl w:val="true"/>
          <w:lang w:bidi="fa-IR"/>
        </w:rPr>
        <w:t>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للمسألة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عامیّا بحتا و من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إشکال و لا خلاف فتوی و دلیلا فی عدم صحّة تقلیده له ما لم یفد قوله له الظنّ بالحکم، و کذا إن أفاده له الظنّ به أیضا، إلّا علی بعض الوجوه الآتی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غیر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أیضا لا إشکال و لا خلاف فتوی و دلیلا فی عدم صحّة تقلیده و عدم مشروعیّته له و لو فرض کونه جامعا لسائر الشروط السالفة المعتبرة فی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مقطوعا بکون قوله و فتواه خلاف 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أیضا لا إشکال و لا خلاف فتوی و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مشروعیّة تقلیده و بطلانه و لو فرض کونه جامعا لسائر الشروط السالفة المعتبرة فی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مقطوعا بعدم کونه عالما حال الحکم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ذا حکم اللّه الشرعی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أیضا لا إشکال و لا خلاف فتوی و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w:t>
      </w:r>
    </w:p>
    <w:p>
      <w:pPr>
        <w:pStyle w:val="BookText"/>
        <w:rPr/>
      </w:pPr>
      <w:r>
        <w:rPr>
          <w:rFonts w:ascii="IRNazanin" w:hAnsi="IRNazanin" w:eastAsia="IRNazanin"/>
          <w:color w:val="111111"/>
          <w:sz w:val="28"/>
          <w:sz w:val="28"/>
          <w:szCs w:val="28"/>
          <w:rtl w:val="true"/>
          <w:lang w:bidi="fa-IR"/>
        </w:rPr>
        <w:t>مشروعیّة تقلیده و بطلانه له حینئذ و لو فرض استکماله لسائر الشروط السالفة المعتبرة فی المفتی، و لو فرض کونه ظانّا به بالظنّ الغیر المعتبر و حصل من قوله لمن وظیفته التقلید أیضا الظنّ بالحکم الشرعیّ، إلّا فی الوجه الآتی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جامعا لجمیع شروط الإفتاء، عدا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أیضا لا إشکال و لا خلاف فی عدم مشروعیّة تقلیده و عدم صحّة العمل بفتواه له حینئذ؛ لجملة ما مرّت إلیه الإشارة من الاصول و العمومات و غیرها، مع فقد الدلیل المعتبر الدالّ علی الصحّة و المشروعیّة، عدا بعض ما مرّت إلیه الإشارة، ممّا دلّ بالإطلاق أو العموم علیها، و لکنّه أیضا عند التأمّل لا یصلح للدلالة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 له من قوله الظنّ بالحکم الشرعیّ، اتّجه العمل له به علی الوجه الآتی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جامعا لجمیع شروط الإفتاء، عدا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أیضا لا إشکال و لا خلاف ظاهرا فی عدم مشروعیّة تقلیده و عدم صحّة العمل بفتواه حینئذ له؛ لما مرّت إلیه الإشارة، مع فقد الدلیل المعتبر الدالّ علی الصحّة و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 له من قوله الظنّ بالحکم الشرعیّ، اتّجه العمل له به علی الوجه الآتی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جامعا لجمیع شروط الإفتاء، عدا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أیضا لا إشکال و لا خلاف ظاهرا فی عدم مشروعیّة تقلیده و عدم صحّة العمل له بفتواه له حینئذ؛ لعموم ما مرّت إلیه الإشارة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الدلیل المعتبر علی الصحّة و المشروعیّة، إلّا إذا حصل له من قوله الظنّ بالحکم الشرعیّ علی الوجه الآتی إلیه الإشارة، علی إشکال ینشأ ممّا یأتی، و من الأخبار الکثیرة الماضی إلی بعضها الإشارة الآمرة بالأخذ بخلاف قوله، و المصرّحة بأنّ الرشد فی خلافه؛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جامعا لجمیع شروط الإفتاء، عدا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أیضا لا إشکال و لا خلاف ظاهرا فی عدم مشروعیّة تقلیده و عدم صحّة العمل له بفتواه حینئذ، لعموم ما مرّت الیه الإشارة، مع عدم الدلیل المعتبر علی الصحّة و المشروعیّة، الّا إذا حصل له من قوله الظنّ بالحکم الشرعی علی الوجه الآتی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جامعا لجمیع شروط الإفتاء، عدا طهارة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أیضا لا إشکال و لا خلاف ظاهرا أیضا فی عدم مشروعیّة تقلیده و عدم صحّة العمل له بفتواه حینئذ، لعموم ما مرّت إلیه الإشارة، مع فقد الدلیل المعتبر علی الصحّة و المشروعیّة، إلّا إذا حصل له من قوله الظنّ بالحکم الشرعیّ علی الوجه الآتی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جامعا لجمیع شروط الإفتاء، عدا الذکورة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أیضا لا إشکال و لا خلاف ظاهرا أیضا فی عدم مشروعیّة تقلیده و عدم صحّة العمل له بفتواه حینئذ، لعموم ما مرّت إلیه الإشارة، مع فقد الدلیل المعتبر الدالّ علی الصحّة و المشروعیّة، إلّا إذا حصل له من قوله الظنّ بالحکم الشرعیّ علی الوجه الآتی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متجزّیا فی الفروع، مع کونه جامعا لسائر شروط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هل یصحّ و یشرّع له تقلیده و العمل فیما اجتهد فیه بفتواه حینئذ مطلقا، أم لا کذلک؟ إشکال، ینشأ من عموم جملة ما مرّت إلیه الإشارة ممّا دلّ علی الصحّة و المشروعیّة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عموم الوجوه الکثیرة السالفة الدالّة علی عدمها، المؤیّدة أو المعتضدة بإطلاق فتاویهم فی الصور الآتیة، و باستلزام القول بالصحّة و المشروعیّة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غیرها من الصور السالفة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للدور، أو التسلسل، کاستلزامه أیضا لعدم القول بهما؛ فتدبّر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المناقشة فی دلالة ما دلّ علی الصحّة و المشروعیّة أیضا بما لا یخفی علی المتأمّل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یترجّح فی النظر الثانی، إلّا إذا حصل له من قوله الظنّ بالحکم الشرعیّ علی الوجه الآتی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الغیر جامعا لجمیع شروط الإفتاء، عدا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هل یصحّ و یشرّع له تقلیده و العمل بفتواه حینئذ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خیرة بعض فضلاء العصر</w:t>
      </w:r>
      <w:r>
        <w:rPr>
          <w:rStyle w:val="FootnoteAnchor"/>
          <w:rtl w:val="true"/>
        </w:rPr>
        <w:footnoteReference w:id="772"/>
      </w:r>
      <w:r>
        <w:rPr>
          <w:rFonts w:ascii="IRNazanin" w:hAnsi="IRNazanin" w:eastAsia="IRNazanin"/>
          <w:color w:val="111111"/>
          <w:sz w:val="28"/>
          <w:sz w:val="28"/>
          <w:szCs w:val="28"/>
          <w:rtl w:val="true"/>
          <w:lang w:bidi="fa-IR"/>
        </w:rPr>
        <w:t>، و عزّاه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والده العلّامة، و غیره إلی ظاهر المولی السمیّ المقدّس فی مجمع الفائدة</w:t>
      </w:r>
      <w:r>
        <w:rPr>
          <w:rStyle w:val="FootnoteAnchor"/>
          <w:rtl w:val="true"/>
        </w:rPr>
        <w:footnoteReference w:id="774"/>
      </w:r>
      <w:r>
        <w:rPr>
          <w:rFonts w:ascii="IRNazanin" w:hAnsi="IRNazanin" w:eastAsia="IRNazanin"/>
          <w:color w:val="111111"/>
          <w:sz w:val="28"/>
          <w:sz w:val="28"/>
          <w:szCs w:val="28"/>
          <w:rtl w:val="true"/>
          <w:lang w:bidi="fa-IR"/>
        </w:rPr>
        <w:t>، و ثالث تارة إلی جمع کثیر من المتأخّرین، و اخری إلی جماعة منهم المحقّق الشیخ سلیمان البحرانی و العلّامة رکن الدین محمّد بن علیّ الجرجانی فی شرح المبادی و الشیخ الجلیل علیّ بن الهلال و بعض المتأخّرین و غیره</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خیرة جمیع من جوّز العمل بفتوی المیّت مطلقا؟</w:t>
      </w:r>
    </w:p>
    <w:p>
      <w:pPr>
        <w:pStyle w:val="BookText"/>
        <w:rPr/>
      </w:pPr>
      <w:r>
        <w:rPr>
          <w:rFonts w:ascii="IRNazanin" w:hAnsi="IRNazanin" w:eastAsia="IRNazanin"/>
          <w:color w:val="111111"/>
          <w:sz w:val="28"/>
          <w:sz w:val="28"/>
          <w:szCs w:val="28"/>
          <w:rtl w:val="true"/>
          <w:lang w:bidi="fa-IR"/>
        </w:rPr>
        <w:t>أم لا کذلک، کما فی ظاهر حاشیة الشرائع للمحقّق الشیخ علیّ</w:t>
      </w:r>
      <w:r>
        <w:rPr>
          <w:rStyle w:val="FootnoteAnchor"/>
          <w:rtl w:val="true"/>
        </w:rPr>
        <w:footnoteReference w:id="776"/>
      </w:r>
      <w:r>
        <w:rPr>
          <w:rFonts w:ascii="IRNazanin" w:hAnsi="IRNazanin" w:eastAsia="IRNazanin"/>
          <w:color w:val="111111"/>
          <w:sz w:val="28"/>
          <w:sz w:val="28"/>
          <w:szCs w:val="28"/>
          <w:rtl w:val="true"/>
          <w:lang w:bidi="fa-IR"/>
        </w:rPr>
        <w:t>، و المنیة لشیخنا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ثراهما</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المفاتیح للسیّد السند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778"/>
      </w:r>
      <w:r>
        <w:rPr>
          <w:rFonts w:ascii="IRNazanin" w:hAnsi="IRNazanin" w:eastAsia="IRNazanin"/>
          <w:color w:val="111111"/>
          <w:sz w:val="28"/>
          <w:sz w:val="28"/>
          <w:szCs w:val="28"/>
          <w:rtl w:val="true"/>
          <w:lang w:bidi="fa-IR"/>
        </w:rPr>
        <w:t>، و عزّاه فی المفاتیح إلی جماعة منهم بعض شارحی الجعفریّة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اللائح من کلّ من أطلق القول بالمنع عن تقلید المیّت و العمل بفتواه، کالعلّامة و الشهیدین و غیرهم من نقلة الإجماع أو عدم الخلاف الماضی إلی ذکرهم الإشارة، بل الظاهر من الشهید الثانی فی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کاللائح ممّن عداه ممّن أطلق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هو مختار جمیع القائلین بالمنع فی صورة التمکّن من المفتی الحیّ الجامع</w:t>
      </w:r>
    </w:p>
    <w:p>
      <w:pPr>
        <w:pStyle w:val="BookText"/>
        <w:rPr/>
      </w:pPr>
      <w:r>
        <w:rPr>
          <w:rFonts w:ascii="IRNazanin" w:hAnsi="IRNazanin" w:eastAsia="IRNazanin"/>
          <w:color w:val="111111"/>
          <w:sz w:val="28"/>
          <w:sz w:val="28"/>
          <w:szCs w:val="28"/>
          <w:rtl w:val="true"/>
          <w:lang w:bidi="fa-IR"/>
        </w:rPr>
        <w:t>للشرائط</w:t>
      </w:r>
      <w:r>
        <w:rPr>
          <w:rStyle w:val="FootnoteAnchor"/>
          <w:rtl w:val="true"/>
        </w:rPr>
        <w:footnoteReference w:id="7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قولان، أجودهما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للأصل و الاستصحاب، و سائر الوجوه السالفة، المؤیّدة بما مرّت إلیه الإشارة، و المعتضدة بإطلاق جلّ الإجماعات المنقولة السالفة أو کلّها، السلیمة عمّا یصلح للمعارضة معها عند التأمّل 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استلزام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لبطلانه؛ نظرا إلی کون القول بعدم مشروعیّة تقلید المیّت و عدم صحّة العمل بفتواه حینئذ أیضا، من جملة أقوال الموتی من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استلزامه إمّا الدور، أو التسلسل، أو التناقض، أو غیرها بحکم ما مرّت إلیه الإشارة فی المسألة السابقة؛ فتنبّه و تدبّر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القول الأوّل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نقله بعض فضلاء العصر،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تقلید العامّی للمیّت مع عدم إمکان تقلید الحیّ، فهو أیضا بالإجماع و 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الإجماع لو ارید منه المحصّل منه؛ لما عرفت و ستعرفه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 منه أیضا لا اعتبار به؛ لوهنه بظهور اشتباه ناقله، و بمصیر هؤلاء الجماعة إلی خلافه، و ما هذا حاله فلا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فلمعارضته علی فرض اعتباره بما هو أقوی و أرجح منه، ممّا أفاده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المنیة، بقوله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جواز تقلید المیّت مع وجود الحیّ أو لا معه، أقوال، أصحّها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جوازه مطلقا؛ لأنّ المذاهب لا تموت بموت أصحابها، و لهذا یعتدّ بها بعدهم فی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 موت الشاهد قبل الحکم لا یمنع الحکم بشهادته، بخلاف فسقه، و الثانی لا یجوز مطلقا؛ لفوات أهلیّته بالموت، و لهذا ینعقد</w:t>
      </w:r>
    </w:p>
    <w:p>
      <w:pPr>
        <w:pStyle w:val="BookText"/>
        <w:rPr/>
      </w:pPr>
      <w:r>
        <w:rPr>
          <w:rFonts w:ascii="IRNazanin" w:hAnsi="IRNazanin" w:eastAsia="IRNazanin"/>
          <w:color w:val="111111"/>
          <w:sz w:val="28"/>
          <w:sz w:val="28"/>
          <w:szCs w:val="28"/>
          <w:rtl w:val="true"/>
          <w:lang w:bidi="fa-IR"/>
        </w:rPr>
        <w:t>الإجماع بعده، و لا ینعقد فی حیاته علی خلافه، و هذا هو المشهور بین أصحابنا، خصوصا المتأخّرین منهم، بل لا نعلم قائلا بخلافه صریحا ممّن یعتدّ بقوله، لکن هذا الدلیل لا یتمّ علی اصولنا، من أنّ العبرة فی الإجماع إنّما هو بدخول المعصوم، کما لا یخفی،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منه مع وجود الحیّ لا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بأعلی صوته بأنّ مذهب الإمامیّة المنع بالإضافة إلی صورة الحیّ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یعضده أیضا إطلاق سائر الإجماعات المنقولة السالفة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احتجاج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کالعلّامة فی النهایة و التهذیب و الشهید فی الذکری و غیرهم</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المیّت لا قول له، و قوله کالمیّت، و بانعقاد الإجماع بعده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هذا أقوی و أرجح من ذاک، سیّما مع اعتضاده أو تأییده بفتوی المشهور أو الأکثر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الوجوه السالفة، الدالّة علی المنع و 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علی نفی العسر و الحرج فی الشریعة، بناء علی استلزام القول بالمنع و عدم الصحّة للعسر و الحرج الشدیدین المنفیّین، و یلزم نفیهما هنا للجواز 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العسر و الحرج إنّما یتحقّق حینئذ فیما إذا ثبت اشتغال ذمّة المکلّف المستفتی حینئذ بالتکلیف، و لم یتمکّن من تحصیل الحکم الشرعیّ بسهولة بالاجتهاد، و لم یتمکّن أیضا عند تعذّر تحصیله به أو تعسّره من الاحتیاط بما یحصل</w:t>
      </w:r>
    </w:p>
    <w:p>
      <w:pPr>
        <w:pStyle w:val="BookText"/>
        <w:rPr/>
      </w:pPr>
      <w:r>
        <w:rPr>
          <w:rFonts w:ascii="IRNazanin" w:hAnsi="IRNazanin" w:eastAsia="IRNazanin"/>
          <w:color w:val="111111"/>
          <w:sz w:val="28"/>
          <w:sz w:val="28"/>
          <w:szCs w:val="28"/>
          <w:rtl w:val="true"/>
          <w:lang w:bidi="fa-IR"/>
        </w:rPr>
        <w:t>له الیقین بالبراءة و الإتیان بالواقعة علی النهج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ذلک، فلا نسلّم تحقّق العسر و الحرج کما هو واضح، فیکون الدلیل أخصّ من المدّعی، إلّا أن یتمّ بعدم القول بالفصل، أو یخصّ المبحوث عنه بالصورة الاولی و فی کلیهما تأمّل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تحقّق العسر و الحرج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تسلیمه بعنوان الکلّیّة أو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حجّیّة هذه الفتوی بالإضافة إلی هذا المکلّف؛ إذ وجودها حینئذ بعد عدم الدلیل علی اعتبارها أو الدلیل علی عدم اعتبارها یکون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بعد فقد هذه الفتوی یکون تحقّق العسر و الحرج أشدّ و آکد، مع أنّ العمل بالفتوی حینئذ متعذّر أو متعسّر رأسا، فکلّ ما هو حکم المکلّف حینئذ هو حکمه فیما نحن فیه؛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رفع الحرج و العسر علی فرض تحقّقهما حینئذ لا ینحصر فی العمل بفتوی المیّت و الاعتماد علیها؛ لإمکانه بغیره أیضا من المحتملات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العامّ لا دلالة له علی خصوص الخاصّ بإحدی الثلاث، فلا یصلح للدلالة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العموم حجّیّته إنّما هو بالإضافة إلی المجتهد الحیّ الجامع للشرائط کما تقرّر فی محلّه، فلا یصلح لغیره التشکیک به، و الفرض أیضا فقد المجتهد الحیّ الجامع للشرائط، فکیف یصحّ التمسّک بهذا العموم؛ فتدبّر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فلمعارضة هذا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أقوی و أرجح من وجوه شتّی ممّا مضی؛ فتأمّل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الغمض عن الترجیح، فلا بدّ من التوقّف و الرجوع إلی الأصل، و مقتضاه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استلزامه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سلامته عن جمیع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للتناقض، و إمّا لعدم جوازه و صحّته أو غیرهما بالتقریب المشار إلیه سابقا؛ فتذکّر و تأمّل لعلّ اللّه یحدث بعد ذلک أمرا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w:t>
      </w:r>
      <w:r>
        <w:rPr>
          <w:rStyle w:val="FootnoteAnchor"/>
          <w:rtl w:val="true"/>
        </w:rPr>
        <w:footnoteReference w:id="784"/>
      </w:r>
      <w:r>
        <w:rPr>
          <w:rFonts w:ascii="IRNazanin" w:hAnsi="IRNazanin" w:eastAsia="IRNazanin"/>
          <w:color w:val="111111"/>
          <w:sz w:val="28"/>
          <w:sz w:val="28"/>
          <w:szCs w:val="28"/>
          <w:rtl w:val="true"/>
          <w:lang w:bidi="fa-IR"/>
        </w:rPr>
        <w:t>بالتقریب المشار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لا یخفی، سیّما بعد ما مضی آنفا و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العمومات الدالّة علی جواز العمل بقول العلماء و فتاواهم، بالتقریب الذی قالوه فی بیان الجواز و الصحّة مع وجود الحیّ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 سیّما بعد ما 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علی حجّیّة الظنّ و أصالتها، فإنّه شامل لمحلّ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أیضا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العموم المعتبر، بحیث یشمل ما نحن فیه؛ لعدم الدلیل المعتدّ به علیه، بل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الاصول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عدمه قائم بحکم ما أشرنا إلیه؛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العموم علی تقدیر تسلیمه إنّما یدلّ علی الجواز و الصحّة فیما یحصل للمستفتی من فتوی المیّت الظنّ بالحکم الشرعی خاصّة، فیکون أخصّ من المدّعی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تتمیمه بعدم القول بالفصل أیضا علی تقدیر إمکانه مشکل؛ لإمکان المعارضة بالمثل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سلامته عمّا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اعتبار الظنّ بالحکم الحاصل له من فتوی المیّت حینئذ بالإضافة إلی الوقائع و المسائل الفروعیّة، فکذا یدلّ علی اعتبار الظنّ الحاصل له بالحکم فی هذه المسألة المتنازع فیها،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أکثر ما مضی یقتضی المنع و عدم الاعتبار، و معه لا یصحّ الاعتبار بالظنّ الحاصل له من فتواه بالإضافة إلی سائر الأحکام و المسائل؛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اقتضائه علی اعتباره و 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للتناقض أیضا و غیره ممّا مرّت إلیه الإشارة؛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 فالقول المختار هو الحقّ و الصواب، إلّا فیما إذا حصل من فتوی المیّت الظنّ بالحکم الشرعی علی الوجه الآتی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تعسّر علیه بما لا یتحمّل عادة الرجوع إلی المفتی الحیّ الجامع للشرائط، ففی إلحاقه بما لو تعذّر، و عدمه،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لأکثر 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تعذّر علیه الوصول إلی من یصحّ له تقلیده و العمل بفتواه من المفتی الحیّ الجامع للشرائط السالفة، و قلنا بعدم جواز تقلید غیره أیضا مع وجوده، فهل علیه حینئذ تکلیف، أم لا؟</w:t>
      </w:r>
    </w:p>
    <w:p>
      <w:pPr>
        <w:pStyle w:val="BookText"/>
        <w:rPr/>
      </w:pPr>
      <w:r>
        <w:rPr>
          <w:rFonts w:ascii="IRNazanin" w:hAnsi="IRNazanin" w:eastAsia="IRNazanin"/>
          <w:color w:val="111111"/>
          <w:sz w:val="28"/>
          <w:sz w:val="28"/>
          <w:szCs w:val="28"/>
          <w:rtl w:val="true"/>
          <w:lang w:bidi="fa-IR"/>
        </w:rPr>
        <w:t>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للمسألة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جاهلا بفروع الشریعة رأسا، و بکونه مکلّفا بها کذلک، و لم یکن متمکّنا من تحصیلها أصلا لا بالاجتهاد، و لا بالتقلید، و لا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تکلیف علیه شرعا بها؛ لما دلّ من العقل و النقل من الکتاب و السنّة المقطوع بها و غیرها، من المعتبرة و الإجماع و المحصّل و المنقول فی کلمات الطائفة علی بطلان التکلیف بما لا یطاق، و علی رفع التکلیف بما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الأصل، بل الاصول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عالما بفروع الشریعة بعنوان الإجماع، و بکونه مکلّفا فیها کذلک، و جاهلا بها بعنوان التفصیل، و لکن کان قادرا علی تحصیلها کذلک، و متمکّنا عنه بالاجتهاد خاصّة، من دون عسر و مشقّة لا یتحمّل عادة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فالواجب علیه الاجتهاد فی تحصیلها، کما صرّح به المحقّق الشیخ علیّ</w:t>
      </w:r>
    </w:p>
    <w:p>
      <w:pPr>
        <w:pStyle w:val="BookText"/>
        <w:rPr/>
      </w:pPr>
      <w:r>
        <w:rPr>
          <w:rFonts w:ascii="IRNazanin" w:hAnsi="IRNazanin" w:eastAsia="IRNazanin"/>
          <w:color w:val="111111"/>
          <w:sz w:val="28"/>
          <w:sz w:val="28"/>
          <w:szCs w:val="28"/>
          <w:rtl w:val="true"/>
          <w:lang w:bidi="fa-IR"/>
        </w:rPr>
        <w:t>فی حاشیة الشرائع</w:t>
      </w:r>
      <w:r>
        <w:rPr>
          <w:rStyle w:val="FootnoteAnchor"/>
          <w:rtl w:val="true"/>
        </w:rPr>
        <w:footnoteReference w:id="785"/>
      </w:r>
      <w:r>
        <w:rPr>
          <w:rFonts w:ascii="IRNazanin" w:hAnsi="IRNazanin" w:eastAsia="IRNazanin"/>
          <w:color w:val="111111"/>
          <w:sz w:val="28"/>
          <w:sz w:val="28"/>
          <w:szCs w:val="28"/>
          <w:rtl w:val="true"/>
          <w:lang w:bidi="fa-IR"/>
        </w:rPr>
        <w:t>، و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ظلّة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786"/>
      </w:r>
      <w:r>
        <w:rPr>
          <w:rFonts w:ascii="IRNazanin" w:hAnsi="IRNazanin" w:eastAsia="IRNazanin"/>
          <w:color w:val="111111"/>
          <w:sz w:val="28"/>
          <w:sz w:val="28"/>
          <w:szCs w:val="28"/>
          <w:rtl w:val="true"/>
          <w:lang w:bidi="fa-IR"/>
        </w:rPr>
        <w:t>لعموم ما دلّ علی وجوبه و لو کفایة، بناء علی تعلّقه بجمیع المکلّفین، و سقوطه بفعل من یقوم به الکفایة، و الفرض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اختصاص وجوبه الکفائی بغیر الأحکام الشرعیّة المحتاج إلیها، القادر علی تحصیلها بالاجتهاد کذلک، و تعیّن وجوبه العینی فی حقّه و بالإضافة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تعلّق التکلیف بالأحکام به قطعا و لو إجمالا، کما هو المفروض، فلا بدّ له من تحصیلها بما یقدر علیه عقلا و نقلا، و هو الاجتهاد کما هو المفروض، فلا بدّ له من الاجتهاد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عالما بها بعنوان الإجمال، و بکونه مکلّفا بها أیضا کذلک، و جاهلا بها بعنوان التفصیل، و غیر قادر علی الاجتهاد أیضا، و لکن کان قادرا علی الاحتیاط، و متمکّنا عنه بسهولة فیما یمکن الاحتیاط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فالواجب علیه و لو من باب المقدّمة الأخذ بالاحتیاط ما لم یلزم منه الحرج، کما صرّح به جماعة، منهم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منیة المرید</w:t>
      </w:r>
      <w:r>
        <w:rPr>
          <w:rStyle w:val="FootnoteAnchor"/>
          <w:rtl w:val="true"/>
        </w:rPr>
        <w:footnoteReference w:id="787"/>
      </w:r>
      <w:r>
        <w:rPr>
          <w:rFonts w:ascii="IRNazanin" w:hAnsi="IRNazanin" w:eastAsia="IRNazanin"/>
          <w:color w:val="111111"/>
          <w:sz w:val="28"/>
          <w:sz w:val="28"/>
          <w:szCs w:val="28"/>
          <w:rtl w:val="true"/>
          <w:lang w:bidi="fa-IR"/>
        </w:rPr>
        <w:t>، و سیّدنا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Style w:val="FootnoteAnchor"/>
          <w:rtl w:val="true"/>
        </w:rPr>
        <w:footnoteReference w:id="788"/>
      </w:r>
      <w:r>
        <w:rPr>
          <w:rFonts w:ascii="IRNazanin" w:hAnsi="IRNazanin" w:eastAsia="IRNazanin"/>
          <w:color w:val="111111"/>
          <w:sz w:val="28"/>
          <w:sz w:val="28"/>
          <w:szCs w:val="28"/>
          <w:rtl w:val="true"/>
          <w:lang w:bidi="fa-IR"/>
        </w:rPr>
        <w:t>، و غیرهما؛ و عزّاه سیّدنا إلی جدّه البهبهانی و والده السیّد العلّامة الطباطبائی</w:t>
      </w:r>
      <w:r>
        <w:rPr>
          <w:rStyle w:val="FootnoteAnchor"/>
          <w:rtl w:val="true"/>
        </w:rPr>
        <w:footnoteReference w:id="789"/>
      </w:r>
      <w:r>
        <w:rPr>
          <w:rFonts w:ascii="IRNazanin" w:hAnsi="IRNazanin" w:eastAsia="IRNazanin"/>
          <w:color w:val="111111"/>
          <w:sz w:val="28"/>
          <w:sz w:val="28"/>
          <w:szCs w:val="28"/>
          <w:rtl w:val="true"/>
          <w:lang w:bidi="fa-IR"/>
        </w:rPr>
        <w:t>لما دلّ من العقل أو النقل علی وجوبه حینئذ</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یلوح، بل یظهر من بعضهم عدم وجوبه و سقوط التکلیف حینئذ رأسا، علی ما حکاه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تمهید القواعد، 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واقعة و لم یوجد من یفتی فیها،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حکم ما قبل ورود الشرع،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حکم فیها و لا تکلیف أصلا</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أو صریح فی وجود القائل بعدم وجوبه، و هو الظاهر من السیّد المرتضی رضی اللّه عنه أیضا فی المسائل التبّانیّات کما ستقف علی عبارته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یخلو عن وجه لو لا 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عالما بها بعنوان الإجمال، و بکونه مکلّفا بها کذلک، و جاهلا بها بعنوان التفصیل، و غیر قادر علی الاجتهاد، و لا متمکّن أیضا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فهل یکون فی واقعته مکلّفا بشی‌ء یصنعه؟</w:t>
      </w:r>
    </w:p>
    <w:p>
      <w:pPr>
        <w:pStyle w:val="BookText"/>
        <w:rPr/>
      </w:pPr>
      <w:r>
        <w:rPr>
          <w:rFonts w:ascii="IRNazanin" w:hAnsi="IRNazanin" w:eastAsia="IRNazanin"/>
          <w:color w:val="111111"/>
          <w:sz w:val="28"/>
          <w:sz w:val="28"/>
          <w:szCs w:val="28"/>
          <w:rtl w:val="true"/>
          <w:lang w:bidi="fa-IR"/>
        </w:rPr>
        <w:t>قال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السند المرتضی رضی اللّه عنه فی المسائل التبّانیّات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یقدر علی تمییز الحقّ من الباطل فی فروع الدین، لا یقدر علی مثل ذلک فی اصوله، و من هذه صفته فهو عامّی فی الاصول و الفروع، و لا یجب علیه شی‌ء من النظر و البحث، و لا یجبان علیه، فلا یجب علیه التقلید فی الفروع، کما لا یجب علیه مثل ذلک فی الاصول، و هذا جار مجری البهائم و الأطفال الخارجین عن التکلیف، فلا حرام علیهم و لا حلال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أو صریح فی سقوط التکلیف عنه، و عدم کونه مکلّفا بشی‌ء فیها، کما هو الظاهر أو الصریح من المحکیّ آنفا عن الشهید</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سیّدنا العلّامة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بوجوب الأخذ حینئذ بما هو المشهور بین الأصحاب إن تمکّن عنه، و عزّاه إلی جدّه و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یتمکّن عنه أیضا فاللازم تقلید أعلم الأموات و أزهدهم و إن لم یتمکّن عن معرفة جمیع ذلک، و انحصر تحصیل أحکامه فی تقلید المیّت جاز حینئذ، بل وجب،</w:t>
      </w:r>
    </w:p>
    <w:p>
      <w:pPr>
        <w:pStyle w:val="BookText"/>
        <w:rPr/>
      </w:pPr>
      <w:r>
        <w:rPr>
          <w:rFonts w:ascii="IRNazanin" w:hAnsi="IRNazanin" w:eastAsia="IRNazanin"/>
          <w:color w:val="111111"/>
          <w:sz w:val="28"/>
          <w:sz w:val="28"/>
          <w:szCs w:val="28"/>
          <w:rtl w:val="true"/>
          <w:lang w:bidi="fa-IR"/>
        </w:rPr>
        <w:t>لأن لا یخرج عن الدین، و یبقی بلا عمل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 أفاده لعلّه أحوط، إلّا أنّ فی وجوبه علیه و تعیّنه فی حقّه تأمّلا و إشکالا من جهة الشکّ فی أصل التکلیف و کونه مکلّفا به، نظرا إلی ما دلّ من العقل و النقل علی اشتراط علم المکلّف بهما و بالمکلّف به و لو حکما و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ببقائه و ثبوته حینئذ أیضا فی حقّه لاتّجه ذلک؛ حذرا عن الإخلال بالتکلیف الثابت، و امتثالا و خروجا عن العهدة، إلّا إذا حصل له الظنّ به من غیر ذلک، فحینئذ یحتمل قویّا لزوم اتّباعه ما لم یکن فی اعتقاده مقطوعا بعدم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فهذه الصورة محلّ التأمّل و الإشکال کما لا یخفی علی العارف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جاهلا بالحکم الشرعی فی بعض الوقائع، فإن لم یتمکّن عن تحصیله رأسا لا بالاجتهاد و لا بالاحتیاط و لا بالتقلید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تکلیف علیه کما فی الصورة الاولی؛ لما سبقت إلیه الإشارة ثمّة، إلّا إذا کان الحکم الشرعی المجهول حکما وضعیّا، فالتحقیق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البناء علی ما یقتضیه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الحکم المجهول هو الصحّة، بنی علی الفساد ظاهرا، کما إذا کان هو المانعیّة أو السببیّة، یبنی علی المانعیّة فی الأوّل، و عدم السببیّة فی الثانی، و إن کان فی الشرطیّة أو الجزئیّة أو الرکنیّة، فاللازم البناء علی الشرطیّة فی الأوّل، و الجزئیّة فی الثانی، و الرکنیّة فی الثالث، ما لم یحتمل فی کلّ منهما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تمکّن عنه بالاجتهاد خاصّة، وجب علیه قولا واحدا فیما أعلم، فتوی و دلیلا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تمکّن عنه بالاحتیاط خاصّة، وجب علیه ما لم یلزم منه الحرج؛ لما مرّت إلیه الإشارة، إلّا إذا کان المجهول من الأحکام التکلیفیّة التحریمیّة أو الإیجابیّة، ففی</w:t>
      </w:r>
    </w:p>
    <w:p>
      <w:pPr>
        <w:pStyle w:val="BookText"/>
        <w:rPr/>
      </w:pPr>
      <w:r>
        <w:rPr>
          <w:rFonts w:ascii="IRNazanin" w:hAnsi="IRNazanin" w:eastAsia="IRNazanin"/>
          <w:color w:val="111111"/>
          <w:sz w:val="28"/>
          <w:sz w:val="28"/>
          <w:szCs w:val="28"/>
          <w:rtl w:val="true"/>
          <w:lang w:bidi="fa-IR"/>
        </w:rPr>
        <w:t>وجوب الاحتیاط علیه حینئذ تأمّل و إشکال و إن کان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یتمکّن عن الاحتیاط أیضا کذلک، فإن کان الحکم المجهول من الأحکام الوضعیّة، فالذی یظهر 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الصورة الرابعة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البناء ظاهرا علی ما یقتضیه الأصل اللائق بالمقام، و المدلول علیه بالعقل أو النقل المعتبر، أو غیرهما، بالتفصیل المشار إلیه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الأحکام الشرعیّة الإیجابیّة و التحریمیّة، فیجی‌ء هنا ما مرّ فی الصورة الرابعة من الخلاف و الإشکال و التفصیل و الاحتیاط، و إن کان الحکم بتعیّن التقلید حینئذ علیه بالتفصیل المشار إلیه هنا أشدّ إشکالا، کما لا یخفی، سیّما علی اولی النهی</w:t>
      </w:r>
      <w:r>
        <w:rPr>
          <w:rFonts w:eastAsia="IRNazanin" w:cs="IRNazanin"/>
          <w:color w:val="111111"/>
          <w:sz w:val="28"/>
          <w:szCs w:val="28"/>
          <w:rtl w:val="true"/>
          <w:lang w:bidi="fa-IR"/>
        </w:rPr>
        <w:t>.</w:t>
      </w:r>
      <w:bookmarkStart w:id="307" w:name="pg19819_193616"/>
    </w:p>
    <w:p>
      <w:pPr>
        <w:pStyle w:val="Heading2"/>
        <w:numPr>
          <w:ilvl w:val="1"/>
          <w:numId w:val="1"/>
        </w:numPr>
        <w:rPr/>
      </w:pPr>
      <w:bookmarkStart w:id="308" w:name="__RefHeading___Toc3055635_2314609296"/>
      <w:bookmarkStart w:id="309" w:name="_Toc121"/>
      <w:bookmarkEnd w:id="307"/>
      <w:bookmarkEnd w:id="308"/>
      <w:r>
        <w:rPr/>
        <w:t>4</w:t>
      </w:r>
      <w:r>
        <w:rPr>
          <w:rtl w:val="true"/>
        </w:rPr>
        <w:t xml:space="preserve"> </w:t>
      </w:r>
      <w:r>
        <w:rPr>
          <w:rtl w:val="true"/>
        </w:rPr>
        <w:t xml:space="preserve">مقدّمة الواجب السیّد ماجد بن هاشم الجدّ حفصیّ البحرانی </w:t>
      </w:r>
      <w:r>
        <w:rPr>
          <w:rtl w:val="true"/>
        </w:rPr>
        <w:t>(</w:t>
      </w:r>
      <w:r>
        <w:rPr>
          <w:rtl w:val="true"/>
        </w:rPr>
        <w:t xml:space="preserve">م </w:t>
      </w:r>
      <w:r>
        <w:rPr/>
        <w:t>1028</w:t>
      </w:r>
      <w:r>
        <w:rPr>
          <w:rtl w:val="true"/>
        </w:rPr>
        <w:t xml:space="preserve"> </w:t>
      </w:r>
      <w:r>
        <w:rPr>
          <w:rtl w:val="true"/>
        </w:rPr>
        <w:t>ق</w:t>
      </w:r>
      <w:r>
        <w:rPr>
          <w:rtl w:val="true"/>
        </w:rPr>
        <w:t>)</w:t>
      </w:r>
      <w:bookmarkEnd w:id="309"/>
    </w:p>
    <w:p>
      <w:pPr>
        <w:pStyle w:val="Heading3"/>
        <w:numPr>
          <w:ilvl w:val="2"/>
          <w:numId w:val="1"/>
        </w:numPr>
        <w:rPr/>
      </w:pPr>
      <w:bookmarkStart w:id="310" w:name="__RefHeading___Toc3055637_2314609296"/>
      <w:bookmarkStart w:id="311" w:name="_Toc122"/>
      <w:bookmarkEnd w:id="310"/>
      <w:r>
        <w:rPr>
          <w:rtl w:val="true"/>
        </w:rPr>
        <w:t>اشارة</w:t>
      </w:r>
      <w:bookmarkEnd w:id="3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حمید الأحمدی الجلفائی</w:t>
      </w:r>
      <w:bookmarkStart w:id="312" w:name="pg19819_193618"/>
    </w:p>
    <w:p>
      <w:pPr>
        <w:pStyle w:val="Heading3"/>
        <w:numPr>
          <w:ilvl w:val="2"/>
          <w:numId w:val="1"/>
        </w:numPr>
        <w:rPr/>
      </w:pPr>
      <w:bookmarkStart w:id="313" w:name="__RefHeading___Toc3055639_2314609296"/>
      <w:bookmarkStart w:id="314" w:name="_Toc123"/>
      <w:bookmarkEnd w:id="312"/>
      <w:bookmarkEnd w:id="313"/>
      <w:r>
        <w:rPr>
          <w:rtl w:val="true"/>
        </w:rPr>
        <w:t>مقدّمة التحقیق</w:t>
      </w:r>
      <w:bookmarkEnd w:id="314"/>
    </w:p>
    <w:p>
      <w:pPr>
        <w:pStyle w:val="Heading4"/>
        <w:numPr>
          <w:ilvl w:val="3"/>
          <w:numId w:val="1"/>
        </w:numPr>
        <w:rPr/>
      </w:pPr>
      <w:bookmarkStart w:id="315" w:name="__RefHeading___Toc3055641_2314609296"/>
      <w:bookmarkStart w:id="316" w:name="_Toc124"/>
      <w:bookmarkEnd w:id="315"/>
      <w:r>
        <w:rPr>
          <w:rtl w:val="true"/>
        </w:rPr>
        <w:t>نبذة فی شرح حال المصنّف</w:t>
      </w:r>
      <w:r>
        <w:rPr>
          <w:rtl w:val="true"/>
        </w:rPr>
        <w:t>:</w:t>
      </w:r>
      <w:bookmarkEnd w:id="316"/>
    </w:p>
    <w:p>
      <w:pPr>
        <w:pStyle w:val="BookText"/>
        <w:rPr/>
      </w:pPr>
      <w:r>
        <w:rPr>
          <w:rFonts w:ascii="IRNazanin" w:hAnsi="IRNazanin" w:eastAsia="IRNazanin"/>
          <w:color w:val="111111"/>
          <w:sz w:val="28"/>
          <w:sz w:val="28"/>
          <w:szCs w:val="28"/>
          <w:rtl w:val="true"/>
          <w:lang w:bidi="fa-IR"/>
        </w:rPr>
        <w:t xml:space="preserve">السیّد أبو علیّ ماجد بن هاشم بن علیّ بن مرتضی بن علیّ بن ماجد الحسینیّ الصادقی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 الجدّ حفصی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بجدّ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الدال، و هو قریة من قری بلاد البحرین</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مغمور بنور العلم و الإیمان، و ذکر المحقّق الطهرانی فی الطبقات تاریخ ولادته سنة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Style w:val="FootnoteAnchor"/>
          <w:rtl w:val="true"/>
        </w:rPr>
        <w:footnoteReference w:id="797"/>
      </w:r>
      <w:r>
        <w:rPr>
          <w:rFonts w:ascii="IRNazanin" w:hAnsi="IRNazanin" w:eastAsia="IRNazanin"/>
          <w:color w:val="111111"/>
          <w:sz w:val="28"/>
          <w:sz w:val="28"/>
          <w:szCs w:val="28"/>
          <w:rtl w:val="true"/>
          <w:lang w:bidi="fa-IR"/>
        </w:rPr>
        <w:t xml:space="preserve">و یؤیّده ما نقل فی تراجم الرجال عن تلمیذ المصنّف، المولی جمال الدین الفسائی، علی الورقة الاولی من نسخة من کتاب الیوسفیّة للمصنّف، بأنّه توفّی عند غروب الشمس من یوم السبت،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شیراز، و کان قد مضی من عمره اثنان و خمسون سنة</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قد عرّفه الشیخ الحرّ رحمه اللّه فی أمل الآمل تارة بعنوان ماجد بن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جلیلا شاعرا، له رسالة فی الاصول، اجتمع مع البهائی و کانت بینهما مودّة، و کان البهائی یثنی علیه و یبالغ</w:t>
      </w:r>
      <w:r>
        <w:rPr>
          <w:rFonts w:eastAsia="IRNazanin" w:cs="IRNazanin"/>
          <w:color w:val="111111"/>
          <w:sz w:val="28"/>
          <w:szCs w:val="28"/>
          <w:rtl w:val="true"/>
          <w:lang w:bidi="fa-IR"/>
        </w:rPr>
        <w:t>».</w:t>
      </w:r>
      <w:r>
        <w:rPr>
          <w:rStyle w:val="FootnoteAnchor"/>
          <w:rtl w:val="true"/>
        </w:rPr>
        <w:footnoteReference w:id="79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بعنوان الذی ذکرناه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شاعر أدیب، جلیل القدر فی العلم و العمل، و له دیوان شعر کبیر جیّد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اتّحاده مع الأوّل، بل</w:t>
      </w:r>
    </w:p>
    <w:p>
      <w:pPr>
        <w:pStyle w:val="BookText"/>
        <w:rPr/>
      </w:pPr>
      <w:r>
        <w:rPr>
          <w:rFonts w:ascii="IRNazanin" w:hAnsi="IRNazanin" w:eastAsia="IRNazanin"/>
          <w:color w:val="111111"/>
          <w:sz w:val="28"/>
          <w:sz w:val="28"/>
          <w:szCs w:val="28"/>
          <w:rtl w:val="true"/>
          <w:lang w:bidi="fa-IR"/>
        </w:rPr>
        <w:t>الظاهر ذلک</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ثمّ حکی العلّامة المجلسی رحمه اللّه کلاما عن صاحب کتاب سلافة العصر فی مدح المصنّف، و 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أکبر من أن یفی بوصفه قول، و أعظم من أن یقاس بفضله طول، نسب یؤول إلی النبیّ، و حسب یذلّ له الأبیّ، و شرف ینطح النجوم، و کرم یفضح الغیث السجوم، و عزّ یقلقل الأجبال، و عزم یروع الأشبال، و علم یخجل البحار، و خلق یفوق نسائم الأسحار إلی ذات مقدّسة، و نفس علی التقوی مؤسّسة، و إخبات و وقار، و عفاف یرجع من التقی بأوقار، به أحیا اللّه الفضل بعد اندراسه، و ردّ غریبه إلی مسقط رأسه، فجمع شمله بعد الشتات، و وصل حبله بعد البتات، شفع شرف العلم بظرف الأدب، و بادر إلی حوز الکمال و انتدب، فملک للبیان عنانا، و هصر من فنونه أفنانا، فنظمه منظوم العقود، و نثره منثور الروض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یسطر من مناقبه الفاخرة، الشاهدة بفضله فی الدنیا و الآخرة، أنّه رحمه اللّه کان قد أصابته فی صغره عین ذهبت من حواسّه الشریفة بعین، فرأی والده النبیّ صلّی اللّه علیه و آله فی منامه،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بصره فقد اعطی بصیرته، و لقد صدق و برّ، فإنّه نشأ بالبحرین فکان لهما ثالثا، و أصبح للفضل و العلم حارثا و وارثا، و ولی بها القضاء فشرّف الحکم و الإمضاء، ثمّ انتقل منها إلی شیراز، فطالت به علی العراق و الحجاز، و تقلّد بها الإمامة و الخطابة، و نشر حبر فضائله المستطابة، فتاهت به المنابر، و باهت به الأکابر، و فاهت بفضله ألسن الأقلام و أفواه المحابر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بها حتّی أتاه الیقین، و انتقل إلی جنّة عرضها السماوات و الأرض اعدّت للمتّقین، فتوفّی سنة ثمان و عشرین و ألف رحمه اللّه، و هذا محلّ نبذة من شعره و نفثة من بیان سحره، و لا أرانی اثبت منه غیر اللؤلؤ البحرانی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بعض الأصحاب أنّه کان أنشأ فی یوم جمعة خطبة أبدعها و أودعها من</w:t>
      </w:r>
    </w:p>
    <w:p>
      <w:pPr>
        <w:pStyle w:val="BookText"/>
        <w:rPr/>
      </w:pPr>
      <w:r>
        <w:rPr>
          <w:rFonts w:ascii="IRNazanin" w:hAnsi="IRNazanin" w:eastAsia="IRNazanin"/>
          <w:color w:val="111111"/>
          <w:sz w:val="28"/>
          <w:sz w:val="28"/>
          <w:szCs w:val="28"/>
          <w:rtl w:val="true"/>
          <w:lang w:bidi="fa-IR"/>
        </w:rPr>
        <w:t xml:space="preserve">نفائس البراعة ما أودعها، فلمّا ارتقی ذروة المنبر أنسی ما کان أنشأ و حبّر، فاستأنف لوقته خطبة اخری و ختمها بهذه الأبیات </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 ضبط العلّامة المجلسی صورة إجازته للسیّد فضل اللّه دست غیب و هی مصدّرة بوصفه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السیّد السند، المحقّق العلّامة، سیّدنا ماجد بن هاشم </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نقل المحقّق الطهرانی فی الطبقات عن صاحب کتاب اللؤلؤة بأنّه أوّل من نشر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المشرب الأخباری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بشیراز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الروایة عن البهائی بإجازة رأیتها بخطّه علی ظهر الاثنی عشریّة عند سیّدنا أبی محمّد الحسن الصدر، و قال سلیمان الماحوزی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إجازة اخری عن البهائی طویلة مع غایة الثناء </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 عدّه المحقّق البحرانی فی الحدائق من القائلین بأنّ صلاة الجمعة واجبة عینا،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استادنا المتبحّر السیّد ماجد بن هاشم الصادقیّ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المواظبین علیها بشیراز، و قد صلّیت معه زمانا طویلا، و کنّا فی ذلک الأوان نستفید من برکات صحبته بکرة و أصیلا،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الدلیل الوجوب الحتمی و لم یثبت الإجماع علی خلافه</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و قد أخذ المصنّف إجازة عن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ذکرها المحقّق الطهرانی فی الذریعة،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مبسوطة، فیها ثناء جمیل علی المجاز له، کتبها الشیخ فضل بن محمّد بن فضل العبّاسی عن خطّ الشیخ البهائی فی سنة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آخر رجال ابن داود</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أیضا إجازة عن الشیخ محمّد بن أحمد بن نعمة اللّه بن خاتون العاملی ذکرها</w:t>
      </w:r>
      <w:bookmarkStart w:id="317" w:name="pg19819_193621"/>
    </w:p>
    <w:p>
      <w:pPr>
        <w:pStyle w:val="BookText"/>
        <w:rPr/>
      </w:pPr>
      <w:bookmarkEnd w:id="317"/>
      <w:r>
        <w:rPr>
          <w:rFonts w:ascii="IRNazanin" w:hAnsi="IRNazanin" w:eastAsia="IRNazanin"/>
          <w:color w:val="111111"/>
          <w:sz w:val="28"/>
          <w:sz w:val="28"/>
          <w:szCs w:val="28"/>
          <w:rtl w:val="true"/>
          <w:lang w:bidi="fa-IR"/>
        </w:rPr>
        <w:t>المحقّق الطهرانی فی الذریعة نقلا عن السیّد الصدر فی التکملة</w:t>
      </w:r>
      <w:r>
        <w:rPr>
          <w:rFonts w:eastAsia="IRNazanin" w:cs="IRNazanin"/>
          <w:color w:val="111111"/>
          <w:sz w:val="28"/>
          <w:szCs w:val="28"/>
          <w:rtl w:val="true"/>
          <w:lang w:bidi="fa-IR"/>
        </w:rPr>
        <w:t>.</w:t>
      </w:r>
      <w:r>
        <w:rPr>
          <w:rStyle w:val="FootnoteAnchor"/>
          <w:rtl w:val="true"/>
        </w:rPr>
        <w:footnoteReference w:id="806"/>
      </w:r>
    </w:p>
    <w:p>
      <w:pPr>
        <w:pStyle w:val="Heading4"/>
        <w:numPr>
          <w:ilvl w:val="3"/>
          <w:numId w:val="1"/>
        </w:numPr>
        <w:rPr/>
      </w:pPr>
      <w:bookmarkStart w:id="318" w:name="__RefHeading___Toc3055643_2314609296"/>
      <w:bookmarkStart w:id="319" w:name="_Toc125"/>
      <w:bookmarkEnd w:id="318"/>
      <w:r>
        <w:rPr>
          <w:rtl w:val="true"/>
        </w:rPr>
        <w:t>تلامیذه و من أخذ عنه الإجازة</w:t>
      </w:r>
      <w:r>
        <w:rPr>
          <w:rtl w:val="true"/>
        </w:rPr>
        <w:t>:</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المحدّث المولی محسن الفیض الکاشانی، و هو المجاز عن المصنّف و نسخة من صورة إجازته موجودة فی مکتبة المرعشی بقمّ، الرقم </w:t>
      </w:r>
      <w:r>
        <w:rPr>
          <w:rFonts w:eastAsia="IRNazanin" w:cs="IRNazanin"/>
          <w:color w:val="111111"/>
          <w:sz w:val="28"/>
          <w:szCs w:val="28"/>
          <w:lang w:bidi="fa-IR"/>
        </w:rPr>
        <w:t>9144</w:t>
      </w:r>
      <w:r>
        <w:rPr>
          <w:rStyle w:val="FootnoteAnchor"/>
          <w:rtl w:val="true"/>
        </w:rPr>
        <w:footnoteReference w:id="807"/>
      </w:r>
      <w:r>
        <w:rPr>
          <w:rFonts w:ascii="IRNazanin" w:hAnsi="IRNazanin" w:eastAsia="IRNazanin"/>
          <w:color w:val="111111"/>
          <w:sz w:val="28"/>
          <w:sz w:val="28"/>
          <w:szCs w:val="28"/>
          <w:rtl w:val="true"/>
          <w:lang w:bidi="fa-IR"/>
        </w:rPr>
        <w:t xml:space="preserve">، و نسخة اخری منها موجودة فی الخزانة الرضویّة، الرقم </w:t>
      </w:r>
      <w:r>
        <w:rPr>
          <w:rFonts w:eastAsia="IRNazanin" w:cs="IRNazanin"/>
          <w:color w:val="111111"/>
          <w:sz w:val="28"/>
          <w:szCs w:val="28"/>
          <w:lang w:bidi="fa-IR"/>
        </w:rPr>
        <w:t>11583</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الأمیر فضل اللّه دست غیب، و هو المجاز عن المصنّف فی أوّل ذی القعدة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صورة إجازته منقولة فی البحار نقلا عن ظهر نسخة من کتاب التهذیب بخطّ المصنّف</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جمال الدین بن شاه محمّد الفسائی، و قد مضی کلامه فی تاریخ وفاة المصنّف سابقا</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عبد السلام بن ناصر بن حسن البحرانی، و هو المجاز عن المصنّف و نسخة من صورتها موجودة فی مکتبة الملک بطهران، الرسالة السادسة من مجموعة </w:t>
      </w:r>
      <w:r>
        <w:rPr>
          <w:rFonts w:eastAsia="IRNazanin" w:cs="IRNazanin"/>
          <w:color w:val="111111"/>
          <w:sz w:val="28"/>
          <w:szCs w:val="28"/>
          <w:lang w:bidi="fa-IR"/>
        </w:rPr>
        <w:t>1118</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محمود الطبسی، المجاز عن المصنّف و نسخة منها موجودة فی مکتبة الملک، الرسالة السابعة من المجموعة المذکورة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عبد الکریم بن محمّد الطبسی، و هو المجاز أیضا عن المصنّف، نسخة منها موجودة فی مکتبة المرعشی بقمّ، الرقم </w:t>
      </w:r>
      <w:r>
        <w:rPr>
          <w:rFonts w:eastAsia="IRNazanin" w:cs="IRNazanin"/>
          <w:color w:val="111111"/>
          <w:sz w:val="28"/>
          <w:szCs w:val="28"/>
          <w:lang w:bidi="fa-IR"/>
        </w:rPr>
        <w:t>7256</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مرتضی أخو المحقّق الفیض، المجاز عنه أیضا، و صورة إجازته موجودة فی</w:t>
      </w:r>
      <w:bookmarkStart w:id="320" w:name="pg19819_193622"/>
    </w:p>
    <w:p>
      <w:pPr>
        <w:pStyle w:val="BookText"/>
        <w:rPr/>
      </w:pPr>
      <w:bookmarkEnd w:id="320"/>
      <w:r>
        <w:rPr>
          <w:rFonts w:ascii="IRNazanin" w:hAnsi="IRNazanin" w:eastAsia="IRNazanin"/>
          <w:color w:val="111111"/>
          <w:sz w:val="28"/>
          <w:sz w:val="28"/>
          <w:szCs w:val="28"/>
          <w:rtl w:val="true"/>
          <w:lang w:bidi="fa-IR"/>
        </w:rPr>
        <w:t>ضمن إجازته للفیض فی مکتبة المرعشی و الخزانة الرضویّة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بن الحسن بن رجب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بن علیّ بن یوسف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جعفر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المحقّق الطهرانی فی الطبقات و الذریعة، ثمّ نقل عن صاحب کتاب علماء البحرین بأنّه رأی نسخة من الیوسفیّة للمصنّف بخطّه، و رأی أیضا فیها إجازة عن المصنّف للکاتب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الخمیس بن عامر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المحقّق فی الطبقات، ثمّ قال فی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أخری عن الیوسفیّة موجودة بتبریز عند آقا نجفیّ التبریزی، و هی بخطّ المولی خمیس بن عامر الجزائری، کتبها سنة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و الظاهر أنّه من تلامیذ المؤلّف</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اللّه بن جلال الدین محمّد بن أمین الدین إبراهیم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الطهرانی فی الطبقات بأنّه کتب نسخة من الرسالة الیوسفیّة للمصنّف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زین الدین علیّ بن سلیمان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عبد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الذریعة</w:t>
      </w:r>
      <w:r>
        <w:rPr>
          <w:rFonts w:eastAsia="IRNazanin" w:cs="IRNazanin"/>
          <w:color w:val="111111"/>
          <w:sz w:val="28"/>
          <w:szCs w:val="28"/>
          <w:rtl w:val="true"/>
          <w:lang w:bidi="fa-IR"/>
        </w:rPr>
        <w:t>.</w:t>
      </w:r>
    </w:p>
    <w:p>
      <w:pPr>
        <w:pStyle w:val="Heading4"/>
        <w:numPr>
          <w:ilvl w:val="3"/>
          <w:numId w:val="1"/>
        </w:numPr>
        <w:rPr/>
      </w:pPr>
      <w:bookmarkStart w:id="321" w:name="__RefHeading___Toc3055645_2314609296"/>
      <w:bookmarkStart w:id="322" w:name="_Toc126"/>
      <w:bookmarkEnd w:id="321"/>
      <w:r>
        <w:rPr>
          <w:rtl w:val="true"/>
        </w:rPr>
        <w:t>آثاره و مصنّفاته</w:t>
      </w:r>
      <w:r>
        <w:rPr>
          <w:rtl w:val="true"/>
        </w:rPr>
        <w:t>:</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الطهرانی فی 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الشیخ سلیمان بن عبد اللّه الماحوزی فی تاریخ علماء البحرین</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المحقّق الطهرانی عن تاریخ علماء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الحاشیة علی معارج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المحقّق الطهرانی فی</w:t>
      </w:r>
    </w:p>
    <w:p>
      <w:pPr>
        <w:pStyle w:val="BookText"/>
        <w:rPr/>
      </w:pPr>
      <w:r>
        <w:rPr>
          <w:rFonts w:ascii="IRNazanin" w:hAnsi="IRNazanin" w:eastAsia="IRNazanin"/>
          <w:color w:val="111111"/>
          <w:sz w:val="28"/>
          <w:sz w:val="28"/>
          <w:szCs w:val="28"/>
          <w:rtl w:val="true"/>
          <w:lang w:bidi="fa-IR"/>
        </w:rPr>
        <w:t>الذریعة،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فی فهرست تصانیفه</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المحقّق الطهرانی فی الذریعة، و نقل عن صاحب کتاب السلافة بأنّه قد أورد فیه قرب سبعین بیتا من شعره، ثمّ نقل عن صاحب کتاب علماء البحرین بأنّه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دیوانه عندی بخطّ ابن خالی السیّد حسین الکتکتانی، و فیه القصیدة الرائیّة فی رثاء الحسین و رثاء السیّد عبد اللّه القارونی و رثاء ابن خاله السیّد جعفر بن السیّد عبد الرءوف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مقدّمة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التی بین یدیک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الیوسفیّة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اصول العقائد و أعمال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سلاسل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تقیید أهل التقلید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فی مرثیة الحسن بن علیّ</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فی مقتل عمر بن الخطّاب</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الحواشی علی کتاب الخلاصة للعلّامة</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مقالة فی العامّ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الطهرانی فی 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اختار الحقیقیّة بمتّصل و المجازیّة بمنفصل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منضمّة إلی رسالته فی مقدّمة الواجب فی مکتبة سیّدنا الشیرازی بسامرّاء</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الطهرانی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إنشائه، تتضمّن وقف الخان الأفخم إمام قلی المدرسة الواقعة فی دار العلم شیراز المعروفة بمدرسة الخان و موقوفاتها، قال سلیمان الماحوزی فی رسالة علماء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غایة البلاغة و نهایة البراعة رأیتها فی ید الأدیب النجیب صاحبنا السیّد عبد الرءوف بن حسین الجدّ حفصی البحرانی</w:t>
      </w:r>
      <w:r>
        <w:rPr>
          <w:rFonts w:eastAsia="IRNazanin" w:cs="IRNazanin"/>
          <w:color w:val="111111"/>
          <w:sz w:val="28"/>
          <w:szCs w:val="28"/>
          <w:rtl w:val="true"/>
          <w:lang w:bidi="fa-IR"/>
        </w:rPr>
        <w:t>.</w:t>
      </w:r>
      <w:r>
        <w:rPr>
          <w:rStyle w:val="FootnoteAnchor"/>
          <w:rtl w:val="true"/>
        </w:rPr>
        <w:footnoteReference w:id="821"/>
      </w:r>
      <w:bookmarkStart w:id="323" w:name="pg19819_193624"/>
    </w:p>
    <w:p>
      <w:pPr>
        <w:pStyle w:val="Heading4"/>
        <w:numPr>
          <w:ilvl w:val="3"/>
          <w:numId w:val="1"/>
        </w:numPr>
        <w:rPr/>
      </w:pPr>
      <w:bookmarkStart w:id="324" w:name="__RefHeading___Toc3055647_2314609296"/>
      <w:bookmarkStart w:id="325" w:name="_Toc127"/>
      <w:bookmarkEnd w:id="323"/>
      <w:bookmarkEnd w:id="324"/>
      <w:r>
        <w:rPr>
          <w:rtl w:val="true"/>
        </w:rPr>
        <w:t>وفاته و مدفنه</w:t>
      </w:r>
      <w:r>
        <w:rPr>
          <w:rtl w:val="true"/>
        </w:rPr>
        <w:t>:</w:t>
      </w:r>
      <w:bookmarkEnd w:id="325"/>
    </w:p>
    <w:p>
      <w:pPr>
        <w:pStyle w:val="BookText"/>
        <w:rPr/>
      </w:pPr>
      <w:r>
        <w:rPr>
          <w:rFonts w:ascii="IRNazanin" w:hAnsi="IRNazanin" w:eastAsia="IRNazanin"/>
          <w:color w:val="111111"/>
          <w:sz w:val="28"/>
          <w:sz w:val="28"/>
          <w:szCs w:val="28"/>
          <w:rtl w:val="true"/>
          <w:lang w:bidi="fa-IR"/>
        </w:rPr>
        <w:t xml:space="preserve">قال فی السلافة بأنّه توفّی فی لیلة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بشیراز، و دفن فی مشهد سیّد السادات أحمد بن الإمام موسی الکاظم علیه السّلام المشهور بشاه چراغ</w:t>
      </w:r>
      <w:r>
        <w:rPr>
          <w:rStyle w:val="FootnoteAnchor"/>
          <w:rtl w:val="true"/>
        </w:rPr>
        <w:footnoteReference w:id="822"/>
      </w:r>
      <w:r>
        <w:rPr>
          <w:rFonts w:ascii="IRNazanin" w:hAnsi="IRNazanin" w:eastAsia="IRNazanin"/>
          <w:color w:val="111111"/>
          <w:sz w:val="28"/>
          <w:sz w:val="28"/>
          <w:szCs w:val="28"/>
          <w:rtl w:val="true"/>
          <w:lang w:bidi="fa-IR"/>
        </w:rPr>
        <w:t>، و یؤیّده ما کتب تلمیذه لطف اللّه بن جلال الدین محمّد بن أمین الدین إبراهیم الشیرازی فی نسخة من الرسالة الیوسفیّة بخطّه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انتقل إلی جوار رحمة اللّه الملک العلّام الصمد الباقی، السیّد السند خاتم المجتهدین و أفضل العلماء المتبحّرین ماجد، صاحب هذا الکتاب، عند غروب الشمس من یوم السبت العشرین من شهر رمضان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فی بلدة شیراز، و قد مضی من عمره اثنتان و خمسین سنة، و دفن فی جواز السیّد السند الکامل العالم أحمد بن موسی الکاظم علیه السّلام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مضی أیضا فی تأییده ما کتب تلمیذه المولی جمال الدین بن شاه محمّد الفسائی علی الورقة الاولی من نسخة من الرسالة الیوسفیّة قرب 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أیضا المحقّق النمازی فی المستدرک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توفّی السیّد الجلیل السیّد ماجد بن هاشم بن علیّ بن مرتضی البحرانیّ الحسینیّ العریضی صاحب کتاب سلاسل الحدید و غیره</w:t>
      </w:r>
      <w:r>
        <w:rPr>
          <w:rFonts w:eastAsia="IRNazanin" w:cs="IRNazanin"/>
          <w:color w:val="111111"/>
          <w:sz w:val="28"/>
          <w:szCs w:val="28"/>
          <w:rtl w:val="true"/>
          <w:lang w:bidi="fa-IR"/>
        </w:rPr>
        <w:t>.</w:t>
      </w:r>
      <w:r>
        <w:rPr>
          <w:rStyle w:val="FootnoteAnchor"/>
          <w:rtl w:val="true"/>
        </w:rPr>
        <w:footnoteReference w:id="82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اندرج فی کشف الحجب و الأستار ذیل رسالة مقدّمة الواجب بأنّه توفّی فی سنة اثنتین و عشرین بعد الألف فهو سهو؛ نظرا إلی إجازته للسیّد فضل اللّه فی أوّل ذی القعدة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صورتها موجودة فی البحار</w:t>
      </w:r>
      <w:r>
        <w:rPr>
          <w:rFonts w:eastAsia="IRNazanin" w:cs="IRNazanin"/>
          <w:color w:val="111111"/>
          <w:sz w:val="28"/>
          <w:szCs w:val="28"/>
          <w:rtl w:val="true"/>
          <w:lang w:bidi="fa-IR"/>
        </w:rPr>
        <w:t>.</w:t>
      </w:r>
      <w:r>
        <w:rPr>
          <w:rStyle w:val="FootnoteAnchor"/>
          <w:rtl w:val="true"/>
        </w:rPr>
        <w:footnoteReference w:id="825"/>
      </w:r>
      <w:bookmarkStart w:id="326" w:name="pg19819_193625"/>
    </w:p>
    <w:p>
      <w:pPr>
        <w:pStyle w:val="Heading4"/>
        <w:numPr>
          <w:ilvl w:val="3"/>
          <w:numId w:val="1"/>
        </w:numPr>
        <w:rPr/>
      </w:pPr>
      <w:bookmarkStart w:id="327" w:name="__RefHeading___Toc3055649_2314609296"/>
      <w:bookmarkStart w:id="328" w:name="_Toc128"/>
      <w:bookmarkEnd w:id="326"/>
      <w:bookmarkEnd w:id="327"/>
      <w:r>
        <w:rPr>
          <w:rtl w:val="true"/>
        </w:rPr>
        <w:t>مقدّمة الواجب و مخطوطاتها</w:t>
      </w:r>
      <w:r>
        <w:rPr>
          <w:rtl w:val="true"/>
        </w:rPr>
        <w:t>:</w:t>
      </w:r>
      <w:bookmarkEnd w:id="328"/>
    </w:p>
    <w:p>
      <w:pPr>
        <w:pStyle w:val="BookText"/>
        <w:rPr/>
      </w:pPr>
      <w:r>
        <w:rPr>
          <w:rFonts w:ascii="IRNazanin" w:hAnsi="IRNazanin" w:eastAsia="IRNazanin"/>
          <w:color w:val="111111"/>
          <w:sz w:val="28"/>
          <w:sz w:val="28"/>
          <w:szCs w:val="28"/>
          <w:rtl w:val="true"/>
          <w:lang w:bidi="fa-IR"/>
        </w:rPr>
        <w:t>توجد لهذه الرسالة الثمینة ثلاث نسخ خطّیّة کلّها موجودة فی مکتبة المرعشی بقمّ،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الثانیة من مجموعة </w:t>
      </w:r>
      <w:r>
        <w:rPr>
          <w:rFonts w:eastAsia="IRNazanin" w:cs="IRNazanin"/>
          <w:color w:val="111111"/>
          <w:sz w:val="28"/>
          <w:szCs w:val="28"/>
          <w:lang w:bidi="fa-IR"/>
        </w:rPr>
        <w:t>5820</w:t>
      </w:r>
      <w:r>
        <w:rPr>
          <w:rFonts w:ascii="IRNazanin" w:hAnsi="IRNazanin" w:eastAsia="IRNazanin"/>
          <w:color w:val="111111"/>
          <w:sz w:val="28"/>
          <w:sz w:val="28"/>
          <w:szCs w:val="28"/>
          <w:rtl w:val="true"/>
          <w:lang w:bidi="fa-IR"/>
        </w:rPr>
        <w:t>، قد ضبط فی الفهرست بأنّه کتبها مرتضی بن مرتضی،</w:t>
      </w:r>
      <w:r>
        <w:rPr>
          <w:rStyle w:val="FootnoteAnchor"/>
          <w:rtl w:val="true"/>
        </w:rPr>
        <w:footnoteReference w:id="826"/>
      </w:r>
      <w:r>
        <w:rPr>
          <w:rFonts w:ascii="IRNazanin" w:hAnsi="IRNazanin" w:eastAsia="IRNazanin"/>
          <w:color w:val="111111"/>
          <w:sz w:val="28"/>
          <w:sz w:val="28"/>
          <w:szCs w:val="28"/>
          <w:rtl w:val="true"/>
          <w:lang w:bidi="fa-IR"/>
        </w:rPr>
        <w:t>لکنّ الظاهر أنّ الکاتب نفس المؤلّف، و ما فی الحواشی کان بخطّ هذا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المحتمل أنّه کان من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ما کتب بعد الفراغ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السیّد ماجد بن هاشم الحسینی بخطّه 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الرابعة من مجموعة </w:t>
      </w:r>
      <w:r>
        <w:rPr>
          <w:rFonts w:eastAsia="IRNazanin" w:cs="IRNazanin"/>
          <w:color w:val="111111"/>
          <w:sz w:val="28"/>
          <w:szCs w:val="28"/>
          <w:lang w:bidi="fa-IR"/>
        </w:rPr>
        <w:t>11784</w:t>
      </w:r>
      <w:r>
        <w:rPr>
          <w:rFonts w:ascii="IRNazanin" w:hAnsi="IRNazanin" w:eastAsia="IRNazanin"/>
          <w:color w:val="111111"/>
          <w:sz w:val="28"/>
          <w:sz w:val="28"/>
          <w:szCs w:val="28"/>
          <w:rtl w:val="true"/>
          <w:lang w:bidi="fa-IR"/>
        </w:rPr>
        <w:t xml:space="preserve">، کتبها أبو العلاء بن علیّ، و فرغ عنها فی شهر ربیع الثانی من شهور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کتب بعد الفراغ عنها فی 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فرغ من تسویده أقلّ العباد أبو العلاء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ربیع الثانی، سنة إحدی و ثلاثین و ألف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الثانیة من مجموعة </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 xml:space="preserve">، حرّرها محمّد صادق بن محمّد الموسوی، و فرغ منها یوم الجمعة،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من سنة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و هی مغلوطة جدّا</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فاعتمدنا فی تحقیقنا هذا علی النسخ الثلاث، و رمزنا لها بالأصل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الترتیب</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الخاتمة اقدّم جزیل شکری و ثنائی إلی إخوانی الذین یسعون فی إحیاء هذه الباقیات الوزینة و طبعها و نشرها، لا سیّما أخوای المعظّمین المحقّقین حجّة الإسلام و المسلمین الشیخ مهدیّ المهریزی و حجّة الإسلام و المسلمین الشیخ محمّد حسین الدرایتی، جعلهم اللّه و إیّای فی حصنه الحصین الذی یجعل فیها من یرید، و وفّقنا جمیعا لما یحبّ و یرضی، آمین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bookmarkStart w:id="329" w:name="pg19819_193628"/>
    </w:p>
    <w:p>
      <w:pPr>
        <w:pStyle w:val="Heading3"/>
        <w:numPr>
          <w:ilvl w:val="2"/>
          <w:numId w:val="1"/>
        </w:numPr>
        <w:rPr/>
      </w:pPr>
      <w:bookmarkStart w:id="330" w:name="__RefHeading___Toc3055651_2314609296"/>
      <w:bookmarkStart w:id="331" w:name="_Toc129"/>
      <w:bookmarkEnd w:id="329"/>
      <w:bookmarkEnd w:id="330"/>
      <w:r>
        <w:rPr>
          <w:rtl w:val="true"/>
        </w:rPr>
        <w:t>[</w:t>
      </w:r>
      <w:r>
        <w:rPr>
          <w:rtl w:val="true"/>
        </w:rPr>
        <w:t>التحقیق فی الکتاب مقدمة الواجب</w:t>
      </w:r>
      <w:r>
        <w:rPr>
          <w:rtl w:val="true"/>
        </w:rPr>
        <w:t>]</w:t>
      </w:r>
      <w:bookmarkEnd w:id="331"/>
    </w:p>
    <w:p>
      <w:pPr>
        <w:pStyle w:val="Heading4"/>
        <w:numPr>
          <w:ilvl w:val="3"/>
          <w:numId w:val="1"/>
        </w:numPr>
        <w:rPr/>
      </w:pPr>
      <w:bookmarkStart w:id="332" w:name="__RefHeading___Toc3055653_2314609296"/>
      <w:bookmarkStart w:id="333" w:name="_Toc130"/>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مقدّمة الواجب بسم اللّه الرحمن الرحیم، و به نستعین</w:t>
      </w:r>
      <w:r>
        <w:rPr>
          <w:rStyle w:val="FootnoteAnchor"/>
          <w:rtl w:val="true"/>
        </w:rPr>
        <w:footnoteReference w:id="828"/>
      </w:r>
      <w:r>
        <w:rPr>
          <w:rFonts w:ascii="IRNazanin" w:hAnsi="IRNazanin" w:eastAsia="IRNazanin"/>
          <w:color w:val="111111"/>
          <w:sz w:val="28"/>
          <w:sz w:val="28"/>
          <w:szCs w:val="28"/>
          <w:rtl w:val="true"/>
          <w:lang w:bidi="fa-IR"/>
        </w:rPr>
        <w:t>اعلم أنّ قدماء الاصولیّین أطلقوا الخلاف فی أنّ ما لا یتمّ الواجب إلّا به و کان مقدورا فهو واجب، و المتأخّرون لم یقبلوا هذا الإطلاق، و قسّموا الواجب إلی مطلق و مشروط، و فسّر محقّقوهم المطلق بما لم یقیّد</w:t>
      </w:r>
      <w:r>
        <w:rPr>
          <w:rStyle w:val="FootnoteAnchor"/>
          <w:rtl w:val="true"/>
        </w:rPr>
        <w:footnoteReference w:id="829"/>
      </w:r>
      <w:r>
        <w:rPr>
          <w:rFonts w:ascii="IRNazanin" w:hAnsi="IRNazanin" w:eastAsia="IRNazanin"/>
          <w:color w:val="111111"/>
          <w:sz w:val="28"/>
          <w:sz w:val="28"/>
          <w:szCs w:val="28"/>
          <w:rtl w:val="true"/>
          <w:lang w:bidi="fa-IR"/>
        </w:rPr>
        <w:t>وجوبه بما یتوقّف علیه وجوده من حیث هو کذلک، و المشروط بما قیّد وجوبه بما یتوقّف علیه وجوده من حیث هو کذلک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اعتبرت الحیثیّة للإشارة إلی أنّ الإطلاق و التقیید یعتبران بالنسبة إلی المقدّمة المخصوصة، فیجوز أن یکون الواجب الواحد مطلقا و مقیّدا بالنسبة إلی مقدّمتین کصلاة الجمعة؛ فإنّها بالنسبة إلی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المشروطة هی به المقدور علیه بالتماس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و بالنسبة إلی السعی مطلقة، فیجب تحصیل الثانی دون الأوّل، فإطلاق</w:t>
      </w:r>
      <w:r>
        <w:rPr>
          <w:rStyle w:val="FootnoteAnchor"/>
          <w:rtl w:val="true"/>
        </w:rPr>
        <w:footnoteReference w:id="831"/>
      </w:r>
      <w:r>
        <w:rPr>
          <w:rFonts w:ascii="IRNazanin" w:hAnsi="IRNazanin" w:eastAsia="IRNazanin"/>
          <w:color w:val="111111"/>
          <w:sz w:val="28"/>
          <w:sz w:val="28"/>
          <w:szCs w:val="28"/>
          <w:rtl w:val="true"/>
          <w:lang w:bidi="fa-IR"/>
        </w:rPr>
        <w:t>وجوب ما لا یتمّ الواجب غیر صحیح؛ لدخول مقدّمة المقیّد فیه</w:t>
      </w:r>
      <w:r>
        <w:rPr>
          <w:rFonts w:eastAsia="IRNazanin" w:cs="IRNazanin"/>
          <w:color w:val="111111"/>
          <w:sz w:val="28"/>
          <w:szCs w:val="28"/>
          <w:rtl w:val="true"/>
          <w:lang w:bidi="fa-IR"/>
        </w:rPr>
        <w:t>.</w:t>
      </w:r>
      <w:r>
        <w:rPr>
          <w:rStyle w:val="FootnoteAnchor"/>
          <w:rtl w:val="true"/>
        </w:rPr>
        <w:footnoteReference w:id="83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بعض المحقّقین عنه بأنّ إطلاق الواجب علی المشروط قبل تحقّق شرط وجوبه مجاز؛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لما سیقع مجاز إجماعا،</w:t>
      </w:r>
      <w:r>
        <w:rPr>
          <w:rStyle w:val="FootnoteAnchor"/>
          <w:rtl w:val="true"/>
        </w:rPr>
        <w:footnoteReference w:id="833"/>
      </w:r>
      <w:r>
        <w:rPr>
          <w:rFonts w:ascii="IRNazanin" w:hAnsi="IRNazanin" w:eastAsia="IRNazanin"/>
          <w:color w:val="111111"/>
          <w:sz w:val="28"/>
          <w:sz w:val="28"/>
          <w:szCs w:val="28"/>
          <w:rtl w:val="true"/>
          <w:lang w:bidi="fa-IR"/>
        </w:rPr>
        <w:t>فلا تدخل فی</w:t>
      </w:r>
    </w:p>
    <w:p>
      <w:pPr>
        <w:pStyle w:val="BookText"/>
        <w:rPr/>
      </w:pPr>
      <w:r>
        <w:rPr>
          <w:rFonts w:ascii="IRNazanin" w:hAnsi="IRNazanin" w:eastAsia="IRNazanin"/>
          <w:color w:val="111111"/>
          <w:sz w:val="28"/>
          <w:sz w:val="28"/>
          <w:szCs w:val="28"/>
          <w:rtl w:val="true"/>
          <w:lang w:bidi="fa-IR"/>
        </w:rPr>
        <w:t>إطلاقهم، و هذا حسن إلّا 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الواجب فی العرف الاصولی قد تجرّد عن معنی الحدوث</w:t>
      </w:r>
      <w:r>
        <w:rPr>
          <w:rStyle w:val="FootnoteAnchor"/>
          <w:rtl w:val="true"/>
        </w:rPr>
        <w:footnoteReference w:id="834"/>
      </w:r>
      <w:r>
        <w:rPr>
          <w:rFonts w:ascii="IRNazanin" w:hAnsi="IRNazanin" w:eastAsia="IRNazanin"/>
          <w:color w:val="111111"/>
          <w:sz w:val="28"/>
          <w:sz w:val="28"/>
          <w:szCs w:val="28"/>
          <w:rtl w:val="true"/>
          <w:lang w:bidi="fa-IR"/>
        </w:rPr>
        <w:t>و صار حقیقة فیما تعلّق به</w:t>
      </w:r>
      <w:r>
        <w:rPr>
          <w:rStyle w:val="FootnoteAnchor"/>
          <w:rtl w:val="true"/>
        </w:rPr>
        <w:footnoteReference w:id="835"/>
      </w:r>
      <w:r>
        <w:rPr>
          <w:rFonts w:ascii="IRNazanin" w:hAnsi="IRNazanin" w:eastAsia="IRNazanin"/>
          <w:color w:val="111111"/>
          <w:sz w:val="28"/>
          <w:sz w:val="28"/>
          <w:szCs w:val="28"/>
          <w:rtl w:val="true"/>
          <w:lang w:bidi="fa-IR"/>
        </w:rPr>
        <w:t>الخطاب فی الجملة و علی الجملة، فالأمر فی ذلک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احترزوا بالمقدور عن نحو تحصیل القدم فی القیام، و السعی إلی الجمعة فی الزمان ممّا</w:t>
      </w:r>
      <w:r>
        <w:rPr>
          <w:rStyle w:val="FootnoteAnchor"/>
          <w:rtl w:val="true"/>
        </w:rPr>
        <w:footnoteReference w:id="836"/>
      </w:r>
      <w:r>
        <w:rPr>
          <w:rFonts w:ascii="IRNazanin" w:hAnsi="IRNazanin" w:eastAsia="IRNazanin"/>
          <w:color w:val="111111"/>
          <w:sz w:val="28"/>
          <w:sz w:val="28"/>
          <w:szCs w:val="28"/>
          <w:rtl w:val="true"/>
          <w:lang w:bidi="fa-IR"/>
        </w:rPr>
        <w:t>لا یقدر علیه المکلّف بذلک الواجب، سواء کان ممّا</w:t>
      </w:r>
      <w:r>
        <w:rPr>
          <w:rStyle w:val="FootnoteAnchor"/>
          <w:rtl w:val="true"/>
        </w:rPr>
        <w:footnoteReference w:id="837"/>
      </w:r>
      <w:r>
        <w:rPr>
          <w:rFonts w:ascii="IRNazanin" w:hAnsi="IRNazanin" w:eastAsia="IRNazanin"/>
          <w:color w:val="111111"/>
          <w:sz w:val="28"/>
          <w:sz w:val="28"/>
          <w:szCs w:val="28"/>
          <w:rtl w:val="true"/>
          <w:lang w:bidi="fa-IR"/>
        </w:rPr>
        <w:t>یتعلّق به القدرة الحادثة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فقد اشتهر الخلاف فی وجوب مقدّمة الواجب المطلق المقدورة، سواء کانت سببا کالصعود للکون علی السطح، أم شرطا عقلیّا کنصب السلّم له، أو عادیّا کإدخال جزء من الرأس لغسل الوجه، أو شرعیّا کالوضوء للصلاة، و ربّما نقل الإجماع علی وجوب السبب لما سیأتی، و خصّ الخلاف بالشروط الثلاثة</w:t>
      </w:r>
      <w:r>
        <w:rPr>
          <w:rFonts w:eastAsia="IRNazanin" w:cs="IRNazanin"/>
          <w:color w:val="111111"/>
          <w:sz w:val="28"/>
          <w:szCs w:val="28"/>
          <w:rtl w:val="true"/>
          <w:lang w:bidi="fa-IR"/>
        </w:rPr>
        <w:t>.</w:t>
      </w:r>
      <w:r>
        <w:rPr>
          <w:rStyle w:val="FootnoteAnchor"/>
          <w:rtl w:val="true"/>
        </w:rPr>
        <w:footnoteReference w:id="83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بعضهم بجریان الخلاف فیه، و یمکن بناء دخوله فی النزاع علی تحریر محلّه، و بیان ذلک أنّ الظاهر من کلام الأکثر أنّه لا خلاف فی بقاء الواجب</w:t>
      </w:r>
      <w:r>
        <w:rPr>
          <w:rStyle w:val="FootnoteAnchor"/>
          <w:rtl w:val="true"/>
        </w:rPr>
        <w:footnoteReference w:id="839"/>
      </w:r>
      <w:r>
        <w:rPr>
          <w:rFonts w:ascii="IRNazanin" w:hAnsi="IRNazanin" w:eastAsia="IRNazanin"/>
          <w:color w:val="111111"/>
          <w:sz w:val="28"/>
          <w:sz w:val="28"/>
          <w:szCs w:val="28"/>
          <w:rtl w:val="true"/>
          <w:lang w:bidi="fa-IR"/>
        </w:rPr>
        <w:t>المطلق علی إطلاقه، و عدم تقیّد</w:t>
      </w:r>
      <w:r>
        <w:rPr>
          <w:rStyle w:val="FootnoteAnchor"/>
          <w:rtl w:val="true"/>
        </w:rPr>
        <w:footnoteReference w:id="840"/>
      </w:r>
      <w:r>
        <w:rPr>
          <w:rFonts w:ascii="IRNazanin" w:hAnsi="IRNazanin" w:eastAsia="IRNazanin"/>
          <w:color w:val="111111"/>
          <w:sz w:val="28"/>
          <w:sz w:val="28"/>
          <w:szCs w:val="28"/>
          <w:rtl w:val="true"/>
          <w:lang w:bidi="fa-IR"/>
        </w:rPr>
        <w:t>وجوبه بتلک المقدّمة، و لا فی وجوب المقدّمة بمعنی</w:t>
      </w:r>
      <w:r>
        <w:rPr>
          <w:rStyle w:val="FootnoteAnchor"/>
          <w:rtl w:val="true"/>
        </w:rPr>
        <w:footnoteReference w:id="841"/>
      </w:r>
      <w:r>
        <w:rPr>
          <w:rFonts w:ascii="IRNazanin" w:hAnsi="IRNazanin" w:eastAsia="IRNazanin"/>
          <w:color w:val="111111"/>
          <w:sz w:val="28"/>
          <w:sz w:val="28"/>
          <w:szCs w:val="28"/>
          <w:rtl w:val="true"/>
          <w:lang w:bidi="fa-IR"/>
        </w:rPr>
        <w:t>لابدّیّة فعلها، إنّما الکلام فی أنّها هل توصف بالوجوب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تعلّق الخطاب بها تبعا لتعلّقه بمشروطها</w:t>
      </w:r>
      <w:r>
        <w:rPr>
          <w:rStyle w:val="FootnoteAnchor"/>
          <w:rtl w:val="true"/>
        </w:rPr>
        <w:footnoteReference w:id="842"/>
      </w:r>
      <w:r>
        <w:rPr>
          <w:rFonts w:ascii="IRNazanin" w:hAnsi="IRNazanin" w:eastAsia="IRNazanin"/>
          <w:color w:val="111111"/>
          <w:sz w:val="28"/>
          <w:sz w:val="28"/>
          <w:szCs w:val="28"/>
          <w:rtl w:val="true"/>
          <w:lang w:bidi="fa-IR"/>
        </w:rPr>
        <w:t>، کتعلّق الخطاب بالتابع فی دلالة الإشارة و الإیماء، حتّی یکون</w:t>
      </w:r>
    </w:p>
    <w:p>
      <w:pPr>
        <w:pStyle w:val="BookText"/>
        <w:rPr/>
      </w:pPr>
      <w:r>
        <w:rPr>
          <w:rFonts w:ascii="IRNazanin" w:hAnsi="IRNazanin" w:eastAsia="IRNazanin"/>
          <w:color w:val="111111"/>
          <w:sz w:val="28"/>
          <w:sz w:val="28"/>
          <w:szCs w:val="28"/>
          <w:rtl w:val="true"/>
          <w:lang w:bidi="fa-IR"/>
        </w:rPr>
        <w:t>الخطاب بالکون علی السطح مثلا خطابا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الکون، و الآخر سببه أو شرطه، حتّی یکون تارک ذلک عاصیا بترک واجبین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توصف بالوجوب الشرعی و إن کان لا بدّ منها عقلا فی تحصیل الواجب، و الخطاب لیس إلّا بنفس الموقوف، و لا یتعلّق بالمقدّمة خطاب أصلا، لا أصلا و لا تبعا، فلا یعصی تارک الکون علی السطح إلّا من جهة ترکه فقط دون جهة ترک نصب السلّم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یمکن إدخال السبب فی الخلاف، بأن یجعل تعلّق الخطاب بالمسبّب تعلّقا به تبعا، أو لا یجعل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کلام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فی أصل اللابدّیّة و فی بقاء الواجب</w:t>
      </w:r>
      <w:r>
        <w:rPr>
          <w:rStyle w:val="FootnoteAnchor"/>
          <w:rtl w:val="true"/>
        </w:rPr>
        <w:footnoteReference w:id="843"/>
      </w:r>
      <w:r>
        <w:rPr>
          <w:rFonts w:ascii="IRNazanin" w:hAnsi="IRNazanin" w:eastAsia="IRNazanin"/>
          <w:color w:val="111111"/>
          <w:sz w:val="28"/>
          <w:sz w:val="28"/>
          <w:szCs w:val="28"/>
          <w:rtl w:val="true"/>
          <w:lang w:bidi="fa-IR"/>
        </w:rPr>
        <w:t>المطلق علی إطلاقه</w:t>
      </w:r>
      <w:r>
        <w:rPr>
          <w:rStyle w:val="FootnoteAnchor"/>
          <w:rtl w:val="true"/>
        </w:rPr>
        <w:footnoteReference w:id="844"/>
      </w:r>
      <w:r>
        <w:rPr>
          <w:rFonts w:ascii="IRNazanin" w:hAnsi="IRNazanin" w:eastAsia="IRNazanin"/>
          <w:color w:val="111111"/>
          <w:sz w:val="28"/>
          <w:sz w:val="28"/>
          <w:szCs w:val="28"/>
          <w:rtl w:val="true"/>
          <w:lang w:bidi="fa-IR"/>
        </w:rPr>
        <w:t>، و ربّما کان کلامه فی الشافی صریحا فی ذلک،</w:t>
      </w:r>
      <w:r>
        <w:rPr>
          <w:rStyle w:val="FootnoteAnchor"/>
          <w:rtl w:val="true"/>
        </w:rPr>
        <w:footnoteReference w:id="845"/>
      </w:r>
      <w:r>
        <w:rPr>
          <w:rFonts w:ascii="IRNazanin" w:hAnsi="IRNazanin" w:eastAsia="IRNazanin"/>
          <w:color w:val="111111"/>
          <w:sz w:val="28"/>
          <w:sz w:val="28"/>
          <w:szCs w:val="28"/>
          <w:rtl w:val="true"/>
          <w:lang w:bidi="fa-IR"/>
        </w:rPr>
        <w:t>حیث أجاب عن استدلال المعتزلة علی وجوب</w:t>
      </w:r>
      <w:r>
        <w:rPr>
          <w:rStyle w:val="FootnoteAnchor"/>
          <w:rtl w:val="true"/>
        </w:rPr>
        <w:footnoteReference w:id="846"/>
      </w:r>
      <w:r>
        <w:rPr>
          <w:rFonts w:ascii="IRNazanin" w:hAnsi="IRNazanin" w:eastAsia="IRNazanin"/>
          <w:color w:val="111111"/>
          <w:sz w:val="28"/>
          <w:sz w:val="28"/>
          <w:szCs w:val="28"/>
          <w:rtl w:val="true"/>
          <w:lang w:bidi="fa-IR"/>
        </w:rPr>
        <w:t>نصب الإمام بکونه مقدّمة لإقامة الحدود بمنع وجوب شرط الواجب، فیرجع النزاع إلی أنّ الواجب إذا اطلق وجوبه</w:t>
      </w:r>
      <w:r>
        <w:rPr>
          <w:rStyle w:val="FootnoteAnchor"/>
          <w:rtl w:val="true"/>
        </w:rPr>
        <w:footnoteReference w:id="847"/>
      </w:r>
      <w:r>
        <w:rPr>
          <w:rFonts w:ascii="IRNazanin" w:hAnsi="IRNazanin" w:eastAsia="IRNazanin"/>
          <w:color w:val="111111"/>
          <w:sz w:val="28"/>
          <w:sz w:val="28"/>
          <w:szCs w:val="28"/>
          <w:rtl w:val="true"/>
          <w:lang w:bidi="fa-IR"/>
        </w:rPr>
        <w:t>بالنسبة إلی ما یتوقّف علیه وجوده هل یبقی علی إطلاقه، و یکون واجبا حال وجود المقدّمة و حال عدمها محافظة علی إبقاء الأمر علی ظاهره من الإطلاق، فیعصی بترکه علی کلّ حال، أو یختصّ وجوبه بحال وجود المقدّمة، و لا یلزم تحصیلها شرعا و لا عقلا، فلا یعصی بترک الموقوف علیها إلّا إذا ترکه حال اتّفاق وجودها محافظة علی الظاهر و الأصل من اتّحاد متعلّق الخطاب، و هربا من انتفاء الوجوب عمّا یجب به تحصیل الواجب کما سیأتی، فالکون علی السطح لا یجب إلّا حیث اتّفق</w:t>
      </w:r>
      <w:r>
        <w:rPr>
          <w:rStyle w:val="FootnoteAnchor"/>
          <w:rtl w:val="true"/>
        </w:rPr>
        <w:footnoteReference w:id="848"/>
      </w:r>
      <w:r>
        <w:rPr>
          <w:rFonts w:ascii="IRNazanin" w:hAnsi="IRNazanin" w:eastAsia="IRNazanin"/>
          <w:color w:val="111111"/>
          <w:sz w:val="28"/>
          <w:sz w:val="28"/>
          <w:szCs w:val="28"/>
          <w:rtl w:val="true"/>
          <w:lang w:bidi="fa-IR"/>
        </w:rPr>
        <w:t>نصب السلّم منه أو من غیره، فلو ترکه بدون اتّفاق نصب السلّم لم یعص؟</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مجال لدخول السبب فی محلّ النزاع؛ لأنّ مرجع القول بعدم وجوب</w:t>
      </w:r>
      <w:bookmarkStart w:id="334" w:name="pg19819_193631"/>
    </w:p>
    <w:p>
      <w:pPr>
        <w:pStyle w:val="BookText"/>
        <w:rPr/>
      </w:pPr>
      <w:bookmarkEnd w:id="334"/>
      <w:r>
        <w:rPr>
          <w:rFonts w:ascii="IRNazanin" w:hAnsi="IRNazanin" w:eastAsia="IRNazanin"/>
          <w:color w:val="111111"/>
          <w:sz w:val="28"/>
          <w:sz w:val="28"/>
          <w:szCs w:val="28"/>
          <w:rtl w:val="true"/>
          <w:lang w:bidi="fa-IR"/>
        </w:rPr>
        <w:t>المقدّمة إلی تقیید وجوب الواجب و صیرورته</w:t>
      </w:r>
      <w:r>
        <w:rPr>
          <w:rStyle w:val="FootnoteAnchor"/>
          <w:rtl w:val="true"/>
        </w:rPr>
        <w:footnoteReference w:id="849"/>
      </w:r>
      <w:r>
        <w:rPr>
          <w:rFonts w:ascii="IRNazanin" w:hAnsi="IRNazanin" w:eastAsia="IRNazanin"/>
          <w:color w:val="111111"/>
          <w:sz w:val="28"/>
          <w:sz w:val="28"/>
          <w:szCs w:val="28"/>
          <w:rtl w:val="true"/>
          <w:lang w:bidi="fa-IR"/>
        </w:rPr>
        <w:t>مقیّدا بها، و لا ریب أنّ وجود السبب من حیث استلزامه وجود المسبّب لا یصحّ تقیّد</w:t>
      </w:r>
      <w:r>
        <w:rPr>
          <w:rStyle w:val="FootnoteAnchor"/>
          <w:rtl w:val="true"/>
        </w:rPr>
        <w:footnoteReference w:id="850"/>
      </w:r>
      <w:r>
        <w:rPr>
          <w:rFonts w:ascii="IRNazanin" w:hAnsi="IRNazanin" w:eastAsia="IRNazanin"/>
          <w:color w:val="111111"/>
          <w:sz w:val="28"/>
          <w:sz w:val="28"/>
          <w:szCs w:val="28"/>
          <w:rtl w:val="true"/>
          <w:lang w:bidi="fa-IR"/>
        </w:rPr>
        <w:t>وجوب المسبّب به؛ لأنّه یرجع إلی تقیید وجوب الشی‌ء بوجود نفسه، و استحالته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التحقیق صرّح السیّد</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بتحریر محلّ النزاع علی هذا الوجه صرّح الإمام الرازی فی بعض مختصراته مشیرا إلی ما أشرنا إلیه فی ضمن تحریر محلّ النزاع من وجهی طرفیه و کأنّه اللائح من عبارة المنهاج</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 کلام شیخنا العلّامة فی النهایة مضطرب،</w:t>
      </w:r>
      <w:r>
        <w:rPr>
          <w:rStyle w:val="FootnoteAnchor"/>
          <w:rtl w:val="true"/>
        </w:rPr>
        <w:footnoteReference w:id="853"/>
      </w:r>
      <w:r>
        <w:rPr>
          <w:rFonts w:ascii="IRNazanin" w:hAnsi="IRNazanin" w:eastAsia="IRNazanin"/>
          <w:color w:val="111111"/>
          <w:sz w:val="28"/>
          <w:sz w:val="28"/>
          <w:szCs w:val="28"/>
          <w:rtl w:val="true"/>
          <w:lang w:bidi="fa-IR"/>
        </w:rPr>
        <w:t>و ربّما فهم فی محلّ النزاع</w:t>
      </w:r>
      <w:r>
        <w:rPr>
          <w:rStyle w:val="FootnoteAnchor"/>
          <w:rtl w:val="true"/>
        </w:rPr>
        <w:footnoteReference w:id="854"/>
      </w:r>
      <w:r>
        <w:rPr>
          <w:rFonts w:ascii="IRNazanin" w:hAnsi="IRNazanin" w:eastAsia="IRNazanin"/>
          <w:color w:val="111111"/>
          <w:sz w:val="28"/>
          <w:sz w:val="28"/>
          <w:szCs w:val="28"/>
          <w:rtl w:val="true"/>
          <w:lang w:bidi="fa-IR"/>
        </w:rPr>
        <w:t>منها تحقّق الخلاف علی الوجهین، و لیس بعیدا</w:t>
      </w:r>
      <w:r>
        <w:rPr>
          <w:rStyle w:val="FootnoteAnchor"/>
          <w:rtl w:val="true"/>
        </w:rPr>
        <w:footnoteReference w:id="855"/>
      </w:r>
      <w:r>
        <w:rPr>
          <w:rFonts w:ascii="IRNazanin" w:hAnsi="IRNazanin" w:eastAsia="IRNazanin"/>
          <w:color w:val="111111"/>
          <w:sz w:val="28"/>
          <w:sz w:val="28"/>
          <w:szCs w:val="28"/>
          <w:rtl w:val="true"/>
          <w:lang w:bidi="fa-IR"/>
        </w:rPr>
        <w:t>و إن أضرب عنه المتأخّرون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w:t>
      </w:r>
      <w:r>
        <w:rPr>
          <w:rStyle w:val="FootnoteAnchor"/>
          <w:rtl w:val="true"/>
        </w:rPr>
        <w:footnoteReference w:id="856"/>
      </w:r>
      <w:r>
        <w:rPr>
          <w:rFonts w:ascii="IRNazanin" w:hAnsi="IRNazanin" w:eastAsia="IRNazanin"/>
          <w:color w:val="111111"/>
          <w:sz w:val="28"/>
          <w:sz w:val="28"/>
          <w:szCs w:val="28"/>
          <w:rtl w:val="true"/>
          <w:lang w:bidi="fa-IR"/>
        </w:rPr>
        <w:t>ذکرنا من توجیه طرفیه یعلم إمکان کونه محلّ نزاع، و سیأتی زیادة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کلام محرّری النزاع علی الوجه الثانی القطع بوصف المقدّمة</w:t>
      </w:r>
      <w:r>
        <w:rPr>
          <w:rStyle w:val="FootnoteAnchor"/>
          <w:rtl w:val="true"/>
        </w:rPr>
        <w:footnoteReference w:id="857"/>
      </w:r>
      <w:r>
        <w:rPr>
          <w:rFonts w:ascii="IRNazanin" w:hAnsi="IRNazanin" w:eastAsia="IRNazanin"/>
          <w:color w:val="111111"/>
          <w:sz w:val="28"/>
          <w:sz w:val="28"/>
          <w:szCs w:val="28"/>
          <w:rtl w:val="true"/>
          <w:lang w:bidi="fa-IR"/>
        </w:rPr>
        <w:t>بالوجوب الشرعی علی القول ببقاء الأمر علی الإطلاق کما ذکرنا من الهرب من وجوب تحصیل الواجب بما لیس بواجب، کما سیأتی</w:t>
      </w:r>
      <w:r>
        <w:rPr>
          <w:rFonts w:eastAsia="IRNazanin" w:cs="IRNazanin"/>
          <w:color w:val="111111"/>
          <w:sz w:val="28"/>
          <w:szCs w:val="28"/>
          <w:rtl w:val="true"/>
          <w:lang w:bidi="fa-IR"/>
        </w:rPr>
        <w:t>.</w:t>
      </w:r>
    </w:p>
    <w:p>
      <w:pPr>
        <w:pStyle w:val="Heading4"/>
        <w:numPr>
          <w:ilvl w:val="3"/>
          <w:numId w:val="1"/>
        </w:numPr>
        <w:rPr/>
      </w:pPr>
      <w:bookmarkStart w:id="335" w:name="__RefHeading___Toc3055655_2314609296"/>
      <w:bookmarkStart w:id="336" w:name="_Toc131"/>
      <w:bookmarkEnd w:id="335"/>
      <w:r>
        <w:rPr>
          <w:rtl w:val="true"/>
        </w:rPr>
        <w:t>و نحن نقرّر الکلام علی الوجهین</w:t>
      </w:r>
      <w:r>
        <w:rPr>
          <w:rtl w:val="true"/>
        </w:rPr>
        <w:t>:</w:t>
      </w:r>
      <w:bookmarkEnd w:id="336"/>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فالأقوال فیه أربعة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 مطلقا، و هو مذهب الأکثر، و ربّما نقل علیه إجماع الأشاعرة</w:t>
      </w:r>
      <w:bookmarkStart w:id="337" w:name="pg19819_193632"/>
    </w:p>
    <w:p>
      <w:pPr>
        <w:pStyle w:val="BookText"/>
        <w:rPr/>
      </w:pPr>
      <w:bookmarkEnd w:id="337"/>
      <w:r>
        <w:rPr>
          <w:rFonts w:ascii="IRNazanin" w:hAnsi="IRNazanin" w:eastAsia="IRNazanin"/>
          <w:color w:val="111111"/>
          <w:sz w:val="28"/>
          <w:sz w:val="28"/>
          <w:szCs w:val="28"/>
          <w:rtl w:val="true"/>
          <w:lang w:bidi="fa-IR"/>
        </w:rPr>
        <w:t>و المعتزلة کما یظهر من کلام الآمدی</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 مطلقا، و لا یحضرنا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 إن کانت سببا، دون ما إذا کانت شرطا مطلقا، و یعزی إلی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و قد عرفت ما فیه</w:t>
      </w:r>
      <w:r>
        <w:rPr>
          <w:rStyle w:val="FootnoteAnchor"/>
          <w:rtl w:val="true"/>
        </w:rPr>
        <w:footnoteReference w:id="860"/>
      </w:r>
      <w:r>
        <w:rPr>
          <w:rFonts w:ascii="Amiri" w:hAnsi="Amiri" w:eastAsia="Amiri" w:cs="Amiri"/>
          <w:color w:val="111111"/>
          <w:sz w:val="28"/>
          <w:sz w:val="28"/>
          <w:szCs w:val="28"/>
          <w:rtl w:val="true"/>
          <w:lang w:bidi="ar-SA"/>
        </w:rPr>
        <w:t>، و رجّحه بعض المتأخّرین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 إذا</w:t>
      </w:r>
      <w:r>
        <w:rPr>
          <w:rStyle w:val="FootnoteAnchor"/>
          <w:rtl w:val="true"/>
        </w:rPr>
        <w:footnoteReference w:id="861"/>
      </w:r>
      <w:r>
        <w:rPr>
          <w:rFonts w:ascii="IRNazanin" w:hAnsi="IRNazanin" w:eastAsia="IRNazanin"/>
          <w:color w:val="111111"/>
          <w:sz w:val="28"/>
          <w:sz w:val="28"/>
          <w:szCs w:val="28"/>
          <w:rtl w:val="true"/>
          <w:lang w:bidi="fa-IR"/>
        </w:rPr>
        <w:t>کانت شرطا شرعیّا خاصّة، و هو قول ابن الحاجب، و ربّما لاح منه بعد تسلیم الإجماع علی وجوب الأسباب وجه خامس، هو القول بوجوب السبب و الشرط الشرعی</w:t>
      </w:r>
      <w:r>
        <w:rPr>
          <w:rFonts w:eastAsia="IRNazanin" w:cs="IRNazanin"/>
          <w:color w:val="111111"/>
          <w:sz w:val="28"/>
          <w:szCs w:val="28"/>
          <w:rtl w:val="true"/>
          <w:lang w:bidi="fa-IR"/>
        </w:rPr>
        <w:t>.</w:t>
      </w:r>
    </w:p>
    <w:p>
      <w:pPr>
        <w:pStyle w:val="Heading4"/>
        <w:numPr>
          <w:ilvl w:val="3"/>
          <w:numId w:val="1"/>
        </w:numPr>
        <w:rPr/>
      </w:pPr>
      <w:bookmarkStart w:id="338" w:name="__RefHeading___Toc3055657_2314609296"/>
      <w:bookmarkStart w:id="339" w:name="_Toc132"/>
      <w:bookmarkEnd w:id="338"/>
      <w:r>
        <w:rPr>
          <w:rtl w:val="true"/>
        </w:rPr>
        <w:t>احتجّ أصحاب القول الأوّل بوجوه</w:t>
      </w:r>
      <w:r>
        <w:rPr>
          <w:rtl w:val="true"/>
        </w:rPr>
        <w:t>:</w:t>
      </w:r>
      <w:bookmarkEnd w:id="339"/>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أبو الحسین</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البصری، و نقله الإمام الرازی،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تبعه شیخنا العلّامة فی النهایة و التهذیب، و هو أنّه لو لم تجب المقدّمة لزم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التکلیف بالمحال، أو خروج الواجب المطلق عن کونه واجبا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مطلقا، و التالی بقسمیه باطل؛ أمّا الأوّل فظاهر، و أمّا الثانی فلأنّه خلاف الفرض، و وجه الشرطیّة أنّه علی تقدیر عدم وجوب المقدّمة یجوز ترکها، فمعه إمّا أن یبقی الواجب واجبا، أم لا، و من الأوّل یلزم الأوّل، و من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یقتضی وجوب الفعل مطلقا، أی فی جمیع الأحوال و من جملتها حال عدم المقدّمة، فتکون مأمورا بها حال عدمها، و هو 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المقدّمة غیر واجبة، لکان الآمر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لک ترک المقدّمة، و أوجبت علیک الفعل حال ترکها، و هو عین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الجمیع واحد، و هو دعوی استلزام وجوب الفعل حال عدم وجوب المقدّمة</w:t>
      </w:r>
      <w:r>
        <w:rPr>
          <w:rStyle w:val="FootnoteAnchor"/>
          <w:rtl w:val="true"/>
        </w:rPr>
        <w:footnoteReference w:id="863"/>
      </w:r>
      <w:r>
        <w:rPr>
          <w:rFonts w:ascii="IRNazanin" w:hAnsi="IRNazanin" w:eastAsia="IRNazanin"/>
          <w:color w:val="111111"/>
          <w:sz w:val="28"/>
          <w:sz w:val="28"/>
          <w:szCs w:val="28"/>
          <w:rtl w:val="true"/>
          <w:lang w:bidi="fa-IR"/>
        </w:rPr>
        <w:t>وجوبه حال عدمها علی أنّ حال عدمها ظرف للفعل، و هو ظاهر الضعف؛ إذ وصفها بالوجوب و عدمه لا دخل لها فی وجودها</w:t>
      </w:r>
      <w:r>
        <w:rPr>
          <w:rStyle w:val="FootnoteAnchor"/>
          <w:rtl w:val="true"/>
        </w:rPr>
        <w:footnoteReference w:id="864"/>
      </w:r>
      <w:r>
        <w:rPr>
          <w:rFonts w:ascii="IRNazanin" w:hAnsi="IRNazanin" w:eastAsia="IRNazanin"/>
          <w:color w:val="111111"/>
          <w:sz w:val="28"/>
          <w:sz w:val="28"/>
          <w:szCs w:val="28"/>
          <w:rtl w:val="true"/>
          <w:lang w:bidi="fa-IR"/>
        </w:rPr>
        <w:t>، ضرورة إمکان وجودها و عدمه مع وجوبها و عدمها، و المحال هو وجوب الفعل حال عدمها علی أنّ حال العدم ظرف الفعل کما ذکرنا، لا حال عدم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أنّ عدم وجوبها لا یستلزم عدم وجودها، و لیس المحال مجرّد التکلیف بالفعل حال عدمها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التکلیف و الوجوب و ظرف لهما، و إلّا لزم التکلیف بالمحال علی القول بالوجوب أیضا؛ لثبوت التکلیف</w:t>
      </w:r>
      <w:r>
        <w:rPr>
          <w:rStyle w:val="FootnoteAnchor"/>
          <w:rtl w:val="true"/>
        </w:rPr>
        <w:footnoteReference w:id="865"/>
      </w:r>
      <w:r>
        <w:rPr>
          <w:rFonts w:ascii="IRNazanin" w:hAnsi="IRNazanin" w:eastAsia="IRNazanin"/>
          <w:color w:val="111111"/>
          <w:sz w:val="28"/>
          <w:sz w:val="28"/>
          <w:szCs w:val="28"/>
          <w:rtl w:val="true"/>
          <w:lang w:bidi="fa-IR"/>
        </w:rPr>
        <w:t>بالفعل عندهم حال عدم المقدّمة، و تخیّل</w:t>
      </w:r>
      <w:r>
        <w:rPr>
          <w:rStyle w:val="FootnoteAnchor"/>
          <w:rtl w:val="true"/>
        </w:rPr>
        <w:footnoteReference w:id="866"/>
      </w:r>
      <w:r>
        <w:rPr>
          <w:rFonts w:ascii="IRNazanin" w:hAnsi="IRNazanin" w:eastAsia="IRNazanin"/>
          <w:color w:val="111111"/>
          <w:sz w:val="28"/>
          <w:sz w:val="28"/>
          <w:szCs w:val="28"/>
          <w:rtl w:val="true"/>
          <w:lang w:bidi="fa-IR"/>
        </w:rPr>
        <w:t>الفرق بین التکلیف بالفعل حال عدم المقدّمة الواجبة و بین التکلیف</w:t>
      </w:r>
      <w:r>
        <w:rPr>
          <w:rStyle w:val="FootnoteAnchor"/>
          <w:rtl w:val="true"/>
        </w:rPr>
        <w:footnoteReference w:id="867"/>
      </w:r>
      <w:r>
        <w:rPr>
          <w:rFonts w:ascii="IRNazanin" w:hAnsi="IRNazanin" w:eastAsia="IRNazanin"/>
          <w:color w:val="111111"/>
          <w:sz w:val="28"/>
          <w:sz w:val="28"/>
          <w:szCs w:val="28"/>
          <w:rtl w:val="true"/>
          <w:lang w:bidi="fa-IR"/>
        </w:rPr>
        <w:t>حال عدم المقدّمة الجائزة ترکها، و جعل المحال هو الثانی دون الأوّل ضعیف؛ لما ذکرنا من أنّ وصفها بالوجوب و الجواز لا دخل له</w:t>
      </w:r>
      <w:r>
        <w:rPr>
          <w:rStyle w:val="FootnoteAnchor"/>
          <w:rtl w:val="true"/>
        </w:rPr>
        <w:footnoteReference w:id="868"/>
      </w:r>
      <w:r>
        <w:rPr>
          <w:rFonts w:ascii="IRNazanin" w:hAnsi="IRNazanin" w:eastAsia="IRNazanin"/>
          <w:color w:val="111111"/>
          <w:sz w:val="28"/>
          <w:sz w:val="28"/>
          <w:szCs w:val="28"/>
          <w:rtl w:val="true"/>
          <w:lang w:bidi="fa-IR"/>
        </w:rPr>
        <w:t>فی الوجود و عدمه، فلا مدخل له</w:t>
      </w:r>
      <w:r>
        <w:rPr>
          <w:rStyle w:val="FootnoteAnchor"/>
          <w:rtl w:val="true"/>
        </w:rPr>
        <w:footnoteReference w:id="869"/>
      </w:r>
      <w:r>
        <w:rPr>
          <w:rFonts w:ascii="IRNazanin" w:hAnsi="IRNazanin" w:eastAsia="IRNazanin"/>
          <w:color w:val="111111"/>
          <w:sz w:val="28"/>
          <w:sz w:val="28"/>
          <w:szCs w:val="28"/>
          <w:rtl w:val="true"/>
          <w:lang w:bidi="fa-IR"/>
        </w:rPr>
        <w:t>فی المحالیّة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الغزالی و تبعه الآمدی و هو الإجماع علی وجوب تحصیل الواجب، و تحصیله إنّما هو بتعاطی ما یتوقّف علیه، و وجوب تحصیله بما لیس بواجب تناقض</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انعقاد الإجماع فی محلّ الخلاف، و لو نسلّم نفی الأسباب کما سیأتی،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بوجوب تحصیله إیجاده بکلّ حال سلّمناه، و وجوب إیجاده بما لیس موصوفا بالوجوب شرعا لا تناقض فیه، و هو أوّل المسألة، و إن ارید غیر ذلک منعناه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یجب یصحّ</w:t>
      </w:r>
      <w:r>
        <w:rPr>
          <w:rStyle w:val="FootnoteAnchor"/>
          <w:rtl w:val="true"/>
        </w:rPr>
        <w:footnoteReference w:id="871"/>
      </w:r>
      <w:r>
        <w:rPr>
          <w:rFonts w:ascii="IRNazanin" w:hAnsi="IRNazanin" w:eastAsia="IRNazanin"/>
          <w:color w:val="111111"/>
          <w:sz w:val="28"/>
          <w:sz w:val="28"/>
          <w:szCs w:val="28"/>
          <w:rtl w:val="true"/>
          <w:lang w:bidi="fa-IR"/>
        </w:rPr>
        <w:t>الفعل بدونها و هو محال؛ لامتناع وجود الموقوف بدون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بالوجوب و الصحّة العقلیّان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لم یکن المقدّمة لا بدّ منها فی وجوده، لصحّ وجوده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سلّمناه، لکنّ اللازم وجوبها العقلی بمعنی أنّها لا بدّ منها و هو مسلّم، و إن ارید بهما الشرعیّان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Style w:val="FootnoteAnchor"/>
          <w:rtl w:val="true"/>
        </w:rPr>
        <w:footnoteReference w:id="873"/>
      </w:r>
      <w:r>
        <w:rPr>
          <w:rFonts w:ascii="IRNazanin" w:hAnsi="IRNazanin" w:eastAsia="IRNazanin"/>
          <w:color w:val="111111"/>
          <w:sz w:val="28"/>
          <w:sz w:val="28"/>
          <w:szCs w:val="28"/>
          <w:rtl w:val="true"/>
          <w:lang w:bidi="fa-IR"/>
        </w:rPr>
        <w:t>لو لم یجب شرعا لصحّ الفعل بدونها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الملازمة و منعنا بطلان التالی؛ فإنّ الفعل لو أمکن وقوعه بدونها عقلا، لصحّ شرعا بالنظر إلی الأمر الوارد به و إن لم یصحّ شرعا فی الشرط الشرعی لدلیل آخر، و لو ارید بأحدهما العقلی و الآخر الشرعی، لم یستقم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Style w:val="FootnoteAnchor"/>
          <w:rtl w:val="true"/>
        </w:rPr>
        <w:footnoteReference w:id="874"/>
      </w:r>
      <w:r>
        <w:rPr>
          <w:rFonts w:ascii="IRNazanin" w:hAnsi="IRNazanin" w:eastAsia="IRNazanin"/>
          <w:color w:val="111111"/>
          <w:sz w:val="28"/>
          <w:sz w:val="28"/>
          <w:szCs w:val="28"/>
          <w:rtl w:val="true"/>
          <w:lang w:bidi="fa-IR"/>
        </w:rPr>
        <w:t>لا بدّ منها فی الفعل، فیمتنع ترکها، و ممتنع الترک واجب، و الواجب مأمور به، فالمقدّمة مأمور بها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باللابدّیّة و الامتناع وجوبها شرعا فأوّل المسألة، و إن ارید عقلا لم یلزم کونه مأمورا به</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مشایخنا المحقّقین</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الاصول،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القطع بذمّ تارک الفعل القادر علی المقدّمة و المتعذّر بعدمها أو بعدم إیجاب الأمر لها، و لو لا فهم وجوبها من الأمر</w:t>
      </w:r>
    </w:p>
    <w:p>
      <w:pPr>
        <w:pStyle w:val="BookText"/>
        <w:rPr/>
      </w:pPr>
      <w:r>
        <w:rPr>
          <w:rFonts w:ascii="IRNazanin" w:hAnsi="IRNazanin" w:eastAsia="IRNazanin"/>
          <w:color w:val="111111"/>
          <w:sz w:val="28"/>
          <w:sz w:val="28"/>
          <w:szCs w:val="28"/>
          <w:rtl w:val="true"/>
          <w:lang w:bidi="fa-IR"/>
        </w:rPr>
        <w:t>لم یلزم</w:t>
      </w:r>
      <w:r>
        <w:rPr>
          <w:rStyle w:val="FootnoteAnchor"/>
          <w:rtl w:val="true"/>
        </w:rPr>
        <w:footnoteReference w:id="878"/>
      </w:r>
      <w:r>
        <w:rPr>
          <w:rFonts w:ascii="IRNazanin" w:hAnsi="IRNazanin" w:eastAsia="IRNazanin"/>
          <w:color w:val="111111"/>
          <w:sz w:val="28"/>
          <w:sz w:val="28"/>
          <w:szCs w:val="28"/>
          <w:rtl w:val="true"/>
          <w:lang w:bidi="fa-IR"/>
        </w:rPr>
        <w:t>و لقبل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 الذمّ له</w:t>
      </w:r>
      <w:r>
        <w:rPr>
          <w:rStyle w:val="FootnoteAnchor"/>
          <w:rtl w:val="true"/>
        </w:rPr>
        <w:footnoteReference w:id="879"/>
      </w:r>
      <w:r>
        <w:rPr>
          <w:rFonts w:ascii="IRNazanin" w:hAnsi="IRNazanin" w:eastAsia="IRNazanin"/>
          <w:color w:val="111111"/>
          <w:sz w:val="28"/>
          <w:sz w:val="28"/>
          <w:szCs w:val="28"/>
          <w:rtl w:val="true"/>
          <w:lang w:bidi="fa-IR"/>
        </w:rPr>
        <w:t>باعتبار ترک الواجب مع قدرته علیه، و عدم قبول العذر لعدم إیجابها من جهة أنّ عدم إیجاب الأمر لها لا یرفع قدرته علی الفعل التی تصحّح ذمّ التارک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المسطور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وجوبها بوجوه ثلاثة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منوطة بالمصالح لزوما عند العدلیّة و عادة عند غیرهم، 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وسیلة إلی الواجب المشتمل</w:t>
      </w:r>
      <w:r>
        <w:rPr>
          <w:rStyle w:val="FootnoteAnchor"/>
          <w:rtl w:val="true"/>
        </w:rPr>
        <w:footnoteReference w:id="881"/>
      </w:r>
      <w:r>
        <w:rPr>
          <w:rFonts w:ascii="IRNazanin" w:hAnsi="IRNazanin" w:eastAsia="IRNazanin"/>
          <w:color w:val="111111"/>
          <w:sz w:val="28"/>
          <w:sz w:val="28"/>
          <w:szCs w:val="28"/>
          <w:rtl w:val="true"/>
          <w:lang w:bidi="fa-IR"/>
        </w:rPr>
        <w:t>علی مصلحة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تلک المصلحة بعینها</w:t>
      </w:r>
      <w:r>
        <w:rPr>
          <w:rStyle w:val="FootnoteAnchor"/>
          <w:rtl w:val="true"/>
        </w:rPr>
        <w:footnoteReference w:id="882"/>
      </w:r>
      <w:r>
        <w:rPr>
          <w:rFonts w:ascii="IRNazanin" w:hAnsi="IRNazanin" w:eastAsia="IRNazanin"/>
          <w:color w:val="111111"/>
          <w:sz w:val="28"/>
          <w:sz w:val="28"/>
          <w:szCs w:val="28"/>
          <w:rtl w:val="true"/>
          <w:lang w:bidi="fa-IR"/>
        </w:rPr>
        <w:t>، فیجب تعلّق الوجوب بها</w:t>
      </w:r>
      <w:r>
        <w:rPr>
          <w:rStyle w:val="FootnoteAnchor"/>
          <w:rtl w:val="true"/>
        </w:rPr>
        <w:footnoteReference w:id="883"/>
      </w:r>
      <w:r>
        <w:rPr>
          <w:rFonts w:ascii="IRNazanin" w:hAnsi="IRNazanin" w:eastAsia="IRNazanin"/>
          <w:color w:val="111111"/>
          <w:sz w:val="28"/>
          <w:sz w:val="28"/>
          <w:szCs w:val="28"/>
          <w:rtl w:val="true"/>
          <w:lang w:bidi="fa-IR"/>
        </w:rPr>
        <w:t>، و هذا الاشتمال</w:t>
      </w:r>
      <w:r>
        <w:rPr>
          <w:rStyle w:val="FootnoteAnchor"/>
          <w:rtl w:val="true"/>
        </w:rPr>
        <w:footnoteReference w:id="884"/>
      </w:r>
      <w:r>
        <w:rPr>
          <w:rFonts w:ascii="IRNazanin" w:hAnsi="IRNazanin" w:eastAsia="IRNazanin"/>
          <w:color w:val="111111"/>
          <w:sz w:val="28"/>
          <w:sz w:val="28"/>
          <w:szCs w:val="28"/>
          <w:rtl w:val="true"/>
          <w:lang w:bidi="fa-IR"/>
        </w:rPr>
        <w:t>مفهوم من تعلّق الخطاب بالواجب المطلق، فیکون وجوبها مفهوما منه تبعا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المقدّمة یشتمل علی وجه قبیح، فیحرم</w:t>
      </w:r>
      <w:r>
        <w:rPr>
          <w:rStyle w:val="FootnoteAnchor"/>
          <w:rtl w:val="true"/>
        </w:rPr>
        <w:footnoteReference w:id="885"/>
      </w:r>
      <w:r>
        <w:rPr>
          <w:rFonts w:ascii="IRNazanin" w:hAnsi="IRNazanin" w:eastAsia="IRNazanin"/>
          <w:color w:val="111111"/>
          <w:sz w:val="28"/>
          <w:sz w:val="28"/>
          <w:szCs w:val="28"/>
          <w:rtl w:val="true"/>
          <w:lang w:bidi="fa-IR"/>
        </w:rPr>
        <w:t>فیجب شرعا الفعل، و هو مفهوم من الأمر بالفعل، فالأمر یدلّ علی وجوبها تبعا</w:t>
      </w:r>
      <w:r>
        <w:rPr>
          <w:rFonts w:eastAsia="IRNazanin" w:cs="IRNazanin"/>
          <w:color w:val="111111"/>
          <w:sz w:val="28"/>
          <w:szCs w:val="28"/>
          <w:rtl w:val="true"/>
          <w:lang w:bidi="fa-IR"/>
        </w:rPr>
        <w:t>.</w:t>
      </w:r>
      <w:bookmarkStart w:id="340" w:name="pg19819_193636"/>
    </w:p>
    <w:p>
      <w:pPr>
        <w:pStyle w:val="BookText"/>
        <w:rPr/>
      </w:pPr>
      <w:bookmarkEnd w:id="340"/>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المشتبهة بالمحرّم، و لبس أحد الثوبین المشتبهین فی الصلاة مع وجود متیقّن الطهارة، و استعمال أحد الإناءین المشتبهین و نحو ذلک حرام، و لیس ذلک إلّا لوجوب اجتناب المحرّم و النجس و توقّف اجتنابهما علی اجتناب الآخر منها</w:t>
      </w:r>
      <w:r>
        <w:rPr>
          <w:rStyle w:val="FootnoteAnchor"/>
          <w:rtl w:val="true"/>
        </w:rPr>
        <w:footnoteReference w:id="886"/>
      </w:r>
      <w:r>
        <w:rPr>
          <w:rFonts w:ascii="IRNazanin" w:hAnsi="IRNazanin" w:eastAsia="IRNazanin"/>
          <w:color w:val="111111"/>
          <w:sz w:val="28"/>
          <w:sz w:val="28"/>
          <w:szCs w:val="28"/>
          <w:rtl w:val="true"/>
          <w:lang w:bidi="fa-IR"/>
        </w:rPr>
        <w:t>، و إذا حرّم الشی‌ء من جهة أنّ ترکه وسیلة للواجب، کان ترکه موصوفا بالوجوب</w:t>
      </w:r>
      <w:r>
        <w:rPr>
          <w:rStyle w:val="FootnoteAnchor"/>
          <w:rtl w:val="true"/>
        </w:rPr>
        <w:footnoteReference w:id="887"/>
      </w:r>
      <w:r>
        <w:rPr>
          <w:rFonts w:ascii="IRNazanin" w:hAnsi="IRNazanin" w:eastAsia="IRNazanin"/>
          <w:color w:val="111111"/>
          <w:sz w:val="28"/>
          <w:sz w:val="28"/>
          <w:szCs w:val="28"/>
          <w:rtl w:val="true"/>
          <w:lang w:bidi="fa-IR"/>
        </w:rPr>
        <w:t>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و إن کان یمکن الخدش فیها</w:t>
      </w:r>
      <w:r>
        <w:rPr>
          <w:rStyle w:val="FootnoteAnchor"/>
          <w:rtl w:val="true"/>
        </w:rPr>
        <w:footnoteReference w:id="888"/>
      </w:r>
      <w:r>
        <w:rPr>
          <w:rFonts w:ascii="IRNazanin" w:hAnsi="IRNazanin" w:eastAsia="IRNazanin"/>
          <w:color w:val="111111"/>
          <w:sz w:val="28"/>
          <w:sz w:val="28"/>
          <w:szCs w:val="28"/>
          <w:rtl w:val="true"/>
          <w:lang w:bidi="fa-IR"/>
        </w:rPr>
        <w:t>إلّا أنّ المسألة ظنّیّة، لا یبعد الاکتفاء فیها بهذا القدر، فالظاهر الوجوب</w:t>
      </w:r>
      <w:r>
        <w:rPr>
          <w:rFonts w:eastAsia="IRNazanin" w:cs="IRNazanin"/>
          <w:color w:val="111111"/>
          <w:sz w:val="28"/>
          <w:szCs w:val="28"/>
          <w:rtl w:val="true"/>
          <w:lang w:bidi="fa-IR"/>
        </w:rPr>
        <w:t>.</w:t>
      </w:r>
    </w:p>
    <w:p>
      <w:pPr>
        <w:pStyle w:val="Heading4"/>
        <w:numPr>
          <w:ilvl w:val="3"/>
          <w:numId w:val="1"/>
        </w:numPr>
        <w:rPr/>
      </w:pPr>
      <w:bookmarkStart w:id="341" w:name="__RefHeading___Toc3055659_2314609296"/>
      <w:bookmarkStart w:id="342" w:name="_Toc133"/>
      <w:bookmarkEnd w:id="341"/>
      <w:r>
        <w:rPr>
          <w:rtl w:val="true"/>
        </w:rPr>
        <w:t>احتجّ أصحاب القول الثانی بوجوه</w:t>
      </w:r>
      <w:r>
        <w:rPr>
          <w:rtl w:val="true"/>
        </w:rPr>
        <w:t>:</w:t>
      </w:r>
      <w:bookmarkEnd w:id="34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وجبت للزم تعقّل الموجب له؛ ضرورة أنّ الإیجاب خطاب اقتضاء لا یمکن بدون تعقّل متعلّقه، لکنّ التالی باطل؛ لانفکاکه عن تعقّل الموجب فضلا عن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و إنّما یجب تعقّل الموجب فیما أوجبه أصالة لا تبعا کما فی دلیل الإشارة و الإیماء، و لو سلّمت فهو هنا حاصل؛ لأنّ الموجب هو اللّه تعالی، و لا یَعْزُبُ عَنْهُ مِثْقالُ ذَرَّةٍ</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الأخیر نظر؛ لأنّ فی المقدّمة الغرض نفی الاستلزام</w:t>
      </w:r>
      <w:r>
        <w:rPr>
          <w:rStyle w:val="FootnoteAnchor"/>
          <w:rtl w:val="true"/>
        </w:rPr>
        <w:footnoteReference w:id="890"/>
      </w:r>
      <w:r>
        <w:rPr>
          <w:rFonts w:ascii="IRNazanin" w:hAnsi="IRNazanin" w:eastAsia="IRNazanin"/>
          <w:color w:val="111111"/>
          <w:sz w:val="28"/>
          <w:sz w:val="28"/>
          <w:szCs w:val="28"/>
          <w:rtl w:val="true"/>
          <w:lang w:bidi="fa-IR"/>
        </w:rPr>
        <w:t>لذات الأمر مع ثبوته فی الوجوب، لا نفی الوقوع، و قد ثبت عدم الاستلزام</w:t>
      </w:r>
      <w:r>
        <w:rPr>
          <w:rStyle w:val="FootnoteAnchor"/>
          <w:rtl w:val="true"/>
        </w:rPr>
        <w:footnoteReference w:id="891"/>
      </w:r>
      <w:r>
        <w:rPr>
          <w:rFonts w:ascii="IRNazanin" w:hAnsi="IRNazanin" w:eastAsia="IRNazanin"/>
          <w:color w:val="111111"/>
          <w:sz w:val="28"/>
          <w:sz w:val="28"/>
          <w:szCs w:val="28"/>
          <w:rtl w:val="true"/>
          <w:lang w:bidi="fa-IR"/>
        </w:rPr>
        <w:t>لتحقّق الانفکاک، و اتّفاق</w:t>
      </w:r>
    </w:p>
    <w:p>
      <w:pPr>
        <w:pStyle w:val="BookText"/>
        <w:rPr/>
      </w:pPr>
      <w:r>
        <w:rPr>
          <w:rFonts w:ascii="IRNazanin" w:hAnsi="IRNazanin" w:eastAsia="IRNazanin"/>
          <w:color w:val="111111"/>
          <w:sz w:val="28"/>
          <w:sz w:val="28"/>
          <w:szCs w:val="28"/>
          <w:rtl w:val="true"/>
          <w:lang w:bidi="fa-IR"/>
        </w:rPr>
        <w:t>الوقوع لأمر آخر أو لزومه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عموم العلم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عدم الاستلزام لذات الأمر إلّا أن یمنع لزوم استلزام الأمر لذاته لتعلّق متعلّقه، و إن سلّم لزوم تعقّله فی الجملة و هو مکابرة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متعلّق الخطاب؛ لأنّ تعلّق الخطاب داخل فی حقیقة الوجوب؛</w:t>
      </w:r>
      <w:r>
        <w:rPr>
          <w:rStyle w:val="FootnoteAnchor"/>
          <w:rtl w:val="true"/>
        </w:rPr>
        <w:footnoteReference w:id="892"/>
      </w:r>
      <w:r>
        <w:rPr>
          <w:rFonts w:ascii="IRNazanin" w:hAnsi="IRNazanin" w:eastAsia="IRNazanin"/>
          <w:color w:val="111111"/>
          <w:sz w:val="28"/>
          <w:sz w:val="28"/>
          <w:szCs w:val="28"/>
          <w:rtl w:val="true"/>
          <w:lang w:bidi="fa-IR"/>
        </w:rPr>
        <w:t>لأنّه أحد أقسام الحکم، فکلّ واجب متعلّق الخطاب، و ما لیس بمتعلّقه فلیس بواجب بعکس النقیض، و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متعلّق الخطاب، فلیس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ظاهر؛ لأنّ کون الواجب متعلّق الخطاب إن ارید به أصالة منعنا</w:t>
      </w:r>
      <w:r>
        <w:rPr>
          <w:rStyle w:val="FootnoteAnchor"/>
          <w:rtl w:val="true"/>
        </w:rPr>
        <w:footnoteReference w:id="893"/>
      </w:r>
      <w:r>
        <w:rPr>
          <w:rFonts w:ascii="IRNazanin" w:hAnsi="IRNazanin" w:eastAsia="IRNazanin"/>
          <w:color w:val="111111"/>
          <w:sz w:val="28"/>
          <w:sz w:val="28"/>
          <w:szCs w:val="28"/>
          <w:rtl w:val="true"/>
          <w:lang w:bidi="fa-IR"/>
        </w:rPr>
        <w:t>، و دخول تعلّق الخطاب فی حقیقة بهذا المعنی ممنوع؛ إنّما</w:t>
      </w:r>
      <w:r>
        <w:rPr>
          <w:rStyle w:val="FootnoteAnchor"/>
          <w:rtl w:val="true"/>
        </w:rPr>
        <w:footnoteReference w:id="894"/>
      </w:r>
      <w:r>
        <w:rPr>
          <w:rFonts w:ascii="IRNazanin" w:hAnsi="IRNazanin" w:eastAsia="IRNazanin"/>
          <w:color w:val="111111"/>
          <w:sz w:val="28"/>
          <w:sz w:val="28"/>
          <w:szCs w:val="28"/>
          <w:rtl w:val="true"/>
          <w:lang w:bidi="fa-IR"/>
        </w:rPr>
        <w:t>الداخل فیها تعلّقه بالجملة کما فی دلالة الإشارة، و إن ارید الأعمّ منعنا انتفاءه؛ فإنّا ندّعی تعلّق الخطاب به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لو استلزم وجوب ذی المقدّمة وجوبها، لامتنع التصریح بعدم الوجوب، لکنّه ممکن</w:t>
      </w:r>
      <w:r>
        <w:rPr>
          <w:rStyle w:val="FootnoteAnchor"/>
          <w:rtl w:val="true"/>
        </w:rPr>
        <w:footnoteReference w:id="896"/>
      </w:r>
      <w:r>
        <w:rPr>
          <w:rFonts w:ascii="IRNazanin" w:hAnsi="IRNazanin" w:eastAsia="IRNazanin"/>
          <w:color w:val="111111"/>
          <w:sz w:val="28"/>
          <w:sz w:val="28"/>
          <w:szCs w:val="28"/>
          <w:rtl w:val="true"/>
          <w:lang w:bidi="fa-IR"/>
        </w:rPr>
        <w:t>لصحّة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أوجبت علیک الصعود و لم اوجب نصب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فیمن یقدر علی الصعود بدونه، و منع بطلان التالی فیمن لا یقدر، أو منع الملازمة إن أراد صرف الأمر عن ظاهره إلی التقیید، و منع بطلان التالی إن لم یرد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ذکرناه من أنّ المسألة ظنّیّة یمنع الملازمة؛ لأنّ الاستلزام ظنّی، فیجوز التصریح بخلافه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وجبت لعصی بترکها؛ لاستلزام ترک الواجب العصیان، و تارک نصب السلّم إنّما یعصی بترک الصعود لا بترکه حتّی لو تصوّر الصعود بدونه لم 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بطلان التالی؛ فإنّه أوّل المسألة، و عدم العصیان مع تصوّر الفعل بدونه لانتفاء جهة وجوبه حینئذ؛ لخروجه</w:t>
      </w:r>
      <w:r>
        <w:rPr>
          <w:rStyle w:val="FootnoteAnchor"/>
          <w:rtl w:val="true"/>
        </w:rPr>
        <w:footnoteReference w:id="897"/>
      </w:r>
      <w:r>
        <w:rPr>
          <w:rFonts w:ascii="IRNazanin" w:hAnsi="IRNazanin" w:eastAsia="IRNazanin"/>
          <w:color w:val="111111"/>
          <w:sz w:val="28"/>
          <w:sz w:val="28"/>
          <w:szCs w:val="28"/>
          <w:rtl w:val="true"/>
          <w:lang w:bidi="fa-IR"/>
        </w:rPr>
        <w:t>عن کونه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أیضا بأنّ المقدّمة کالجزء، فلا یتوزّع علیها العقاب، ذکره الغزالی و غیره</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وجبت المقدّمة لصحّ قول الکعبی فی إنکار المباح إنّه واجب؛ لکونه مقدّمة ترک الحرام الواجب کما هو مشهور التقریر</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و إنّما یتمّ لو لم یتمّ ترک الحرام إلّا به، لکنّه یتمّ بغیره من الواجبات و المندوبات و المکروهات، و التحقیق منع کون المباح مقدّمة ترک الحرام؛ لعدم مدخلیّته فی تحقّق ترک الحرام و إن اتّفق ترک الحرام معه</w:t>
      </w:r>
      <w:r>
        <w:rPr>
          <w:rStyle w:val="FootnoteAnchor"/>
          <w:rtl w:val="true"/>
        </w:rPr>
        <w:footnoteReference w:id="900"/>
      </w:r>
      <w:r>
        <w:rPr>
          <w:rFonts w:ascii="IRNazanin" w:hAnsi="IRNazanin" w:eastAsia="IRNazanin"/>
          <w:color w:val="111111"/>
          <w:sz w:val="28"/>
          <w:sz w:val="28"/>
          <w:szCs w:val="28"/>
          <w:rtl w:val="true"/>
          <w:lang w:bidi="fa-IR"/>
        </w:rPr>
        <w:t>، و له تدقیق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أیضا بمنع بطلان التالی کما ألزمه بعضهم، و کون الفعل مباحا بحسب ذاته لا ینافی وجوبه باعتبار جهة اخری، و الإجماع علی إباحته بالنظر إلی غیر ذاته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وجبت، لوجبت نیّتها</w:t>
      </w:r>
      <w:r>
        <w:rPr>
          <w:rStyle w:val="FootnoteAnchor"/>
          <w:rtl w:val="true"/>
        </w:rPr>
        <w:footnoteReference w:id="901"/>
      </w:r>
      <w:r>
        <w:rPr>
          <w:rFonts w:ascii="IRNazanin" w:hAnsi="IRNazanin" w:eastAsia="IRNazanin"/>
          <w:color w:val="111111"/>
          <w:sz w:val="28"/>
          <w:sz w:val="28"/>
          <w:szCs w:val="28"/>
          <w:rtl w:val="true"/>
          <w:lang w:bidi="fa-IR"/>
        </w:rPr>
        <w:t>، لکنّ الإجماع علی عدم وجوب نیّة المتوضّئ غسل جزء من الرأس</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و إنّما ذلک فی الواجب أصالة، أو فیما قصد به التعبّد؛</w:t>
      </w:r>
    </w:p>
    <w:p>
      <w:pPr>
        <w:pStyle w:val="BookText"/>
        <w:rPr/>
      </w:pPr>
      <w:r>
        <w:rPr>
          <w:rFonts w:ascii="IRNazanin" w:hAnsi="IRNazanin" w:eastAsia="IRNazanin"/>
          <w:color w:val="111111"/>
          <w:sz w:val="28"/>
          <w:sz w:val="28"/>
          <w:szCs w:val="28"/>
          <w:rtl w:val="true"/>
          <w:lang w:bidi="fa-IR"/>
        </w:rPr>
        <w:t>ضرورة عدم وجوب النیّة فی کثیر من الواجبات کأداء الدین و ردّ الودیعة؛ لحصول المقصود منها</w:t>
      </w:r>
      <w:r>
        <w:rPr>
          <w:rStyle w:val="FootnoteAnchor"/>
          <w:rtl w:val="true"/>
        </w:rPr>
        <w:footnoteReference w:id="902"/>
      </w:r>
      <w:r>
        <w:rPr>
          <w:rFonts w:ascii="Amiri" w:hAnsi="Amiri" w:eastAsia="Amiri" w:cs="Amiri"/>
          <w:color w:val="111111"/>
          <w:sz w:val="28"/>
          <w:sz w:val="28"/>
          <w:szCs w:val="28"/>
          <w:rtl w:val="true"/>
          <w:lang w:bidi="ar-SA"/>
        </w:rPr>
        <w:t>بدون النیّة، و کذلک المقدّمة؛ لأنّ</w:t>
      </w:r>
      <w:r>
        <w:rPr>
          <w:rStyle w:val="FootnoteAnchor"/>
          <w:rtl w:val="true"/>
        </w:rPr>
        <w:footnoteReference w:id="903"/>
      </w:r>
      <w:r>
        <w:rPr>
          <w:rFonts w:ascii="IRNazanin" w:hAnsi="IRNazanin" w:eastAsia="IRNazanin"/>
          <w:color w:val="111111"/>
          <w:sz w:val="28"/>
          <w:sz w:val="28"/>
          <w:szCs w:val="28"/>
          <w:rtl w:val="true"/>
          <w:lang w:bidi="fa-IR"/>
        </w:rPr>
        <w:t>الغرض منها</w:t>
      </w:r>
      <w:r>
        <w:rPr>
          <w:rStyle w:val="FootnoteAnchor"/>
          <w:rtl w:val="true"/>
        </w:rPr>
        <w:footnoteReference w:id="904"/>
      </w:r>
      <w:r>
        <w:rPr>
          <w:rFonts w:ascii="Amiri" w:hAnsi="Amiri" w:eastAsia="Amiri" w:cs="Amiri"/>
          <w:color w:val="111111"/>
          <w:sz w:val="28"/>
          <w:sz w:val="28"/>
          <w:szCs w:val="28"/>
          <w:rtl w:val="true"/>
          <w:lang w:bidi="ar-SA"/>
        </w:rPr>
        <w:t>التوصّل لا التعبّد فیتحقّق</w:t>
      </w:r>
      <w:r>
        <w:rPr>
          <w:rStyle w:val="FootnoteAnchor"/>
          <w:rtl w:val="true"/>
        </w:rPr>
        <w:footnoteReference w:id="905"/>
      </w:r>
      <w:r>
        <w:rPr>
          <w:rFonts w:ascii="IRNazanin" w:hAnsi="IRNazanin" w:eastAsia="IRNazanin"/>
          <w:color w:val="111111"/>
          <w:sz w:val="28"/>
          <w:sz w:val="28"/>
          <w:szCs w:val="28"/>
          <w:rtl w:val="true"/>
          <w:lang w:bidi="fa-IR"/>
        </w:rPr>
        <w:t>بدون النیّة، و لزوم مساواة مقدّمة العبادة لها فی إرادة التعبّد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وجبت لکانت مقدّرة شرعا حذرا من التکلیف بما لا یطاق، لکن لا تقدیر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و التکلیف بما لا یطاق غیر لازم؛ للتخییر فی المقادیر، و إنّما یلزم لو ارید مقدار معیّن فی نفسه مبهم عندنا، و لئن سلّمت، لکن نمنع بطلان التالی؛ لأنّها مقدّرة بأقلّ ما یتحقّق به التوصّل بناء علی أنّ الواجب فیما نیط الوجوب فیه باسم أقلّ ما صدق علیه الاسم</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وجبت المقدّمة لکانت زیادة علی النصّ و الزیادة علیه نسخ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 زیادة علیه، کیف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مدلولین أصلیّا و تبعیّا، مع أنّ النسخ رفع مدلوله لا إثبات ما لا یدلّ علیه مع بقاء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وجبت لترتّب الثواب علیها، و الملازمة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بطلان التالی، کیف و الحجّ من بعد أکثر ثوابا منه من قرب، کذا ذکره الغزالی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الأخیر مناقشة؛ لأنّ الخصم لا ینکر زیادة الثواب بزیادة المشقّة اللازمة من المقدّمات، لکنّه</w:t>
      </w:r>
      <w:r>
        <w:rPr>
          <w:rStyle w:val="FootnoteAnchor"/>
          <w:rtl w:val="true"/>
        </w:rPr>
        <w:footnoteReference w:id="907"/>
      </w:r>
      <w:r>
        <w:rPr>
          <w:rFonts w:ascii="IRNazanin" w:hAnsi="IRNazanin" w:eastAsia="IRNazanin"/>
          <w:color w:val="111111"/>
          <w:sz w:val="28"/>
          <w:sz w:val="28"/>
          <w:szCs w:val="28"/>
          <w:rtl w:val="true"/>
          <w:lang w:bidi="fa-IR"/>
        </w:rPr>
        <w:t>یجعل الثواب علی الفعل باعتبارها، لا علیها إلّا أنّ هذا کلام علی السند</w:t>
      </w:r>
      <w:r>
        <w:rPr>
          <w:rFonts w:eastAsia="IRNazanin" w:cs="IRNazanin"/>
          <w:color w:val="111111"/>
          <w:sz w:val="28"/>
          <w:szCs w:val="28"/>
          <w:rtl w:val="true"/>
          <w:lang w:bidi="fa-IR"/>
        </w:rPr>
        <w:t>.</w:t>
      </w:r>
      <w:bookmarkStart w:id="343" w:name="pg19819_193640"/>
    </w:p>
    <w:p>
      <w:pPr>
        <w:pStyle w:val="Heading4"/>
        <w:numPr>
          <w:ilvl w:val="3"/>
          <w:numId w:val="1"/>
        </w:numPr>
        <w:rPr/>
      </w:pPr>
      <w:bookmarkStart w:id="344" w:name="__RefHeading___Toc3055661_2314609296"/>
      <w:bookmarkStart w:id="345" w:name="_Toc134"/>
      <w:bookmarkEnd w:id="343"/>
      <w:bookmarkEnd w:id="344"/>
      <w:r>
        <w:rPr>
          <w:rtl w:val="true"/>
        </w:rPr>
        <w:t>[</w:t>
      </w:r>
      <w:r>
        <w:rPr>
          <w:rtl w:val="true"/>
        </w:rPr>
        <w:t>أدلّة أصحاب القول الثالث</w:t>
      </w:r>
      <w:r>
        <w:rPr>
          <w:rtl w:val="true"/>
        </w:rPr>
        <w:t>]</w:t>
      </w:r>
      <w:bookmarkEnd w:id="345"/>
    </w:p>
    <w:p>
      <w:pPr>
        <w:pStyle w:val="BookText"/>
        <w:rPr/>
      </w:pPr>
      <w:r>
        <w:rPr>
          <w:rFonts w:ascii="IRNazanin" w:hAnsi="IRNazanin" w:eastAsia="IRNazanin"/>
          <w:color w:val="111111"/>
          <w:sz w:val="28"/>
          <w:sz w:val="28"/>
          <w:szCs w:val="28"/>
          <w:rtl w:val="true"/>
          <w:lang w:bidi="fa-IR"/>
        </w:rPr>
        <w:t>احتجّ أصحاب القول الثالث أمّا علی عدم وجوب غیر السبب، فبأصالة عدم تعلّق الخطاب به، و بالوجوه المذکورة، و أمّا علی وجوب السبب، فبوجوه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نقله جماعة منهم الآمدی</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 إلی الواجب واجب إجماعا، و لیس بالشرط لما ذکر، فتعیّن انحصار الوجوب فی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الإجماع، کیف و الخلاف مشهور، و فی کلام ابن الحاجب إشارة إلی هذا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یجب أن یکون لمتعلّق القدرة، و القدرة إنّما تتعلّق بمباشرة الأسباب، فهی إذا متعلّقة التکلیف و الخطاب، و إن تعلّق ظاهرا بالمسبّبات، لکنّه فی الحقیقة مصروف إلی الأسباب؛ لأنّها متعلّقة القدرة، و هذا بخلاف الشروط، فإنّه یبقی للقدرة بعدها تعلّق بنفس الفعل، فیصحّ انفکاک وجوبه عن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المکلّف به</w:t>
      </w:r>
      <w:r>
        <w:rPr>
          <w:rStyle w:val="FootnoteAnchor"/>
          <w:rtl w:val="true"/>
        </w:rPr>
        <w:footnoteReference w:id="909"/>
      </w:r>
      <w:r>
        <w:rPr>
          <w:rFonts w:ascii="IRNazanin" w:hAnsi="IRNazanin" w:eastAsia="IRNazanin"/>
          <w:color w:val="111111"/>
          <w:sz w:val="28"/>
          <w:sz w:val="28"/>
          <w:szCs w:val="28"/>
          <w:rtl w:val="true"/>
          <w:lang w:bidi="fa-IR"/>
        </w:rPr>
        <w:t>حادث، فله علّة حادثة تامّة تقارنه؛ لاستحالة تخلّف المعلول عن علّته بالزمان، فإذا أراد المکلّف فعلا فلا بدّ من إیجاد الجزء الأخیر لعلّته</w:t>
      </w:r>
      <w:r>
        <w:rPr>
          <w:rStyle w:val="FootnoteAnchor"/>
          <w:rtl w:val="true"/>
        </w:rPr>
        <w:footnoteReference w:id="910"/>
      </w:r>
      <w:r>
        <w:rPr>
          <w:rFonts w:ascii="IRNazanin" w:hAnsi="IRNazanin" w:eastAsia="IRNazanin"/>
          <w:color w:val="111111"/>
          <w:sz w:val="28"/>
          <w:sz w:val="28"/>
          <w:szCs w:val="28"/>
          <w:rtl w:val="true"/>
          <w:lang w:bidi="fa-IR"/>
        </w:rPr>
        <w:t>التامّة، فله علّة حادثة، و ینقل الکلام إلیه، و یلزم عدم التناهی و هو ملزم عدم تحقّق ما یتّصف بالوجوب و التکلیف بما لا یتناهی، و هما محالان، و أیضا لا یبقی لقضیّة ما لا یتمّ الواجب إلّا به موضوع محصّل؛ لأنّ السبب نفس الواجب الذی تعلّق به الخطاب أصالة لا مقدّمته</w:t>
      </w:r>
      <w:r>
        <w:rPr>
          <w:rStyle w:val="FootnoteAnchor"/>
          <w:rtl w:val="true"/>
        </w:rPr>
        <w:footnoteReference w:id="911"/>
      </w:r>
      <w:r>
        <w:rPr>
          <w:rFonts w:ascii="IRNazanin" w:hAnsi="IRNazanin" w:eastAsia="IRNazanin"/>
          <w:color w:val="111111"/>
          <w:sz w:val="28"/>
          <w:sz w:val="28"/>
          <w:szCs w:val="28"/>
          <w:rtl w:val="true"/>
          <w:lang w:bidi="fa-IR"/>
        </w:rPr>
        <w:t>و غیره من المقدّمات غیر واجب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أوّلا لیس نقضا علی وجوب السبب وحده، بل علی إمکان</w:t>
      </w:r>
      <w:bookmarkStart w:id="346" w:name="pg19819_193641"/>
    </w:p>
    <w:p>
      <w:pPr>
        <w:pStyle w:val="BookText"/>
        <w:rPr/>
      </w:pPr>
      <w:bookmarkEnd w:id="346"/>
      <w:r>
        <w:rPr>
          <w:rFonts w:ascii="IRNazanin" w:hAnsi="IRNazanin" w:eastAsia="IRNazanin"/>
          <w:color w:val="111111"/>
          <w:sz w:val="28"/>
          <w:sz w:val="28"/>
          <w:szCs w:val="28"/>
          <w:rtl w:val="true"/>
          <w:lang w:bidi="fa-IR"/>
        </w:rPr>
        <w:t>التکلیف بالمسبّب، ضرورة أنّ القدرة علیه إنّما تتعلّق بالذات بتحصیل أسبابه، سواء وصفناها بالوجوب أم لا، و ننقل الکلام إلی سبب المسبّب و هکذا، فیلزم من التکلیف بالسبب القدرة علی ما لا یتناهی، فظهر أنّ هذه شبهة یتمسّک بها فی نفی التکلیف، أو فی نفی اختیار العبد، لا فی نفی وجوب السبب، و کلّ ما اجیب عنها هناک، فهو کاف فی ما نحن فیه، لکنّا 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الإتیان بما لا یتناهی؛ لانتهائه إلی الإرادة، و کیف یتحقّق ما لا یتناهی بین حاصرین و هما الإرادة و وجوب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ثانیا فمناقشة فی العبارة بعد ظهور المراد؛ فإنّ القائل بوجوب الأسباب یجعل القول بکونها من باب ما لا یتمّ الواجب إلّا به قولا ظاهریّا مبنیّا علی ما یتعارفه الجمهور من وصف المسبّبات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عنده أنّ الموصوف بالوجوب لیس إلّا نفس السبب، و هذا کما أنّ الخطاب بحسب الظاهر مصروف إلیه، و هو فی الحقیقة مصروف إلی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للعبد فعلین علی رأی أکثر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مباشریّا و تولیدیّا، و الأوّل مقدّمة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فی الحقیقة مصروف إلی الأوّل، فیه نوع تساهل، و الغرض باعتبار کون متعلّقه مقدورا إنّما یتعلّق بالذات بالأوّل، و تعلّق القدرة بالثانی غیر تعلّقها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w:t>
      </w:r>
      <w:r>
        <w:rPr>
          <w:rStyle w:val="FootnoteAnchor"/>
          <w:rtl w:val="true"/>
        </w:rPr>
        <w:footnoteReference w:id="912"/>
      </w:r>
      <w:r>
        <w:rPr>
          <w:rFonts w:ascii="IRNazanin" w:hAnsi="IRNazanin" w:eastAsia="IRNazanin"/>
          <w:color w:val="111111"/>
          <w:sz w:val="28"/>
          <w:sz w:val="28"/>
          <w:szCs w:val="28"/>
          <w:rtl w:val="true"/>
          <w:lang w:bidi="fa-IR"/>
        </w:rPr>
        <w:t>و المسبّب أمران یتعلّق بهما الخطاب فی الجملة، و یوصفان بالوجوب، فلیتأمّل</w:t>
      </w:r>
      <w:r>
        <w:rPr>
          <w:rFonts w:eastAsia="IRNazanin" w:cs="IRNazanin"/>
          <w:color w:val="111111"/>
          <w:sz w:val="28"/>
          <w:szCs w:val="28"/>
          <w:rtl w:val="true"/>
          <w:lang w:bidi="fa-IR"/>
        </w:rPr>
        <w:t>.</w:t>
      </w:r>
    </w:p>
    <w:p>
      <w:pPr>
        <w:pStyle w:val="Heading4"/>
        <w:numPr>
          <w:ilvl w:val="3"/>
          <w:numId w:val="1"/>
        </w:numPr>
        <w:rPr/>
      </w:pPr>
      <w:bookmarkStart w:id="347" w:name="__RefHeading___Toc3055663_2314609296"/>
      <w:bookmarkStart w:id="348" w:name="_Toc135"/>
      <w:bookmarkEnd w:id="347"/>
      <w:r>
        <w:rPr>
          <w:rtl w:val="true"/>
        </w:rPr>
        <w:t>[</w:t>
      </w:r>
      <w:r>
        <w:rPr>
          <w:rtl w:val="true"/>
        </w:rPr>
        <w:t>احتجاج ابن الحاجب علی القول الرابع</w:t>
      </w:r>
      <w:r>
        <w:rPr>
          <w:rtl w:val="true"/>
        </w:rPr>
        <w:t>:]</w:t>
      </w:r>
      <w:bookmarkEnd w:id="34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ابن الحاجب علی نفی وجوب ما عدا الشرط الشرعی بما مرّ، و علی وجوبه بأنّه لو لم یجب لم یکن شرطا،</w:t>
      </w:r>
      <w:r>
        <w:rPr>
          <w:rStyle w:val="FootnoteAnchor"/>
          <w:rtl w:val="true"/>
        </w:rPr>
        <w:footnoteReference w:id="913"/>
      </w:r>
      <w:r>
        <w:rPr>
          <w:rFonts w:ascii="IRNazanin" w:hAnsi="IRNazanin" w:eastAsia="IRNazanin"/>
          <w:color w:val="111111"/>
          <w:sz w:val="28"/>
          <w:sz w:val="28"/>
          <w:szCs w:val="28"/>
          <w:rtl w:val="true"/>
          <w:lang w:bidi="fa-IR"/>
        </w:rPr>
        <w:t>و التالی ظاهر البطلان،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الملازمة أنّه علی تقدیر عدم وجوبه یکون الفعل صحیحا؛ لأنّ المکلّف حینئذ یکون آتیا بجمیع ما امر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 الشرط الشرعی لا خفاء فی أنّه مأمور به؛ إذ لا معنی لکونه شرطا إلّا وجوب الإتیان به عند الإتیان بالمشروط، و إنّما النزاع فی أنّ الأمر بالمشروط یتناوله أم لا؟</w:t>
      </w:r>
    </w:p>
    <w:p>
      <w:pPr>
        <w:pStyle w:val="BookText"/>
        <w:rPr/>
      </w:pPr>
      <w:r>
        <w:rPr>
          <w:rFonts w:ascii="IRNazanin" w:hAnsi="IRNazanin" w:eastAsia="IRNazanin"/>
          <w:color w:val="111111"/>
          <w:sz w:val="28"/>
          <w:sz w:val="28"/>
          <w:szCs w:val="28"/>
          <w:rtl w:val="true"/>
          <w:lang w:bidi="fa-IR"/>
        </w:rPr>
        <w:t>و حینئذ إن ارید بنفی وجوبه فی مقدّم الشرطیّة نفی وجوبه مطلقا، سلّمنا الملازمة و بطلان التالی، لکنّ اللازم وجوبه فی الجملة؛ لأنّه نقیض عدم الوجوب مطلقا، و إن ارید نفی وجوبه بهذا الأمر، منعنا الملازمة؛ لأنّ عدم وجوبه بهذا الأمر لا یستلزم تحقّق الصحّة بدونه؛ لکونه مأمورا به فی الفعل بأمر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لأنّ تفسیر الشرطیّة بوجوب الإتیان به بعد</w:t>
      </w:r>
      <w:r>
        <w:rPr>
          <w:rStyle w:val="FootnoteAnchor"/>
          <w:rtl w:val="true"/>
        </w:rPr>
        <w:footnoteReference w:id="914"/>
      </w:r>
      <w:r>
        <w:rPr>
          <w:rFonts w:ascii="IRNazanin" w:hAnsi="IRNazanin" w:eastAsia="IRNazanin"/>
          <w:color w:val="111111"/>
          <w:sz w:val="28"/>
          <w:sz w:val="28"/>
          <w:szCs w:val="28"/>
          <w:rtl w:val="true"/>
          <w:lang w:bidi="fa-IR"/>
        </w:rPr>
        <w:t>الإتیان بالمشروط إن کان بمعنی الوجوب الشرعی، فلا یصحّ تفسیر الشرطیّة</w:t>
      </w:r>
      <w:r>
        <w:rPr>
          <w:rStyle w:val="FootnoteAnchor"/>
          <w:rtl w:val="true"/>
        </w:rPr>
        <w:footnoteReference w:id="915"/>
      </w:r>
      <w:r>
        <w:rPr>
          <w:rFonts w:ascii="IRNazanin" w:hAnsi="IRNazanin" w:eastAsia="IRNazanin"/>
          <w:color w:val="111111"/>
          <w:sz w:val="28"/>
          <w:sz w:val="28"/>
          <w:szCs w:val="28"/>
          <w:rtl w:val="true"/>
          <w:lang w:bidi="fa-IR"/>
        </w:rPr>
        <w:t>إلّا عند من ینفی الحکم الوضعی و یردّه إلی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عند المستدلّ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بمعنی أنّه لا بدّ منه فی صحّة المشروط شرعا، لم یستلزم الشرطیّة کون الشرط مأمورا به لغیر الأمر بالمشروط،</w:t>
      </w:r>
      <w:r>
        <w:rPr>
          <w:rStyle w:val="FootnoteAnchor"/>
          <w:rtl w:val="true"/>
        </w:rPr>
        <w:footnoteReference w:id="916"/>
      </w:r>
      <w:r>
        <w:rPr>
          <w:rFonts w:ascii="IRNazanin" w:hAnsi="IRNazanin" w:eastAsia="IRNazanin"/>
          <w:color w:val="111111"/>
          <w:sz w:val="28"/>
          <w:sz w:val="28"/>
          <w:szCs w:val="28"/>
          <w:rtl w:val="true"/>
          <w:lang w:bidi="fa-IR"/>
        </w:rPr>
        <w:t>و التحقیق أنّ معنی الشرطیّة مجرّد کون الفعل موقوف الصحّة علیه مع قطع النظر عن تعلّق الخطاب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إذا علم وجوب شی‌ء</w:t>
      </w:r>
      <w:r>
        <w:rPr>
          <w:rStyle w:val="FootnoteAnchor"/>
          <w:rtl w:val="true"/>
        </w:rPr>
        <w:footnoteReference w:id="917"/>
      </w:r>
      <w:r>
        <w:rPr>
          <w:rFonts w:ascii="Amiri" w:hAnsi="Amiri" w:eastAsia="Amiri" w:cs="Amiri"/>
          <w:color w:val="111111"/>
          <w:sz w:val="28"/>
          <w:sz w:val="28"/>
          <w:szCs w:val="28"/>
          <w:rtl w:val="true"/>
          <w:lang w:bidi="ar-SA"/>
        </w:rPr>
        <w:t>و شرطیّة شی‌ء</w:t>
      </w:r>
      <w:r>
        <w:rPr>
          <w:rStyle w:val="FootnoteAnchor"/>
          <w:rtl w:val="true"/>
        </w:rPr>
        <w:footnoteReference w:id="918"/>
      </w:r>
      <w:r>
        <w:rPr>
          <w:rFonts w:ascii="IRNazanin" w:hAnsi="IRNazanin" w:eastAsia="IRNazanin"/>
          <w:color w:val="111111"/>
          <w:sz w:val="28"/>
          <w:sz w:val="28"/>
          <w:szCs w:val="28"/>
          <w:rtl w:val="true"/>
          <w:lang w:bidi="fa-IR"/>
        </w:rPr>
        <w:t>آخر فی صحّته، و لم یصرّح بوجوب هذا الشرط، فهل یکون تعلّق الخطاب بالمشروط تعلّقا له بالشرط تبعا أم لا؟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منع الملازمة؛ فإنّ توقّف الصحّة علیه لا یستلزم وجوبه کما ذکرنا، و هل هو إلّا أوّل البحث؟</w:t>
      </w:r>
    </w:p>
    <w:p>
      <w:pPr>
        <w:pStyle w:val="BookText"/>
        <w:rPr/>
      </w:pPr>
      <w:r>
        <w:rPr>
          <w:rFonts w:ascii="IRNazanin" w:hAnsi="IRNazanin" w:eastAsia="IRNazanin"/>
          <w:color w:val="111111"/>
          <w:sz w:val="28"/>
          <w:sz w:val="28"/>
          <w:szCs w:val="28"/>
          <w:rtl w:val="true"/>
          <w:lang w:bidi="fa-IR"/>
        </w:rPr>
        <w:t>و لا نسلّم أنّه علی تقدیر عدم الوجوب آت بالمأمور به فضلا عن الإتیان بجمیع المأمور به، فإنّ المأمور به هو الصلاة بعد الطهارة، کالصلاة بعد الوقت و إن لم یکن الطهارة موصوفة بالوجوب شرعا، غایة ما فی الباب أنّه لا بدّ منها فی صحّة الفعل شرعا کما أنّ الشرط</w:t>
      </w:r>
      <w:r>
        <w:rPr>
          <w:rStyle w:val="FootnoteAnchor"/>
          <w:rtl w:val="true"/>
        </w:rPr>
        <w:footnoteReference w:id="919"/>
      </w:r>
      <w:r>
        <w:rPr>
          <w:rFonts w:ascii="IRNazanin" w:hAnsi="IRNazanin" w:eastAsia="IRNazanin"/>
          <w:color w:val="111111"/>
          <w:sz w:val="28"/>
          <w:sz w:val="28"/>
          <w:szCs w:val="28"/>
          <w:rtl w:val="true"/>
          <w:lang w:bidi="fa-IR"/>
        </w:rPr>
        <w:t>العقلی لا بدّ منه فی تحقّق الفعل عقلا</w:t>
      </w:r>
      <w:r>
        <w:rPr>
          <w:rStyle w:val="FootnoteAnchor"/>
          <w:rtl w:val="true"/>
        </w:rPr>
        <w:footnoteReference w:id="920"/>
      </w:r>
      <w:r>
        <w:rPr>
          <w:rFonts w:ascii="IRNazanin" w:hAnsi="IRNazanin" w:eastAsia="IRNazanin"/>
          <w:color w:val="111111"/>
          <w:sz w:val="28"/>
          <w:sz w:val="28"/>
          <w:szCs w:val="28"/>
          <w:rtl w:val="true"/>
          <w:lang w:bidi="fa-IR"/>
        </w:rPr>
        <w:t>و إن کان المنع هناک أظهر، و منشأ الفرق بینه و بین العقلی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لابدّیّته شرعیّة و لابدّیّة ذاک عقلیّة، و قد عرفت أنّ هذا لا یصحّح الفرق، فإنّ اللابدّیّة الشرعیّة غیر الوجوب، بناء علی التحقیق من مغایرة الحکم الوضعی للشرعی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الشرعی لا ینفکّ غالبا عن صریح الوجوب من الشرع، فظنّ أنّ استفادة وجوبه من الخطاب بالمشروط، و ممّا یوضح عدم الفرق أنّ القدر المعقول من الشرطیّة فی شرط الواجب و المندوب کالطهارة فی</w:t>
      </w:r>
      <w:r>
        <w:rPr>
          <w:rStyle w:val="FootnoteAnchor"/>
          <w:rtl w:val="true"/>
        </w:rPr>
        <w:footnoteReference w:id="921"/>
      </w:r>
      <w:r>
        <w:rPr>
          <w:rFonts w:ascii="IRNazanin" w:hAnsi="IRNazanin" w:eastAsia="IRNazanin"/>
          <w:color w:val="111111"/>
          <w:sz w:val="28"/>
          <w:sz w:val="28"/>
          <w:szCs w:val="28"/>
          <w:rtl w:val="true"/>
          <w:lang w:bidi="fa-IR"/>
        </w:rPr>
        <w:t>النافلة أمر واحد، و هو لابدّیّته فی صحّة الفعل، فالشرطیّة من حیث هی</w:t>
      </w:r>
      <w:r>
        <w:rPr>
          <w:rStyle w:val="FootnoteAnchor"/>
          <w:rtl w:val="true"/>
        </w:rPr>
        <w:footnoteReference w:id="922"/>
      </w:r>
      <w:r>
        <w:rPr>
          <w:rFonts w:ascii="IRNazanin" w:hAnsi="IRNazanin" w:eastAsia="IRNazanin"/>
          <w:color w:val="111111"/>
          <w:sz w:val="28"/>
          <w:sz w:val="28"/>
          <w:szCs w:val="28"/>
          <w:rtl w:val="true"/>
          <w:lang w:bidi="fa-IR"/>
        </w:rPr>
        <w:t>لا تستلزم الخطاب بالوجوب، و الخطاب بالمشروط بها کالخطاب بالمشروط بالعقلیّة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تقریر الکلام علی الوجه الثانی،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923"/>
      </w:r>
      <w:r>
        <w:rPr>
          <w:rFonts w:ascii="IRNazanin" w:hAnsi="IRNazanin" w:eastAsia="IRNazanin"/>
          <w:color w:val="111111"/>
          <w:sz w:val="28"/>
          <w:sz w:val="28"/>
          <w:szCs w:val="28"/>
          <w:rtl w:val="true"/>
          <w:lang w:bidi="fa-IR"/>
        </w:rPr>
        <w:t>قدماء الاصولیّین لمّا أطلقوا وجوب ما لا یتمّ الواجب إلّا به، و منهم جماعة فیهم</w:t>
      </w:r>
      <w:r>
        <w:rPr>
          <w:rStyle w:val="FootnoteAnchor"/>
          <w:rtl w:val="true"/>
        </w:rPr>
        <w:footnoteReference w:id="924"/>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الرازی فی بعض مختصراته، کما أشرنا إلیه، و ربّما ظهر من کلام أبی الحسین البصری، و کلام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أیضا من دلالة علیه أنّ المراد من هذا أنّ التکلیف بالواجب ثابت علی کلّ حال، غیر مقیّد بوجود المقدّمة، و أنّ القول المقابل لهذا أنّ الأمر یصیر مقیّدا بوجودها، و الفعل لا یجب إلّا مع اتّفاق وجود المقدّمة، و لم یفرق القائلان بین السبب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الثانی لا یمکن جریانه فی السبب؛</w:t>
      </w:r>
      <w:r>
        <w:rPr>
          <w:rStyle w:val="FootnoteAnchor"/>
          <w:rtl w:val="true"/>
        </w:rPr>
        <w:footnoteReference w:id="925"/>
      </w:r>
      <w:r>
        <w:rPr>
          <w:rFonts w:ascii="IRNazanin" w:hAnsi="IRNazanin" w:eastAsia="IRNazanin"/>
          <w:color w:val="111111"/>
          <w:sz w:val="28"/>
          <w:sz w:val="28"/>
          <w:szCs w:val="28"/>
          <w:rtl w:val="true"/>
          <w:lang w:bidi="fa-IR"/>
        </w:rPr>
        <w:t>لما ذکرنا من استلزام ذلک تقیید وجوب الشی‌ء بوجود نفسه قیّده بغیر السبب و صار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فی المسألة علی هذا التحریر بحسب الظاهر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الأمر مطلقا علی إطلاقه و استلزم الخطاب به الخطاب بمقدّمته کما أطلقه القدماء و عبّروا عنه بوجوب ما لا یتمّ الواجب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إبقاء الأمر مطلقا علی إطلاقه، و تقیید وجوبه بوجود مقدّمته، فلا یجب إلّا مع اتّفاق المقدّمة و لا یجب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السبب و غیره، فیبقی الواجب المطلق بالنسبة إلی السبب علی إطلاقه، و لا یتقیّد وجوب المسبّب بوجوده، و یصرف إلی التقیید فی غیره، و هو مختار السیّد قدّس سرّه</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و لمّا کان الخلاف علی هذا الوجه غیر متصوّر فی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القول الثالث، و إنّما ذکرناه نظرا إلی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انحصر الخلاف فی غیر السبب علی 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927"/>
      </w:r>
      <w:r>
        <w:rPr>
          <w:rFonts w:ascii="IRNazanin" w:hAnsi="IRNazanin" w:eastAsia="IRNazanin"/>
          <w:color w:val="111111"/>
          <w:sz w:val="28"/>
          <w:sz w:val="28"/>
          <w:szCs w:val="28"/>
          <w:rtl w:val="true"/>
          <w:lang w:bidi="fa-IR"/>
        </w:rPr>
        <w:t>وجوب المقدّمة و البقاء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صرف الأمر إلی التقیید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الأوّل ظاهرة ممّا سبق، و حاصلها التمسّک بأصالة البقاء علی الإطلاق و الهرب مع بقائه، و عدم وجوب الشرط عن تکلیف ما لا یطاق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القول الثانی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المستفاد من کلام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مشروط، و الثابت مطلق الوجوب و هو الأعمّ</w:t>
      </w:r>
      <w:r>
        <w:rPr>
          <w:rStyle w:val="FootnoteAnchor"/>
          <w:rtl w:val="true"/>
        </w:rPr>
        <w:footnoteReference w:id="928"/>
      </w:r>
      <w:r>
        <w:rPr>
          <w:rFonts w:ascii="IRNazanin" w:hAnsi="IRNazanin" w:eastAsia="IRNazanin"/>
          <w:color w:val="111111"/>
          <w:sz w:val="28"/>
          <w:sz w:val="28"/>
          <w:szCs w:val="28"/>
          <w:rtl w:val="true"/>
          <w:lang w:bidi="fa-IR"/>
        </w:rPr>
        <w:t>من الوجوب المطلق، و لا دلالة للعامّ علی شی‌ء من خصوصیّاته، و حینئذ فالمعلوم المقطوع به وجوبه حال وجود المقدّمة، و وجوده قبلها مشکوک فیه؛ لأنّه إنّما یثبت إذا کان الواجب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مقیّد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متحقّق؛ لما ذکرنا من عدم دلالة مطلق الوجوب علی النوع الخاصّ منه، و الأصل براءة الذمّة من الوجوب فی غیر المتحقّق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ظاهر؛ فإنّ إطلاق الأمر ظاهر فی الوجوب فی جمیع الحالات، و لیس مدلوله مطلق الوجوب بل الوجوب المطلق، فإنّ السیّد إذا قال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السطح، لم یصحّ منه الاعتذار بأنّه موقوف علی نصب السلّم و لم تکلّفنی به، و لم یتّفق وجوده بعد، فلا یجب علیّ، بل المتبادر عند العقلاء أنّه أوجبه فی جمیع أوقات القدرة، و لهذا یلومونه علی عدم التوصّل إلی الواجب باعتبار استلزام إخلاله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 الأمر علی إطلاقه، و لم یتقیّد بالمقدّمة، لزم إمّا خلاف الأصل أو التناقض، و التالی بقسمیه باطل؛ أمّا الأوّل، فلأنّ مخالفة الأصل لشغل الذمّة بلا دلیل باطل بالإجماع، و أمّا الثانی فظاهر، و وجه الملازمة أنّا إذا أبقینا الأمر علی إطلاقه و أوجبنا الفعل علی کلّ حال، فإمّا أن یوجب المقدّمة وجوبا شرعیّا، فیلزم مخالفة الأصل، لأصالة عدم الوجوب، و إمّا أن لا یوجبها، فیلزم وجوب التوصّل إلی الواجب بما لیس بواجب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استحالة التالی بقسمیه؛ أمّا الأوّل فلوجود ما یخالف الأصل، و هو إطلاق الأمر الشامل لجمیع الحالات و عدم دلیل التقیید</w:t>
      </w:r>
      <w:r>
        <w:rPr>
          <w:rFonts w:eastAsia="IRNazanin" w:cs="IRNazanin"/>
          <w:color w:val="111111"/>
          <w:sz w:val="28"/>
          <w:szCs w:val="28"/>
          <w:rtl w:val="true"/>
          <w:lang w:bidi="fa-IR"/>
        </w:rPr>
        <w:t>.</w:t>
      </w:r>
      <w:bookmarkStart w:id="349" w:name="pg19819_193646"/>
    </w:p>
    <w:p>
      <w:pPr>
        <w:pStyle w:val="BookText"/>
        <w:rPr/>
      </w:pPr>
      <w:bookmarkEnd w:id="349"/>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إثبات الوجوب حال عدم المقدّمة المخالف للأصل أولی</w:t>
      </w:r>
      <w:r>
        <w:rPr>
          <w:rStyle w:val="FootnoteAnchor"/>
          <w:rtl w:val="true"/>
        </w:rPr>
        <w:footnoteReference w:id="930"/>
      </w:r>
      <w:r>
        <w:rPr>
          <w:rFonts w:ascii="IRNazanin" w:hAnsi="IRNazanin" w:eastAsia="IRNazanin"/>
          <w:color w:val="111111"/>
          <w:sz w:val="28"/>
          <w:sz w:val="28"/>
          <w:szCs w:val="28"/>
          <w:rtl w:val="true"/>
          <w:lang w:bidi="fa-IR"/>
        </w:rPr>
        <w:t>من تقیید المطلق بحال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القول بوجوب المقدّمة أولی من تقیید المطلق؛ لأنّه إثبات ما لم یدلّ ظاهر علی نفیه</w:t>
      </w:r>
      <w:r>
        <w:rPr>
          <w:rStyle w:val="FootnoteAnchor"/>
          <w:rtl w:val="true"/>
        </w:rPr>
        <w:footnoteReference w:id="931"/>
      </w:r>
      <w:r>
        <w:rPr>
          <w:rFonts w:ascii="IRNazanin" w:hAnsi="IRNazanin" w:eastAsia="IRNazanin"/>
          <w:color w:val="111111"/>
          <w:sz w:val="28"/>
          <w:sz w:val="28"/>
          <w:szCs w:val="28"/>
          <w:rtl w:val="true"/>
          <w:lang w:bidi="fa-IR"/>
        </w:rPr>
        <w:t>، و التقیید یخالف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نقل الإمام الرازی فی بعض مختصراته لأصحاب هذا القول حجّة ردیّة لا یستحقّ أن تذکر</w:t>
      </w:r>
      <w:r>
        <w:rPr>
          <w:rStyle w:val="FootnoteAnchor"/>
          <w:rtl w:val="true"/>
        </w:rPr>
        <w:footnoteReference w:id="932"/>
      </w:r>
      <w:r>
        <w:rPr>
          <w:rFonts w:ascii="IRNazanin" w:hAnsi="IRNazanin" w:eastAsia="IRNazanin"/>
          <w:color w:val="111111"/>
          <w:sz w:val="28"/>
          <w:sz w:val="28"/>
          <w:szCs w:val="28"/>
          <w:rtl w:val="true"/>
          <w:lang w:bidi="fa-IR"/>
        </w:rPr>
        <w:t xml:space="preserve">، و یجاب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أضربنا عنها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ظهر أنّ الحقّ وجوب السبب، و أنّ الظاهر بقاء المطلق و وجوب المقدّمة، و اللّه الموفّق</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055665_2314609296"/>
      <w:bookmarkStart w:id="351" w:name="_Toc136"/>
      <w:bookmarkEnd w:id="350"/>
      <w:r>
        <w:rPr>
          <w:rtl w:val="true"/>
        </w:rPr>
        <w:t>تنبیهات</w:t>
      </w:r>
      <w:r>
        <w:rPr>
          <w:rtl w:val="true"/>
        </w:rPr>
        <w:t>:</w:t>
      </w:r>
      <w:bookmarkEnd w:id="35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التقدیرین الامور الخارجة عن ظاهر ما یتناوله الأمر من الأسباب و الشروط، أمّا الأجزاء فکأنّه لا ریب فی أنّ الأمر بالکلّ أمر بها من حیث هی فی ضمنه؛ لأنّ إیجاد الکلّ هو إیجادها کذلک، و لیس لإیجاد الکلّ أمر</w:t>
      </w:r>
      <w:r>
        <w:rPr>
          <w:rStyle w:val="FootnoteAnchor"/>
          <w:rtl w:val="true"/>
        </w:rPr>
        <w:footnoteReference w:id="933"/>
      </w:r>
      <w:r>
        <w:rPr>
          <w:rFonts w:ascii="IRNazanin" w:hAnsi="IRNazanin" w:eastAsia="IRNazanin"/>
          <w:color w:val="111111"/>
          <w:sz w:val="28"/>
          <w:sz w:val="28"/>
          <w:szCs w:val="28"/>
          <w:rtl w:val="true"/>
          <w:lang w:bidi="fa-IR"/>
        </w:rPr>
        <w:t>غیر إیجاد أجزائه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الاستدلال علیه باستحالة وجوب المرکّب بدون وجوبها، أو باستحالة وجوده بدون وجودها فکما تری، و لیس هو</w:t>
      </w:r>
      <w:r>
        <w:rPr>
          <w:rStyle w:val="FootnoteAnchor"/>
          <w:rtl w:val="true"/>
        </w:rPr>
        <w:footnoteReference w:id="935"/>
      </w:r>
      <w:r>
        <w:rPr>
          <w:rFonts w:ascii="IRNazanin" w:hAnsi="IRNazanin" w:eastAsia="IRNazanin"/>
          <w:color w:val="111111"/>
          <w:sz w:val="28"/>
          <w:sz w:val="28"/>
          <w:szCs w:val="28"/>
          <w:rtl w:val="true"/>
          <w:lang w:bidi="fa-IR"/>
        </w:rPr>
        <w:t>إلّا مثل قولک فی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وجوب المشروط بدون وجوب شرطه، أو وجوده بدون شرطه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منه</w:t>
      </w:r>
      <w:r>
        <w:rPr>
          <w:rStyle w:val="FootnoteAnchor"/>
          <w:rtl w:val="true"/>
        </w:rPr>
        <w:footnoteReference w:id="936"/>
      </w:r>
      <w:r>
        <w:rPr>
          <w:rFonts w:ascii="IRNazanin" w:hAnsi="IRNazanin" w:eastAsia="IRNazanin"/>
          <w:color w:val="111111"/>
          <w:sz w:val="28"/>
          <w:sz w:val="28"/>
          <w:szCs w:val="28"/>
          <w:rtl w:val="true"/>
          <w:lang w:bidi="fa-IR"/>
        </w:rPr>
        <w:t>أنّ الأوّل مصادرة، و الثانی غیر مستلزم للمطلوب و لیس نصّا</w:t>
      </w:r>
    </w:p>
    <w:p>
      <w:pPr>
        <w:pStyle w:val="BookText"/>
        <w:rPr/>
      </w:pPr>
      <w:r>
        <w:rPr>
          <w:rFonts w:ascii="IRNazanin" w:hAnsi="IRNazanin" w:eastAsia="IRNazanin"/>
          <w:color w:val="111111"/>
          <w:sz w:val="28"/>
          <w:sz w:val="28"/>
          <w:szCs w:val="28"/>
          <w:rtl w:val="true"/>
          <w:lang w:bidi="fa-IR"/>
        </w:rPr>
        <w:t>لوجوب المقدّمة من حیث عدم تعلّق الخطاب بها أصالة، أو من حیث أصالة</w:t>
      </w:r>
      <w:r>
        <w:rPr>
          <w:rStyle w:val="FootnoteAnchor"/>
          <w:rtl w:val="true"/>
        </w:rPr>
        <w:footnoteReference w:id="937"/>
      </w:r>
      <w:r>
        <w:rPr>
          <w:rFonts w:ascii="IRNazanin" w:hAnsi="IRNazanin" w:eastAsia="IRNazanin"/>
          <w:color w:val="111111"/>
          <w:sz w:val="28"/>
          <w:sz w:val="28"/>
          <w:szCs w:val="28"/>
          <w:rtl w:val="true"/>
          <w:lang w:bidi="fa-IR"/>
        </w:rPr>
        <w:t>استحقاق الذمّ بترکها أصلا لیتّجه مثله فی الجزء، أو لینتقض دلیلها به، بل</w:t>
      </w:r>
      <w:r>
        <w:rPr>
          <w:rStyle w:val="FootnoteAnchor"/>
          <w:rtl w:val="true"/>
        </w:rPr>
        <w:footnoteReference w:id="938"/>
      </w:r>
      <w:r>
        <w:rPr>
          <w:rFonts w:ascii="IRNazanin" w:hAnsi="IRNazanin" w:eastAsia="IRNazanin"/>
          <w:color w:val="111111"/>
          <w:sz w:val="28"/>
          <w:sz w:val="28"/>
          <w:szCs w:val="28"/>
          <w:rtl w:val="true"/>
          <w:lang w:bidi="fa-IR"/>
        </w:rPr>
        <w:t>لعدم ثبوت تناول الخطاب بها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تحقّق کون ترکها سببا للذمّ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قارنه استحقاق الذمّ علی ترک الواجب الموقوف علیها کما فی کلام بعض شرّاح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فی هذا المقام جدّا، و ما نقله عن المواقف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هذه المسألة بالفروع العملیّة علی تقریر الخلاف بالوجه الأخیر ظاهر لا شبهة به، و أمّا علی النمط المشهور فقد یظهر فائدة الخلاف فی المشتبهات المشروطة بالنیّة کالصلاة فی الثوبین المشتبهین، فإنّ بعض الأصحاب منع منه و أوجب الصلاة عاریا مستدلّا باعتبار النیّة و عدم إمکان الجزم هنا مجیبا عن تحقّق الجزم بعد الفراغ منها، بأنّ وجوه الأفعال یجب مقارنتها لأوّلها، و لا یجوز تأخّرها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هذا الاستدلال إنّما یصحّ علی القول بعدم وجوب المقدّمة، أمّا علی القول بوجوبها، فالجزم بالوجوب متحقّق، و إن لم یتمیّز منعه</w:t>
      </w:r>
      <w:r>
        <w:rPr>
          <w:rStyle w:val="FootnoteAnchor"/>
          <w:rtl w:val="true"/>
        </w:rPr>
        <w:footnoteReference w:id="939"/>
      </w:r>
      <w:r>
        <w:rPr>
          <w:rFonts w:ascii="IRNazanin" w:hAnsi="IRNazanin" w:eastAsia="IRNazanin"/>
          <w:color w:val="111111"/>
          <w:sz w:val="28"/>
          <w:sz w:val="28"/>
          <w:szCs w:val="28"/>
          <w:rtl w:val="true"/>
          <w:lang w:bidi="fa-IR"/>
        </w:rPr>
        <w:t>من الأصل و غیره، و لیس ذلک شرطا فی الصحّة قطعا و إن کان الجواب عن الاستدلال ممکنا بوجه آخر</w:t>
      </w:r>
      <w:r>
        <w:rPr>
          <w:rStyle w:val="FootnoteAnchor"/>
          <w:rtl w:val="true"/>
        </w:rPr>
        <w:footnoteReference w:id="940"/>
      </w:r>
      <w:r>
        <w:rPr>
          <w:rFonts w:ascii="IRNazanin" w:hAnsi="IRNazanin" w:eastAsia="IRNazanin"/>
          <w:color w:val="111111"/>
          <w:sz w:val="28"/>
          <w:sz w:val="28"/>
          <w:szCs w:val="28"/>
          <w:rtl w:val="true"/>
          <w:lang w:bidi="fa-IR"/>
        </w:rPr>
        <w:t>، و کذا یتفرّع علی المسألة المذکورة نیّة الوجوب الجازم فی قضاء مجهولة التعیین، و فی الصلاة إلی أربع جهات، و کذا یتفرّع علیه وصف المشتبهة بالأجنبیّة بالتحریم علی القول بالتصویب، و نحو ذلک ممّا لا یخفی علی الفطن فی تصانیف کتب الفقه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أیضا تفریع بعض المسائل اللفظیّة کما لو نذر شغل الزمان بواجب، أو علّق</w:t>
      </w:r>
    </w:p>
    <w:p>
      <w:pPr>
        <w:pStyle w:val="BookText"/>
        <w:rPr/>
      </w:pPr>
      <w:r>
        <w:rPr>
          <w:rFonts w:ascii="IRNazanin" w:hAnsi="IRNazanin" w:eastAsia="IRNazanin"/>
          <w:color w:val="111111"/>
          <w:sz w:val="28"/>
          <w:sz w:val="28"/>
          <w:szCs w:val="28"/>
          <w:rtl w:val="true"/>
          <w:lang w:bidi="fa-IR"/>
        </w:rPr>
        <w:t>الظهار علی فعله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أبو الحسین البصری و تبعه الفخر الرازی مقدّمة الواجب إلی وصلة و غیر وصلة، و الوصلة إلی سبب و غیره، و غیر السبب إلی شرط شرعی و غیره، و غیر الوصلة إلی فعل و ترک، و الفعل إلی ما یفرغ الذمّة من المشتبه کالصلاة فی المشتبهین و إلی ما یستوفی به الواجب کإدخال جزء من اللیل فی الصوم، و الترک لا یکون إلّا لالتباس الشی‌ء بغیره إمّا فی نفس الشی‌ء الواحد کالماء المختلط بالنجاسة، أو فی شیئین فصاعدا کماء الإناءین</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 هذا التقسیم لا کثرة</w:t>
      </w:r>
      <w:r>
        <w:rPr>
          <w:rStyle w:val="FootnoteAnchor"/>
          <w:rtl w:val="true"/>
        </w:rPr>
        <w:footnoteReference w:id="942"/>
      </w:r>
      <w:r>
        <w:rPr>
          <w:rFonts w:ascii="IRNazanin" w:hAnsi="IRNazanin" w:eastAsia="IRNazanin"/>
          <w:color w:val="111111"/>
          <w:sz w:val="28"/>
          <w:sz w:val="28"/>
          <w:szCs w:val="28"/>
          <w:rtl w:val="true"/>
          <w:lang w:bidi="fa-IR"/>
        </w:rPr>
        <w:t>فائدة فیه، مع أنّه إذا ارید بالوصلة ما یتناول غیر السبب، فجمیع مقدّمة الواجب وصلة، أی له دخل فی التوصّل إلی الواجب؛ فإنّ تکرار الصلاة مع الاشتباه وصلة إلی أداء ما فی الذمّة، و إدخال جزء من اللیل وصلة إلی استیفاء الواجب بیقین، و ترک الماء</w:t>
      </w:r>
      <w:r>
        <w:rPr>
          <w:rStyle w:val="FootnoteAnchor"/>
          <w:rtl w:val="true"/>
        </w:rPr>
        <w:footnoteReference w:id="943"/>
      </w:r>
      <w:r>
        <w:rPr>
          <w:rFonts w:ascii="IRNazanin" w:hAnsi="IRNazanin" w:eastAsia="IRNazanin"/>
          <w:color w:val="111111"/>
          <w:sz w:val="28"/>
          <w:sz w:val="28"/>
          <w:szCs w:val="28"/>
          <w:rtl w:val="true"/>
          <w:lang w:bidi="fa-IR"/>
        </w:rPr>
        <w:t>المختلط وصلة لاجتناب النجس، و کذا ترک الإناءین إلّا أن یراد بالوصلة معنی آخر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العادة أن یذکر من توابع هذا الأصل الواجب المنوط باسم إذا لم یقدّر له قدر هل یوصف ما زاد منه علی أقلّ الواجب بالوجوب أو بالاستحباب؟ و کأنّ وجه تفریعه علی هذه القاعدة أنّ الواجب حیث کان هذا الأمر الکلّی الذی لا یمکن تحقّقه إلّا فی ضمن فرد</w:t>
      </w:r>
      <w:r>
        <w:rPr>
          <w:rStyle w:val="FootnoteAnchor"/>
          <w:rtl w:val="true"/>
        </w:rPr>
        <w:footnoteReference w:id="944"/>
      </w:r>
      <w:r>
        <w:rPr>
          <w:rFonts w:ascii="IRNazanin" w:hAnsi="IRNazanin" w:eastAsia="IRNazanin"/>
          <w:color w:val="111111"/>
          <w:sz w:val="28"/>
          <w:sz w:val="28"/>
          <w:szCs w:val="28"/>
          <w:rtl w:val="true"/>
          <w:lang w:bidi="fa-IR"/>
        </w:rPr>
        <w:t>أو المختلفة المقادیر کانت هذه الأفراد کلّها ممّا</w:t>
      </w:r>
      <w:r>
        <w:rPr>
          <w:rStyle w:val="FootnoteAnchor"/>
          <w:rtl w:val="true"/>
        </w:rPr>
        <w:footnoteReference w:id="945"/>
      </w:r>
      <w:r>
        <w:rPr>
          <w:rFonts w:ascii="IRNazanin" w:hAnsi="IRNazanin" w:eastAsia="IRNazanin"/>
          <w:color w:val="111111"/>
          <w:sz w:val="28"/>
          <w:sz w:val="28"/>
          <w:szCs w:val="28"/>
          <w:rtl w:val="true"/>
          <w:lang w:bidi="fa-IR"/>
        </w:rPr>
        <w:t>یمکن وصفها بالوجوب، فاختلف النظر فیها، فتارة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الزائد علی الأصل موصوف بالوجوب؛ لأنّ نسبة الأمر إلی المقادیر المختلفة نسبة واحدة؛ لتساوی الجزئیّات و تناول الکلّ لها و إمکان التخییر بین القلیل و الکثیر، و تارة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الزائد لا یوصف بالوجوب، لجواز</w:t>
      </w:r>
    </w:p>
    <w:p>
      <w:pPr>
        <w:pStyle w:val="BookText"/>
        <w:rPr/>
      </w:pPr>
      <w:r>
        <w:rPr>
          <w:rFonts w:ascii="IRNazanin" w:hAnsi="IRNazanin" w:eastAsia="IRNazanin"/>
          <w:color w:val="111111"/>
          <w:sz w:val="28"/>
          <w:sz w:val="28"/>
          <w:szCs w:val="28"/>
          <w:rtl w:val="true"/>
          <w:lang w:bidi="fa-IR"/>
        </w:rPr>
        <w:t>ترکه لا إلی بدل</w:t>
      </w:r>
      <w:r>
        <w:rPr>
          <w:rStyle w:val="FootnoteAnchor"/>
          <w:rtl w:val="true"/>
        </w:rPr>
        <w:footnoteReference w:id="946"/>
      </w:r>
      <w:r>
        <w:rPr>
          <w:rFonts w:ascii="IRNazanin" w:hAnsi="IRNazanin" w:eastAsia="IRNazanin"/>
          <w:color w:val="111111"/>
          <w:sz w:val="28"/>
          <w:sz w:val="28"/>
          <w:szCs w:val="28"/>
          <w:rtl w:val="true"/>
          <w:lang w:bidi="fa-IR"/>
        </w:rPr>
        <w:t>، و هو ینافی معنی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هذا أنّ الزائد إنّما یجوز ترکه إلی بدل و هو الأقلّ، و لا استحالة أن یکون الأقلّ فی ذاته فردا مستقلّا من الواجب و جزءا من فرد آخر، و غایته التخییر بین الجزء و الکلّ و هو جائز عقلا، واقع شرعا کما فی أماکن التخییر بین القصر و التمام فی مشهور الأصحاب، و قد یفرق بین متعاقب الأجزاء و دفعتها، فیوصف الزائد فی الثانی بالوجوب دون الأوّل؛ لتحقّق البراءة فی المتعاقب بالمسمّی أوّلا بخلاف الدفعی؛ لتساوی الأجزاء فی صلاحیة الامتثال و عدم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ضعف؛ لأنّ جواز الترک لا إلی بدل قائم فی الصورتین، و استواء الأجزاء عندنا لا یقدح، فإنّ اللّه یحتسب المسمّی واجبا</w:t>
      </w:r>
      <w:r>
        <w:rPr>
          <w:rStyle w:val="FootnoteAnchor"/>
          <w:rtl w:val="true"/>
        </w:rPr>
        <w:footnoteReference w:id="947"/>
      </w:r>
      <w:r>
        <w:rPr>
          <w:rFonts w:ascii="IRNazanin" w:hAnsi="IRNazanin" w:eastAsia="IRNazanin"/>
          <w:color w:val="111111"/>
          <w:sz w:val="28"/>
          <w:sz w:val="28"/>
          <w:szCs w:val="28"/>
          <w:rtl w:val="true"/>
          <w:lang w:bidi="fa-IR"/>
        </w:rPr>
        <w:t>، و یلغی الزائد من الوجوب، و إن وقع فی صحبة الواجب، و هذا کما لو دفع خصال الکفّارة دفعة، فإنّ الموصوف بالوجوب أحدها، و تساویها فی صلاحیة الامتثال دفعة لا یخرجها کلّها إلی وصف الوجوب، و المسألة محلّ إشکال؛ إذ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الواجب ما لم یجز ترکه إلّا إلی بدل ابتداء بحیث یکون المکلّف عند أوّل إیقاعه لا مندوحة له عنه إلّا بالعدول إلی بدله بعد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کذلک، و إنّما یصیر الأقلّ المنقول قبله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التخییر بین الجزء و الکلّ، کان الامتیاز بینهما ابتداء بالقصد، فلا یقع الأقلّ بدلا إلّا إذا قصد ابتداء، فیصدق أنّ العدول عن الأکثر إلی بدل هو الأقلّ، و یتفرّع علیه ما ذکره بعض المتأخّرین من أنّه لو قصد الامتثال بالأکثر ابتداء، لم یجز الأقلّ؛ لوقوعه فی ضمن قصد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هذا الوجه أنّ ظاهرهم الإجماع علی وصف الزائد بالرجحان و لا أمر ثمّة إلّا الأمر المقتضی للوجوب لأصالة عدم ما سواه، و لأنّه لو کان ثمّة أمر آخر بوجوب أو ندب، لارتفع الخلاف</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انحصر الدلیل فی أمر الوجوب، کان الحکم باستحباب الزائد قولا بلا دلیل،</w:t>
      </w:r>
    </w:p>
    <w:p>
      <w:pPr>
        <w:pStyle w:val="BookText"/>
        <w:rPr/>
      </w:pPr>
      <w:r>
        <w:rPr>
          <w:rFonts w:ascii="IRNazanin" w:hAnsi="IRNazanin" w:eastAsia="IRNazanin"/>
          <w:color w:val="111111"/>
          <w:sz w:val="28"/>
          <w:sz w:val="28"/>
          <w:szCs w:val="28"/>
          <w:rtl w:val="true"/>
          <w:lang w:bidi="fa-IR"/>
        </w:rPr>
        <w:t>فإنّ الدلیل إن أفاد الوجوب، و إلّا بقی علی 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وصف الزائد بالوجوب و إن کان ممکنا؛ لجواز التخییر بین الجزء و الکلّ، إلّا أنّ الوجوب</w:t>
      </w:r>
      <w:r>
        <w:rPr>
          <w:rStyle w:val="FootnoteAnchor"/>
          <w:rtl w:val="true"/>
        </w:rPr>
        <w:footnoteReference w:id="948"/>
      </w:r>
      <w:r>
        <w:rPr>
          <w:rFonts w:ascii="IRNazanin" w:hAnsi="IRNazanin" w:eastAsia="IRNazanin"/>
          <w:color w:val="111111"/>
          <w:sz w:val="28"/>
          <w:sz w:val="28"/>
          <w:szCs w:val="28"/>
          <w:rtl w:val="true"/>
          <w:lang w:bidi="fa-IR"/>
        </w:rPr>
        <w:t>منفیّ بالأصل، و بأنّه خلاف الغالب، بل قد یناقش فی تحقّقه، و یقال</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التخییر بین القصر و التمام قد یخدش بأنّ کلّا من صلاتی القصر و التمام صنفان متغایران خصوصا علی القول بوجوب التسلیم، و لا یکون من قبیل التخییر بین الجزء و الکلّ، و التخییر بین الفردین بمجرّد القصد إثبات ما لم یدلّ علیه دلیل، و مجرّد الاحتمال لا یکفی فی ارتکاب مخالفة الظواهر و الاصول، فالقول بعدم وجوب الزائد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برجحان الزائد مع انتفاء دلیل آخر غیر الأمر بالمسمّی، فإن ثبت الإجماع علیه فهو الدلیل، و إلّا منعنا وصفه بالرجحان أیضا، و یمکن توجیه الرجحان فی الجملة بأنّ المکلّف حیث لم یقدّر له قدر</w:t>
      </w:r>
      <w:r>
        <w:rPr>
          <w:rStyle w:val="FootnoteAnchor"/>
          <w:rtl w:val="true"/>
        </w:rPr>
        <w:footnoteReference w:id="950"/>
      </w:r>
      <w:r>
        <w:rPr>
          <w:rFonts w:ascii="IRNazanin" w:hAnsi="IRNazanin" w:eastAsia="IRNazanin"/>
          <w:color w:val="111111"/>
          <w:sz w:val="28"/>
          <w:sz w:val="28"/>
          <w:szCs w:val="28"/>
          <w:rtl w:val="true"/>
          <w:lang w:bidi="fa-IR"/>
        </w:rPr>
        <w:t>، فلا بدّ غالبا من زیادته علی المسمّی زیادة متفاوتة غیر مضبوطة، فلو لم یکن الزائد راجحا، لزم إضاعة عمله، حتّی لو أراد الاحتراز عن إضاعة العمل، لم یمکنه غالبا أو شقّ علیه، فالظاهر من فحوی الشرع ترتّب الثواب علیه و هو کما تری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الفرق بین هذه المسألة و بین مسألة</w:t>
      </w:r>
      <w:r>
        <w:rPr>
          <w:rStyle w:val="FootnoteAnchor"/>
          <w:rtl w:val="true"/>
        </w:rPr>
        <w:footnoteReference w:id="951"/>
      </w:r>
      <w:r>
        <w:rPr>
          <w:rFonts w:ascii="IRNazanin" w:hAnsi="IRNazanin" w:eastAsia="IRNazanin"/>
          <w:color w:val="111111"/>
          <w:sz w:val="28"/>
          <w:sz w:val="28"/>
          <w:szCs w:val="28"/>
          <w:rtl w:val="true"/>
          <w:lang w:bidi="fa-IR"/>
        </w:rPr>
        <w:t>اقتضاء الأمر التکرار أو الوحدة، أو عدم اقتضاء أحدهما نظر، فإنّ موضوع هذه و إن کان هو الأمر بالمسمّی الصادق مع المقادیر المختلفة، و موضوع تلک الأمر بالماهیّة المتحقّقة فی ضمن التکرار و الوحدة إلّا أنّ معنی الامتثال فیهما بالأقلّ و الأکثر واحد کما لا یخفی، بل نسبة الامتثال هنا إلی الأکثر أقرب منه هناک</w:t>
      </w:r>
      <w:r>
        <w:rPr>
          <w:rStyle w:val="FootnoteAnchor"/>
          <w:rtl w:val="true"/>
        </w:rPr>
        <w:footnoteReference w:id="952"/>
      </w:r>
      <w:r>
        <w:rPr>
          <w:rFonts w:ascii="IRNazanin" w:hAnsi="IRNazanin" w:eastAsia="IRNazanin"/>
          <w:color w:val="111111"/>
          <w:sz w:val="28"/>
          <w:sz w:val="28"/>
          <w:szCs w:val="28"/>
          <w:rtl w:val="true"/>
          <w:lang w:bidi="fa-IR"/>
        </w:rPr>
        <w:t>لأنّ جعل المجموع الواحد بالاتّصال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یسمّی فی العرف</w:t>
      </w:r>
    </w:p>
    <w:p>
      <w:pPr>
        <w:pStyle w:val="BookText"/>
        <w:rPr/>
      </w:pP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Style w:val="FootnoteAnchor"/>
          <w:rtl w:val="true"/>
        </w:rPr>
        <w:footnoteReference w:id="953"/>
      </w:r>
      <w:r>
        <w:rPr>
          <w:rFonts w:ascii="IRNazanin" w:hAnsi="IRNazanin" w:eastAsia="IRNazanin"/>
          <w:color w:val="111111"/>
          <w:sz w:val="28"/>
          <w:sz w:val="28"/>
          <w:szCs w:val="28"/>
          <w:rtl w:val="true"/>
          <w:lang w:bidi="fa-IR"/>
        </w:rPr>
        <w:t>من المسمّی یتناوله الأمر به تناول تخییر أولی من جعل الأفراد المتعدّدة کلّها فردا واحدا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بأنّ المأمور به فی مسألة</w:t>
      </w:r>
      <w:r>
        <w:rPr>
          <w:rStyle w:val="FootnoteAnchor"/>
          <w:rtl w:val="true"/>
        </w:rPr>
        <w:footnoteReference w:id="954"/>
      </w:r>
      <w:r>
        <w:rPr>
          <w:rFonts w:ascii="IRNazanin" w:hAnsi="IRNazanin" w:eastAsia="IRNazanin"/>
          <w:color w:val="111111"/>
          <w:sz w:val="28"/>
          <w:sz w:val="28"/>
          <w:szCs w:val="28"/>
          <w:rtl w:val="true"/>
          <w:lang w:bidi="fa-IR"/>
        </w:rPr>
        <w:t>اقتضاء الأمر الوحدة أو التکرار أو عدم اقتضائه أحدهما الماهیّة الکلّیّة الصادقة فی ضمن المرّة و المرّات المتعدّدة، و فی هذه المسألة هو الأقلّ، و الزائد موصوف بالاستحباب، کما ذکره جماعة منهم الغزالی و الفخر الرازی و الآمدی و شیخنا</w:t>
      </w:r>
      <w:r>
        <w:rPr>
          <w:rStyle w:val="FootnoteAnchor"/>
          <w:rtl w:val="true"/>
        </w:rPr>
        <w:footnoteReference w:id="955"/>
      </w:r>
      <w:r>
        <w:rPr>
          <w:rFonts w:ascii="IRNazanin" w:hAnsi="IRNazanin" w:eastAsia="IRNazanin"/>
          <w:color w:val="111111"/>
          <w:sz w:val="28"/>
          <w:sz w:val="28"/>
          <w:szCs w:val="28"/>
          <w:rtl w:val="true"/>
          <w:lang w:bidi="fa-IR"/>
        </w:rPr>
        <w:t>و بعض المتأخّرین من مشایخنا بعید جدّا، و العکس أقرب إلی الظاهر، فإنّ المقدار المتّصل مثلا فی المسح قد یعدّ فردا واحدا، و داخلا فی المسمّی، و لا یعدّ مجموع المسمّیات المتکرّرة فردا واحدا، و علی ما یذهب إلیه فی مسألة أنّ الأمر یقتضی الوحدة أو التکرار أو لا یقتضی أحدهما من أنّه</w:t>
      </w:r>
      <w:r>
        <w:rPr>
          <w:rStyle w:val="FootnoteAnchor"/>
          <w:rtl w:val="true"/>
        </w:rPr>
        <w:footnoteReference w:id="956"/>
      </w:r>
      <w:r>
        <w:rPr>
          <w:rFonts w:ascii="IRNazanin" w:hAnsi="IRNazanin" w:eastAsia="IRNazanin"/>
          <w:color w:val="111111"/>
          <w:sz w:val="28"/>
          <w:sz w:val="28"/>
          <w:szCs w:val="28"/>
          <w:rtl w:val="true"/>
          <w:lang w:bidi="fa-IR"/>
        </w:rPr>
        <w:t>بحسب اللغة لا یقتضی شیئا منهما لکنّه بحسب</w:t>
      </w:r>
      <w:r>
        <w:rPr>
          <w:rStyle w:val="FootnoteAnchor"/>
          <w:rtl w:val="true"/>
        </w:rPr>
        <w:footnoteReference w:id="957"/>
      </w:r>
      <w:r>
        <w:rPr>
          <w:rFonts w:ascii="IRNazanin" w:hAnsi="IRNazanin" w:eastAsia="IRNazanin"/>
          <w:color w:val="111111"/>
          <w:sz w:val="28"/>
          <w:sz w:val="28"/>
          <w:szCs w:val="28"/>
          <w:rtl w:val="true"/>
          <w:lang w:bidi="fa-IR"/>
        </w:rPr>
        <w:t>العقل ظاهر فی الوحدة بمعنی تحقّق الامتثال بها و عدم دخول المرّات الزائدة فی الامتثال لما أشرنا إلیه فی هذه المسألة بعینه</w:t>
      </w:r>
      <w:r>
        <w:rPr>
          <w:rStyle w:val="FootnoteAnchor"/>
          <w:rtl w:val="true"/>
        </w:rPr>
        <w:footnoteReference w:id="958"/>
      </w:r>
      <w:r>
        <w:rPr>
          <w:rFonts w:ascii="IRNazanin" w:hAnsi="IRNazanin" w:eastAsia="IRNazanin"/>
          <w:color w:val="111111"/>
          <w:sz w:val="28"/>
          <w:sz w:val="28"/>
          <w:szCs w:val="28"/>
          <w:rtl w:val="true"/>
          <w:lang w:bidi="fa-IR"/>
        </w:rPr>
        <w:t>، فالمسألتان عندنا واحدة، و اللّه ولیّ التوفیق، و کتب السیّد</w:t>
      </w:r>
      <w:r>
        <w:rPr>
          <w:rStyle w:val="FootnoteAnchor"/>
          <w:rtl w:val="true"/>
        </w:rPr>
        <w:footnoteReference w:id="959"/>
      </w:r>
      <w:r>
        <w:rPr>
          <w:rFonts w:ascii="IRNazanin" w:hAnsi="IRNazanin" w:eastAsia="IRNazanin"/>
          <w:color w:val="111111"/>
          <w:sz w:val="28"/>
          <w:sz w:val="28"/>
          <w:szCs w:val="28"/>
          <w:rtl w:val="true"/>
          <w:lang w:bidi="fa-IR"/>
        </w:rPr>
        <w:t>ماجد بن هاشم الحسینی بخطّه دام ظلّه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bookmarkStart w:id="352" w:name="pg19819_193652"/>
    </w:p>
    <w:p>
      <w:pPr>
        <w:pStyle w:val="Heading2"/>
        <w:numPr>
          <w:ilvl w:val="1"/>
          <w:numId w:val="1"/>
        </w:numPr>
        <w:rPr/>
      </w:pPr>
      <w:bookmarkStart w:id="353" w:name="__RefHeading___Toc3055667_2314609296"/>
      <w:bookmarkStart w:id="354" w:name="_Toc137"/>
      <w:bookmarkEnd w:id="352"/>
      <w:bookmarkEnd w:id="353"/>
      <w:r>
        <w:rPr/>
        <w:t>5</w:t>
      </w:r>
      <w:r>
        <w:rPr>
          <w:rtl w:val="true"/>
        </w:rPr>
        <w:t xml:space="preserve"> </w:t>
      </w:r>
      <w:r>
        <w:rPr>
          <w:rtl w:val="true"/>
        </w:rPr>
        <w:t xml:space="preserve">نزهة الأسماع فی حکم الإجماع محمّد بن الحسن الحرّ العاملی </w:t>
      </w:r>
      <w:r>
        <w:rPr>
          <w:rtl w:val="true"/>
        </w:rPr>
        <w:t>(</w:t>
      </w:r>
      <w:r>
        <w:rPr>
          <w:rtl w:val="true"/>
        </w:rPr>
        <w:t xml:space="preserve">م </w:t>
      </w:r>
      <w:r>
        <w:rPr/>
        <w:t>1104</w:t>
      </w:r>
      <w:r>
        <w:rPr>
          <w:rtl w:val="true"/>
        </w:rPr>
        <w:t xml:space="preserve"> </w:t>
      </w:r>
      <w:r>
        <w:rPr>
          <w:rtl w:val="true"/>
        </w:rPr>
        <w:t>ق</w:t>
      </w:r>
      <w:r>
        <w:rPr>
          <w:rtl w:val="true"/>
        </w:rPr>
        <w:t>)</w:t>
      </w:r>
      <w:bookmarkEnd w:id="354"/>
    </w:p>
    <w:p>
      <w:pPr>
        <w:pStyle w:val="Heading3"/>
        <w:numPr>
          <w:ilvl w:val="2"/>
          <w:numId w:val="1"/>
        </w:numPr>
        <w:rPr/>
      </w:pPr>
      <w:bookmarkStart w:id="355" w:name="__RefHeading___Toc3055669_2314609296"/>
      <w:bookmarkStart w:id="356" w:name="_Toc138"/>
      <w:bookmarkEnd w:id="355"/>
      <w:r>
        <w:rPr>
          <w:rtl w:val="true"/>
        </w:rPr>
        <w:t>اشارة</w:t>
      </w:r>
      <w:bookmarkEnd w:id="35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محمّد حسین الدرایتی</w:t>
      </w:r>
      <w:bookmarkStart w:id="357" w:name="pg19819_193654"/>
    </w:p>
    <w:p>
      <w:pPr>
        <w:pStyle w:val="Heading3"/>
        <w:numPr>
          <w:ilvl w:val="2"/>
          <w:numId w:val="1"/>
        </w:numPr>
        <w:rPr/>
      </w:pPr>
      <w:bookmarkStart w:id="358" w:name="__RefHeading___Toc3055671_2314609296"/>
      <w:bookmarkStart w:id="359" w:name="_Toc139"/>
      <w:bookmarkEnd w:id="357"/>
      <w:bookmarkEnd w:id="358"/>
      <w:r>
        <w:rPr>
          <w:rtl w:val="true"/>
        </w:rPr>
        <w:t>مقدّمة التحقیق</w:t>
      </w:r>
      <w:bookmarkEnd w:id="359"/>
    </w:p>
    <w:p>
      <w:pPr>
        <w:pStyle w:val="Heading4"/>
        <w:numPr>
          <w:ilvl w:val="3"/>
          <w:numId w:val="1"/>
        </w:numPr>
        <w:rPr/>
      </w:pPr>
      <w:bookmarkStart w:id="360" w:name="__RefHeading___Toc3055673_2314609296"/>
      <w:bookmarkStart w:id="361" w:name="_Toc140"/>
      <w:bookmarkEnd w:id="360"/>
      <w:r>
        <w:rPr>
          <w:rtl w:val="true"/>
        </w:rPr>
        <w:t>ترجمة المؤلّف</w:t>
      </w:r>
      <w:bookmarkEnd w:id="361"/>
    </w:p>
    <w:p>
      <w:pPr>
        <w:pStyle w:val="BookText"/>
        <w:rPr/>
      </w:pPr>
      <w:r>
        <w:rPr>
          <w:rFonts w:ascii="Amiri" w:hAnsi="Amiri" w:eastAsia="Amiri" w:cs="Amiri"/>
          <w:color w:val="111111"/>
          <w:sz w:val="28"/>
          <w:sz w:val="28"/>
          <w:szCs w:val="28"/>
          <w:rtl w:val="true"/>
          <w:lang w:bidi="ar-SA"/>
        </w:rPr>
        <w:t>ترجمة المؤلّف</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هو المحدّث المتبحّر الخبیر محمّد بن الحسن بن علیّ بن محمّد الحرّ العاملی، ترجم لنفسه فی الأمل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هذا الکتاب کان مولده فی قریة مشغری لیلة الجمعة ثامن رجب سنة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قرأ بها علی أبیه و عمّه الشیخ محمّد الحرّ، و جدّه لامّه الشیخ عبد السلام بن محمّد الحرّ، و خال أبیه الشیخ علیّ بن محمود و غیرهم، و قرأ فی قریة جبع علی عمّه أیضا، و علی الشیخ زین الدین بن محمّد بن الحسین بن زین الدین، و علی الشیخ حسین الظهیری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فی البلاد أربعین سنة و حجّ فیها مرّتین، ثمّ سافر إلی العراق فزار الأئمّة علیهم السّلام، ثمّ زار الرضا علیه السّلام بطوس و اتّفق مجاورته بها إلی هذا الوقت مدّة أربع و عشرین سنة، و حجّ فیها أیضا مرّتین، و زار أئمّة العراق علیهم السّلام أیضا مرّتین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مؤلّفاته و بعض أشعاره</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 صرّح فی خاتمة الأمل</w:t>
      </w:r>
      <w:r>
        <w:rPr>
          <w:rStyle w:val="FootnoteAnchor"/>
          <w:rtl w:val="true"/>
        </w:rPr>
        <w:footnoteReference w:id="963"/>
      </w:r>
      <w:r>
        <w:rPr>
          <w:rFonts w:ascii="IRNazanin" w:hAnsi="IRNazanin" w:eastAsia="IRNazanin"/>
          <w:color w:val="111111"/>
          <w:sz w:val="28"/>
          <w:sz w:val="28"/>
          <w:szCs w:val="28"/>
          <w:rtl w:val="true"/>
          <w:lang w:bidi="fa-IR"/>
        </w:rPr>
        <w:t xml:space="preserve">أنّ وروده المشهد الرضوی کان سنة </w:t>
      </w:r>
      <w:r>
        <w:rPr>
          <w:rFonts w:eastAsia="IRNazanin" w:cs="IRNazanin"/>
          <w:color w:val="111111"/>
          <w:sz w:val="28"/>
          <w:szCs w:val="28"/>
          <w:lang w:bidi="fa-IR"/>
        </w:rPr>
        <w:t>1073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المحبّی فی خلاصة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مکّة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و فی الثانیة منهما قتلت الأتراک بمکّة جماعة من العجم لمّا اتّهموهم بتلویث البیت الشریف حین وجد ملوّثا بالعذرة، و کان صاحب الترجمة قد أنذرهم قبل الواقعة بیومین و أمرهم بلزوم بیوتهم لمعرفته علی ما زعموا بالرمل، فلمّا حصلت المقتلة فیهم خاف علی نفسه، فالتجأ إلی السیّد موسی بن سلیمان أحد أشراف مکّة الحسنیین، و سأله أن یخرجه من مکّة إلی نواحی الیمن، فأخرجه مع أحد رجاله إلیها</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 فی الروضات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قدّس سرّه فی طریق سفره إلی المشهد المقدّس بأرض أصفهان، و لاقی بها کثیرا من علمائنا الأعیان، و من آنسهم به صحبة و أمسّهم به اخوّة فی تلک البلدة هو سمیّنا العلّامة المجلسی أعلی اللّه مقامه، و کان کلّ واحد منهما أیضا قد أجاز صاحبه هناک، حیث یقول صاحب الترجمة فی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تفصیله أسماء الکتب المعتمدة التی ینقل عنها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نرویها أیضا عن المولی الأجل الأکمل الورع المدقّق مولانا محمّد باقر بن الأفضل الأکمل مولانا محمّد تقی المجلسی أیّده اللّه تعالی، و هو آخر من أجازنی و أجزت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سمیّنا العلّامة أیضا نظیره فی مجلّد الإجازات من البحار</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کان رحمه اللّه متوطّنا فی المشهد المقدّس الرضوی و اعطی شیوخة الإسلام و منصب القضاء إلی أن توفّی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الصحن العتیق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أخوه الشیخ أحمد فی درّ المسلوک</w:t>
      </w:r>
      <w:r>
        <w:rPr>
          <w:rFonts w:eastAsia="IRNazanin" w:cs="IRNazanin"/>
          <w:color w:val="111111"/>
          <w:sz w:val="28"/>
          <w:szCs w:val="28"/>
          <w:rtl w:val="true"/>
          <w:lang w:bidi="fa-IR"/>
        </w:rPr>
        <w:t>:</w:t>
      </w:r>
      <w:bookmarkStart w:id="362" w:name="pg19819_193656"/>
    </w:p>
    <w:p>
      <w:pPr>
        <w:pStyle w:val="BookText"/>
        <w:rPr/>
      </w:pPr>
      <w:bookmarkEnd w:id="362"/>
      <w:r>
        <w:rPr>
          <w:rFonts w:ascii="IRNazanin" w:hAnsi="IRNazanin" w:eastAsia="IRNazanin"/>
          <w:color w:val="111111"/>
          <w:sz w:val="28"/>
          <w:sz w:val="28"/>
          <w:szCs w:val="28"/>
          <w:rtl w:val="true"/>
          <w:lang w:bidi="fa-IR"/>
        </w:rPr>
        <w:t xml:space="preserve">فی الیوم الحادی و العشرین من شهر رمضان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مغرب شمس الفضیلة و الإفاضة و الإفادة، و محاق بدر العلم و العمل و العبادة، شیخ الإسلام و المسلمین و بقیّة الفقهاء و المحدّثین، الناطق بهدایة الامّة و بدایة الشریعة، الصادق فی النصوص و المعجزات و وسائل الشیعة، الإمام الخطیب الشاعر الأدیب، عبد ربّه العظیم العلیّ، الشیخ أبو جعفر محمّد بن الحسن الحرّ العاملی المنتقل إلی رحمة باریه عند ثامن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أخی الأکبر، صلّیت علیه فی المسجد تحت القبّة جنب المنبر، و دفن فی إیوان حجرة فی الصحن الروضة ملاصقة لمدرسة میرزا جعفر، و کان قد بلغ عمره اثنین و سبعین</w:t>
      </w:r>
      <w:r>
        <w:rPr>
          <w:rStyle w:val="FootnoteAnchor"/>
          <w:rtl w:val="true"/>
        </w:rPr>
        <w:footnoteReference w:id="966"/>
      </w:r>
      <w:r>
        <w:rPr>
          <w:rFonts w:ascii="IRNazanin" w:hAnsi="IRNazanin" w:eastAsia="IRNazanin"/>
          <w:color w:val="111111"/>
          <w:sz w:val="28"/>
          <w:sz w:val="28"/>
          <w:szCs w:val="28"/>
          <w:rtl w:val="true"/>
          <w:lang w:bidi="fa-IR"/>
        </w:rPr>
        <w:t>و هو أکبر منّی بثلاث سنین إلّا ثلاثة أشهر</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و أمّا مؤلّفاته فکثیرة، و کان من أشهرها و أهمّها تفصیل وسائل الشیعة إلی تحصیل مسائل الشریعة، طبع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تشمل علی جمیع أحادیث الأحکام الشرعیة الموجودة فی الکتب الأربعة و سائر الکتب المعتمدة أکثر من سبعین کتابا مع ذکر الأسانید و أسماء الکتب و حسن الترتیب، و ذکر وجوه الجمع مع الاختصار</w:t>
      </w:r>
      <w:r>
        <w:rPr>
          <w:rFonts w:eastAsia="IRNazanin" w:cs="IRNazanin"/>
          <w:color w:val="111111"/>
          <w:sz w:val="28"/>
          <w:szCs w:val="28"/>
          <w:rtl w:val="true"/>
          <w:lang w:bidi="fa-IR"/>
        </w:rPr>
        <w:t>.</w:t>
      </w:r>
      <w:r>
        <w:rPr>
          <w:rStyle w:val="FootnoteAnchor"/>
          <w:rtl w:val="true"/>
        </w:rPr>
        <w:footnoteReference w:id="968"/>
      </w:r>
    </w:p>
    <w:p>
      <w:pPr>
        <w:pStyle w:val="Heading4"/>
        <w:numPr>
          <w:ilvl w:val="3"/>
          <w:numId w:val="1"/>
        </w:numPr>
        <w:rPr/>
      </w:pPr>
      <w:bookmarkStart w:id="363" w:name="__RefHeading___Toc3055675_2314609296"/>
      <w:bookmarkStart w:id="364" w:name="_Toc141"/>
      <w:bookmarkEnd w:id="363"/>
      <w:r>
        <w:rPr>
          <w:rtl w:val="true"/>
        </w:rPr>
        <w:t>و طبع من مؤلّفاته</w:t>
      </w:r>
      <w:r>
        <w:rPr>
          <w:rtl w:val="true"/>
        </w:rPr>
        <w:t>:</w:t>
      </w:r>
      <w:bookmarkEnd w:id="364"/>
    </w:p>
    <w:p>
      <w:pPr>
        <w:pStyle w:val="BookText"/>
        <w:rPr/>
      </w:pPr>
      <w:r>
        <w:rPr>
          <w:rFonts w:ascii="IRNazanin" w:hAnsi="IRNazanin" w:eastAsia="IRNazanin"/>
          <w:color w:val="111111"/>
          <w:sz w:val="28"/>
          <w:sz w:val="28"/>
          <w:szCs w:val="28"/>
          <w:rtl w:val="true"/>
          <w:lang w:bidi="fa-IR"/>
        </w:rPr>
        <w:t>أمل الآمل؛</w:t>
      </w:r>
    </w:p>
    <w:p>
      <w:pPr>
        <w:pStyle w:val="BookText"/>
        <w:rPr/>
      </w:pPr>
      <w:r>
        <w:rPr>
          <w:rFonts w:ascii="Amiri" w:hAnsi="Amiri" w:eastAsia="Amiri" w:cs="Amiri"/>
          <w:color w:val="111111"/>
          <w:sz w:val="28"/>
          <w:sz w:val="28"/>
          <w:szCs w:val="28"/>
          <w:rtl w:val="true"/>
          <w:lang w:bidi="ar-SA"/>
        </w:rPr>
        <w:t>إثبات الهداة بالنصوص و المعجزات؛</w:t>
      </w:r>
    </w:p>
    <w:p>
      <w:pPr>
        <w:pStyle w:val="BookText"/>
        <w:rPr/>
      </w:pPr>
      <w:r>
        <w:rPr>
          <w:rFonts w:ascii="IRNazanin" w:hAnsi="IRNazanin" w:eastAsia="IRNazanin"/>
          <w:color w:val="111111"/>
          <w:sz w:val="28"/>
          <w:sz w:val="28"/>
          <w:szCs w:val="28"/>
          <w:rtl w:val="true"/>
          <w:lang w:bidi="fa-IR"/>
        </w:rPr>
        <w:t>الاثنا عشریة فی الردّ علی الصوفیة؛</w:t>
      </w:r>
    </w:p>
    <w:p>
      <w:pPr>
        <w:pStyle w:val="BookText"/>
        <w:rPr/>
      </w:pPr>
      <w:r>
        <w:rPr>
          <w:rFonts w:ascii="IRNazanin" w:hAnsi="IRNazanin" w:eastAsia="IRNazanin"/>
          <w:color w:val="111111"/>
          <w:sz w:val="28"/>
          <w:sz w:val="28"/>
          <w:szCs w:val="28"/>
          <w:rtl w:val="true"/>
          <w:lang w:bidi="fa-IR"/>
        </w:rPr>
        <w:t>الجواهر السنیة فی الأحادیث القدسیة؛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الإیقاظ من الهجعة بالبرهان علی الرجعة؛</w:t>
      </w:r>
      <w:bookmarkStart w:id="365" w:name="pg19819_193657"/>
    </w:p>
    <w:p>
      <w:pPr>
        <w:pStyle w:val="BookText"/>
        <w:rPr/>
      </w:pPr>
      <w:bookmarkEnd w:id="365"/>
      <w:r>
        <w:rPr>
          <w:rFonts w:ascii="IRNazanin" w:hAnsi="IRNazanin" w:eastAsia="IRNazanin"/>
          <w:color w:val="111111"/>
          <w:sz w:val="28"/>
          <w:sz w:val="28"/>
          <w:szCs w:val="28"/>
          <w:rtl w:val="true"/>
          <w:lang w:bidi="fa-IR"/>
        </w:rPr>
        <w:t>بدایة الهدایة؛</w:t>
      </w:r>
    </w:p>
    <w:p>
      <w:pPr>
        <w:pStyle w:val="BookText"/>
        <w:rPr/>
      </w:pPr>
      <w:r>
        <w:rPr>
          <w:rFonts w:ascii="IRNazanin" w:hAnsi="IRNazanin" w:eastAsia="IRNazanin"/>
          <w:color w:val="111111"/>
          <w:sz w:val="28"/>
          <w:sz w:val="28"/>
          <w:szCs w:val="28"/>
          <w:rtl w:val="true"/>
          <w:lang w:bidi="fa-IR"/>
        </w:rPr>
        <w:t>تحریر وسائل الشیعة و تحبیر مسائل الشریعة؛</w:t>
      </w:r>
    </w:p>
    <w:p>
      <w:pPr>
        <w:pStyle w:val="BookText"/>
        <w:rPr/>
      </w:pPr>
      <w:r>
        <w:rPr>
          <w:rFonts w:ascii="IRNazanin" w:hAnsi="IRNazanin" w:eastAsia="IRNazanin"/>
          <w:color w:val="111111"/>
          <w:sz w:val="28"/>
          <w:sz w:val="28"/>
          <w:szCs w:val="28"/>
          <w:rtl w:val="true"/>
          <w:lang w:bidi="fa-IR"/>
        </w:rPr>
        <w:t>الصحیفة السجّادیة الثانیة؛</w:t>
      </w:r>
    </w:p>
    <w:p>
      <w:pPr>
        <w:pStyle w:val="BookText"/>
        <w:rPr/>
      </w:pPr>
      <w:r>
        <w:rPr>
          <w:rFonts w:ascii="IRNazanin" w:hAnsi="IRNazanin" w:eastAsia="IRNazanin"/>
          <w:color w:val="111111"/>
          <w:sz w:val="28"/>
          <w:sz w:val="28"/>
          <w:szCs w:val="28"/>
          <w:rtl w:val="true"/>
          <w:lang w:bidi="fa-IR"/>
        </w:rPr>
        <w:t>التنبیه بالمعلوم من البرهان علی تنزیه المعصوم عن السهو و النسیان؛</w:t>
      </w:r>
    </w:p>
    <w:p>
      <w:pPr>
        <w:pStyle w:val="BookText"/>
        <w:rPr/>
      </w:pPr>
      <w:r>
        <w:rPr>
          <w:rFonts w:ascii="IRNazanin" w:hAnsi="IRNazanin" w:eastAsia="IRNazanin"/>
          <w:color w:val="111111"/>
          <w:sz w:val="28"/>
          <w:sz w:val="28"/>
          <w:szCs w:val="28"/>
          <w:rtl w:val="true"/>
          <w:lang w:bidi="fa-IR"/>
        </w:rPr>
        <w:t>الفوائد الطوسیة؛</w:t>
      </w:r>
    </w:p>
    <w:p>
      <w:pPr>
        <w:pStyle w:val="BookText"/>
        <w:rPr/>
      </w:pPr>
      <w:r>
        <w:rPr>
          <w:rFonts w:ascii="IRNazanin" w:hAnsi="IRNazanin" w:eastAsia="IRNazanin"/>
          <w:color w:val="111111"/>
          <w:sz w:val="28"/>
          <w:sz w:val="28"/>
          <w:szCs w:val="28"/>
          <w:rtl w:val="true"/>
          <w:lang w:bidi="fa-IR"/>
        </w:rPr>
        <w:t>الفصول المهمّة فی اصول الأئمّة علیهم السّلام؛</w:t>
      </w:r>
    </w:p>
    <w:p>
      <w:pPr>
        <w:pStyle w:val="BookText"/>
        <w:rPr/>
      </w:pPr>
      <w:r>
        <w:rPr>
          <w:rFonts w:ascii="IRNazanin" w:hAnsi="IRNazanin" w:eastAsia="IRNazanin"/>
          <w:color w:val="111111"/>
          <w:sz w:val="28"/>
          <w:sz w:val="28"/>
          <w:szCs w:val="28"/>
          <w:rtl w:val="true"/>
          <w:lang w:bidi="fa-IR"/>
        </w:rPr>
        <w:t>رسالة فی معرفة الصحابة؛</w:t>
      </w:r>
    </w:p>
    <w:p>
      <w:pPr>
        <w:pStyle w:val="BookText"/>
        <w:rPr/>
      </w:pPr>
      <w:r>
        <w:rPr>
          <w:rFonts w:ascii="IRNazanin" w:hAnsi="IRNazanin" w:eastAsia="IRNazanin"/>
          <w:color w:val="111111"/>
          <w:sz w:val="28"/>
          <w:sz w:val="28"/>
          <w:szCs w:val="28"/>
          <w:rtl w:val="true"/>
          <w:lang w:bidi="fa-IR"/>
        </w:rPr>
        <w:t>رسالة فی بیان حکم شرب التتن و القهوة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میراث إسلامی إیران،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میراث فقهی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تواتر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طریقة التحقیق و ستنشر فی میراث الشیعة القرآنی</w:t>
      </w:r>
      <w:r>
        <w:rPr>
          <w:rFonts w:eastAsia="IRNazanin" w:cs="IRNazanin"/>
          <w:color w:val="111111"/>
          <w:sz w:val="28"/>
          <w:szCs w:val="28"/>
          <w:rtl w:val="true"/>
          <w:lang w:bidi="fa-IR"/>
        </w:rPr>
        <w:t>.</w:t>
      </w:r>
    </w:p>
    <w:p>
      <w:pPr>
        <w:pStyle w:val="Heading4"/>
        <w:numPr>
          <w:ilvl w:val="3"/>
          <w:numId w:val="1"/>
        </w:numPr>
        <w:rPr/>
      </w:pPr>
      <w:bookmarkStart w:id="366" w:name="__RefHeading___Toc3055677_2314609296"/>
      <w:bookmarkStart w:id="367" w:name="_Toc142"/>
      <w:bookmarkEnd w:id="366"/>
      <w:r>
        <w:rPr>
          <w:rtl w:val="true"/>
        </w:rPr>
        <w:t>نزهة الأسماع فی حکم الإجماع</w:t>
      </w:r>
      <w:r>
        <w:rPr>
          <w:rtl w:val="true"/>
        </w:rPr>
        <w:t>:</w:t>
      </w:r>
      <w:bookmarkEnd w:id="367"/>
    </w:p>
    <w:p>
      <w:pPr>
        <w:pStyle w:val="BookText"/>
        <w:rPr/>
      </w:pPr>
      <w:r>
        <w:rPr>
          <w:rFonts w:ascii="IRNazanin" w:hAnsi="IRNazanin" w:eastAsia="IRNazanin"/>
          <w:color w:val="111111"/>
          <w:sz w:val="28"/>
          <w:sz w:val="28"/>
          <w:szCs w:val="28"/>
          <w:rtl w:val="true"/>
          <w:lang w:bidi="fa-IR"/>
        </w:rPr>
        <w:t>صرّح المصنّف قدّس سرّه فی ترجمته لنفسه فی أمل الآمل بأنّ هذه الرسالة من تألیفاته، و صرّح أیضا فی هذه الرسالة باسمه الشریف و عنوان الرسالة، و کذا فی نهایتها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عمره آنذاک خمسة و أربعین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رسالة فی حکم الإجماع، و تحقیق معناه، و تقسیمه إلی ما هو حجّة و إلی ما لیس بحجّة علی ما تحقّقناه، و الفرق بین القسمین، و ما ینجرّ الکلام إلیه، و ما یتعلّق بذلک و یتوقّف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سبب تألیف هذه الرسالة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دعانی إلی جمعها اشتباه ذلک علی أکثر الفضلاء، و التباسه علی جماعة من العلماء، و اغترارهم بمجرّد دعوی الإجماع و إن کان فی مسألة طال فیها الخلاف و النزاع، حتّی أنّ بعضهم جعله أقوی الأدلّة و البراهین، و عدّه مطلقا من أعظم اصول الدین، مع أنّ کثیرا من صوره ممّا یغترّ به الغافل، و لیست تلک الإجماعات بشی‌ء عند العاقل</w:t>
      </w:r>
      <w:r>
        <w:rPr>
          <w:rFonts w:eastAsia="IRNazanin" w:cs="IRNazanin"/>
          <w:color w:val="111111"/>
          <w:sz w:val="28"/>
          <w:szCs w:val="28"/>
          <w:rtl w:val="true"/>
          <w:lang w:bidi="fa-IR"/>
        </w:rPr>
        <w:t>.</w:t>
      </w:r>
      <w:bookmarkStart w:id="368" w:name="pg19819_193658"/>
    </w:p>
    <w:p>
      <w:pPr>
        <w:pStyle w:val="BookText"/>
        <w:rPr/>
      </w:pPr>
      <w:bookmarkEnd w:id="368"/>
      <w:r>
        <w:rPr>
          <w:rFonts w:ascii="IRNazanin" w:hAnsi="IRNazanin" w:eastAsia="IRNazanin"/>
          <w:color w:val="111111"/>
          <w:sz w:val="28"/>
          <w:sz w:val="28"/>
          <w:szCs w:val="28"/>
          <w:rtl w:val="true"/>
          <w:lang w:bidi="fa-IR"/>
        </w:rPr>
        <w:t>و رتّب رحمه اللّه مطالبه علی اثنی عشر فصلا و خاتمة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تبرّکا بهذا العدد الشریف</w:t>
      </w:r>
      <w:r>
        <w:rPr>
          <w:rFonts w:eastAsia="IRNazanin" w:cs="IRNazanin"/>
          <w:color w:val="111111"/>
          <w:sz w:val="28"/>
          <w:szCs w:val="28"/>
          <w:rtl w:val="true"/>
          <w:lang w:bidi="fa-IR"/>
        </w:rPr>
        <w:t>».</w:t>
      </w:r>
    </w:p>
    <w:p>
      <w:pPr>
        <w:pStyle w:val="Heading4"/>
        <w:numPr>
          <w:ilvl w:val="3"/>
          <w:numId w:val="1"/>
        </w:numPr>
        <w:rPr/>
      </w:pPr>
      <w:bookmarkStart w:id="369" w:name="__RefHeading___Toc3055679_2314609296"/>
      <w:bookmarkStart w:id="370" w:name="_Toc143"/>
      <w:bookmarkEnd w:id="369"/>
      <w:r>
        <w:rPr>
          <w:rtl w:val="true"/>
        </w:rPr>
        <w:t>النسخ المعتمدة</w:t>
      </w:r>
      <w:r>
        <w:rPr>
          <w:rtl w:val="true"/>
        </w:rPr>
        <w:t>:</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مکتبة آیة اللّه بروجردی، الرسالة الثانیة من المجموعة المرقّمة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کتبها محمّد باقر الکزازی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مکتبة آیة اللّه بروجردی، الرقم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فی گنجینه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اعتمدوا فی تحقیق هذه الرسالة علی نسختین مخطوطتین، إحداهما النسخة التی کتبها المؤلّف قدّس سرّه بخطّه الشریف، المحفوظة فی مکتبة مجلس الشوری الإسلامی، الرسالة الثالثة من المجموعة المرقّمة </w:t>
      </w: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رابع عشر من شهر رجب المبارک سنة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لم یتفطّن محققو الرسالة أنّها بخطّ المؤلّف، اعتمدوا علی نسختین و التلفیق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بذلک أنّا قابلنا الصفحة الاولی من تصویر هذه النسخة مع المطبوعة و وجدنا أنّهم أثبتوا عبارات حذفها المؤلّف بخطّه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المخطوطة لم تصل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الرسالة نسخ اخری موجودة 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مجلس الشوری الإسلامی، الرسالة الثالثة من المجموعة المرقّمة </w:t>
      </w:r>
      <w:r>
        <w:rPr>
          <w:rFonts w:eastAsia="IRNazanin" w:cs="IRNazanin"/>
          <w:color w:val="111111"/>
          <w:sz w:val="28"/>
          <w:szCs w:val="28"/>
          <w:lang w:bidi="fa-IR"/>
        </w:rPr>
        <w:t>3147</w:t>
      </w:r>
      <w:r>
        <w:rPr>
          <w:rFonts w:ascii="IRNazanin" w:hAnsi="IRNazanin" w:eastAsia="IRNazanin"/>
          <w:color w:val="111111"/>
          <w:sz w:val="28"/>
          <w:sz w:val="28"/>
          <w:szCs w:val="28"/>
          <w:rtl w:val="true"/>
          <w:lang w:bidi="fa-IR"/>
        </w:rPr>
        <w:t xml:space="preserve">، کتبها تقی بن محمّد رضا الموسوی فی سنة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السیّد المرعشی، الرسالة الثالثة من المجموعة المرقّمة </w:t>
      </w:r>
      <w:r>
        <w:rPr>
          <w:rFonts w:eastAsia="IRNazanin" w:cs="IRNazanin"/>
          <w:color w:val="111111"/>
          <w:sz w:val="28"/>
          <w:szCs w:val="28"/>
          <w:lang w:bidi="fa-IR"/>
        </w:rPr>
        <w:t>6093</w:t>
      </w:r>
      <w:r>
        <w:rPr>
          <w:rFonts w:ascii="IRNazanin" w:hAnsi="IRNazanin" w:eastAsia="IRNazanin"/>
          <w:color w:val="111111"/>
          <w:sz w:val="28"/>
          <w:sz w:val="28"/>
          <w:szCs w:val="28"/>
          <w:rtl w:val="true"/>
          <w:lang w:bidi="fa-IR"/>
        </w:rPr>
        <w:t xml:space="preserve">، کتبها نصیر بن سعید الطالقانی فی سنة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السیّد المرعشی، الرقم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النمازی فی مدینة خوی، الرسالة الثالثة من المجموعة المرقّمة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کتبها ابراهیم بن عبد الوهاب الأحسائی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فاضل الخوانساری، الرسالة الاولی من المجموعة المرقّمة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کتبها ابراهیم بن محمّد علی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ملک، الرسالة الثانیة من المجموعة المرقّمة </w:t>
      </w:r>
      <w:r>
        <w:rPr>
          <w:rFonts w:eastAsia="IRNazanin" w:cs="IRNazanin"/>
          <w:color w:val="111111"/>
          <w:sz w:val="28"/>
          <w:szCs w:val="28"/>
          <w:lang w:bidi="fa-IR"/>
        </w:rPr>
        <w:t>1660</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bookmarkStart w:id="371" w:name="pg19819_193664"/>
    </w:p>
    <w:p>
      <w:pPr>
        <w:pStyle w:val="Heading3"/>
        <w:numPr>
          <w:ilvl w:val="2"/>
          <w:numId w:val="1"/>
        </w:numPr>
        <w:rPr/>
      </w:pPr>
      <w:bookmarkStart w:id="372" w:name="__RefHeading___Toc3055681_2314609296"/>
      <w:bookmarkStart w:id="373" w:name="_Toc144"/>
      <w:bookmarkEnd w:id="371"/>
      <w:bookmarkEnd w:id="372"/>
      <w:r>
        <w:rPr>
          <w:rtl w:val="true"/>
        </w:rPr>
        <w:t>[</w:t>
      </w:r>
      <w:r>
        <w:rPr>
          <w:rtl w:val="true"/>
        </w:rPr>
        <w:t>التحقیق فی الکتاب نزهة الأسماع فی حکم الإجماع</w:t>
      </w:r>
      <w:r>
        <w:rPr>
          <w:rtl w:val="true"/>
        </w:rPr>
        <w:t>]</w:t>
      </w:r>
      <w:bookmarkEnd w:id="373"/>
    </w:p>
    <w:p>
      <w:pPr>
        <w:pStyle w:val="Heading4"/>
        <w:numPr>
          <w:ilvl w:val="3"/>
          <w:numId w:val="1"/>
        </w:numPr>
        <w:rPr/>
      </w:pPr>
      <w:bookmarkStart w:id="374" w:name="__RefHeading___Toc3055683_2314609296"/>
      <w:bookmarkStart w:id="375" w:name="_Toc145"/>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نزهة الأسماع فی حکم الإجماع بسم اللّه الرحمن الرحیم و به نستعین الحمد للّه الذی أجمعت علی الاعتراف بوحدانیّته العقول، و اتّفقت علی وجوب وجوده أدلّة المعقول و المنقول، و الصلاة و السلام علی سیّدنا محمّد الذی هو أکرم نبیّ و أشرف رسول، و علی آله الطاهرین، الذین أجمع علی فضلهم الفاضل و المفضول، بل جمعوا الفضائل، و جمع غیرهم الفضول، و أوضحوا من الحقّ الأجناس و الفصول، و بیّنوا من الدین الفروع و الاصول، صلاة و سلاما دائمین ما هبّت صبا و قبول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الفقیر إلی اللّه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اللّه بلطفه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فی حکم الإجماع و تحقیق معناه، و تقسیمه إلی ما هو حجّة و إلی ما</w:t>
      </w:r>
      <w:r>
        <w:rPr>
          <w:rStyle w:val="FootnoteAnchor"/>
          <w:rtl w:val="true"/>
        </w:rPr>
        <w:footnoteReference w:id="969"/>
      </w:r>
      <w:r>
        <w:rPr>
          <w:rFonts w:ascii="IRNazanin" w:hAnsi="IRNazanin" w:eastAsia="IRNazanin"/>
          <w:color w:val="111111"/>
          <w:sz w:val="28"/>
          <w:sz w:val="28"/>
          <w:szCs w:val="28"/>
          <w:rtl w:val="true"/>
          <w:lang w:bidi="fa-IR"/>
        </w:rPr>
        <w:t>لیس بحجّة علی ما تحقّقناه، و الفرق بین القسمین، و ما ینجرّ الکلام إلیه و ما یتعلّق بذلک و یتوقّف علیه؛ دعانی إلی جمعها اشتباه ذلک علی أکثر الفضلاء، و التباسه علی</w:t>
      </w:r>
      <w:r>
        <w:rPr>
          <w:rStyle w:val="FootnoteAnchor"/>
          <w:rtl w:val="true"/>
        </w:rPr>
        <w:footnoteReference w:id="970"/>
      </w:r>
      <w:r>
        <w:rPr>
          <w:rFonts w:ascii="IRNazanin" w:hAnsi="IRNazanin" w:eastAsia="IRNazanin"/>
          <w:color w:val="111111"/>
          <w:sz w:val="28"/>
          <w:sz w:val="28"/>
          <w:szCs w:val="28"/>
          <w:rtl w:val="true"/>
          <w:lang w:bidi="fa-IR"/>
        </w:rPr>
        <w:t>جماعة من العلماء، و اغترارهم مجرّد دعوی الإجماع، و إن کان فی مسألة قد طال فیها الخلاف و النزاع، حتّی أنّ بعضهم جعله أقوی الأدلّة و البراهین، و عدّه مطلقا من أعظم اصول</w:t>
      </w:r>
      <w:r>
        <w:rPr>
          <w:rStyle w:val="FootnoteAnchor"/>
          <w:rtl w:val="true"/>
        </w:rPr>
        <w:footnoteReference w:id="971"/>
      </w:r>
      <w:r>
        <w:rPr>
          <w:rFonts w:ascii="IRNazanin" w:hAnsi="IRNazanin" w:eastAsia="IRNazanin"/>
          <w:color w:val="111111"/>
          <w:sz w:val="28"/>
          <w:sz w:val="28"/>
          <w:szCs w:val="28"/>
          <w:rtl w:val="true"/>
          <w:lang w:bidi="fa-IR"/>
        </w:rPr>
        <w:t>الدین، مع أنّ کثیرا من صوره ممّا یغترّ به</w:t>
      </w:r>
      <w:r>
        <w:rPr>
          <w:rStyle w:val="FootnoteAnchor"/>
          <w:rtl w:val="true"/>
        </w:rPr>
        <w:footnoteReference w:id="972"/>
      </w:r>
      <w:r>
        <w:rPr>
          <w:rFonts w:ascii="IRNazanin" w:hAnsi="IRNazanin" w:eastAsia="IRNazanin"/>
          <w:color w:val="111111"/>
          <w:sz w:val="28"/>
          <w:sz w:val="28"/>
          <w:szCs w:val="28"/>
          <w:rtl w:val="true"/>
          <w:lang w:bidi="fa-IR"/>
        </w:rPr>
        <w:t>الغافل، و لیست تلک الإجماعات بشی‌ء عند العاقل؛ فیترتّب علی ذلک مفاسد جمّة، و تبطل به أدلّة بعض المطالب المهمّة، و بعضها ممّا لا یکاد أن یلتفت إلیه، مع أنّه هو الذی یجب أن یعوّل علیه</w:t>
      </w:r>
      <w:r>
        <w:rPr>
          <w:rFonts w:eastAsia="IRNazanin" w:cs="IRNazanin"/>
          <w:color w:val="111111"/>
          <w:sz w:val="28"/>
          <w:szCs w:val="28"/>
          <w:rtl w:val="true"/>
          <w:lang w:bidi="fa-IR"/>
        </w:rPr>
        <w:t>.</w:t>
      </w:r>
      <w:bookmarkStart w:id="376" w:name="pg19819_193665"/>
    </w:p>
    <w:p>
      <w:pPr>
        <w:pStyle w:val="BookText"/>
        <w:rPr/>
      </w:pPr>
      <w:bookmarkEnd w:id="376"/>
      <w:r>
        <w:rPr>
          <w:rFonts w:ascii="IRNazanin" w:hAnsi="IRNazanin" w:eastAsia="IRNazanin"/>
          <w:color w:val="111111"/>
          <w:sz w:val="28"/>
          <w:sz w:val="28"/>
          <w:szCs w:val="28"/>
          <w:rtl w:val="true"/>
          <w:lang w:bidi="fa-IR"/>
        </w:rPr>
        <w:t xml:space="preserve">و قد سمّیت هذه الرسالة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الأسماع فی حکم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رتّبتها علی اثنی عشر فصلا و خاتمة</w:t>
      </w:r>
      <w:r>
        <w:rPr>
          <w:rFonts w:eastAsia="IRNazanin" w:cs="IRNazanin"/>
          <w:color w:val="111111"/>
          <w:sz w:val="28"/>
          <w:szCs w:val="28"/>
          <w:rtl w:val="true"/>
          <w:lang w:bidi="fa-IR"/>
        </w:rPr>
        <w:t>.</w:t>
      </w:r>
    </w:p>
    <w:p>
      <w:pPr>
        <w:pStyle w:val="Heading4"/>
        <w:numPr>
          <w:ilvl w:val="3"/>
          <w:numId w:val="1"/>
        </w:numPr>
        <w:rPr/>
      </w:pPr>
      <w:bookmarkStart w:id="377" w:name="__RefHeading___Toc3055685_2314609296"/>
      <w:bookmarkStart w:id="378" w:name="_Toc146"/>
      <w:bookmarkEnd w:id="377"/>
      <w:r>
        <w:rPr>
          <w:rtl w:val="true"/>
        </w:rPr>
        <w:t>[</w:t>
      </w:r>
      <w:r>
        <w:rPr>
          <w:rtl w:val="true"/>
        </w:rPr>
        <w:t>الفصل</w:t>
      </w:r>
      <w:r>
        <w:rPr>
          <w:rtl w:val="true"/>
        </w:rPr>
        <w:t xml:space="preserve">] </w:t>
      </w:r>
      <w:r>
        <w:rPr>
          <w:rtl w:val="true"/>
        </w:rPr>
        <w:t>الأوّل فی معنی الإجماع عند الاصولیین</w:t>
      </w:r>
      <w:bookmarkEnd w:id="378"/>
    </w:p>
    <w:p>
      <w:pPr>
        <w:pStyle w:val="BookText"/>
        <w:rPr/>
      </w:pPr>
      <w:r>
        <w:rPr>
          <w:rFonts w:ascii="IRNazanin" w:hAnsi="IRNazanin" w:eastAsia="IRNazanin"/>
          <w:color w:val="111111"/>
          <w:sz w:val="28"/>
          <w:sz w:val="28"/>
          <w:szCs w:val="28"/>
          <w:rtl w:val="true"/>
          <w:lang w:bidi="fa-IR"/>
        </w:rPr>
        <w:t>قال بعض المحقّقین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فی اللغة یطلق علی 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قال اللّه تعالی فَأَجْمِعُوا أَمْرَکُمْ وَ شُرَکاءَکُمْ</w:t>
      </w:r>
      <w:r>
        <w:rPr>
          <w:rStyle w:val="FootnoteAnchor"/>
          <w:rtl w:val="true"/>
        </w:rPr>
        <w:footnoteReference w:id="973"/>
      </w:r>
      <w:r>
        <w:rPr>
          <w:rFonts w:ascii="IRNazanin" w:hAnsi="IRNazanin" w:eastAsia="IRNazanin"/>
          <w:color w:val="111111"/>
          <w:sz w:val="28"/>
          <w:sz w:val="28"/>
          <w:szCs w:val="28"/>
          <w:rtl w:val="true"/>
          <w:lang w:bidi="fa-IR"/>
        </w:rPr>
        <w:t>و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صیام لمن لا یجمع الصیام من اللیل</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صاروا ذوی جمع،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ألبن الرجل و أتمر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ذا لبن و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الاصطلاح هو اتّفاق علماء الطائفة علی أمر فی عصر</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عرّفه الشهید فی الذکری</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و قال الشهید الثانی فی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اتّفاق المجتهدین من أمّة النبیّ علی حکم</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 لا یخفی علیک أنّ بین التعریفین عموما و خصوصا من وجه؛ لاجتماعهما فی صورة اتّفاق علماء الطائفة من المجتهدین و غیرهم مع موافقة المجتهدین من باقی الامّة، و کون ذلک فی جمیع الأعصار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انفراد الأوّل بالصدق علی اتّفاق</w:t>
      </w:r>
      <w:r>
        <w:rPr>
          <w:rStyle w:val="FootnoteAnchor"/>
          <w:rtl w:val="true"/>
        </w:rPr>
        <w:footnoteReference w:id="978"/>
      </w:r>
      <w:r>
        <w:rPr>
          <w:rFonts w:ascii="IRNazanin" w:hAnsi="IRNazanin" w:eastAsia="IRNazanin"/>
          <w:color w:val="111111"/>
          <w:sz w:val="28"/>
          <w:sz w:val="28"/>
          <w:szCs w:val="28"/>
          <w:rtl w:val="true"/>
          <w:lang w:bidi="fa-IR"/>
        </w:rPr>
        <w:t>علماء الطائفة فی عصر و إن خالفهم کلّ من</w:t>
      </w:r>
      <w:bookmarkStart w:id="379" w:name="pg19819_193666"/>
    </w:p>
    <w:p>
      <w:pPr>
        <w:pStyle w:val="BookText"/>
        <w:rPr/>
      </w:pPr>
      <w:bookmarkEnd w:id="379"/>
      <w:r>
        <w:rPr>
          <w:rFonts w:ascii="IRNazanin" w:hAnsi="IRNazanin" w:eastAsia="IRNazanin"/>
          <w:color w:val="111111"/>
          <w:sz w:val="28"/>
          <w:sz w:val="28"/>
          <w:szCs w:val="28"/>
          <w:rtl w:val="true"/>
          <w:lang w:bidi="fa-IR"/>
        </w:rPr>
        <w:t>عداهم من طائفتهم من المتقدّمین علی ذلک العصر و المتأخّرین، و خالفهم أیضا جمیع بقیّة الامّة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انفرد الثانی بالصدق علی اتّفاق المجتهدین من الفریقین، و إن خالفهم جمیع العلماء و غیرهم منهما</w:t>
      </w:r>
      <w:r>
        <w:rPr>
          <w:rStyle w:val="FootnoteAnchor"/>
          <w:rtl w:val="true"/>
        </w:rPr>
        <w:footnoteReference w:id="979"/>
      </w:r>
      <w:r>
        <w:rPr>
          <w:rFonts w:ascii="IRNazanin" w:hAnsi="IRNazanin" w:eastAsia="IRNazanin"/>
          <w:color w:val="111111"/>
          <w:sz w:val="28"/>
          <w:sz w:val="28"/>
          <w:szCs w:val="28"/>
          <w:rtl w:val="true"/>
          <w:lang w:bidi="fa-IR"/>
        </w:rPr>
        <w:t>، و باعتبار عموم الأمر بالنسبة إلی الحکم إن ثبت یکون الأوّل هو الأعمّ، و لعلّ المراد منهما</w:t>
      </w:r>
      <w:r>
        <w:rPr>
          <w:rStyle w:val="FootnoteAnchor"/>
          <w:rtl w:val="true"/>
        </w:rPr>
        <w:footnoteReference w:id="980"/>
      </w:r>
      <w:r>
        <w:rPr>
          <w:rFonts w:ascii="IRNazanin" w:hAnsi="IRNazanin" w:eastAsia="IRNazanin"/>
          <w:color w:val="111111"/>
          <w:sz w:val="28"/>
          <w:sz w:val="28"/>
          <w:szCs w:val="28"/>
          <w:rtl w:val="true"/>
          <w:lang w:bidi="fa-IR"/>
        </w:rPr>
        <w:t>واحد، و بالمجتهدین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الإمامیّة، و بالعلماء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المجتهدون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التدافع فی الاکتفاء باتّفاق</w:t>
      </w:r>
      <w:r>
        <w:rPr>
          <w:rStyle w:val="FootnoteAnchor"/>
          <w:rtl w:val="true"/>
        </w:rPr>
        <w:footnoteReference w:id="981"/>
      </w:r>
      <w:r>
        <w:rPr>
          <w:rFonts w:ascii="IRNazanin" w:hAnsi="IRNazanin" w:eastAsia="IRNazanin"/>
          <w:color w:val="111111"/>
          <w:sz w:val="28"/>
          <w:sz w:val="28"/>
          <w:szCs w:val="28"/>
          <w:rtl w:val="true"/>
          <w:lang w:bidi="fa-IR"/>
        </w:rPr>
        <w:t>أهل عصر و اعتبار جمیع الأعصار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مراد الشهید الثانی من الإطلاق هو مراد الأوّل من التقیید، کما یشعر به کلامه هناک، بل یکاد یکون بعضه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بعض الاصولیّین بأنّه اتّفاق أهل الحلّ و العقد من أمّة محمّد صلّی اللّه علیه و آله علی أمر من الامور،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أهل الحلّ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المجتهدون فی الأحکام الشرعیّة الموجودون فی عصر واحد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و هذا التصریح یقرب ما أشرنا إلیه مع ما ذکرناه؛ و اللّه أعلم</w:t>
      </w:r>
      <w:r>
        <w:rPr>
          <w:rFonts w:eastAsia="IRNazanin" w:cs="IRNazanin"/>
          <w:color w:val="111111"/>
          <w:sz w:val="28"/>
          <w:szCs w:val="28"/>
          <w:rtl w:val="true"/>
          <w:lang w:bidi="fa-IR"/>
        </w:rPr>
        <w:t>.</w:t>
      </w:r>
    </w:p>
    <w:p>
      <w:pPr>
        <w:pStyle w:val="Heading4"/>
        <w:numPr>
          <w:ilvl w:val="3"/>
          <w:numId w:val="1"/>
        </w:numPr>
        <w:rPr/>
      </w:pPr>
      <w:bookmarkStart w:id="380" w:name="__RefHeading___Toc3055687_2314609296"/>
      <w:bookmarkStart w:id="381" w:name="_Toc147"/>
      <w:bookmarkEnd w:id="380"/>
      <w:r>
        <w:rPr>
          <w:rtl w:val="true"/>
        </w:rPr>
        <w:t>الفصل الثانی فی معنی الإجماع عند الأخباریین</w:t>
      </w:r>
      <w:bookmarkEnd w:id="38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أخّرناه لأنّ أکثر الذین بحثوا عن الإجماع و احتجّوا به من الاصولیین، و مع ذلک کلامهم مضطرب کما مضی و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الأخباریّون فلمّا لم یتجاوزوا العمل بالأحادیث، کان معناه عندهم هو الاتّفاق من الإمامیّة علی العمل و الفتوی بحدیث، أو بأحد الحدیثین المتعارضین، أو علی ثبوت حکم عن</w:t>
      </w:r>
      <w:r>
        <w:rPr>
          <w:rStyle w:val="FootnoteAnchor"/>
          <w:rtl w:val="true"/>
        </w:rPr>
        <w:footnoteReference w:id="983"/>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بإحدی الطرق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یعلم بالتتبّع التامّ لطریقتهم</w:t>
      </w:r>
      <w:r>
        <w:rPr>
          <w:rStyle w:val="FootnoteAnchor"/>
          <w:rtl w:val="true"/>
        </w:rPr>
        <w:footnoteReference w:id="984"/>
      </w:r>
      <w:r>
        <w:rPr>
          <w:rFonts w:ascii="IRNazanin" w:hAnsi="IRNazanin" w:eastAsia="IRNazanin"/>
          <w:color w:val="111111"/>
          <w:sz w:val="28"/>
          <w:sz w:val="28"/>
          <w:szCs w:val="28"/>
          <w:rtl w:val="true"/>
          <w:lang w:bidi="fa-IR"/>
        </w:rPr>
        <w:t>السدیدة، و الاستقراء الصادق لقواعدهم الصحیحة، فإنّه یعلم أنّهم لم یکونوا یعوّلون علی غیر النقل الثابت عن المعصوم أصلا، کما قاله العلّامة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الإمامیّة فالأخباریّون منهم لم یعوّلوا فی اصول الدین و فروعه إلّا علی أخبار الآحاد المرویّة عن أئمّتهم</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إلّا أن یراد أخبار الآحاد المحفوفة بالقرائن القطعیّة المفیدة للعلم بورود الحکم عنهم علیهم السّلام، و إلّا فتعویلهم علی خلافها خصوصا فی الاصول غیر معقول، و یکون الحصر إضافیّا بالنسبة إلی أخبار الآحاد الخالیة عن القرینة و إلی الاستنباط</w:t>
      </w:r>
      <w:r>
        <w:rPr>
          <w:rStyle w:val="FootnoteAnchor"/>
          <w:rtl w:val="true"/>
        </w:rPr>
        <w:footnoteReference w:id="986"/>
      </w:r>
      <w:r>
        <w:rPr>
          <w:rFonts w:ascii="IRNazanin" w:hAnsi="IRNazanin" w:eastAsia="IRNazanin"/>
          <w:color w:val="111111"/>
          <w:sz w:val="28"/>
          <w:sz w:val="28"/>
          <w:szCs w:val="28"/>
          <w:rtl w:val="true"/>
          <w:lang w:bidi="fa-IR"/>
        </w:rPr>
        <w:t>الظنّی، و تبقی</w:t>
      </w:r>
      <w:r>
        <w:rPr>
          <w:rStyle w:val="FootnoteAnchor"/>
          <w:rtl w:val="true"/>
        </w:rPr>
        <w:footnoteReference w:id="987"/>
      </w:r>
      <w:r>
        <w:rPr>
          <w:rFonts w:ascii="IRNazanin" w:hAnsi="IRNazanin" w:eastAsia="IRNazanin"/>
          <w:color w:val="111111"/>
          <w:sz w:val="28"/>
          <w:sz w:val="28"/>
          <w:szCs w:val="28"/>
          <w:rtl w:val="true"/>
          <w:lang w:bidi="fa-IR"/>
        </w:rPr>
        <w:t>الأخبار المتواترة داخلة فی الحصر؛ إذ لا خلاف فی العمل بها بین الأخباریّین و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لهذا مزید تحقیق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المتتبّع أنّ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إذا أفتوا لا یزیدون علی متن الحدیث شیئا، کما فی المقنع و الفقیه و المقنعة و نهایة الشیخ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إذا اتّفقت فتواهم جزموا بثبوت الحکم و وجوب العمل، و تحقّق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الاصطلاح من علمائنا الأخباریین هو الحقّ الصحیح الصریح المستفاد من النصوص عنهم علیهم السّلام، کما أنّ طریقتهم کلّها مأخوذة عن أهل العصمة، فإنّهم لم یحدثوا شیئا و لم یغیّروا ما امروا به، و لا طال علیهم العهد فتدخل علیهم الشبهات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صحّة ما ذکروه هنا أنّ کلّ حدیث ورد فی حجّیة الإجماع عن المعصومین علیهم السّلام، إنّما ورد فی ترجیح أحد الخبرین المتعارضین بموافقته للإجماع من</w:t>
      </w:r>
      <w:bookmarkStart w:id="382" w:name="pg19819_193668"/>
    </w:p>
    <w:p>
      <w:pPr>
        <w:pStyle w:val="BookText"/>
        <w:rPr/>
      </w:pPr>
      <w:bookmarkEnd w:id="382"/>
      <w:r>
        <w:rPr>
          <w:rFonts w:ascii="IRNazanin" w:hAnsi="IRNazanin" w:eastAsia="IRNazanin"/>
          <w:color w:val="111111"/>
          <w:sz w:val="28"/>
          <w:sz w:val="28"/>
          <w:szCs w:val="28"/>
          <w:rtl w:val="true"/>
          <w:lang w:bidi="fa-IR"/>
        </w:rPr>
        <w:t>الإمامیّة، و أنّه یجب حینئذ العمل به و ترک معارضه، علی ما فصّل فی تلک الأحادیث، و یأتی بعضها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ما هو صریح فی عدم حجّیة الإجماع بالمعنی الذی ذکره الاصولیون من العامّة، و وافقهم علیه جمع من الخاصّة، کما ستعرفه بعون اللّه</w:t>
      </w:r>
      <w:r>
        <w:rPr>
          <w:rFonts w:eastAsia="IRNazanin" w:cs="IRNazanin"/>
          <w:color w:val="111111"/>
          <w:sz w:val="28"/>
          <w:szCs w:val="28"/>
          <w:rtl w:val="true"/>
          <w:lang w:bidi="fa-IR"/>
        </w:rPr>
        <w:t>.</w:t>
      </w:r>
      <w:r>
        <w:rPr>
          <w:rStyle w:val="FootnoteAnchor"/>
          <w:rtl w:val="true"/>
        </w:rPr>
        <w:footnoteReference w:id="988"/>
      </w:r>
    </w:p>
    <w:p>
      <w:pPr>
        <w:pStyle w:val="Heading4"/>
        <w:numPr>
          <w:ilvl w:val="3"/>
          <w:numId w:val="1"/>
        </w:numPr>
        <w:rPr/>
      </w:pPr>
      <w:bookmarkStart w:id="383" w:name="__RefHeading___Toc3055689_2314609296"/>
      <w:bookmarkStart w:id="384" w:name="_Toc148"/>
      <w:bookmarkEnd w:id="383"/>
      <w:r>
        <w:rPr>
          <w:rtl w:val="true"/>
        </w:rPr>
        <w:t>الفصل الثالث فی بیان ما هو حجّة من الإجماع، و الکلام فی تحقّقه و عدمه</w:t>
      </w:r>
      <w:bookmarkEnd w:id="384"/>
    </w:p>
    <w:p>
      <w:pPr>
        <w:pStyle w:val="BookText"/>
        <w:rPr/>
      </w:pPr>
      <w:r>
        <w:rPr>
          <w:rFonts w:ascii="IRNazanin" w:hAnsi="IRNazanin" w:eastAsia="IRNazanin"/>
          <w:color w:val="111111"/>
          <w:sz w:val="28"/>
          <w:sz w:val="28"/>
          <w:szCs w:val="28"/>
          <w:rtl w:val="true"/>
          <w:lang w:bidi="fa-IR"/>
        </w:rPr>
        <w:t>لا شکّ أنّ بعض أقسامه معلوم معقول، و بعضها موهوم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 العلم و الیقین بالاتّفاق و بدخول المعصوم فیه أیضا بحیث لا یشکّ فیه أحد أصلا، حتّی یصیر من ضروریّات الدین، أو ضروریّات المذهب، فیقول به کلّ من قال بالدین، أو کلّ من قال بالمذهب، کوجوب الصلاة و تحریم الزنی فی الأوّل، و مسح الرجلین فی الوضوء و إباحة المتعة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لم یتحقّق فی المسائل النظریّة، و إنّما ثبت فی المسائل الضروریّة التی لیست بمحلّ البحث 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حجّة علی من خرج بالمخالفة و شذّ نسبتها عن العامّة أو الخاصّة، و نفعه نادر قلیل کما لا یخفی علی أهل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الإجماع یستحیل قطعا صدوره من غیر نصّ، بل تواتر</w:t>
      </w:r>
      <w:r>
        <w:rPr>
          <w:rStyle w:val="FootnoteAnchor"/>
          <w:rtl w:val="true"/>
        </w:rPr>
        <w:footnoteReference w:id="989"/>
      </w:r>
      <w:r>
        <w:rPr>
          <w:rFonts w:ascii="IRNazanin" w:hAnsi="IRNazanin" w:eastAsia="IRNazanin"/>
          <w:color w:val="111111"/>
          <w:sz w:val="28"/>
          <w:sz w:val="28"/>
          <w:szCs w:val="28"/>
          <w:rtl w:val="true"/>
          <w:lang w:bidi="fa-IR"/>
        </w:rPr>
        <w:t>نصوص صحیحة صریحة لا شکّ فیها و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النصوص و إن کانت تغنی عن الإجماع لکنّها تقوّی به قوّة لا یزیلها شبهة، و لا یبقی عندها مجال للتوقّف أو المخالفة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هذا الإجماع الذی تحقّق دخول المعصوم فیه، و إن کان لا یتوقّف فی حجّیته أحد،</w:t>
      </w:r>
    </w:p>
    <w:p>
      <w:pPr>
        <w:pStyle w:val="BookText"/>
        <w:rPr/>
      </w:pPr>
      <w:r>
        <w:rPr>
          <w:rFonts w:ascii="IRNazanin" w:hAnsi="IRNazanin" w:eastAsia="IRNazanin"/>
          <w:color w:val="111111"/>
          <w:sz w:val="28"/>
          <w:sz w:val="28"/>
          <w:szCs w:val="28"/>
          <w:rtl w:val="true"/>
          <w:lang w:bidi="fa-IR"/>
        </w:rPr>
        <w:t>لکنّ المحقّقین صرّحوا بأنّ حجّیّته إنّما هی باعتبار قول المعصوم، لا باعتبار قول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فالإجماع لیس بحجّة؛ لأنّه إذا تحقّق و لم یعلم دخول قول المعصوم لم یکن حجّة، و إذا علم قول المعصوم و إن لم ینعقد إجماع علیه فهو حجّة، و عند التحقیق لا دلیل علی حجّیّته بغیر دخول المعصوم، و القول بأنّه حجّة مجاز لا حقیقة، باعتبار أنّه مشتمل علی حجّة، و هو قول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Style w:val="FootnoteAnchor"/>
          <w:rtl w:val="true"/>
        </w:rPr>
        <w:footnoteReference w:id="990"/>
      </w:r>
      <w:r>
        <w:rPr>
          <w:rFonts w:ascii="IRNazanin" w:hAnsi="IRNazanin" w:eastAsia="IRNazanin"/>
          <w:color w:val="111111"/>
          <w:sz w:val="28"/>
          <w:sz w:val="28"/>
          <w:szCs w:val="28"/>
          <w:rtl w:val="true"/>
          <w:lang w:bidi="fa-IR"/>
        </w:rPr>
        <w:t>نظیر 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إبلیس مع قول النبیّ صلّی اللّه علیه و آله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فساده إذا حمل علی حقیقته، و صحّته إذا ارید منه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الإجماع یقدّم علی الحدیث الصحیح عند المعارضة، و یجب تأویل کلّ ما خالفه و قبول کلّ ما وافقه و إن ضعف سنده من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أشار الصادق علیه السّلام فی حدیث الجمع بین الحدیثین المختلفین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بالمجمع علیه بین أصحابک، فإنّ المجمع علیه لا ریب فیه</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 عند التحقیق یکون التعویل</w:t>
      </w:r>
      <w:r>
        <w:rPr>
          <w:rStyle w:val="FootnoteAnchor"/>
          <w:rtl w:val="true"/>
        </w:rPr>
        <w:footnoteReference w:id="992"/>
      </w:r>
      <w:r>
        <w:rPr>
          <w:rFonts w:ascii="IRNazanin" w:hAnsi="IRNazanin" w:eastAsia="IRNazanin"/>
          <w:color w:val="111111"/>
          <w:sz w:val="28"/>
          <w:sz w:val="28"/>
          <w:szCs w:val="28"/>
          <w:rtl w:val="true"/>
          <w:lang w:bidi="fa-IR"/>
        </w:rPr>
        <w:t>و الاعتماد هنا علی قول المعصوم الثابت المعلوم الذی لم یشکّ فیه أحد، فقد اتّفقوا علی أنّه لا بدّ له من مستند، و اتّفق أصحابنا علی أنّ حجّیّته لاشتماله علی قول المعصوم</w:t>
      </w:r>
      <w:r>
        <w:rPr>
          <w:rFonts w:eastAsia="IRNazanin" w:cs="IRNazanin"/>
          <w:color w:val="111111"/>
          <w:sz w:val="28"/>
          <w:szCs w:val="28"/>
          <w:rtl w:val="true"/>
          <w:lang w:bidi="fa-IR"/>
        </w:rPr>
        <w:t>.</w:t>
      </w:r>
      <w:r>
        <w:rPr>
          <w:rStyle w:val="FootnoteAnchor"/>
          <w:rtl w:val="true"/>
        </w:rPr>
        <w:footnoteReference w:id="99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یتحقّق هذا الإجماع مع ظهوره علیهم السّلام، أو کون</w:t>
      </w:r>
      <w:r>
        <w:rPr>
          <w:rStyle w:val="FootnoteAnchor"/>
          <w:rtl w:val="true"/>
        </w:rPr>
        <w:footnoteReference w:id="994"/>
      </w:r>
      <w:r>
        <w:rPr>
          <w:rFonts w:ascii="IRNazanin" w:hAnsi="IRNazanin" w:eastAsia="IRNazanin"/>
          <w:color w:val="111111"/>
          <w:sz w:val="28"/>
          <w:sz w:val="28"/>
          <w:szCs w:val="28"/>
          <w:rtl w:val="true"/>
          <w:lang w:bidi="fa-IR"/>
        </w:rPr>
        <w:t>قوله ظاهرا مشهورا محکما ثابتا مقطوعا</w:t>
      </w:r>
      <w:r>
        <w:rPr>
          <w:rStyle w:val="FootnoteAnchor"/>
          <w:rtl w:val="true"/>
        </w:rPr>
        <w:footnoteReference w:id="995"/>
      </w:r>
      <w:r>
        <w:rPr>
          <w:rFonts w:ascii="IRNazanin" w:hAnsi="IRNazanin" w:eastAsia="IRNazanin"/>
          <w:color w:val="111111"/>
          <w:sz w:val="28"/>
          <w:sz w:val="28"/>
          <w:szCs w:val="28"/>
          <w:rtl w:val="true"/>
          <w:lang w:bidi="fa-IR"/>
        </w:rPr>
        <w:t>به، فإنّ الآراء محال أن تتّفق إلّا أن یلجأ أصحابها إلی</w:t>
      </w:r>
      <w:r>
        <w:rPr>
          <w:rStyle w:val="FootnoteAnchor"/>
          <w:rtl w:val="true"/>
        </w:rPr>
        <w:footnoteReference w:id="996"/>
      </w:r>
      <w:r>
        <w:rPr>
          <w:rFonts w:ascii="IRNazanin" w:hAnsi="IRNazanin" w:eastAsia="IRNazanin"/>
          <w:color w:val="111111"/>
          <w:sz w:val="28"/>
          <w:sz w:val="28"/>
          <w:szCs w:val="28"/>
          <w:rtl w:val="true"/>
          <w:lang w:bidi="fa-IR"/>
        </w:rPr>
        <w:t>الاتّفاق ببرهان واضح</w:t>
      </w:r>
    </w:p>
    <w:p>
      <w:pPr>
        <w:pStyle w:val="BookText"/>
        <w:rPr/>
      </w:pPr>
      <w:r>
        <w:rPr>
          <w:rFonts w:ascii="Amiri" w:hAnsi="Amiri" w:eastAsia="Amiri" w:cs="Amiri"/>
          <w:color w:val="111111"/>
          <w:sz w:val="28"/>
          <w:sz w:val="28"/>
          <w:szCs w:val="28"/>
          <w:rtl w:val="true"/>
          <w:lang w:bidi="ar-SA"/>
        </w:rPr>
        <w:t>و نصّ قاطع، أو یغلبهم التقلید، أو یشملهم عناد أو حسد أو نفاق أو 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قوله تعالی وَ لا یَزالُونَ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 لِذلِکَ خَلَقَهُمْ</w:t>
      </w:r>
      <w:r>
        <w:rPr>
          <w:rStyle w:val="FootnoteAnchor"/>
          <w:rtl w:val="true"/>
        </w:rPr>
        <w:footnoteReference w:id="997"/>
      </w:r>
      <w:r>
        <w:rPr>
          <w:rFonts w:ascii="IRNazanin" w:hAnsi="IRNazanin" w:eastAsia="IRNazanin"/>
          <w:color w:val="111111"/>
          <w:sz w:val="28"/>
          <w:sz w:val="28"/>
          <w:szCs w:val="28"/>
          <w:rtl w:val="true"/>
          <w:lang w:bidi="fa-IR"/>
        </w:rPr>
        <w:t>أی و للرحمة خلقهم، أی خلقهم لیعلموا ما یستحقّون به رحمته فیرحمهم،</w:t>
      </w:r>
      <w:r>
        <w:rPr>
          <w:rStyle w:val="FootnoteAnchor"/>
          <w:rtl w:val="true"/>
        </w:rPr>
        <w:footnoteReference w:id="998"/>
      </w:r>
      <w:r>
        <w:rPr>
          <w:rFonts w:ascii="IRNazanin" w:hAnsi="IRNazanin" w:eastAsia="IRNazanin"/>
          <w:color w:val="111111"/>
          <w:sz w:val="28"/>
          <w:sz w:val="28"/>
          <w:szCs w:val="28"/>
          <w:rtl w:val="true"/>
          <w:lang w:bidi="fa-IR"/>
        </w:rPr>
        <w:t>کما روی فی الأحادیث المعتبرة، و أوّل الآیة شاهد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یسمّونه إجماعا و یطلقون اسمه علیه و لا مستند له من کلام المعصومین، أو له مستند من الأخبار</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قسم سنده هو النصّ القطعی الثابت عن أهل العصمة الذی هو من المحکمات، و یستحیل اتّفاقهم و إجماعهم علی مثل هذا النصّ، و یکون له معارض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لا سند له، أو له سند من حدیث و لکنّه معارض بما هو أقوی منه، أو سنده شی‌ء من الاعتبارات العقلیّة و الاستنباطات الظنیّة التی ورد النهی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المحکمة الثابتة التی لم تصل إلی حدّ القسم الأوّل، أو من الأخبار المتشابهة، المتعارضة بما هو أقوی منها التی یجب تأویلها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قسمین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قد نقله الأخباریّون، أو علم بالتتبّع لکلامهم، و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معلوم من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النصّ القطعی الثابت من أهل العصمة، الذی هو من المحکمات، و یستحیل اتّفاقهم و إجماعهم علی مثل هذا النصّ، و یکون له معارض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قد نقله الأصولیّون، أو علم بالتتبّع لکلامهم، و لا سند له، أو له سند من حدیث ضعیف، معارض بما هو أقوی منه، أو سنده شی‌ء من الاعتباریّات العقلیّة و الاستنباطات الظنیّة التی ورد النهی عنها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 یخفی علی أحد أنّهم قد عملوا بما لم یکن معمولا فی زمن الأئمّة علیهم السّلام، و أنّ طریقة المتقدّمین هی المأخوذة عنهم علیهم السّلام خاصّة، الخالیة من التصرّفات و الإحداثات،</w:t>
      </w:r>
    </w:p>
    <w:p>
      <w:pPr>
        <w:pStyle w:val="BookText"/>
        <w:rPr/>
      </w:pPr>
      <w:r>
        <w:rPr>
          <w:rFonts w:ascii="IRNazanin" w:hAnsi="IRNazanin" w:eastAsia="IRNazanin"/>
          <w:color w:val="111111"/>
          <w:sz w:val="28"/>
          <w:sz w:val="28"/>
          <w:szCs w:val="28"/>
          <w:rtl w:val="true"/>
          <w:lang w:bidi="fa-IR"/>
        </w:rPr>
        <w:t>الموافقة للأحادیث التی یأتی بعضها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إجماع وقع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حجّة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 علی بیعة أبی بکر، فقد قال به الوف کثیرة حتّی مضت له مدّة</w:t>
      </w:r>
      <w:r>
        <w:rPr>
          <w:rStyle w:val="FootnoteAnchor"/>
          <w:rtl w:val="true"/>
        </w:rPr>
        <w:footnoteReference w:id="1000"/>
      </w:r>
      <w:r>
        <w:rPr>
          <w:rFonts w:ascii="IRNazanin" w:hAnsi="IRNazanin" w:eastAsia="IRNazanin"/>
          <w:color w:val="111111"/>
          <w:sz w:val="28"/>
          <w:sz w:val="28"/>
          <w:szCs w:val="28"/>
          <w:rtl w:val="true"/>
          <w:lang w:bidi="fa-IR"/>
        </w:rPr>
        <w:t>طویلة لا یقدر أحد علی التصریح بالقدح فیه، فالعجب ممّن ینکره ثمّ یقول بمثله، بل بما دونه،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صار ذلک الإجماع إماما للإجماعات الباطلة، و مقتدی للاتّفاقات المخالفة للشریعة، و لا یکاد یوجد بعده إجماع أکثر قائلا منه، و مع ذلک لا خفاء فی بطلانه و لا شبهة فی فساده؛ لعدم مستند له و نصّ یوافقه، بل وجود النصّ علی نقیضه، و إنّما کان بناؤه علی الآراء و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لا بدّ من إثبات سند للإجماع</w:t>
      </w:r>
      <w:r>
        <w:rPr>
          <w:rStyle w:val="FootnoteAnchor"/>
          <w:rtl w:val="true"/>
        </w:rPr>
        <w:footnoteReference w:id="1001"/>
      </w:r>
      <w:r>
        <w:rPr>
          <w:rFonts w:ascii="IRNazanin" w:hAnsi="IRNazanin" w:eastAsia="IRNazanin"/>
          <w:color w:val="111111"/>
          <w:sz w:val="28"/>
          <w:sz w:val="28"/>
          <w:szCs w:val="28"/>
          <w:rtl w:val="true"/>
          <w:lang w:bidi="fa-IR"/>
        </w:rPr>
        <w:t>من نصّ علیه، خاصّ أو عامّ، یدلّ علی حجّیّته، کما هو ثابت فی القسم الأوّل من الثانی، و ستعرفه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أصحابنا الإمامیّة لمّا ثبت عندهم بطلان الإجماع الذی من هذا القبیل، قالوا علی سبیل المماشاة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لو کان حجّة، لکانت</w:t>
      </w:r>
      <w:r>
        <w:rPr>
          <w:rStyle w:val="FootnoteAnchor"/>
          <w:rtl w:val="true"/>
        </w:rPr>
        <w:footnoteReference w:id="1002"/>
      </w:r>
      <w:r>
        <w:rPr>
          <w:rFonts w:ascii="IRNazanin" w:hAnsi="IRNazanin" w:eastAsia="IRNazanin"/>
          <w:color w:val="111111"/>
          <w:sz w:val="28"/>
          <w:sz w:val="28"/>
          <w:szCs w:val="28"/>
          <w:rtl w:val="true"/>
          <w:lang w:bidi="fa-IR"/>
        </w:rPr>
        <w:t>حجّیّته باعتبار اشتماله علی قول المعصوم؛ لأنّ الزمان لا یخلو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جعفر الطوسی رحمه اللّه فی کتاب العدّة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المتکلّمون بأجمعهم و الفقهاء بأسرهم</w:t>
      </w:r>
      <w:r>
        <w:rPr>
          <w:rStyle w:val="FootnoteAnchor"/>
          <w:rtl w:val="true"/>
        </w:rPr>
        <w:footnoteReference w:id="1003"/>
      </w:r>
      <w:r>
        <w:rPr>
          <w:rFonts w:ascii="IRNazanin" w:hAnsi="IRNazanin" w:eastAsia="IRNazanin"/>
          <w:color w:val="111111"/>
          <w:sz w:val="28"/>
          <w:sz w:val="28"/>
          <w:szCs w:val="28"/>
          <w:rtl w:val="true"/>
          <w:lang w:bidi="fa-IR"/>
        </w:rPr>
        <w:t>إلی أنّ الإجماع حجّة، و حکی عن النظّام و جعفر بن حرب و جعفر بن مبشّر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لیس بحجّة، و اختلف من قال إنّه حجّة؛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حجّة من جهة السمع</w:t>
      </w:r>
      <w:r>
        <w:rPr>
          <w:rStyle w:val="FootnoteAnchor"/>
          <w:rtl w:val="true"/>
        </w:rPr>
        <w:footnoteReference w:id="1004"/>
      </w:r>
      <w:r>
        <w:rPr>
          <w:rFonts w:ascii="IRNazanin" w:hAnsi="IRNazanin" w:eastAsia="IRNazanin"/>
          <w:color w:val="111111"/>
          <w:sz w:val="28"/>
          <w:sz w:val="28"/>
          <w:szCs w:val="28"/>
          <w:rtl w:val="true"/>
          <w:lang w:bidi="fa-IR"/>
        </w:rPr>
        <w:t>دون العقل، ثمّ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داود و کثیر من أصحاب الظاهر إلی أنّ إجماع الصحابة هو الحجّة دون غیرهم من أهل الأمصار، و ذهب مالک و من تابعة إلی</w:t>
      </w:r>
    </w:p>
    <w:p>
      <w:pPr>
        <w:pStyle w:val="BookText"/>
        <w:rPr/>
      </w:pPr>
      <w:r>
        <w:rPr>
          <w:rFonts w:ascii="IRNazanin" w:hAnsi="IRNazanin" w:eastAsia="IRNazanin"/>
          <w:color w:val="111111"/>
          <w:sz w:val="28"/>
          <w:sz w:val="28"/>
          <w:szCs w:val="28"/>
          <w:rtl w:val="true"/>
          <w:lang w:bidi="fa-IR"/>
        </w:rPr>
        <w:t>أنّ الإجماع المراعی هو إجماع أهل المدینة دون غیرهم، غیر أنّه حجّة فی کلّ عصر، و ذهب الباقون إلی أنّ الإجماع حجّة، و لا یختصّ بعصر الصحابة و لا بإجماع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الامّة لا یجوز أن تجمع علی خطأ، و أنّ ما یجمع علیه لا یکون إلّا صوابا و حجّة؛ لأنّ عندنا أنّه لا یخلو عصر من الأعصار من إمام معصوم حافظ للشرع، یکون قوله حجّة، یجب الرجوع إلیه کما یجب الرجوع إلی قول الرسول، فمتی اجتمعت الامّة علی قول فلا بدّ من کونه حجّة؛ لدخول المعصوم فی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جوّزوا أن یکون الإمام خارجا عن 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لا یکون إجماعا، بل لو انفرد واحد من العلماء عند من خالفنا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 ذلک بإجماعهم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المعتبر</w:t>
      </w:r>
      <w:r>
        <w:rPr>
          <w:rStyle w:val="FootnoteAnchor"/>
          <w:rtl w:val="true"/>
        </w:rPr>
        <w:footnoteReference w:id="1005"/>
      </w:r>
      <w:r>
        <w:rPr>
          <w:rFonts w:ascii="IRNazanin" w:hAnsi="IRNazanin" w:eastAsia="IRNazanin"/>
          <w:color w:val="111111"/>
          <w:sz w:val="28"/>
          <w:sz w:val="28"/>
          <w:szCs w:val="28"/>
          <w:rtl w:val="true"/>
          <w:lang w:bidi="fa-IR"/>
        </w:rPr>
        <w:t>قول الإمام، فلا فائدة فی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حجّة، بل ینبغی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قول الإمام، و لا یذکرون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إن کان علی ما تضمّنه السؤال، فإنّ لاعتبارنا الإجماع فائدة معلومة، و هی أنّه قد لا یتعیّن لنا قول الإمام فی کثیر من الأوقات، فیحتاج حینئذ إلی اعتبار الإجماع لیعلم بإجماعهم أنّ قول المعصوم داخل فیهم، و لو تعیّن لنا قوله لم نعتبر سواه، و متی فرضنا أنّ الزمان یخلو من معصوم، لم یکن الإجماع حجّة علی وجه من الوجوه؛ لأنّه لا دلیل علیه، فوجب القطع علی نفی کونه حجّة، فنحن نتّبع ما یعتمده الخصوم</w:t>
      </w:r>
      <w:r>
        <w:rPr>
          <w:rStyle w:val="FootnoteAnchor"/>
          <w:rtl w:val="true"/>
        </w:rPr>
        <w:footnoteReference w:id="1006"/>
      </w:r>
      <w:r>
        <w:rPr>
          <w:rFonts w:ascii="IRNazanin" w:hAnsi="IRNazanin" w:eastAsia="IRNazanin"/>
          <w:color w:val="111111"/>
          <w:sz w:val="28"/>
          <w:sz w:val="28"/>
          <w:szCs w:val="28"/>
          <w:rtl w:val="true"/>
          <w:lang w:bidi="fa-IR"/>
        </w:rPr>
        <w:t>من جهة العقل و الشرع، و نبیّن أنّه لا دلالة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ثمّ ذکر أدلّتهم و أجاب عنها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إطلاق کلامه هنا أنّ طریقته و طریقة باقی الأخباریّین أنّهم لا یعملون</w:t>
      </w:r>
    </w:p>
    <w:p>
      <w:pPr>
        <w:pStyle w:val="BookText"/>
        <w:rPr/>
      </w:pPr>
      <w:r>
        <w:rPr>
          <w:rFonts w:ascii="Amiri" w:hAnsi="Amiri" w:eastAsia="Amiri" w:cs="Amiri"/>
          <w:color w:val="111111"/>
          <w:sz w:val="28"/>
          <w:sz w:val="28"/>
          <w:szCs w:val="28"/>
          <w:rtl w:val="true"/>
          <w:lang w:bidi="ar-SA"/>
        </w:rPr>
        <w:t>إلّا بنصّ عن</w:t>
      </w:r>
      <w:r>
        <w:rPr>
          <w:rStyle w:val="FootnoteAnchor"/>
          <w:rtl w:val="true"/>
        </w:rPr>
        <w:footnoteReference w:id="1008"/>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الإجماع عندکم قلیل الجدوی لبعد تحقّقه و عدم خروجه عن معنی الخبر لأنّ العمدة فیه قول المعصوم، فلم جعلتموه دلیلا مستقلّا مغایرا للخبر، و نظمتموه فی سلک الأدلّة الشرعیّة؟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المستندین لذلک لورد علینا ما ذکرتم، لکنّکم لمّا عقدتم هذا الأصل و سألتمونا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یتمشّی عندکم؟ أجبناکم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تحقّق قول المعصوم فی جملة أقوال المجمعین عملنا بهذا الدلیل، فإن کان الإجماع الذی تدّعونه أصلا هو هذا وافقناکم علیه، و إلّا فلیس بحجّة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 هو کلام جیّد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ذلک فاعلم أنّ الإجماع إنّما یتحقّق فی القسم الأوّل و هو الضروری، أو فی زمان ظهور الإمام، أو فی صورة ظهور نصّ صریح واضح قد عمل به جمیع علماء الإمامیّة، بحیث لا یظهر منهم مخالف بعد التتبّع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الصورة الأخیرة داخلة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اتّفاق المجتهدین من الاصولیّین علی حکم لیس فیه نصّ، فإمکان تحقّقه ممنوع، و لو سلّم و ثبت وقوعه، فدلالته علی دخول قول الإمام فی جملتهم ممنوعة، و حینئذ</w:t>
      </w:r>
      <w:r>
        <w:rPr>
          <w:rStyle w:val="FootnoteAnchor"/>
          <w:rtl w:val="true"/>
        </w:rPr>
        <w:footnoteReference w:id="1010"/>
      </w:r>
      <w:r>
        <w:rPr>
          <w:rFonts w:ascii="IRNazanin" w:hAnsi="IRNazanin" w:eastAsia="IRNazanin"/>
          <w:color w:val="111111"/>
          <w:sz w:val="28"/>
          <w:sz w:val="28"/>
          <w:szCs w:val="28"/>
          <w:rtl w:val="true"/>
          <w:lang w:bidi="fa-IR"/>
        </w:rPr>
        <w:t>فلیس بشی‌ء و لا یجوز الاحتجاج به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بیانه أنّ تفسیر</w:t>
      </w:r>
      <w:r>
        <w:rPr>
          <w:rStyle w:val="FootnoteAnchor"/>
          <w:rtl w:val="true"/>
        </w:rPr>
        <w:footnoteReference w:id="1011"/>
      </w:r>
      <w:r>
        <w:rPr>
          <w:rFonts w:ascii="IRNazanin" w:hAnsi="IRNazanin" w:eastAsia="IRNazanin"/>
          <w:color w:val="111111"/>
          <w:sz w:val="28"/>
          <w:sz w:val="28"/>
          <w:szCs w:val="28"/>
          <w:rtl w:val="true"/>
          <w:lang w:bidi="fa-IR"/>
        </w:rPr>
        <w:t>العلم بآراء جمیع الناس و أقوال سائر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تفرّقهم فی أقطار الأرض، و انغمارهم فی طبقات الناس، و کثرة مصنّفاتهم جدّا، و خفاء تاریخ تقدّم بعضها علی بعض، و کون کثیر منهم لم یصنّف شیئا، و خمول کثیر من أهل الفضل بحیث لا یعرف، و انتشارهم فی بلاد الشیعة، و التقیّة، و عدم إظهار کثیر</w:t>
      </w:r>
    </w:p>
    <w:p>
      <w:pPr>
        <w:pStyle w:val="BookText"/>
        <w:rPr/>
      </w:pPr>
      <w:r>
        <w:rPr>
          <w:rFonts w:ascii="IRNazanin" w:hAnsi="IRNazanin" w:eastAsia="IRNazanin"/>
          <w:color w:val="111111"/>
          <w:sz w:val="28"/>
          <w:sz w:val="28"/>
          <w:szCs w:val="28"/>
          <w:rtl w:val="true"/>
          <w:lang w:bidi="fa-IR"/>
        </w:rPr>
        <w:t>منهم التشیّع بالکلّیّة، و احتمال فتوی کلّ واحد منهم لأن یکون اعتقادا له، أو أظهرها للتقیّة أو خوف الفتنة، و توقّف ذلک علی التتبّع التامّ، و عدم انحصار الأمر فی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یکون ضبط أقوالهم موقوفا علی أسفار طویلة و تفتیش عظیم</w:t>
      </w:r>
      <w:r>
        <w:rPr>
          <w:rStyle w:val="FootnoteAnchor"/>
          <w:rtl w:val="true"/>
        </w:rPr>
        <w:footnoteReference w:id="1012"/>
      </w:r>
      <w:r>
        <w:rPr>
          <w:rFonts w:ascii="IRNazanin" w:hAnsi="IRNazanin" w:eastAsia="IRNazanin"/>
          <w:color w:val="111111"/>
          <w:sz w:val="28"/>
          <w:sz w:val="28"/>
          <w:szCs w:val="28"/>
          <w:rtl w:val="true"/>
          <w:lang w:bidi="fa-IR"/>
        </w:rPr>
        <w:t>و علم بعدالة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أحدا ممّن ادّعی الإجماع لم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تمام التفحّص یحتمل رجوع أکثرهم عمّا أفتی به، فلا یحصل إلّا ظنّ ضعیف باتّفاقهم، و بعده لا یحصل العلم بدخول الإمام؛ إذ لیست هذه المقدّمة بیّنة و لا مبیّنة، مع أنّه بعد ذلک یصیر حجّة علی من تتبّع، لا علی غیره، فإنّ التواتر عند المنقول إلیه یکاد یکون محالا، مع أنّ التواتر مشروط بالانتهاء إلی الحسّ، و کون کلّ واحد عدلا معتقدا لما قاله غیر محسوس؛ لاحتمال التقیّة و غیرها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الآحاد لا تفید إلّا ظنّا، فیصیر اجتهادا مظنونا یجوز علیه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نصّ فی جواز العمل به فضلا عن وجوبه، علی أنّ هذا الإجماع الذی لم یعلم دخول الإمام فیه لو کان حجّة مع احتمال کون قول الإمام مخالفا له، لزم کونه حجّة مع العلم بمخالفة قول الإمام له، و خروج قول الإمام عن کونه حجّة، و 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التحقیق یعلم أنّ هذا قول بالتفویض إلی الرعیّة، و یلزمه عدم الاحتیاج إلی نصب الحجّة من النبیّ و الإمام؛ للاستغناء عنها بالاجتهاد و الإجماع و الاستنباطات الظنّیة و الأدلّة العقلیّة علی قول الاصولیّین، و هو رجوع عن طریقة الأخباریّین إلی قول العامّة، لا إلی قول الاصولیّین من الخاصّة عند التأمّل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الذی استدلّوا به علی عصمة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لم یکن معصوما لزم أمره تعالی عباده بما یجوز علیه الخطأ، و هو قبیح محال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حجّیّة الإجماع</w:t>
      </w:r>
      <w:r>
        <w:rPr>
          <w:rStyle w:val="FootnoteAnchor"/>
          <w:rtl w:val="true"/>
        </w:rPr>
        <w:footnoteReference w:id="1013"/>
      </w:r>
      <w:r>
        <w:rPr>
          <w:rFonts w:ascii="IRNazanin" w:hAnsi="IRNazanin" w:eastAsia="IRNazanin"/>
          <w:color w:val="111111"/>
          <w:sz w:val="28"/>
          <w:sz w:val="28"/>
          <w:szCs w:val="28"/>
          <w:rtl w:val="true"/>
          <w:lang w:bidi="fa-IR"/>
        </w:rPr>
        <w:t>المشار إلیه، و علی بطلان جمیع الاستدلالات الظنّیّة،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الشهید الثانی الشیخ زین الدین قدّس سرّه فی بعض رسائله و نعم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عند الأصحاب إنّما هو حجّة بواسطة دخول قول</w:t>
      </w:r>
      <w:r>
        <w:rPr>
          <w:rStyle w:val="FootnoteAnchor"/>
          <w:rtl w:val="true"/>
        </w:rPr>
        <w:footnoteReference w:id="1014"/>
      </w:r>
      <w:r>
        <w:rPr>
          <w:rFonts w:ascii="IRNazanin" w:hAnsi="IRNazanin" w:eastAsia="IRNazanin"/>
          <w:color w:val="111111"/>
          <w:sz w:val="28"/>
          <w:sz w:val="28"/>
          <w:szCs w:val="28"/>
          <w:rtl w:val="true"/>
          <w:lang w:bidi="fa-IR"/>
        </w:rPr>
        <w:t xml:space="preserve">المعصوم فی جملة أقوال القائلین، و العبرة عندهم إنّما هی بقوله دون أقوالهم، و اعترفوا بأنّ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مشی مع المخالف، حیث إنّه کلام حقّ فی نفسه، و إن کانت حیثیّة الحجّیّة مختلفة عندنا و عندهم علی ما هو محقّق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کذلک فلا بدّ من العلم بقول المعصوم فی جملة أقوالهم حتّی یتحقّق حجّیّة قولهم، و من أین لهم هذا العلم فی مثل هذه المواضع مع عدم وقوفهم علی خبره علیه السّلام فضلا عن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متی لم یعلم فی المسألة مخالف، أو علم مع معرفة أصل المخالف و نسبه، یتحقّق</w:t>
      </w:r>
      <w:r>
        <w:rPr>
          <w:rStyle w:val="FootnoteAnchor"/>
          <w:rtl w:val="true"/>
        </w:rPr>
        <w:footnoteReference w:id="1015"/>
      </w:r>
      <w:r>
        <w:rPr>
          <w:rFonts w:ascii="IRNazanin" w:hAnsi="IRNazanin" w:eastAsia="IRNazanin"/>
          <w:color w:val="111111"/>
          <w:sz w:val="28"/>
          <w:sz w:val="28"/>
          <w:szCs w:val="28"/>
          <w:rtl w:val="true"/>
          <w:lang w:bidi="fa-IR"/>
        </w:rPr>
        <w:t>الإجماع و یکون حجّة، و یجعل قول الإمام فی الجانب الذی لا ینحصر، و نحو ذلک ممّا بیّنوه و اعتمدوه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 مجانب للتحقیق جدّا، ضعیف المأخذ، و من أین یعلم أنّ قوله علیه السّلام و هو بهذه الحالة فی جملة أقوال الجماعة المخصوصة، دون غیرهم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بلغ قول أهل الاستدلال من أصحابنا فی عصر من الأعصار السابقة حدّا لا ینحصر و لا یعلم به بلد القائل و لا نسبه، و هم فی جمیع الأعصار محصورون مضبوطون بالاشتهار و الکتابة و التحریر لأحوالهم علی وجه لا یتخالج معه شکّ و لا تقع معه شبهة، و مجرّد احتمال وجود واحد منهم مجهول الحال، مغمور فی جملة الناس، مع بعده، مشترک من الجانبین؛ فإنّ هذا إن کان أتی، کان وجوده مع کلّ قائل ممکنا، و مثل هذا لا یلتفت إلیه أصلا و رأسا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فی المعتبر و نعم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حجّة بانضمام المعصوم، فلو خلا المائة من فقهائنا عن قوله لما کان حجّة، و لو حصل فی اثنین لکان قولهما حجّة، لا باعتبار اتّفاقهما، بل باعتبار قوله علیه السّلام؛ فلا تغترّ بمن یتحکّم فیدّعی</w:t>
      </w:r>
    </w:p>
    <w:p>
      <w:pPr>
        <w:pStyle w:val="BookText"/>
        <w:rPr/>
      </w:pPr>
      <w:r>
        <w:rPr>
          <w:rFonts w:ascii="IRNazanin" w:hAnsi="IRNazanin" w:eastAsia="IRNazanin"/>
          <w:color w:val="111111"/>
          <w:sz w:val="28"/>
          <w:sz w:val="28"/>
          <w:szCs w:val="28"/>
          <w:rtl w:val="true"/>
          <w:lang w:bidi="fa-IR"/>
        </w:rPr>
        <w:t>الإجماع باتّفاق الخمسة و العشرة من الأصحاب مع جهالة قول الباقین، إلّا مع العلم القطعی بدخول الإمام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و من أین یحصل العلم القطعی بموافقة قوله علیه السّلام لأقوال الأصحاب مع هذا الانقطاع المحض، و المفارقة الکلّیة، و الجهل بما یقوله علی الإطلاق فی مدّة تزید علی ستّمائة سنة؟</w:t>
      </w:r>
    </w:p>
    <w:p>
      <w:pPr>
        <w:pStyle w:val="BookText"/>
        <w:rPr/>
      </w:pPr>
      <w:r>
        <w:rPr>
          <w:rFonts w:ascii="IRNazanin" w:hAnsi="IRNazanin" w:eastAsia="IRNazanin"/>
          <w:color w:val="111111"/>
          <w:sz w:val="28"/>
          <w:sz w:val="28"/>
          <w:szCs w:val="28"/>
          <w:rtl w:val="true"/>
          <w:lang w:bidi="fa-IR"/>
        </w:rPr>
        <w:t>و قریب من قول المحقّق قول العلّامة فی النهایة، فإنّه لمّا أورد علی نفسه أنّه لا یمکن العلم باتّفاق الکلّ علی وجه یتحقّق دخول المعصوم فیهم، أجاب بأنّ الفرض دخوله فیهم؛ إذ الإجماع إنّما یتمّ به، فلا یمکن منع دخوله</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یحصل الفرق بین قوله مع الجهل بحاله علی ما وصفناه، و بین قول رجل من علماء المسلمین فی أقطار الأرض؛ حیث حکم الجمهور بتحقّق إجماع للمسلمین، و لم یقدح فیه احتمال مخالف فی بعض الأقطار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الفرق أنّ قول هذا البعض فی قطر من أقطار الأرض مع کونه مجتهدا مطلقا ممّا یستحیل خفاؤه و الجهل بعینه عادة، فلو کان ثمّ من هو</w:t>
      </w:r>
      <w:r>
        <w:rPr>
          <w:rStyle w:val="FootnoteAnchor"/>
          <w:rtl w:val="true"/>
        </w:rPr>
        <w:footnoteReference w:id="1018"/>
      </w:r>
      <w:r>
        <w:rPr>
          <w:rFonts w:ascii="IRNazanin" w:hAnsi="IRNazanin" w:eastAsia="IRNazanin"/>
          <w:color w:val="111111"/>
          <w:sz w:val="28"/>
          <w:sz w:val="28"/>
          <w:szCs w:val="28"/>
          <w:rtl w:val="true"/>
          <w:lang w:bidi="fa-IR"/>
        </w:rPr>
        <w:t>بهذه الصفة یظهر للمسلمین و نقل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یدلّ علیه العلم العادی قطعا، فإن حصل شکّ</w:t>
      </w:r>
      <w:r>
        <w:rPr>
          <w:rStyle w:val="FootnoteAnchor"/>
          <w:rtl w:val="true"/>
        </w:rPr>
        <w:footnoteReference w:id="1019"/>
      </w:r>
      <w:r>
        <w:rPr>
          <w:rFonts w:ascii="IRNazanin" w:hAnsi="IRNazanin" w:eastAsia="IRNazanin"/>
          <w:color w:val="111111"/>
          <w:sz w:val="28"/>
          <w:sz w:val="28"/>
          <w:szCs w:val="28"/>
          <w:rtl w:val="true"/>
          <w:lang w:bidi="fa-IR"/>
        </w:rPr>
        <w:t>فی العلم فلا أقلّ من الظنّ المتاخم للعلم الکافی فی الدلالة علی مسألة شرعیّة، حیث إنّ طرق الفقه کذلک، بخلاف قول الإمام علیه السّلام المجهول عینه و محلّه و کلامه فی هذه الأعصار المتطاولة لکلّ وجه، فإنّ إدخال قوله مع جملة أقوال قوم معلومین تحکّم ظاهر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یتوجّه العلم بقول المعصوم و دخوله فی أقوال شیعته عند ظهوره، کما اتّفق لآبائه فی مسائل کثیرة اتّفقت فیها کلمة علماء شیعتهم و الروایات بها عنهم، کالقول بوجوب مسح الرجلین فی الوضوء، و المنع من مسح الخفّین، و منع العول و التعصیب فی الإرث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الفروع التی تجدّدت حال الغیبة و وقع الخلاف فیها، فالرجوع فیها إلی ما ساق إلیه الدلیل من الکتاب و السنّة و غیرهما من الأدلّة المعتبرة شرعا، لا إلی مثل هذه الدعاوی العاریة عن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ذرء من المقال فی هذا المقام، و بقی الباقی فی الخیال، فتنبّه له و لا تکن ممّن یعرف الحقّ بالرجال فیقع فی مهاوی الضلال</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انتهی کلام الشهید الثانی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فی غایة الجودة 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علمت أنّ المعتبر من الإجماع هو القسم الأوّل، و أوّل قسمی الثانی، و أنّ الثالث لا یمکن الاعتماد علیه و لا الاستدلال به، بل یجب الرجوع إلی النصوص المرویّة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بطلان الإجماع بالمعنی المشهور عند الاصولیّین أنّهم قد اعترفوا بأنّ حجّیّته مبنیّة علی الظواهر، و أنّ حجّیّة الظواهر مبنیّة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بنحو ذلک فی الشرح العضدی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استدلّوا علیه أیضا بالإجماع علی تخطئة مخالف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فی غایة الضعف، و وجّهوه بتوجیه ذکروه هناک لا یلیق نقله</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و أوردوا علیه نقضا إجماع الفلاسفة علی قدم العالم، و إجماع الیهود علی أن لا نبیّ بعد موسی، و إجماع النصاری علی أنّ عیسی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أجابوا أیضا بوجه ضعیف جدّا لا یخفی ضعفه علی من نظره،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بالظواهر إنّما ثبت بالإجماع، و لولاه لوجب العمل بالأدلّة المانعة من اتّباع الظنّ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ذکرناه هنا یظهر من مراجعة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ورود الدور و لزومه لهم فی موضعین من کلامهم هنا، مضافا إلی عدم ظهور دلیل قطعی</w:t>
      </w:r>
      <w:bookmarkStart w:id="385" w:name="pg19819_193678"/>
    </w:p>
    <w:p>
      <w:pPr>
        <w:pStyle w:val="BookText"/>
        <w:rPr/>
      </w:pPr>
      <w:bookmarkEnd w:id="385"/>
      <w:r>
        <w:rPr>
          <w:rFonts w:ascii="IRNazanin" w:hAnsi="IRNazanin" w:eastAsia="IRNazanin"/>
          <w:color w:val="111111"/>
          <w:sz w:val="28"/>
          <w:sz w:val="28"/>
          <w:szCs w:val="28"/>
          <w:rtl w:val="true"/>
          <w:lang w:bidi="fa-IR"/>
        </w:rPr>
        <w:t>علی حجّیّته کما اعترفوا به، مع ورود الأحادیث عنهم علیهم السّلام بعدم حجّیّته، و مع کونه أمرا مخفیّا غیر منضبط، فلا یجوز أن یکون مناطا للأحکام الشرعیّة، کما اعترفوا به فی علّة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الوجوه الدالّة علی عدم حجّیّة الإجماع کثیرة جدّا، لکن إذا علم دخول المعصوم فیه فالحجّة هی قوله علیه السّلام، لا قول من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حجّیّته حینئذ جمیع أدلّة الإمامة و براهین العصمة و ناهیک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ما یؤیّد هذا و یؤکّده إن شاء اللّه تعالی</w:t>
      </w:r>
      <w:r>
        <w:rPr>
          <w:rFonts w:eastAsia="IRNazanin" w:cs="IRNazanin"/>
          <w:color w:val="111111"/>
          <w:sz w:val="28"/>
          <w:szCs w:val="28"/>
          <w:rtl w:val="true"/>
          <w:lang w:bidi="fa-IR"/>
        </w:rPr>
        <w:t>.</w:t>
      </w:r>
    </w:p>
    <w:p>
      <w:pPr>
        <w:pStyle w:val="Heading4"/>
        <w:numPr>
          <w:ilvl w:val="3"/>
          <w:numId w:val="1"/>
        </w:numPr>
        <w:rPr/>
      </w:pPr>
      <w:bookmarkStart w:id="386" w:name="__RefHeading___Toc3055691_2314609296"/>
      <w:bookmarkStart w:id="387" w:name="_Toc149"/>
      <w:bookmarkEnd w:id="386"/>
      <w:r>
        <w:rPr>
          <w:rtl w:val="true"/>
        </w:rPr>
        <w:t>الفصل الرابع فی ذکر بعض الأحادیث الدالّة علی ما قلنا عموما أو خصوصا و بعض ما یناسب المقصود</w:t>
      </w:r>
      <w:bookmarkEnd w:id="387"/>
    </w:p>
    <w:p>
      <w:pPr>
        <w:pStyle w:val="BookText"/>
        <w:rPr/>
      </w:pPr>
      <w:r>
        <w:rPr>
          <w:rFonts w:ascii="IRNazanin" w:hAnsi="IRNazanin" w:eastAsia="IRNazanin"/>
          <w:color w:val="111111"/>
          <w:sz w:val="28"/>
          <w:sz w:val="28"/>
          <w:szCs w:val="28"/>
          <w:rtl w:val="true"/>
          <w:lang w:bidi="fa-IR"/>
        </w:rPr>
        <w:t>و الأحادیث فی ذلک کثیرة إلّا أنّا نقتصر علی اثنی عشر تبرّکا بالعدد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محمّد بن یعقوب الکلینی فی أوّل کتاب الروضة من الکافی عن علیّ بن إبراهیم، عن أبیه، عن ابن فضّال، عن حفص بن المؤذّن، عن أبی عبد اللّه علیه السّلام؛ و عن محمّد بن إسماعیل بن بزیع، عن محمّد بن سنان، عن إسماعیل بن جابر، عن أبی عبد اللّه علیه السّلام فی رسالة طویلة کتبها إلی أصحابه و أمرهم بمدارستها و النظر فیها و تعاهدها و العمل بها، فکانوا یضعونها فی مساجد بیوتهم، فإذا فرغوا من الصلاة نظروا فیها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الحسن بن محمّد،</w:t>
      </w:r>
      <w:r>
        <w:rPr>
          <w:rStyle w:val="FootnoteAnchor"/>
          <w:rtl w:val="true"/>
        </w:rPr>
        <w:footnoteReference w:id="1022"/>
      </w:r>
      <w:r>
        <w:rPr>
          <w:rFonts w:ascii="IRNazanin" w:hAnsi="IRNazanin" w:eastAsia="IRNazanin"/>
          <w:color w:val="111111"/>
          <w:sz w:val="28"/>
          <w:sz w:val="28"/>
          <w:szCs w:val="28"/>
          <w:rtl w:val="true"/>
          <w:lang w:bidi="fa-IR"/>
        </w:rPr>
        <w:t>عن جعفر بن محمّد بن مالک، عن القاسم بن الربیع الصحّاف، عن إسماعیل بن مخلد</w:t>
      </w:r>
      <w:r>
        <w:rPr>
          <w:rStyle w:val="FootnoteAnchor"/>
          <w:rtl w:val="true"/>
        </w:rPr>
        <w:footnoteReference w:id="1023"/>
      </w:r>
      <w:r>
        <w:rPr>
          <w:rFonts w:ascii="IRNazanin" w:hAnsi="IRNazanin" w:eastAsia="IRNazanin"/>
          <w:color w:val="111111"/>
          <w:sz w:val="28"/>
          <w:sz w:val="28"/>
          <w:szCs w:val="28"/>
          <w:rtl w:val="true"/>
          <w:lang w:bidi="fa-IR"/>
        </w:rPr>
        <w:t>السرّاج،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هذه الرسالة من أبی عبد اللّه علیه السّلام إلی أصحابه، ثمّ ذکرها بطولها، فمن جملتها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من علم اللّه و لا من أمره أن یأخذ أحد من خلق اللّه فی دینه بهوی و لا رأی و لا مقاییس، قد أنزل اللّه القرآن و جعل فیه تبیان کلّ شی‌ء، و جعل للقرآن و لتعلّم</w:t>
      </w:r>
      <w:r>
        <w:rPr>
          <w:rStyle w:val="FootnoteAnchor"/>
          <w:rtl w:val="true"/>
        </w:rPr>
        <w:footnoteReference w:id="1024"/>
      </w:r>
      <w:r>
        <w:rPr>
          <w:rFonts w:ascii="IRNazanin" w:hAnsi="IRNazanin" w:eastAsia="IRNazanin"/>
          <w:color w:val="111111"/>
          <w:sz w:val="28"/>
          <w:sz w:val="28"/>
          <w:szCs w:val="28"/>
          <w:rtl w:val="true"/>
          <w:lang w:bidi="fa-IR"/>
        </w:rPr>
        <w:t xml:space="preserve">القرآن أهلا، و هم أهل الذکر الذین أمر اللّه هذه الامّة بسؤالهم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الذین لا یرغب عنهم و عن مسألتهم و عن علمهم الذی أکرمهم اللّه به و جعله عندهم إلّا من سبق علیه فی علم اللّه الشقاء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الخلق تحت الأظلّة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فاولئک الذین یرغبون عن سؤال أهل الذکر، و اولئک الذین یأخذون بأهوائهم و آرائهم و مقاییسهم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عهد إلیهم رسول اللّه صلّی اللّه علیه و آله قبل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بعد ما قبض اللّه رسوله یسعنا أن نأخذ بما اجتمع علیه رأی الناس بعد ما قبض اللّه رسوله، و بعد عهده الذی عهد إلینا، و أمرنا به مخالفا للّه و لرسوله، فما أحد أجرأ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أبین ضلالة ممّن أخذ بذلک و زعم أنّ ذلک یسعه، و اللّه أنّ للّه علی خلقه أن یتّبعوه و یطیعوا أوامره فی حیاة محمّد صلّی اللّه علیه و آله و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آثار رسول اللّه صلّی اللّه علیه و آله و سنّته فخذوا بها، و لا تتّبعوا أهواءکم و آراءکم فتضلّوا، فإنّ أضلّ الناس عند اللّه من اتّبع رأیه و هواه بغیر هدی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العصابة الحافظ اللّه لهم أمرهم علیکم بآثار رسول اللّه و سنّته و آثار الأئمّة الهداة من أهل بیت رسول اللّه صلّی اللّه علیه و آله من بعده و سنّتهم، فإنّه من أخذ بذلک فقد اهتدی، و من ترک ذلک و رغب عنه ضلّ؛ لأنّهم هم الذین أمر اللّه تعالی بطاعتهم و ولایتهم</w:t>
      </w:r>
      <w:r>
        <w:rPr>
          <w:rFonts w:eastAsia="IRNazanin" w:cs="IRNazanin"/>
          <w:color w:val="111111"/>
          <w:sz w:val="28"/>
          <w:szCs w:val="28"/>
          <w:rtl w:val="true"/>
          <w:lang w:bidi="fa-IR"/>
        </w:rPr>
        <w:t>».</w:t>
      </w:r>
      <w:r>
        <w:rPr>
          <w:rStyle w:val="FootnoteAnchor"/>
          <w:rtl w:val="true"/>
        </w:rPr>
        <w:footnoteReference w:id="102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الشریف کما تری دلالة علی عدم حجّیّة الإجماع المبنیّ علی بعض الاستنباطات الظنّیّة، أو الآراء</w:t>
      </w:r>
      <w:r>
        <w:rPr>
          <w:rStyle w:val="FootnoteAnchor"/>
          <w:rtl w:val="true"/>
        </w:rPr>
        <w:footnoteReference w:id="1026"/>
      </w:r>
      <w:r>
        <w:rPr>
          <w:rFonts w:ascii="IRNazanin" w:hAnsi="IRNazanin" w:eastAsia="IRNazanin"/>
          <w:color w:val="111111"/>
          <w:sz w:val="28"/>
          <w:sz w:val="28"/>
          <w:szCs w:val="28"/>
          <w:rtl w:val="true"/>
          <w:lang w:bidi="fa-IR"/>
        </w:rPr>
        <w:t>و الاعتبارات العقلیّة، و علی أنّه یجب العمل بقول المعصوم خاصّة، و أنّ من لم یفعل ذلک فهو ضالّ؛ و هذا هو القسم الثانی من الإجماع، و هو الذی ذکرنا أنّه لا یجوز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تصریح بصحّة طریقة</w:t>
      </w:r>
    </w:p>
    <w:p>
      <w:pPr>
        <w:pStyle w:val="BookText"/>
        <w:rPr/>
      </w:pPr>
      <w:r>
        <w:rPr>
          <w:rFonts w:ascii="IRNazanin" w:hAnsi="IRNazanin" w:eastAsia="IRNazanin"/>
          <w:color w:val="111111"/>
          <w:sz w:val="28"/>
          <w:sz w:val="28"/>
          <w:szCs w:val="28"/>
          <w:rtl w:val="true"/>
          <w:lang w:bidi="fa-IR"/>
        </w:rPr>
        <w:t>الأخباریّین و وجوب اتّباعها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الجلیل الحسن بن علیّ بن شعبة الحرّانی من علماء أصحابنا فی کتاب تحف العقول عن آل الرسول صلّی اللّه علیه و آله عن مولانا علیّ بن محمّد الهادی فی رسالة طویلة کتبها إلی أصحابه یقول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من اتّبع الهدی، فإنّه ورد علیّ کتابکم، و فهمت ما ذکرتم من اختلافکم فی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أنّا نظرنا فی الآثار و کثرة ما جاءت به الأخبار، فوجدناها عند جمیع من ینتحل الإسلام لا تخلو من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حقّ فیتّبع، و إمّا باطل فیجتنب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اجتمعت الامّة قاطبة علی أنّ القرآن حقّ لا ریب فیه عند جمیع أهل الفرق و فی حال اجتماعهم، مقرّون بتصدیق الکتاب و تحقیقه، مصیبون مهتدون، و ذلک بقول رسول اللّه صلّی اللّه علیه و آله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أنّ جمیع ما اجتمعت علیه الامّة کلّها حقّ إذا لم یخالف بعضها بعضا، و القرآن حقّ لا اختلاف لهم فی تصدیقه و تنزیله، فإذا شهد القرآن بتصدیق خبر و تحقیقه و أنکر الخبر طائفة من الامّة، لزمهم الإقرار به ضرورة حیث اجتمعت فی الأصل علی تصدیق الکتاب، فإن هی جحدت و أنکرت لزمها الخروج عن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خبر یعرف تحقیقه من الکتاب و تصدیقه خبر ورد عن رسول اللّه صلّی اللّه علیه و آله و وجد بموافقة الکتاب و تصدیقه بحیث لا تخالفه أقاویلهم، 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لن تضلّوا ما إن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لن یفترقا حتّی یردا علیّ الحوض</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أخبارا توافقه،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فالخبر الأوّل الذی استنبط منه هذه الأخبار خبر صحیح مجمع علیه، لا اختلاف فیه عندهم، و هو أیضا موافق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بطوله</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کما رأیت دلالة علی حجّیّة الإجماع فی ضروریّات المذهب و هو القسم الأوّل، و علی حجّیّة الإجماع علی العمل بخبر من الأخبار و وجوب ترجیح الخبر به علی معارضه و هو القسم الثانی و إنّما أطلق علیه السّلام لأنّ جمیع شیعة الإمامیّة فی ذلک الوقت کانوا 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فقد صرّح الحدیث السابق بالتقیید، علی أنّ وجود النصّ کما هو المفروض یقتضی اعتماد الإجماع المذکور کما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اختلاف الحدیث عن محمّد بن یحیی، عن محمّد بن الحسین، عن محمّد بن عیسی، عن صفوان بن یحیی، عن داود بن الحصین،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واحد منهما اختار رجلا من أصحابنا، فرضیا أن یکونا الناظرین فی حقّهما، و اختلفا فیما حکما به، و 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أفقههما و أصدقهما فی الحدیث و أورعهما، و لا 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روایتهما عنّا فی ذلک الذی حکما به المجمع علیه بین أصحابک، فیؤخذ به من حکمنا، و یترک الشاذّ الذی لیس بمشهور من أصحابک، فإنّ المجمع علیه لا ریب فیه؛ و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علمه إلی اللّه و إلی رسوله صلّی اللّه علیه و آله</w:t>
      </w:r>
      <w:r>
        <w:rPr>
          <w:rFonts w:eastAsia="IRNazanin" w:cs="IRNazanin"/>
          <w:color w:val="111111"/>
          <w:sz w:val="28"/>
          <w:szCs w:val="28"/>
          <w:rtl w:val="true"/>
          <w:lang w:bidi="fa-IR"/>
        </w:rPr>
        <w:t>».</w:t>
      </w:r>
      <w:r>
        <w:rPr>
          <w:rStyle w:val="FootnoteAnchor"/>
          <w:rtl w:val="true"/>
        </w:rPr>
        <w:footnoteReference w:id="102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الشریف دلالة واضحة علی حجّیّة الإجماع علی العمل بأحد الحدیثین المتعارضین، بل علی حجّیّة الحدیث المجمع علیه کما مرّ، و هو</w:t>
      </w:r>
    </w:p>
    <w:p>
      <w:pPr>
        <w:pStyle w:val="BookText"/>
        <w:rPr/>
      </w:pPr>
      <w:r>
        <w:rPr>
          <w:rFonts w:ascii="IRNazanin" w:hAnsi="IRNazanin" w:eastAsia="IRNazanin"/>
          <w:color w:val="111111"/>
          <w:sz w:val="28"/>
          <w:sz w:val="28"/>
          <w:szCs w:val="28"/>
          <w:rtl w:val="true"/>
          <w:lang w:bidi="fa-IR"/>
        </w:rPr>
        <w:t>القسم الثانی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الإطلاق ما تقدّم مع أنّ القرائن بل التصریحات هنا کثیرة علی تخصیص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رئیس المحدّثین أبو جعفر محمّد بن علیّ بن بابویه فی کتاب إکمال الدین و إتمام النعمة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عصام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رضی اللّه عنه أن یوصل لی کتابا سألت فیه عن مسائل قد أشکلت علیّ، فورد التوقیع بخطّ مولانا صاحب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أرشدک اللّه و وفّقک</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الحوادث الواقعة فارجعوا فیها إلی رواة أحادیثنا، فإنّهم حجّتی علیکم، و أنا حجّة اللّه علیهم</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دلالة علی ما قلنا من</w:t>
      </w:r>
      <w:r>
        <w:rPr>
          <w:rStyle w:val="FootnoteAnchor"/>
          <w:rtl w:val="true"/>
        </w:rPr>
        <w:footnoteReference w:id="1031"/>
      </w:r>
      <w:r>
        <w:rPr>
          <w:rFonts w:ascii="IRNazanin" w:hAnsi="IRNazanin" w:eastAsia="IRNazanin"/>
          <w:color w:val="111111"/>
          <w:sz w:val="28"/>
          <w:sz w:val="28"/>
          <w:szCs w:val="28"/>
          <w:rtl w:val="true"/>
          <w:lang w:bidi="fa-IR"/>
        </w:rPr>
        <w:t>ترجیح طریقة الأخباریّین و وجوب الرجوع إلی المحدّثین، و أنّ اتّفاق رواة الحدیث علی نقل خبر و العمل به حجّة یجب العمل بها؛ و هذا هو القسم الثانی من الإجماع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الرؤیة عن أحمد بن إدریس، عن محمّد بن عبد الجبّار، عن صفوان بن یحیی، عن أبی الحسن علیه السّلام فی احتجاجه علی أبی قرّة المحدّث فی إبطال الرؤیة، فقال له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فتکذّب بالروایات؟ فقال أبو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الروایات مخالفة للقرآن کذّبتها و ما أجمع المسلمون علیه أنّه لا یحاط به علما و لا تدرکه الأبصار و لیس کمثله شی‌ء</w:t>
      </w:r>
      <w:r>
        <w:rPr>
          <w:rFonts w:eastAsia="IRNazanin" w:cs="IRNazanin"/>
          <w:color w:val="111111"/>
          <w:sz w:val="28"/>
          <w:szCs w:val="28"/>
          <w:rtl w:val="true"/>
          <w:lang w:bidi="fa-IR"/>
        </w:rPr>
        <w:t>».</w:t>
      </w:r>
      <w:r>
        <w:rPr>
          <w:rStyle w:val="FootnoteAnchor"/>
          <w:rtl w:val="true"/>
        </w:rPr>
        <w:footnoteReference w:id="103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فی إرادة القسم الأوّل من الإجماع،</w:t>
      </w:r>
      <w:r>
        <w:rPr>
          <w:rStyle w:val="FootnoteAnchor"/>
          <w:rtl w:val="true"/>
        </w:rPr>
        <w:footnoteReference w:id="1033"/>
      </w:r>
      <w:r>
        <w:rPr>
          <w:rFonts w:ascii="Amiri" w:hAnsi="Amiri" w:eastAsia="Amiri" w:cs="Amiri"/>
          <w:color w:val="111111"/>
          <w:sz w:val="28"/>
          <w:sz w:val="28"/>
          <w:szCs w:val="28"/>
          <w:rtl w:val="true"/>
          <w:lang w:bidi="ar-SA"/>
        </w:rPr>
        <w:t>و لا شکّ فی 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إشارة إلی ترجیح الإجماع للخبر و وجوب العمل به حینئذ و عدم جواز العمل بما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الباب المذکور عن أحمد بن إدریس، عن أحمد بن محمّد بن عیسی، عن علیّ بن سیف، عن محمّد بن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 السّلام أسأله عن الرؤیة و ما ترویه العامّة و الخاصّة، و سألته أن یشرح لی ذلک، فکتب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الجمیع لا تمانع بینهم أنّ المعرفة من جهة الرؤیة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استدلاله علیه السّلام</w:t>
      </w:r>
      <w:r>
        <w:rPr>
          <w:rStyle w:val="FootnoteAnchor"/>
          <w:rtl w:val="true"/>
        </w:rPr>
        <w:footnoteReference w:id="1035"/>
      </w:r>
      <w:r>
        <w:rPr>
          <w:rFonts w:ascii="IRNazanin" w:hAnsi="IRNazanin" w:eastAsia="IRNazanin"/>
          <w:color w:val="111111"/>
          <w:sz w:val="28"/>
          <w:sz w:val="28"/>
          <w:szCs w:val="28"/>
          <w:rtl w:val="true"/>
          <w:lang w:bidi="fa-IR"/>
        </w:rPr>
        <w:t>بالإجماع، و قوله موافق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إمّا من القسم الأوّل أو الثانی قطعا؛ لأنّه هو المحتجّ</w:t>
      </w:r>
      <w:r>
        <w:rPr>
          <w:rStyle w:val="FootnoteAnchor"/>
          <w:rtl w:val="true"/>
        </w:rPr>
        <w:footnoteReference w:id="1036"/>
      </w:r>
      <w:r>
        <w:rPr>
          <w:rFonts w:ascii="IRNazanin" w:hAnsi="IRNazanin" w:eastAsia="IRNazanin"/>
          <w:color w:val="111111"/>
          <w:sz w:val="28"/>
          <w:sz w:val="28"/>
          <w:szCs w:val="28"/>
          <w:rtl w:val="true"/>
          <w:lang w:bidi="fa-IR"/>
        </w:rPr>
        <w:t>به، فکیف لا یکون قوله سندا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و الکشّی و غیرهما عن علیّ بن حنظلة عن أبی عبد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الرجال</w:t>
      </w:r>
      <w:r>
        <w:rPr>
          <w:rStyle w:val="FootnoteAnchor"/>
          <w:rtl w:val="true"/>
        </w:rPr>
        <w:footnoteReference w:id="1037"/>
      </w:r>
      <w:r>
        <w:rPr>
          <w:rFonts w:ascii="IRNazanin" w:hAnsi="IRNazanin" w:eastAsia="IRNazanin"/>
          <w:color w:val="111111"/>
          <w:sz w:val="28"/>
          <w:sz w:val="28"/>
          <w:szCs w:val="28"/>
          <w:rtl w:val="true"/>
          <w:lang w:bidi="fa-IR"/>
        </w:rPr>
        <w:t>منّا علی قدر روایتهم عنّا</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أنّه یلزم من هذا الحدیث أن یکون اتّفاق الرجال من الرواة علی العمل بمضمون الروایة موجبا للعمل بها و مرجّحا لها علی غیرها؛ و هو ما قلناه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الضلال بسنده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w:t>
      </w:r>
      <w:r>
        <w:rPr>
          <w:rStyle w:val="FootnoteAnchor"/>
          <w:rtl w:val="true"/>
        </w:rPr>
        <w:footnoteReference w:id="1039"/>
      </w:r>
      <w:r>
        <w:rPr>
          <w:rFonts w:ascii="IRNazanin" w:hAnsi="IRNazanin" w:eastAsia="IRNazanin"/>
          <w:color w:val="111111"/>
          <w:sz w:val="28"/>
          <w:sz w:val="28"/>
          <w:szCs w:val="28"/>
          <w:rtl w:val="true"/>
          <w:lang w:bidi="fa-IR"/>
        </w:rPr>
        <w:t>إنّه شرّ علیکم أن تقولوا بشی‌ء ما لم تسمعوه منّا</w:t>
      </w:r>
      <w:r>
        <w:rPr>
          <w:rFonts w:eastAsia="IRNazanin" w:cs="IRNazanin"/>
          <w:color w:val="111111"/>
          <w:sz w:val="28"/>
          <w:szCs w:val="28"/>
          <w:rtl w:val="true"/>
          <w:lang w:bidi="fa-IR"/>
        </w:rPr>
        <w:t>».</w:t>
      </w:r>
      <w:r>
        <w:rPr>
          <w:rStyle w:val="FootnoteAnchor"/>
          <w:rtl w:val="true"/>
        </w:rPr>
        <w:footnoteReference w:id="104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 أحادیث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عدم حجّیّة القسم الثالث من الإجماع، و علی أنّه یجب إثبات سند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نصّ صحیح مسموع منهم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رحمه اللّه أیضا فی باب تذکّر الإخوان عن محمّد بن یحیی، عن محمّد بن الحسین، عن محمّد بن إسماعیل بن بزیع، عن صالح بن عقبة، عن یزید بن عبد الملک،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و تلاقوا، فإنّ فی زیارتکم إحیاء لقلوبکم و ذکرا لأحادیثنا، و أحادیثنا تعطّف بعضکم علی بعض، فإن أخذتم بها رشدتم و نجوتم، و إن خالفتموها</w:t>
      </w:r>
      <w:r>
        <w:rPr>
          <w:rStyle w:val="FootnoteAnchor"/>
          <w:rtl w:val="true"/>
        </w:rPr>
        <w:footnoteReference w:id="1041"/>
      </w:r>
      <w:r>
        <w:rPr>
          <w:rFonts w:ascii="IRNazanin" w:hAnsi="IRNazanin" w:eastAsia="IRNazanin"/>
          <w:color w:val="111111"/>
          <w:sz w:val="28"/>
          <w:sz w:val="28"/>
          <w:szCs w:val="28"/>
          <w:rtl w:val="true"/>
          <w:lang w:bidi="fa-IR"/>
        </w:rPr>
        <w:t>ضللتم و هلکتم، فخذوا بها و أنا بنجاتکم زعیم</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کالذی قبله، بل أوضح و 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الکشّی فی کتاب الرجال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أحیا أمرنا و أحادیث أبی إلّا زرارة و محمّد بن مسلم و أبو بصیر لیث المرادی و برید بن معاویة العجلی، و لو لا هؤلاء ما کان أحد تستنبط هذا، هؤلاء حفّاظ الدین و امناء أبی علی حلال اللّه و حرامه، و هم السابقون إلینا فی الدنیا و السابقون إلینا فی الآخرة</w:t>
      </w:r>
      <w:r>
        <w:rPr>
          <w:rFonts w:eastAsia="IRNazanin" w:cs="IRNazanin"/>
          <w:color w:val="111111"/>
          <w:sz w:val="28"/>
          <w:szCs w:val="28"/>
          <w:rtl w:val="true"/>
          <w:lang w:bidi="fa-IR"/>
        </w:rPr>
        <w:t>».</w:t>
      </w:r>
      <w:r>
        <w:rPr>
          <w:rStyle w:val="FootnoteAnchor"/>
          <w:rtl w:val="true"/>
        </w:rPr>
        <w:footnoteReference w:id="104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 فی مدح هؤلاء و أمثالهم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أبی ائتمنهم علی حلال اللّه و حرامه، و کانوا عیبة علمه، و کذلک الیوم عندی، هم مستودع سرّی و أصحاب أبی حقّا، إذا أراد اللّه بأهل الأرض سوءا صرف بهم عنهم السوء، هم نجوم شیعتی أحیاء و أمواتا، یحیون ذکر أبی علیه السّلام، بهم یکشف اللّه کلّ بدعة ینفون من هذا الدین انتحال المبطلین و تأویل الغالین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رحمته 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 زرارة و أبو بصیر و محمّد بن مسلم</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معناهما أحادیث کثیرة جدّا، و لا یخفی دلالتها علی وجوب الرجوع إلی رواة الحدیث، و أنّ قول کلّ واحد منهم حجّة فیما یرویه، لا فیما یقوله من عند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یظهر حجّیّة اتّفاقهم علی العمل بخبر و ترک معارضه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القسم الثانی من الإجماع، بل هو شامل للأوّل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العامّة و الخاصّة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 xml:space="preserve">و 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ضلالة</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و قد تقدّم نقله فی جملة الحدیث الثانی، و معلوم أنّ الاعتبار إنّما هو برئیس الامّة و هو الإمام، فلا بدّ من تحقیق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انضمام الباقی إلیه من الإمامیّة هو نفی احتمال التقیّة؛ لأنّه قد علم بالتتبّع أنّ أحادیث التقیّة قد کانت مرجوحة لا یعمل بها إلّا النادر؛ فکان هذا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القسم الأوّل أو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 مرجّحا قطعیا عند اختلاف الأحادیث، و هو ما أشرنا إلیه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و غیره من المحدّثین فی أحادیث کثیرة فی مدح المؤمنین و الشیعة و الشهادة لهم بالنجاة بطریق الحصر، و وجوب الرجوع إلی رواة الحدیث منهم، و أنّهم حجّة علی الشیعة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بعض من أشرنا إلیه و تقدّم بعضه، فعلم وجوب العمل بما اتّفقوا علی روایته و نقله؛ و یأتی له مزید تحقیق إن شاء اللّه</w:t>
      </w:r>
      <w:r>
        <w:rPr>
          <w:rFonts w:eastAsia="IRNazanin" w:cs="IRNazanin"/>
          <w:color w:val="111111"/>
          <w:sz w:val="28"/>
          <w:szCs w:val="28"/>
          <w:rtl w:val="true"/>
          <w:lang w:bidi="fa-IR"/>
        </w:rPr>
        <w:t>.</w:t>
      </w:r>
      <w:bookmarkStart w:id="388" w:name="pg19819_193686"/>
    </w:p>
    <w:p>
      <w:pPr>
        <w:pStyle w:val="Heading4"/>
        <w:numPr>
          <w:ilvl w:val="3"/>
          <w:numId w:val="1"/>
        </w:numPr>
        <w:rPr/>
      </w:pPr>
      <w:bookmarkStart w:id="389" w:name="__RefHeading___Toc3055693_2314609296"/>
      <w:bookmarkStart w:id="390" w:name="_Toc150"/>
      <w:bookmarkEnd w:id="388"/>
      <w:bookmarkEnd w:id="389"/>
      <w:r>
        <w:rPr>
          <w:rtl w:val="true"/>
        </w:rPr>
        <w:t>الفصل الخامس فی المعانی التی تستعمل فیها لفظ الإجماع أحیانا</w:t>
      </w:r>
      <w:bookmarkEnd w:id="390"/>
    </w:p>
    <w:p>
      <w:pPr>
        <w:pStyle w:val="BookText"/>
        <w:rPr/>
      </w:pP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جمیع المسلمین علی حکم شرعی منصوص ضروری، کوجوب الصلاة و تحریم الزنی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جمیع الإمامیّة علی حکم منصوص من ضروریّات المذهب، کالمسح فی الوضوء، و إباحة المتعة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جمیع الأخباریّین علی حکم منصوص مع العلم بعدم مخالف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جمیع الاصولیّین علی حکم غیر منصوص، بل سنده بعض الاعتبارات الظنّیّة الاصولیّة، أو لا یظهر لنا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اتّفاق الاصولیّین علی حکم منصوص فداخل فی الثالث؛ لأنّ الأخباریّین أو بعضهم داخل فی ذلک قطعا، کما لا یخفی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جماعة من الأخباریّین بحیث لا یظهر لهم مخالف و لو عند مدّعی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جماعة منهم بحیث یظهر لهم مخالف نادر شاذّ أو أقلّ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جماعة من الاصولیّین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القسم و الذی قبله یطلق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الفریقین، و قد اشیر إلیه فی الحدیث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فی بعض الاصول الأربعمائة المجمع علی صحّتها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الإجماع الذی یدّعی هنا علی الحکم المذکور فی ذلک الحدیث هو الاتّفاق علی نقله و ثبوته من المعصوم، و قد یکون له معارض أضعف منه أو أقوی، و قد یکون من باب التّقیة</w:t>
      </w:r>
      <w:r>
        <w:rPr>
          <w:rFonts w:eastAsia="IRNazanin" w:cs="IRNazanin"/>
          <w:color w:val="111111"/>
          <w:sz w:val="28"/>
          <w:szCs w:val="28"/>
          <w:rtl w:val="true"/>
          <w:lang w:bidi="fa-IR"/>
        </w:rPr>
        <w:t>.</w:t>
      </w:r>
      <w:bookmarkStart w:id="391" w:name="pg19819_193687"/>
    </w:p>
    <w:p>
      <w:pPr>
        <w:pStyle w:val="BookText"/>
        <w:rPr/>
      </w:pPr>
      <w:bookmarkEnd w:id="391"/>
      <w:r>
        <w:rPr>
          <w:rFonts w:ascii="IRNazanin" w:hAnsi="IRNazanin" w:eastAsia="IRNazanin"/>
          <w:color w:val="111111"/>
          <w:sz w:val="28"/>
          <w:sz w:val="28"/>
          <w:szCs w:val="28"/>
          <w:rtl w:val="true"/>
          <w:lang w:bidi="fa-IR"/>
        </w:rPr>
        <w:t>إذا عرفت ذلک، فلا یخفی بعد ما تقدّم أنّ الثلاثة الاول حجّة؛ للعلم بدخول الإمام علیه السّلام و النصّ علی حجیّتها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الرابع لیس بحجّة؛ لما مضی و 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 فهو مرجّح للنصّ إن کان ظاهرا و له معارض، و دالّ علی وجود النصّ إن لم یکن ظاهرا، یعلم ذلک بالتتبّع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إجماع مجازی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 أضعف منه، بل لا حجّیّة فیه و لا یصلح للترجیح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الثامن فحکمه ظاهر و یجب العمل به مع عدم المعارض، و الترجیح بالوجوه المنقولة عنهم علیهم السّلام مع وجوده، و یأتی إن شاء اللّه تعالی تحقیقه</w:t>
      </w:r>
      <w:r>
        <w:rPr>
          <w:rFonts w:eastAsia="IRNazanin" w:cs="IRNazanin"/>
          <w:color w:val="111111"/>
          <w:sz w:val="28"/>
          <w:szCs w:val="28"/>
          <w:rtl w:val="true"/>
          <w:lang w:bidi="fa-IR"/>
        </w:rPr>
        <w:t>.</w:t>
      </w:r>
    </w:p>
    <w:p>
      <w:pPr>
        <w:pStyle w:val="Heading4"/>
        <w:numPr>
          <w:ilvl w:val="3"/>
          <w:numId w:val="1"/>
        </w:numPr>
        <w:rPr/>
      </w:pPr>
      <w:bookmarkStart w:id="392" w:name="__RefHeading___Toc3055695_2314609296"/>
      <w:bookmarkStart w:id="393" w:name="_Toc151"/>
      <w:bookmarkEnd w:id="392"/>
      <w:r>
        <w:rPr>
          <w:rtl w:val="true"/>
        </w:rPr>
        <w:t>الفصل السادس فی وجه تعارض دعوی الإجماع کثیرا</w:t>
      </w:r>
      <w:bookmarkEnd w:id="393"/>
    </w:p>
    <w:p>
      <w:pPr>
        <w:pStyle w:val="BookText"/>
        <w:rPr/>
      </w:pPr>
      <w:r>
        <w:rPr>
          <w:rFonts w:ascii="IRNazanin" w:hAnsi="IRNazanin" w:eastAsia="IRNazanin"/>
          <w:color w:val="111111"/>
          <w:sz w:val="28"/>
          <w:sz w:val="28"/>
          <w:szCs w:val="28"/>
          <w:rtl w:val="true"/>
          <w:lang w:bidi="fa-IR"/>
        </w:rPr>
        <w:t>اعلم أنّه قد کثر دعوی الإجماع من بعض العلماء علی حکم، و دعوی غیره أو دعوی المدّعی الأوّل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الإجماع فی محلّ النزاع فهی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الإجماع و ذکر معانیه التی یطلق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 دعواه فی تلک الصور، و دعواه فی نقیضها، أو ظهور الخلاف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اعتذر لهم الشهید فی الذکری بذلک حیث قال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العذر إمّا بعدم اعتبار المخالف المعیّن، و إمّا تسمیتهم</w:t>
      </w:r>
      <w:r>
        <w:rPr>
          <w:rStyle w:val="FootnoteAnchor"/>
          <w:rtl w:val="true"/>
        </w:rPr>
        <w:footnoteReference w:id="1047"/>
      </w:r>
      <w:r>
        <w:rPr>
          <w:rFonts w:ascii="IRNazanin" w:hAnsi="IRNazanin" w:eastAsia="IRNazanin"/>
          <w:color w:val="111111"/>
          <w:sz w:val="28"/>
          <w:sz w:val="28"/>
          <w:szCs w:val="28"/>
          <w:rtl w:val="true"/>
          <w:lang w:bidi="fa-IR"/>
        </w:rPr>
        <w:t>للأشهر</w:t>
      </w:r>
      <w:r>
        <w:rPr>
          <w:rStyle w:val="FootnoteAnchor"/>
          <w:rtl w:val="true"/>
        </w:rPr>
        <w:footnoteReference w:id="1048"/>
      </w:r>
      <w:r>
        <w:rPr>
          <w:rFonts w:ascii="IRNazanin" w:hAnsi="IRNazanin" w:eastAsia="IRNazanin"/>
          <w:color w:val="111111"/>
          <w:sz w:val="28"/>
          <w:sz w:val="28"/>
          <w:szCs w:val="28"/>
          <w:rtl w:val="true"/>
          <w:lang w:bidi="fa-IR"/>
        </w:rPr>
        <w:t>إجماعا، و إمّا بعدم ظفره حین ادّعی الإجماع بالمخالف، و إمّا بتأویل الخلاف علی وجه یمکن مجامعته لدعوی الإجماع و إن بعد، کجعل الحکم من باب التخییر، و إمّا</w:t>
      </w:r>
    </w:p>
    <w:p>
      <w:pPr>
        <w:pStyle w:val="BookText"/>
        <w:rPr/>
      </w:pPr>
      <w:r>
        <w:rPr>
          <w:rFonts w:ascii="IRNazanin" w:hAnsi="IRNazanin" w:eastAsia="IRNazanin"/>
          <w:color w:val="111111"/>
          <w:sz w:val="28"/>
          <w:sz w:val="28"/>
          <w:szCs w:val="28"/>
          <w:rtl w:val="true"/>
          <w:lang w:bidi="fa-IR"/>
        </w:rPr>
        <w:t>إجماعهم علی روایته بمعنی تدوینه فی کتبهم منسوبا إلی الأئمّة</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أحد أنّ کثرة دعوی کثیر من الأجلّاء فی موضع النزاع، و کثرة تعارض دعواه فی مسألة واحدة علی حکمین مختلفین، توجب عدم الوقوف بمثله و عدم الاحتجاج بنقله کما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ذکرناه من کثرة معانی الإجماع التی أکثرها لیس بحجّة، مع أنّ إجماع المنقول بخبر الواحد لم یقم دلیل عقلی و لا نقلی علی حجّیّته، بل لا بدّ من التتبّع لیعلم ثبوته و تحقّقه، و یحصل الیقین بدخول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بنقل کلام فی هذا المقام یؤکّد ما نقلناه عنهم، و نسبناه إلی بعضهم بقصد تحقیق الحقّ و کشف حقیقة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الجلیل الشهید الثانی قدّس سرّه فی بعض 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اتّفق لکثیر من الأصحاب خصوصا المرتضی فی الانتصار و الشیخ فی الخلاف مع أنّهما إماما الطائفة و مقتدیاها فی دعوی الإجماع علی مسائل کثیرة مع اختصاصهما بذلک القول من بین الأصحاب أو شذوذ الموافق لهما، فهو کثیر لا یقتضی الحال ذکره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أعجبه دعوی المرتضی فی الکتاب المذکور إجماع الإمامیّة و جعله حجّة علی المخالفین علی وجوب التکبیرات الخمس فی کلّ رکعة للرکوع و السجود و القیام منهما، و وجوب رفع الیدین لهما</w:t>
      </w:r>
      <w:r>
        <w:rPr>
          <w:rStyle w:val="FootnoteAnchor"/>
          <w:rtl w:val="true"/>
        </w:rPr>
        <w:footnoteReference w:id="1050"/>
      </w:r>
      <w:r>
        <w:rPr>
          <w:rFonts w:ascii="IRNazanin" w:hAnsi="IRNazanin" w:eastAsia="IRNazanin"/>
          <w:color w:val="111111"/>
          <w:sz w:val="28"/>
          <w:sz w:val="28"/>
          <w:szCs w:val="28"/>
          <w:rtl w:val="true"/>
          <w:lang w:bidi="fa-IR"/>
        </w:rPr>
        <w:t>، و أنّ أکثر النفاس ثمانیة عشر یوما</w:t>
      </w:r>
      <w:r>
        <w:rPr>
          <w:rStyle w:val="FootnoteAnchor"/>
          <w:rtl w:val="true"/>
        </w:rPr>
        <w:footnoteReference w:id="1051"/>
      </w:r>
      <w:r>
        <w:rPr>
          <w:rFonts w:ascii="IRNazanin" w:hAnsi="IRNazanin" w:eastAsia="IRNazanin"/>
          <w:color w:val="111111"/>
          <w:sz w:val="28"/>
          <w:sz w:val="28"/>
          <w:szCs w:val="28"/>
          <w:rtl w:val="true"/>
          <w:lang w:bidi="fa-IR"/>
        </w:rPr>
        <w:t>، و أنّ خیار الحیوان ثبت للمتبایعین معا</w:t>
      </w:r>
      <w:r>
        <w:rPr>
          <w:rStyle w:val="FootnoteAnchor"/>
          <w:rtl w:val="true"/>
        </w:rPr>
        <w:footnoteReference w:id="1052"/>
      </w:r>
      <w:r>
        <w:rPr>
          <w:rFonts w:ascii="IRNazanin" w:hAnsi="IRNazanin" w:eastAsia="IRNazanin"/>
          <w:color w:val="111111"/>
          <w:sz w:val="28"/>
          <w:sz w:val="28"/>
          <w:szCs w:val="28"/>
          <w:rtl w:val="true"/>
          <w:lang w:bidi="fa-IR"/>
        </w:rPr>
        <w:t>، و أنّ الشفعة تثبت فی کلّ مبیع من حیوان و عروض و منقول، غیر قابل للقسمة و غیره</w:t>
      </w:r>
      <w:r>
        <w:rPr>
          <w:rStyle w:val="FootnoteAnchor"/>
          <w:rtl w:val="true"/>
        </w:rPr>
        <w:footnoteReference w:id="1053"/>
      </w:r>
      <w:r>
        <w:rPr>
          <w:rFonts w:ascii="IRNazanin" w:hAnsi="IRNazanin" w:eastAsia="IRNazanin"/>
          <w:color w:val="111111"/>
          <w:sz w:val="28"/>
          <w:sz w:val="28"/>
          <w:szCs w:val="28"/>
          <w:rtl w:val="true"/>
          <w:lang w:bidi="fa-IR"/>
        </w:rPr>
        <w:t>، و أنّ أکثر الحمل سنة</w:t>
      </w:r>
      <w:r>
        <w:rPr>
          <w:rStyle w:val="FootnoteAnchor"/>
          <w:rtl w:val="true"/>
        </w:rPr>
        <w:footnoteReference w:id="10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الهبة جائزة ما لم تعوض و إن کانت لذی رحم</w:t>
      </w:r>
      <w:r>
        <w:rPr>
          <w:rStyle w:val="FootnoteAnchor"/>
          <w:rtl w:val="true"/>
        </w:rPr>
        <w:footnoteReference w:id="1055"/>
      </w:r>
      <w:r>
        <w:rPr>
          <w:rFonts w:ascii="IRNazanin" w:hAnsi="IRNazanin" w:eastAsia="IRNazanin"/>
          <w:color w:val="111111"/>
          <w:sz w:val="28"/>
          <w:sz w:val="28"/>
          <w:szCs w:val="28"/>
          <w:rtl w:val="true"/>
          <w:lang w:bidi="fa-IR"/>
        </w:rPr>
        <w:t>، و أنّ المهر لا تصلح زیادته من خمسمائة درهم قیمتها خمسون دینارا، فما زاد عنها یرد إلیها</w:t>
      </w:r>
      <w:r>
        <w:rPr>
          <w:rStyle w:val="FootnoteAnchor"/>
          <w:rtl w:val="true"/>
        </w:rPr>
        <w:footnoteReference w:id="1056"/>
      </w:r>
      <w:r>
        <w:rPr>
          <w:rFonts w:ascii="IRNazanin" w:hAnsi="IRNazanin" w:eastAsia="IRNazanin"/>
          <w:color w:val="111111"/>
          <w:sz w:val="28"/>
          <w:sz w:val="28"/>
          <w:szCs w:val="28"/>
          <w:rtl w:val="true"/>
          <w:lang w:bidi="fa-IR"/>
        </w:rPr>
        <w:t>، و أنّ العقیقة واجبة</w:t>
      </w:r>
      <w:r>
        <w:rPr>
          <w:rStyle w:val="FootnoteAnchor"/>
          <w:rtl w:val="true"/>
        </w:rPr>
        <w:footnoteReference w:id="1057"/>
      </w:r>
      <w:r>
        <w:rPr>
          <w:rFonts w:ascii="IRNazanin" w:hAnsi="IRNazanin" w:eastAsia="IRNazanin"/>
          <w:color w:val="111111"/>
          <w:sz w:val="28"/>
          <w:sz w:val="28"/>
          <w:szCs w:val="28"/>
          <w:rtl w:val="true"/>
          <w:lang w:bidi="fa-IR"/>
        </w:rPr>
        <w:t>، إلی غیر ذلک من المواضع التی اختصّ هو بالقول بها فضلا عن أن یوافقه فیها شذوذ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دعوی الشیخ فی کتبه ما هو أعجب من ذلک و أکثر لا یقتضی الحال ذکره، و لو ضممنا إلیه ما ادّعاه کثیر من المتأخّرین خصوصا المرحوم الشیخ علیّ، لطال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غریبها دعوی الشیخ علیّ فی شرح الألفیّة الإجماع علی أنّ ناسی الغصب فی الثوب و المکان لا تجب علیه الإعادة خارج الوقت و داخله</w:t>
      </w:r>
      <w:r>
        <w:rPr>
          <w:rStyle w:val="FootnoteAnchor"/>
          <w:rtl w:val="true"/>
        </w:rPr>
        <w:footnoteReference w:id="1058"/>
      </w:r>
      <w:r>
        <w:rPr>
          <w:rFonts w:ascii="IRNazanin" w:hAnsi="IRNazanin" w:eastAsia="IRNazanin"/>
          <w:color w:val="111111"/>
          <w:sz w:val="28"/>
          <w:sz w:val="28"/>
          <w:szCs w:val="28"/>
          <w:rtl w:val="true"/>
          <w:lang w:bidi="fa-IR"/>
        </w:rPr>
        <w:t>، مع ظهور المخالف فی ذلک، حتّی أنّ الفاضل فی القواعد أفتی بالإعادة مطلقا کالعالم</w:t>
      </w:r>
      <w:r>
        <w:rPr>
          <w:rStyle w:val="FootnoteAnchor"/>
          <w:rtl w:val="true"/>
        </w:rPr>
        <w:footnoteReference w:id="1059"/>
      </w:r>
      <w:r>
        <w:rPr>
          <w:rFonts w:ascii="IRNazanin" w:hAnsi="IRNazanin" w:eastAsia="IRNazanin"/>
          <w:color w:val="111111"/>
          <w:sz w:val="28"/>
          <w:sz w:val="28"/>
          <w:szCs w:val="28"/>
          <w:rtl w:val="true"/>
          <w:lang w:bidi="fa-IR"/>
        </w:rPr>
        <w:t>، و فی شرحها للشیخ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المسألة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مطلقا، و فی الوقت و عدمه مطلقا</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 کذلک ادّعی فی شرحه للقواعد الإجماع علی أنّ المستعیر لنوع زرع یجوز له التخطّی إلی المساوی و الأدون</w:t>
      </w:r>
      <w:r>
        <w:rPr>
          <w:rStyle w:val="FootnoteAnchor"/>
          <w:rtl w:val="true"/>
        </w:rPr>
        <w:footnoteReference w:id="1061"/>
      </w:r>
      <w:r>
        <w:rPr>
          <w:rFonts w:ascii="IRNazanin" w:hAnsi="IRNazanin" w:eastAsia="IRNazanin"/>
          <w:color w:val="111111"/>
          <w:sz w:val="28"/>
          <w:sz w:val="28"/>
          <w:szCs w:val="28"/>
          <w:rtl w:val="true"/>
          <w:lang w:bidi="fa-IR"/>
        </w:rPr>
        <w:t>، مع أنّ مختار المحقّق فی الشرائع فضلا عن غیره المنع من التخطّی إلی الأقلّ ضررا فضلا عن المساوی</w:t>
      </w:r>
      <w:r>
        <w:rPr>
          <w:rFonts w:eastAsia="IRNazanin" w:cs="IRNazanin"/>
          <w:color w:val="111111"/>
          <w:sz w:val="28"/>
          <w:szCs w:val="28"/>
          <w:rtl w:val="true"/>
          <w:lang w:bidi="fa-IR"/>
        </w:rPr>
        <w:t>.</w:t>
      </w:r>
      <w:r>
        <w:rPr>
          <w:rStyle w:val="FootnoteAnchor"/>
          <w:rtl w:val="true"/>
        </w:rPr>
        <w:footnoteReference w:id="106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ادّعی الإجماع أیضا علی أنّ المساقاة لا تبطل بالموت،</w:t>
      </w:r>
      <w:r>
        <w:rPr>
          <w:rStyle w:val="FootnoteAnchor"/>
          <w:rtl w:val="true"/>
        </w:rPr>
        <w:footnoteReference w:id="1063"/>
      </w:r>
      <w:r>
        <w:rPr>
          <w:rFonts w:ascii="IRNazanin" w:hAnsi="IRNazanin" w:eastAsia="IRNazanin"/>
          <w:color w:val="111111"/>
          <w:sz w:val="28"/>
          <w:sz w:val="28"/>
          <w:szCs w:val="28"/>
          <w:rtl w:val="true"/>
          <w:lang w:bidi="fa-IR"/>
        </w:rPr>
        <w:t xml:space="preserve">مع أنّ الشیخ فی المبسوط جزم بالبطلان و نسبه إلی علمائنا بعبارة تشعر بالإجماع و لا أقلّ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Style w:val="FootnoteAnchor"/>
          <w:rtl w:val="true"/>
        </w:rPr>
        <w:footnoteReference w:id="1064"/>
      </w:r>
      <w:r>
        <w:rPr>
          <w:rFonts w:ascii="IRNazanin" w:hAnsi="IRNazanin" w:eastAsia="IRNazanin"/>
          <w:color w:val="111111"/>
          <w:sz w:val="28"/>
          <w:sz w:val="28"/>
          <w:szCs w:val="28"/>
          <w:rtl w:val="true"/>
          <w:lang w:bidi="fa-IR"/>
        </w:rPr>
        <w:t>، و فی الشرائع و مختصرها صرّح بالخلاف فی المسألة أیضا</w:t>
      </w:r>
      <w:r>
        <w:rPr>
          <w:rStyle w:val="FootnoteAnchor"/>
          <w:rtl w:val="true"/>
        </w:rPr>
        <w:footnoteReference w:id="1065"/>
      </w:r>
      <w:r>
        <w:rPr>
          <w:rFonts w:ascii="IRNazanin" w:hAnsi="IRNazanin" w:eastAsia="IRNazanin"/>
          <w:color w:val="111111"/>
          <w:sz w:val="28"/>
          <w:sz w:val="28"/>
          <w:szCs w:val="28"/>
          <w:rtl w:val="true"/>
          <w:lang w:bidi="fa-IR"/>
        </w:rPr>
        <w:t>، و لو أتیت لک علی جمیع ما ذکره فی مؤلّفاته و رسائله لطال، و فی هذا القدر</w:t>
      </w:r>
    </w:p>
    <w:p>
      <w:pPr>
        <w:pStyle w:val="BookText"/>
        <w:rPr/>
      </w:pPr>
      <w:r>
        <w:rPr>
          <w:rFonts w:ascii="IRNazanin" w:hAnsi="IRNazanin" w:eastAsia="IRNazanin"/>
          <w:color w:val="111111"/>
          <w:sz w:val="28"/>
          <w:sz w:val="28"/>
          <w:szCs w:val="28"/>
          <w:rtl w:val="true"/>
          <w:lang w:bidi="fa-IR"/>
        </w:rPr>
        <w:t>کفایة، فإذا أضفت هذا إلی ما قرّرناه سابقا کفاک فی الدلالة علی حال هذا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بخبر الواحد المنقول به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یشهد و کفی به شهیدا أنّ الغرض من کشف هذا کلّه لیس إلّا بیان الحقّ الواجب المتوقّف علیه؛ لقوّة عسر الفطام من المذهب المألوف الذی یألفه الأنام، و لو لاه لکان لنا أعظم صارف، و اللّه تعالی یتولّی أسرار عباده و یعلم حقائق أحکامه، و هو حسبنا و نعم الوکیل</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انتهی کلام الشهید الثانی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رسالة اخری ألّفها فی مسائل ادّعی فیها الشیخ الإجماع، مع أنّه نفسه خالف فی حکم ما ادّعی الإجماع فیه،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أفردناها للتنبیه علی أنّ لا یغترّ الفقیه بدعوی الإجماع، فقد وقع فیه الخطأ و المجازفة کثیرا من کلّ واحد من الفقهاء سیّما من الشیخ و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ادّعی فیه الإجماع من کتاب النکاح دعواه فی الخلاف الإجماع علی أنّ الکتابیّة إذا أسلمت و انقضت عدّتها قبل أن یسلم الزوج، ینفسخ النکاح</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النهایة</w:t>
      </w:r>
      <w:r>
        <w:rPr>
          <w:rStyle w:val="FootnoteAnchor"/>
          <w:rtl w:val="true"/>
        </w:rPr>
        <w:footnoteReference w:id="1068"/>
      </w:r>
      <w:r>
        <w:rPr>
          <w:rFonts w:ascii="IRNazanin" w:hAnsi="IRNazanin" w:eastAsia="IRNazanin"/>
          <w:color w:val="111111"/>
          <w:sz w:val="28"/>
          <w:sz w:val="28"/>
          <w:szCs w:val="28"/>
          <w:rtl w:val="true"/>
          <w:lang w:bidi="fa-IR"/>
        </w:rPr>
        <w:t>و فی کتابی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ینفسخ النکاح بینهما و لکن لا یمکّن من الدخول علیها لیلا</w:t>
      </w:r>
      <w:r>
        <w:rPr>
          <w:rStyle w:val="FootnoteAnchor"/>
          <w:rtl w:val="true"/>
        </w:rPr>
        <w:footnoteReference w:id="1069"/>
      </w:r>
      <w:r>
        <w:rPr>
          <w:rFonts w:ascii="IRNazanin" w:hAnsi="IRNazanin" w:eastAsia="IRNazanin"/>
          <w:color w:val="111111"/>
          <w:sz w:val="28"/>
          <w:sz w:val="28"/>
          <w:szCs w:val="28"/>
          <w:rtl w:val="true"/>
          <w:lang w:bidi="fa-IR"/>
        </w:rPr>
        <w:t>کما فی الروایة</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ادّعی الإجماع فیه علی کراهیة وطی الأمة إذ اشتراها حاملا</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فی النهایة بالتحریم قبل مضیّ أربعة أشهر و عشرة أیّام</w:t>
      </w:r>
      <w:r>
        <w:rPr>
          <w:rFonts w:eastAsia="IRNazanin" w:cs="IRNazanin"/>
          <w:color w:val="111111"/>
          <w:sz w:val="28"/>
          <w:szCs w:val="28"/>
          <w:rtl w:val="true"/>
          <w:lang w:bidi="fa-IR"/>
        </w:rPr>
        <w:t>.</w:t>
      </w:r>
      <w:r>
        <w:rPr>
          <w:rStyle w:val="FootnoteAnchor"/>
          <w:rtl w:val="true"/>
        </w:rPr>
        <w:footnoteReference w:id="107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ملک الرجل أمة و لمسها أو نظر منها علی ما یحرم علی غیر المالک،</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علی أب اللامس و ابنه، و کذلک تحریم امّها و إن علت، و بنتها و إن سفلت علی المولی محتجّا بإجماع الفرقة</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 آخر من الکتاب خصّ التحریم بالنظر إلی فرجها</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ادّعی الإجماع فی الخلاف علی أنّه إذا تزوّج حرّة علی أمة، کان للحرّة الخیار فی نفسها، لا فی عقد الأمة</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التبیان ذهب إلی تخییرها بین فسخ عقد نفسها و فسخ عقد الأمة</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ادّعی فی المبسوط الإجماع علی الفسخ بالجبّ متی وجد</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أنّ الرجل لا یردّ من عیب یحدث به إلّا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یشعر بدعوی الاتّفاق علیه أیضا</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و فی کتاب الطلاق منع فی الخلاف من طلاق الولیّ عن المجنون محتجّا بإجماع الفرقة</w:t>
      </w:r>
      <w:r>
        <w:rPr>
          <w:rStyle w:val="FootnoteAnchor"/>
          <w:rtl w:val="true"/>
        </w:rPr>
        <w:footnoteReference w:id="1079"/>
      </w:r>
      <w:r>
        <w:rPr>
          <w:rFonts w:ascii="IRNazanin" w:hAnsi="IRNazanin" w:eastAsia="IRNazanin"/>
          <w:color w:val="111111"/>
          <w:sz w:val="28"/>
          <w:sz w:val="28"/>
          <w:szCs w:val="28"/>
          <w:rtl w:val="true"/>
          <w:lang w:bidi="fa-IR"/>
        </w:rPr>
        <w:t>، و فی النهایة جوّزه</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فی الخلاف أیضا من وقوع الطلاق بالکتابة مطلقا محتجّا بالإجماع مطلقا</w:t>
      </w:r>
      <w:r>
        <w:rPr>
          <w:rStyle w:val="FootnoteAnchor"/>
          <w:rtl w:val="true"/>
        </w:rPr>
        <w:footnoteReference w:id="1081"/>
      </w:r>
      <w:r>
        <w:rPr>
          <w:rFonts w:ascii="IRNazanin" w:hAnsi="IRNazanin" w:eastAsia="IRNazanin"/>
          <w:color w:val="111111"/>
          <w:sz w:val="28"/>
          <w:sz w:val="28"/>
          <w:szCs w:val="28"/>
          <w:rtl w:val="true"/>
          <w:lang w:bidi="fa-IR"/>
        </w:rPr>
        <w:t>، و فی النهایة جوّزه للغائب</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و منع فیه من إرث المطلّق مریضا زوجته إذا کان الطلاق بائنا محتجّا بإجماع الفرقة</w:t>
      </w:r>
      <w:r>
        <w:rPr>
          <w:rStyle w:val="FootnoteAnchor"/>
          <w:rtl w:val="true"/>
        </w:rPr>
        <w:footnoteReference w:id="1083"/>
      </w:r>
      <w:r>
        <w:rPr>
          <w:rFonts w:ascii="IRNazanin" w:hAnsi="IRNazanin" w:eastAsia="IRNazanin"/>
          <w:color w:val="111111"/>
          <w:sz w:val="28"/>
          <w:sz w:val="28"/>
          <w:szCs w:val="28"/>
          <w:rtl w:val="true"/>
          <w:lang w:bidi="fa-IR"/>
        </w:rPr>
        <w:t>، و فی موضع آخر منه بالإجماع مطلقا</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أثبت التوارث بینهما فی العدّة البائنة و الرجعیّة</w:t>
      </w:r>
      <w:r>
        <w:rPr>
          <w:rFonts w:eastAsia="IRNazanin" w:cs="IRNazanin"/>
          <w:color w:val="111111"/>
          <w:sz w:val="28"/>
          <w:szCs w:val="28"/>
          <w:rtl w:val="true"/>
          <w:lang w:bidi="fa-IR"/>
        </w:rPr>
        <w:t>.</w:t>
      </w:r>
      <w:r>
        <w:rPr>
          <w:rStyle w:val="FootnoteAnchor"/>
          <w:rtl w:val="true"/>
        </w:rPr>
        <w:footnoteReference w:id="108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ادّعی فی الخلاف و المبسوط معا الإجماع من أهل العلم علی أنّ الحامل بتوأمین لا تبین إلّا بوضع الاثنین</w:t>
      </w:r>
      <w:r>
        <w:rPr>
          <w:rStyle w:val="FootnoteAnchor"/>
          <w:rtl w:val="true"/>
        </w:rPr>
        <w:footnoteReference w:id="1086"/>
      </w:r>
      <w:r>
        <w:rPr>
          <w:rFonts w:ascii="IRNazanin" w:hAnsi="IRNazanin" w:eastAsia="IRNazanin"/>
          <w:color w:val="111111"/>
          <w:sz w:val="28"/>
          <w:sz w:val="28"/>
          <w:szCs w:val="28"/>
          <w:rtl w:val="true"/>
          <w:lang w:bidi="fa-IR"/>
        </w:rPr>
        <w:t>و فی النهایة حکم بأنّها تبین بوضع</w:t>
      </w:r>
    </w:p>
    <w:p>
      <w:pPr>
        <w:pStyle w:val="BookText"/>
        <w:rPr/>
      </w:pPr>
      <w:r>
        <w:rPr>
          <w:rFonts w:ascii="IRNazanin" w:hAnsi="IRNazanin" w:eastAsia="IRNazanin"/>
          <w:color w:val="111111"/>
          <w:sz w:val="28"/>
          <w:sz w:val="28"/>
          <w:szCs w:val="28"/>
          <w:rtl w:val="true"/>
          <w:lang w:bidi="fa-IR"/>
        </w:rPr>
        <w:t>الأوّل و لا تنکح حتّی تضع الثانی</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 من کتاب الظهار فی الکفّارة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عبد قد جنی عمدا لم یجز إعتاقه من الکفّارة، و إن کان خطأ جاز، و احتجّ علیه بإجماع الفرقة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عکس فی المبسوط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یقتضیه مذهبنا أنّه إن کان عمدا نفذ العتق، و إن کان خطأ لم ینفذ</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و جوّز فی الخلاف دفع الکفّارة إلی الصغیر محتجّا بالإجماع</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منع من ذلک و اعتبر قبض ولیّه</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و من کتاب الإیلاء اشترط فی الخلاف تجویزه محتجّا بالإجماع</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جوّز وقوعه معلّقا علی الشرط و الصفة</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و قال فی الخلاف إذا وطئ المولی بعد مدّة التربّص وجبت علیه الکفّارة محتجّا بإجماع الفرقة</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قوّی عدم الکفّارة و خصّها بما لو وطئ فی المدّة</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 من کتاب العتق ادّعی فی الخلاف الإجماع علی السرایة مع انتقال التنقّص إلیه بغیر الاختیار کالإرث</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اختار عدم السرایة بذلک</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و من کتاب النذر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یهدی هدیا و أطلق، ینصرف إلی النعم، و یعتبر فیه صفات الأضحیة محتجّا بإجماع الفرقة</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یجزی کلّ شی‌ء حتّی الدجاجة و البیضة و التمر و غیرها</w:t>
      </w:r>
      <w:r>
        <w:rPr>
          <w:rFonts w:eastAsia="IRNazanin" w:cs="IRNazanin"/>
          <w:color w:val="111111"/>
          <w:sz w:val="28"/>
          <w:szCs w:val="28"/>
          <w:rtl w:val="true"/>
          <w:lang w:bidi="fa-IR"/>
        </w:rPr>
        <w:t>.</w:t>
      </w:r>
      <w:r>
        <w:rPr>
          <w:rStyle w:val="FootnoteAnchor"/>
          <w:rtl w:val="true"/>
        </w:rPr>
        <w:footnoteReference w:id="109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کتاب الصید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الکلب أن یعلّمه المسلم، فلو علّمه مجوسی فاستعاره و أرسله المسلم حلّ المقتولة، و استدلّ علیه بإجماع</w:t>
      </w:r>
    </w:p>
    <w:p>
      <w:pPr>
        <w:pStyle w:val="BookText"/>
        <w:rPr/>
      </w:pPr>
      <w:r>
        <w:rPr>
          <w:rFonts w:ascii="Amiri" w:hAnsi="Amiri" w:eastAsia="Amiri" w:cs="Amiri"/>
          <w:color w:val="111111"/>
          <w:sz w:val="28"/>
          <w:sz w:val="28"/>
          <w:szCs w:val="28"/>
          <w:rtl w:val="true"/>
          <w:lang w:bidi="ar-SA"/>
        </w:rPr>
        <w:t>الفرقة و أخبارهم</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علّمه مجوسی فاستعاره المسلم أو غصبه فاصطاد به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و هو الأقوی عندی</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و من کتاب الأطعمة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کلّه حرام محتجّا بإجماع الفرقة و أخبارهم</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أکل الغربان</w:t>
      </w:r>
      <w:r>
        <w:rPr>
          <w:rStyle w:val="FootnoteAnchor"/>
          <w:rtl w:val="true"/>
        </w:rPr>
        <w:footnoteReference w:id="1103"/>
      </w:r>
      <w:r>
        <w:rPr>
          <w:rFonts w:ascii="IRNazanin" w:hAnsi="IRNazanin" w:eastAsia="IRNazanin"/>
          <w:color w:val="111111"/>
          <w:sz w:val="28"/>
          <w:sz w:val="28"/>
          <w:szCs w:val="28"/>
          <w:rtl w:val="true"/>
          <w:lang w:bidi="fa-IR"/>
        </w:rPr>
        <w:t>، و فی التهذیب و الاستبصار أیضا صرّح بالکراهة من دون التحریم فی الجمیع</w:t>
      </w:r>
      <w:r>
        <w:rPr>
          <w:rStyle w:val="FootnoteAnchor"/>
          <w:rtl w:val="true"/>
        </w:rPr>
        <w:footnoteReference w:id="1104"/>
      </w:r>
      <w:r>
        <w:rPr>
          <w:rFonts w:ascii="IRNazanin" w:hAnsi="IRNazanin" w:eastAsia="IRNazanin"/>
          <w:color w:val="111111"/>
          <w:sz w:val="28"/>
          <w:sz w:val="28"/>
          <w:szCs w:val="28"/>
          <w:rtl w:val="true"/>
          <w:lang w:bidi="fa-IR"/>
        </w:rPr>
        <w:t>، و فی المبسوط حرّم الکبیر الأسود الذی یسکن الجبال و الأبقع، و قال فی غراب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الغداف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أغبر أصغر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یحرم، و قال آخرون هو مباح، و هو الذی ورد فی روایاتنا</w:t>
      </w:r>
      <w:r>
        <w:rPr>
          <w:rStyle w:val="FootnoteAnchor"/>
          <w:rtl w:val="true"/>
        </w:rPr>
        <w:footnoteReference w:id="1105"/>
      </w:r>
      <w:r>
        <w:rPr>
          <w:rFonts w:ascii="IRNazanin" w:hAnsi="IRNazanin" w:eastAsia="IRNazanin"/>
          <w:color w:val="111111"/>
          <w:sz w:val="28"/>
          <w:sz w:val="28"/>
          <w:szCs w:val="28"/>
          <w:rtl w:val="true"/>
          <w:lang w:bidi="fa-IR"/>
        </w:rPr>
        <w:t>مع أنّه لم یوجد بذلک روایة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استحلّ الجریّ و المارماهی وجب علیه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فی کتاب الحدود منها</w:t>
      </w:r>
      <w:r>
        <w:rPr>
          <w:rStyle w:val="FootnoteAnchor"/>
          <w:rtl w:val="true"/>
        </w:rPr>
        <w:footnoteReference w:id="1106"/>
      </w:r>
      <w:r>
        <w:rPr>
          <w:rFonts w:ascii="IRNazanin" w:hAnsi="IRNazanin" w:eastAsia="IRNazanin"/>
          <w:color w:val="111111"/>
          <w:sz w:val="28"/>
          <w:sz w:val="28"/>
          <w:szCs w:val="28"/>
          <w:rtl w:val="true"/>
          <w:lang w:bidi="fa-IR"/>
        </w:rPr>
        <w:t>، و هو یقتضی الإجماع علی تحریمها من المسلمین فضلا عن الفرقة؛ لأنّ المخالف لإجماع الفرقة خاصّة لا یقتل عنده و لا عند غیره بالإجماع، مع أنّه فی النهایة أیضا فی کتاب الأطعمة جعلهما مکروهین</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و هذا عجیب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 لا یجوز للمضطرّ تناول الخمر للعطش و لا لغیره مطلقا محتجّا بإجماع الفرقة</w:t>
      </w:r>
      <w:r>
        <w:rPr>
          <w:rStyle w:val="FootnoteAnchor"/>
          <w:rtl w:val="true"/>
        </w:rPr>
        <w:footnoteReference w:id="1108"/>
      </w:r>
      <w:r>
        <w:rPr>
          <w:rFonts w:ascii="IRNazanin" w:hAnsi="IRNazanin" w:eastAsia="IRNazanin"/>
          <w:color w:val="111111"/>
          <w:sz w:val="28"/>
          <w:sz w:val="28"/>
          <w:szCs w:val="28"/>
          <w:rtl w:val="true"/>
          <w:lang w:bidi="fa-IR"/>
        </w:rPr>
        <w:t>، و جوّزه فی النهایة</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 من کتاب الغصب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 بعض أعضاء الدابّة، فکلّ ما فی البدن منه اثنان فیه القیمة، و فی أحدهما نصفها محتجّا بالإجماع</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 حکم بالأرش فی أطراف الحیوان مطلقا، دابّة و غیرها</w:t>
      </w:r>
      <w:r>
        <w:rPr>
          <w:rStyle w:val="FootnoteAnchor"/>
          <w:rtl w:val="true"/>
        </w:rPr>
        <w:footnoteReference w:id="11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کقول الجماعة</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و من کتاب المیراث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المعتق رجلا ورث الولاء أولاده الذکور و الإناث، و استدلّ علیه بإجماع الفرقة</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و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الذکور دون الإناث</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و اختلف کلامه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العتق اختار مذهب النهایة</w:t>
      </w:r>
      <w:r>
        <w:rPr>
          <w:rStyle w:val="FootnoteAnchor"/>
          <w:rtl w:val="true"/>
        </w:rPr>
        <w:footnoteReference w:id="1115"/>
      </w:r>
      <w:r>
        <w:rPr>
          <w:rFonts w:ascii="IRNazanin" w:hAnsi="IRNazanin" w:eastAsia="IRNazanin"/>
          <w:color w:val="111111"/>
          <w:sz w:val="28"/>
          <w:sz w:val="28"/>
          <w:szCs w:val="28"/>
          <w:rtl w:val="true"/>
          <w:lang w:bidi="fa-IR"/>
        </w:rPr>
        <w:t>، و فی المیراث اختار مذهب الخلاف</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و فی میراث الخنثی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تورث بالقرعة محتجّا بالإجماع</w:t>
      </w:r>
      <w:r>
        <w:rPr>
          <w:rStyle w:val="FootnoteAnchor"/>
          <w:rtl w:val="true"/>
        </w:rPr>
        <w:footnoteReference w:id="1117"/>
      </w:r>
      <w:r>
        <w:rPr>
          <w:rFonts w:ascii="IRNazanin" w:hAnsi="IRNazanin" w:eastAsia="IRNazanin"/>
          <w:color w:val="111111"/>
          <w:sz w:val="28"/>
          <w:sz w:val="28"/>
          <w:szCs w:val="28"/>
          <w:rtl w:val="true"/>
          <w:lang w:bidi="fa-IR"/>
        </w:rPr>
        <w:t>، و فی المبسوط و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تورث نصف النصیبین</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و من کتاب القضاء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المدّعی علیه، ثمّ أقام المدّعی البیّنة بالحقّ، لم یحکم له بها، و ادّعی علیه إجماع الفرقة و أخبارهم</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ذکره فی فصل ما علی القاضی و الشهود</w:t>
      </w:r>
      <w:r>
        <w:rPr>
          <w:rStyle w:val="FootnoteAnchor"/>
          <w:rtl w:val="true"/>
        </w:rPr>
        <w:footnoteReference w:id="1120"/>
      </w:r>
      <w:r>
        <w:rPr>
          <w:rFonts w:ascii="IRNazanin" w:hAnsi="IRNazanin" w:eastAsia="IRNazanin"/>
          <w:color w:val="111111"/>
          <w:sz w:val="28"/>
          <w:sz w:val="28"/>
          <w:szCs w:val="28"/>
          <w:rtl w:val="true"/>
          <w:lang w:bidi="fa-IR"/>
        </w:rPr>
        <w:t>، و فصّل فی موضع آخر منه بسماعها مع عدم علمه بها و نسیانه</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علی المنکر بالنکول، و ادّعی فیه الإجماع</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اختار القضاء بالنکول</w:t>
      </w:r>
      <w:r>
        <w:rPr>
          <w:rFonts w:eastAsia="IRNazanin" w:cs="IRNazanin"/>
          <w:color w:val="111111"/>
          <w:sz w:val="28"/>
          <w:szCs w:val="28"/>
          <w:rtl w:val="true"/>
          <w:lang w:bidi="fa-IR"/>
        </w:rPr>
        <w:t>.</w:t>
      </w:r>
      <w:r>
        <w:rPr>
          <w:rStyle w:val="FootnoteAnchor"/>
          <w:rtl w:val="true"/>
        </w:rPr>
        <w:footnoteReference w:id="112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تعارض قدیم الملک و الید، فالید أولی؛ مستدلّا</w:t>
      </w:r>
    </w:p>
    <w:p>
      <w:pPr>
        <w:pStyle w:val="BookText"/>
        <w:rPr/>
      </w:pPr>
      <w:r>
        <w:rPr>
          <w:rFonts w:ascii="IRNazanin" w:hAnsi="IRNazanin" w:eastAsia="IRNazanin"/>
          <w:color w:val="111111"/>
          <w:sz w:val="28"/>
          <w:sz w:val="28"/>
          <w:szCs w:val="28"/>
          <w:rtl w:val="true"/>
          <w:lang w:bidi="fa-IR"/>
        </w:rPr>
        <w:t>بالإجماع</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رجّح قدیم الملک</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و من کتاب الشهادات جعل فی الخلاف المسلم علی العدالة إلّا أن یظهر فیه الفسق مدّعیا الإجماع</w:t>
      </w:r>
      <w:r>
        <w:rPr>
          <w:rStyle w:val="FootnoteAnchor"/>
          <w:rtl w:val="true"/>
        </w:rPr>
        <w:footnoteReference w:id="1126"/>
      </w:r>
      <w:r>
        <w:rPr>
          <w:rFonts w:ascii="IRNazanin" w:hAnsi="IRNazanin" w:eastAsia="IRNazanin"/>
          <w:color w:val="111111"/>
          <w:sz w:val="28"/>
          <w:sz w:val="28"/>
          <w:szCs w:val="28"/>
          <w:rtl w:val="true"/>
          <w:lang w:bidi="fa-IR"/>
        </w:rPr>
        <w:t>، و خالف فی غیره</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و من کتاب الحدود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ینتصف حدّ القذف علی العبد محتجّا بالإجماع</w:t>
      </w:r>
      <w:r>
        <w:rPr>
          <w:rStyle w:val="FootnoteAnchor"/>
          <w:rtl w:val="true"/>
        </w:rPr>
        <w:footnoteReference w:id="1128"/>
      </w:r>
      <w:r>
        <w:rPr>
          <w:rFonts w:ascii="IRNazanin" w:hAnsi="IRNazanin" w:eastAsia="IRNazanin"/>
          <w:color w:val="111111"/>
          <w:sz w:val="28"/>
          <w:sz w:val="28"/>
          <w:szCs w:val="28"/>
          <w:rtl w:val="true"/>
          <w:lang w:bidi="fa-IR"/>
        </w:rPr>
        <w:t>، و حکم فی غیره بتنصیفه علیه</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 فی باب الارتداد حکم فی الخلاف بأنّ الولد من المرتدّ حال ارتداد أبویه یجوز استرقاقه إن ولد فی دار الحرب لا فی دار الإسلام محتجّا بالإجماع و الأخبار، و ذکر ذلک فی کتاب قتال أهل الردّة</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کتاب المرتدّ من الخلاف و المبسوط أنّه یجوز استرقاقه مطلقا مصرّحا بعدم الفرق بین الدارین</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و من کتاب القصاص إذا کان المدّعی علیهم القتل للواحد أکثر من واحد مع اللوث و توجّهت علیهم الیمین، فهل یتوجّه علیهم جمیعا خمسون یمینا، أم یجب علی کلّ واحد خمسون یمینا؟ ذهب فی الخلاف إلی الثانی محتجّا بالإجماع و الأخبار</w:t>
      </w:r>
      <w:r>
        <w:rPr>
          <w:rStyle w:val="FootnoteAnchor"/>
          <w:rtl w:val="true"/>
        </w:rPr>
        <w:footnoteReference w:id="1132"/>
      </w:r>
      <w:r>
        <w:rPr>
          <w:rFonts w:ascii="IRNazanin" w:hAnsi="IRNazanin" w:eastAsia="IRNazanin"/>
          <w:color w:val="111111"/>
          <w:sz w:val="28"/>
          <w:sz w:val="28"/>
          <w:szCs w:val="28"/>
          <w:rtl w:val="true"/>
          <w:lang w:bidi="fa-IR"/>
        </w:rPr>
        <w:t>، و فی المبسوط إلی الأوّل</w:t>
      </w:r>
      <w:r>
        <w:rPr>
          <w:rFonts w:eastAsia="IRNazanin" w:cs="IRNazanin"/>
          <w:color w:val="111111"/>
          <w:sz w:val="28"/>
          <w:szCs w:val="28"/>
          <w:rtl w:val="true"/>
          <w:lang w:bidi="fa-IR"/>
        </w:rPr>
        <w:t>.</w:t>
      </w:r>
      <w:r>
        <w:rPr>
          <w:rStyle w:val="FootnoteAnchor"/>
          <w:rtl w:val="true"/>
        </w:rPr>
        <w:footnoteReference w:id="113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القصاص أیضا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إنسان ید غیره، و قطع آخر رجله، و أوضحه ثالث فسری إلی نفسه، کان ولیّه مخیّرا بین أن یقتصّ فی الجراح فیقطع القاطع ثمّ یقتله و یوضح الذی أوضحه ثمّ یقتله</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ولیّ الدم قتلهم قتلهم، و لیس له أن یقتصّ منهم ثمّ یقتلهم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الشافعی جوازه، ثمّ احتجّ علی المنع بإجماع الفرقة و أخبارهم</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و قال أیضا فی موضع آخر من المبسوط فی أوّل فصل الشجاج</w:t>
      </w:r>
      <w:r>
        <w:rPr>
          <w:rStyle w:val="FootnoteAnchor"/>
          <w:rtl w:val="true"/>
        </w:rPr>
        <w:footnoteReference w:id="1136"/>
      </w: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قطع فاقد الإصبع یدا تامّة أخذت منه دیة الإصبع، و احتجّ علیه فی الخلاف بالإجماع</w:t>
      </w:r>
      <w:r>
        <w:rPr>
          <w:rStyle w:val="FootnoteAnchor"/>
          <w:rtl w:val="true"/>
        </w:rPr>
        <w:footnoteReference w:id="1137"/>
      </w:r>
      <w:r>
        <w:rPr>
          <w:rFonts w:ascii="IRNazanin" w:hAnsi="IRNazanin" w:eastAsia="IRNazanin"/>
          <w:color w:val="111111"/>
          <w:sz w:val="28"/>
          <w:sz w:val="28"/>
          <w:szCs w:val="28"/>
          <w:rtl w:val="true"/>
          <w:lang w:bidi="fa-IR"/>
        </w:rPr>
        <w:t>، و فی موضع آخر من المبسوط فی الفصل المذکور بعد ذلک بنحو أربع ورقات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إن کان ذلک خلقة أو بآفة من اللّه، أمّا لو استحقّ دیتها لم تجز دیته، بل تلزمه دیة الإصبع</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و من کتاب الدیات ادّعی فی الخلاف الإجماع علی أنّ فی قلع السنّ السوداء ثلث دیتها</w:t>
      </w:r>
      <w:r>
        <w:rPr>
          <w:rStyle w:val="FootnoteAnchor"/>
          <w:rtl w:val="true"/>
        </w:rPr>
        <w:footnoteReference w:id="1139"/>
      </w:r>
      <w:r>
        <w:rPr>
          <w:rFonts w:ascii="IRNazanin" w:hAnsi="IRNazanin" w:eastAsia="IRNazanin"/>
          <w:color w:val="111111"/>
          <w:sz w:val="28"/>
          <w:sz w:val="28"/>
          <w:szCs w:val="28"/>
          <w:rtl w:val="true"/>
          <w:lang w:bidi="fa-IR"/>
        </w:rPr>
        <w:t>، و ذهب فی النهایة إلی أنّ فیها ربع الدیة</w:t>
      </w:r>
      <w:r>
        <w:rPr>
          <w:rStyle w:val="FootnoteAnchor"/>
          <w:rtl w:val="true"/>
        </w:rPr>
        <w:footnoteReference w:id="1140"/>
      </w:r>
      <w:r>
        <w:rPr>
          <w:rFonts w:ascii="IRNazanin" w:hAnsi="IRNazanin" w:eastAsia="IRNazanin"/>
          <w:color w:val="111111"/>
          <w:sz w:val="28"/>
          <w:sz w:val="28"/>
          <w:szCs w:val="28"/>
          <w:rtl w:val="true"/>
          <w:lang w:bidi="fa-IR"/>
        </w:rPr>
        <w:t>، و قال فی الخلاف أیضا أنّ فی الجفن الأعلی ثلثی الدیة و فی الأسفل الثلث، و احتجّ علیه بالإجماع و الأخبار</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النهایة فی الأعلی الثلث و فی الأسفل النصف</w:t>
      </w:r>
      <w:r>
        <w:rPr>
          <w:rStyle w:val="FootnoteAnchor"/>
          <w:rtl w:val="true"/>
        </w:rPr>
        <w:footnoteReference w:id="1142"/>
      </w:r>
      <w:r>
        <w:rPr>
          <w:rFonts w:ascii="IRNazanin" w:hAnsi="IRNazanin" w:eastAsia="IRNazanin"/>
          <w:color w:val="111111"/>
          <w:sz w:val="28"/>
          <w:sz w:val="28"/>
          <w:szCs w:val="28"/>
          <w:rtl w:val="true"/>
          <w:lang w:bidi="fa-IR"/>
        </w:rPr>
        <w:t>، 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واحد من الأجفان ربع الدیة</w:t>
      </w:r>
      <w:r>
        <w:rPr>
          <w:rFonts w:eastAsia="IRNazanin" w:cs="IRNazanin"/>
          <w:color w:val="111111"/>
          <w:sz w:val="28"/>
          <w:szCs w:val="28"/>
          <w:rtl w:val="true"/>
          <w:lang w:bidi="fa-IR"/>
        </w:rPr>
        <w:t>.</w:t>
      </w:r>
      <w:r>
        <w:rPr>
          <w:rStyle w:val="FootnoteAnchor"/>
          <w:rtl w:val="true"/>
        </w:rPr>
        <w:footnoteReference w:id="114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الخلاف فی دیة الخصیتین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الیمنی الثلث، و فی الیسری الثلثین محتجّا بالإجماع و الأخبار</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و النهایة أنّ فی کلّ واحدة النصف</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و إذا قتل القاتل عمدا قودا هل تجب الکفّارة فی ماله؟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محتجّا بالإجماع و الأخبار</w:t>
      </w:r>
      <w:r>
        <w:rPr>
          <w:rStyle w:val="FootnoteAnchor"/>
          <w:rtl w:val="true"/>
        </w:rPr>
        <w:footnoteReference w:id="1146"/>
      </w:r>
      <w:r>
        <w:rPr>
          <w:rFonts w:ascii="IRNazanin" w:hAnsi="IRNazanin" w:eastAsia="IRNazanin"/>
          <w:color w:val="111111"/>
          <w:sz w:val="28"/>
          <w:sz w:val="28"/>
          <w:szCs w:val="28"/>
          <w:rtl w:val="true"/>
          <w:lang w:bidi="fa-IR"/>
        </w:rPr>
        <w:t>، 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الآباء و الأولاد فی العقل محتجّا بالإجماع</w:t>
      </w:r>
      <w:r>
        <w:rPr>
          <w:rStyle w:val="FootnoteAnchor"/>
          <w:rtl w:val="true"/>
        </w:rPr>
        <w:footnoteReference w:id="1148"/>
      </w:r>
      <w:r>
        <w:rPr>
          <w:rFonts w:ascii="IRNazanin" w:hAnsi="IRNazanin" w:eastAsia="IRNazanin"/>
          <w:color w:val="111111"/>
          <w:sz w:val="28"/>
          <w:sz w:val="28"/>
          <w:szCs w:val="28"/>
          <w:rtl w:val="true"/>
          <w:lang w:bidi="fa-IR"/>
        </w:rPr>
        <w:t>، 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فیه</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انتهی کلام الشهید الثانی قدّس سرّه</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و من هذا الباب أیضا دعوی الشیخ إجماع الطائفة علی العمل بأخبار الآحاد</w:t>
      </w:r>
      <w:r>
        <w:rPr>
          <w:rStyle w:val="FootnoteAnchor"/>
          <w:rtl w:val="true"/>
        </w:rPr>
        <w:footnoteReference w:id="1151"/>
      </w:r>
      <w:r>
        <w:rPr>
          <w:rFonts w:ascii="IRNazanin" w:hAnsi="IRNazanin" w:eastAsia="IRNazanin"/>
          <w:color w:val="111111"/>
          <w:sz w:val="28"/>
          <w:sz w:val="28"/>
          <w:szCs w:val="28"/>
          <w:rtl w:val="true"/>
          <w:lang w:bidi="fa-IR"/>
        </w:rPr>
        <w:t>، و دعوی المرتضی الإجماع علی عدم العمل بها</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و من هذا القسم دعوی الشیخ علیّ الإجماع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نعرف خلافا فی أنّ السورة لا تسقط عند ضیق الوقت</w:t>
      </w:r>
      <w:r>
        <w:rPr>
          <w:rStyle w:val="FootnoteAnchor"/>
          <w:rtl w:val="true"/>
        </w:rPr>
        <w:footnoteReference w:id="1153"/>
      </w:r>
      <w:r>
        <w:rPr>
          <w:rFonts w:ascii="IRNazanin" w:hAnsi="IRNazanin" w:eastAsia="IRNazanin"/>
          <w:color w:val="111111"/>
          <w:sz w:val="28"/>
          <w:sz w:val="28"/>
          <w:szCs w:val="28"/>
          <w:rtl w:val="true"/>
          <w:lang w:bidi="fa-IR"/>
        </w:rPr>
        <w:t>، مع أنّ المحقّق فی المعتبر و العلّامة فی المنتهی ادّعیا الإجماع علی السقوط</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و فی کلام ابن زهرة فی الغنیة أیضا من هذا کثیر؛ لأنّه ادّعی الإجماع علی أکثر الأحکام و المسائل التی ذکرها هناک، مع وقوع الخلاف فی کثیر منها، بل فی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ذلک اتّفق فی کلام ابن إدریس و غیرهم من الفضلاء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السبب الباعث للتأویلات السابقة و أمثالها، و هو علی کلّ حال موجب لضعف الاعتماد علی دعوی الإجماع</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کنت أردت أن أجمع کتابا یشتمل علی المسائل الإجماعیّة و المسائل التی ادّعی فیها الإجماع، و تخیّلت أنّه أهمّ و أنفع من جمیع المسائل الخلافیّة المذکورة فی المختلف؛ لأنّ معرفة کون المسألة إجماعیّة تقتضی الاعتماد و الجزم بها، و معرفة کونها</w:t>
      </w:r>
      <w:bookmarkStart w:id="394" w:name="pg19819_193698"/>
    </w:p>
    <w:p>
      <w:pPr>
        <w:pStyle w:val="BookText"/>
        <w:rPr/>
      </w:pPr>
      <w:bookmarkEnd w:id="394"/>
      <w:r>
        <w:rPr>
          <w:rFonts w:ascii="IRNazanin" w:hAnsi="IRNazanin" w:eastAsia="IRNazanin"/>
          <w:color w:val="111111"/>
          <w:sz w:val="28"/>
          <w:sz w:val="28"/>
          <w:szCs w:val="28"/>
          <w:rtl w:val="true"/>
          <w:lang w:bidi="fa-IR"/>
        </w:rPr>
        <w:t>خلافیّة تقتضی التردّد و التوقّف فیها، ثمّ عدلت عن تألیف کتاب المذکور لضعف الاعتماد علی الإجماع المنقول، لمّا رأیت من اضطراب أمره، و عدم ثبوت حجّیّته، و کثرة التعارض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ما اعتذر لهم به الشهید فی الذکری من الوجوه التی أکثرها بعید</w:t>
      </w:r>
      <w:r>
        <w:rPr>
          <w:rStyle w:val="FootnoteAnchor"/>
          <w:rtl w:val="true"/>
        </w:rPr>
        <w:footnoteReference w:id="1155"/>
      </w:r>
      <w:r>
        <w:rPr>
          <w:rFonts w:ascii="IRNazanin" w:hAnsi="IRNazanin" w:eastAsia="IRNazanin"/>
          <w:color w:val="111111"/>
          <w:sz w:val="28"/>
          <w:sz w:val="28"/>
          <w:szCs w:val="28"/>
          <w:rtl w:val="true"/>
          <w:lang w:bidi="fa-IR"/>
        </w:rPr>
        <w:t>، و لکن یصار إلیها للضرورة، و لأنّه أقرب إلی حسن الظنّ بهم و أنسب بجلالتهم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من تلک الوجوه هو الأخیر، و هو الثامن من معانی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لأفاضل المحقّقین أیضا نحو هذه الدعوی، کما یقولون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لا نصّ فیها أصلا، ثمّ إذا تتبّعنا نجد لها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هذه المسألة منحصر فی حدیث واحد أو حدیثین مثلا، أو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 هذه الروایة ضعیف فی کتب الحدیث، أو لم نظفر لها بسند و إنّما نقلوها بطریق الإرسال، و نحو ذلک ممّا هو کثیر، مع ظهور الخلاف بحیث لا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لکونه شهادة علی نفی غیر محصور غالبا، و غلبة السهو و النسیان کان علی</w:t>
      </w:r>
      <w:r>
        <w:rPr>
          <w:rStyle w:val="FootnoteAnchor"/>
          <w:rtl w:val="true"/>
        </w:rPr>
        <w:footnoteReference w:id="1156"/>
      </w:r>
      <w:r>
        <w:rPr>
          <w:rFonts w:ascii="IRNazanin" w:hAnsi="IRNazanin" w:eastAsia="IRNazanin"/>
          <w:color w:val="111111"/>
          <w:sz w:val="28"/>
          <w:sz w:val="28"/>
          <w:szCs w:val="28"/>
          <w:rtl w:val="true"/>
          <w:lang w:bidi="fa-IR"/>
        </w:rPr>
        <w:t>طبیعة الإنسان، حاشا من عصمه اللّه سبحانه من أنبیائه و حججه، و اللّه المسئول أن یسامحهم و إیّانا من کلّ هفوة، و یجزیهم عنّا کلّ خیر، فقد سهلوا لنا الطریق، و حقّقوا لنا المشکلات؛ و اللّه الموفّق للصواب</w:t>
      </w:r>
      <w:r>
        <w:rPr>
          <w:rFonts w:eastAsia="IRNazanin" w:cs="IRNazanin"/>
          <w:color w:val="111111"/>
          <w:sz w:val="28"/>
          <w:szCs w:val="28"/>
          <w:rtl w:val="true"/>
          <w:lang w:bidi="fa-IR"/>
        </w:rPr>
        <w:t>.</w:t>
      </w:r>
    </w:p>
    <w:p>
      <w:pPr>
        <w:pStyle w:val="Heading4"/>
        <w:numPr>
          <w:ilvl w:val="3"/>
          <w:numId w:val="1"/>
        </w:numPr>
        <w:rPr/>
      </w:pPr>
      <w:bookmarkStart w:id="395" w:name="__RefHeading___Toc3055697_2314609296"/>
      <w:bookmarkStart w:id="396" w:name="_Toc152"/>
      <w:bookmarkEnd w:id="395"/>
      <w:r>
        <w:rPr>
          <w:rtl w:val="true"/>
        </w:rPr>
        <w:t>الفصل السابع فی وجه حصول الخلاف مع دعوی الإجماع فی کثیر من المسائل</w:t>
      </w:r>
      <w:bookmarkEnd w:id="3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ذلک قد صار ظاهرا بعد ما تقدّم، و حاصله وجوه اثنا عشر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المخالف بالإجماع، کما أنّ مدّعی الإجماع کثیرا یخفی عنه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الاعتماد علی دعوی الإجماع؛ لما عرفت من کثرة التعارض فیه، و لا یوثق بتحقّقه</w:t>
      </w:r>
      <w:r>
        <w:rPr>
          <w:rStyle w:val="FootnoteAnchor"/>
          <w:rtl w:val="true"/>
        </w:rPr>
        <w:footnoteReference w:id="1157"/>
      </w:r>
      <w:r>
        <w:rPr>
          <w:rFonts w:ascii="Amiri" w:hAnsi="Amiri" w:eastAsia="Amiri" w:cs="Amiri"/>
          <w:color w:val="111111"/>
          <w:sz w:val="28"/>
          <w:sz w:val="28"/>
          <w:szCs w:val="28"/>
          <w:rtl w:val="true"/>
          <w:lang w:bidi="ar-SA"/>
        </w:rPr>
        <w:t>إلّا نادرا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قیام الدلیل علی حجّیّة الإجماع المنقول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بدخول الإمام علیه السّلام فی جملة المجمعین، و مع عدم العلم بذلک لا یمکن الاعتماد علیه؛ لما مضی و یأتی إن شاء اللّه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مخالف عنده لم یعلم به مدّعی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اطّلاعه علی سند الإجماع، و اعتقاده أنّه لا بدّ له من سند معتمد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اطّلاعه علی نصّ أقوی من سند الإجماع باعتبار الترجیحات المرویّة عنهم علیهم السّلام، مع عدم تحقّق دخول الإمام، أو مع قوله بهما</w:t>
      </w:r>
      <w:r>
        <w:rPr>
          <w:rStyle w:val="FootnoteAnchor"/>
          <w:rtl w:val="true"/>
        </w:rPr>
        <w:footnoteReference w:id="1159"/>
      </w:r>
      <w:r>
        <w:rPr>
          <w:rFonts w:ascii="IRNazanin" w:hAnsi="IRNazanin" w:eastAsia="IRNazanin"/>
          <w:color w:val="111111"/>
          <w:sz w:val="28"/>
          <w:sz w:val="28"/>
          <w:szCs w:val="28"/>
          <w:rtl w:val="true"/>
          <w:lang w:bidi="fa-IR"/>
        </w:rPr>
        <w:t>بأن یوجد نصوص توافق</w:t>
      </w:r>
      <w:r>
        <w:rPr>
          <w:rStyle w:val="FootnoteAnchor"/>
          <w:rtl w:val="true"/>
        </w:rPr>
        <w:footnoteReference w:id="1160"/>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المخالف أخباریّا و وقوع الإجماع من الاصولیّین، فإنّه لم یعتبر</w:t>
      </w:r>
      <w:r>
        <w:rPr>
          <w:rStyle w:val="FootnoteAnchor"/>
          <w:rtl w:val="true"/>
        </w:rPr>
        <w:footnoteReference w:id="1161"/>
      </w:r>
      <w:r>
        <w:rPr>
          <w:rFonts w:ascii="IRNazanin" w:hAnsi="IRNazanin" w:eastAsia="IRNazanin"/>
          <w:color w:val="111111"/>
          <w:sz w:val="28"/>
          <w:sz w:val="28"/>
          <w:szCs w:val="28"/>
          <w:rtl w:val="true"/>
          <w:lang w:bidi="fa-IR"/>
        </w:rPr>
        <w:t>عنده کما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المخالف اصولیّا و الإجماع من الأخباریّین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اطّلاعه علی کون الإجماع المدّعی مجازیّا بمعنی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اطّلاعه علی أنّه بمعنی الإجماع علی النقل، مع عدم الإجماع علی نقل معارضه أیضا و رجحانه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زمان المخالف متأخّرا عن زمان دعوی الإجماع أو متقدّما علیه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 المعتمد هو الإجماع بالمعنی الذی ذکرناه سابقا، و مع عدمه یرجع إلی النصوص الثابتة، و مع التعارض یعمل بالمرجّحات المنصوصة عنهم، کما یأتی إن شاء اللّه تعالی</w:t>
      </w:r>
      <w:r>
        <w:rPr>
          <w:rFonts w:eastAsia="IRNazanin" w:cs="IRNazanin"/>
          <w:color w:val="111111"/>
          <w:sz w:val="28"/>
          <w:szCs w:val="28"/>
          <w:rtl w:val="true"/>
          <w:lang w:bidi="fa-IR"/>
        </w:rPr>
        <w:t>.</w:t>
      </w:r>
      <w:bookmarkStart w:id="397" w:name="pg19819_193700"/>
    </w:p>
    <w:p>
      <w:pPr>
        <w:pStyle w:val="Heading4"/>
        <w:numPr>
          <w:ilvl w:val="3"/>
          <w:numId w:val="1"/>
        </w:numPr>
        <w:rPr/>
      </w:pPr>
      <w:bookmarkStart w:id="398" w:name="__RefHeading___Toc3055699_2314609296"/>
      <w:bookmarkStart w:id="399" w:name="_Toc153"/>
      <w:bookmarkEnd w:id="397"/>
      <w:bookmarkEnd w:id="398"/>
      <w:r>
        <w:rPr>
          <w:rtl w:val="true"/>
        </w:rPr>
        <w:t>الفصل الثامن فی کیفیة العمل بالإجماع مع تعارض دعواه، أو حصول الخلاف معه</w:t>
      </w:r>
      <w:bookmarkEnd w:id="399"/>
    </w:p>
    <w:p>
      <w:pPr>
        <w:pStyle w:val="BookText"/>
        <w:rPr/>
      </w:pPr>
      <w:r>
        <w:rPr>
          <w:rFonts w:ascii="IRNazanin" w:hAnsi="IRNazanin" w:eastAsia="IRNazanin"/>
          <w:color w:val="111111"/>
          <w:sz w:val="28"/>
          <w:sz w:val="28"/>
          <w:szCs w:val="28"/>
          <w:rtl w:val="true"/>
          <w:lang w:bidi="fa-IR"/>
        </w:rPr>
        <w:t>الإجماع إمّا أن یکون من الأقسام المعتبرة السابقة، أو لا؛ فإن کان الثانی فلا عمل به أصلا، سواء عارضه إجماع آخر، أو حصل معه خلاف، أو لم یحصل شی‌ء من ذلک؛ و إن کان الأوّل، فإمّا أن یکون من ضروریّات الدین، أو من ضروریّات المذهب، أو لا یکون واحدا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و الثانی یمتنع حصول إجماع آخر فی مقابلهما، بل یمتنع عادة دعوی إجماع یخالفها، و إن اتّفق خلاف أو قول أو خبر یعارضهما فذلک شاذّ نادر، معلوم أنّه لا یعتبر، کما ورد فی الأحادیث التی تتضمّن العمل بالأحادیث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القسم الثالث، فإذا تعارض إجماعان معتبران، فإن کان أحدهما له سند ظاهر مرویّ عنهم علیهم السّلام فهو المعتبر خاصّة عملا بذلک النصّ، و إلّا فإنّ فرض اعتبارهما یقتضی أنّ کلّ واحد منهما دالّ علی وجود نصّ عن الأئمّة یوافقه، فیجب العمل فیه بالترجیحات المنصوصة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یستفاد من تتبّع الأحادیث المعتبرة أنّه یجب ترجیح أحد الخبرین المختلفین علی الآخر بوجه من وجوه اثنی عشر</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التقیّة و موافقة معارضه لها، فإنّه یتعلّق العمل بما یخالف التقیّة و ترک ما یوافق مذهب العامّة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عند المحدّث الماهر هو أقوی وجوه الجمع بین الأحادیث المختلفة؛ لما علم بالتتبّع أنّ سبب الاختلاف إنّما</w:t>
      </w:r>
      <w:r>
        <w:rPr>
          <w:rStyle w:val="FootnoteAnchor"/>
          <w:rtl w:val="true"/>
        </w:rPr>
        <w:footnoteReference w:id="1163"/>
      </w:r>
      <w:r>
        <w:rPr>
          <w:rFonts w:ascii="IRNazanin" w:hAnsi="IRNazanin" w:eastAsia="IRNazanin"/>
          <w:color w:val="111111"/>
          <w:sz w:val="28"/>
          <w:sz w:val="28"/>
          <w:szCs w:val="28"/>
          <w:rtl w:val="true"/>
          <w:lang w:bidi="fa-IR"/>
        </w:rPr>
        <w:t>هو التقیّة غالبا إن لم یکن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هنا جواز استعلام مذاهب العامّة فی المسألة التی فیها أخبار مختلفة، إمّا بسؤال</w:t>
      </w:r>
      <w:r>
        <w:rPr>
          <w:rStyle w:val="FootnoteAnchor"/>
          <w:rtl w:val="true"/>
        </w:rPr>
        <w:footnoteReference w:id="1164"/>
      </w:r>
      <w:r>
        <w:rPr>
          <w:rFonts w:ascii="IRNazanin" w:hAnsi="IRNazanin" w:eastAsia="IRNazanin"/>
          <w:color w:val="111111"/>
          <w:sz w:val="28"/>
          <w:sz w:val="28"/>
          <w:szCs w:val="28"/>
          <w:rtl w:val="true"/>
          <w:lang w:bidi="fa-IR"/>
        </w:rPr>
        <w:t>علمائهم، أو الرجوع إلی کتبهم، فإذا علم بمذهبهم</w:t>
      </w:r>
      <w:r>
        <w:rPr>
          <w:rStyle w:val="FootnoteAnchor"/>
          <w:rtl w:val="true"/>
        </w:rPr>
        <w:footnoteReference w:id="1165"/>
      </w:r>
      <w:r>
        <w:rPr>
          <w:rFonts w:ascii="IRNazanin" w:hAnsi="IRNazanin" w:eastAsia="IRNazanin"/>
          <w:color w:val="111111"/>
          <w:sz w:val="28"/>
          <w:sz w:val="28"/>
          <w:szCs w:val="28"/>
          <w:rtl w:val="true"/>
          <w:lang w:bidi="fa-IR"/>
        </w:rPr>
        <w:t>عمل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أشهر مذاهب العامّة إن کانوا مختلفین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النصّ فی حدیث عمر بن حنظلة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التقیّة لمّا کانت سببها الخوف و دفع المفسدة، کانت واردة بحسب شدّة الخوف و قوّة المفسدة، و ذلک فی الطرف المذکور، و خلافه قلیل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وردت أکثر أحادیث التقیّة موافقة لمذهب</w:t>
      </w:r>
      <w:r>
        <w:rPr>
          <w:rStyle w:val="FootnoteAnchor"/>
          <w:rtl w:val="true"/>
        </w:rPr>
        <w:footnoteReference w:id="1166"/>
      </w:r>
      <w:r>
        <w:rPr>
          <w:rFonts w:ascii="IRNazanin" w:hAnsi="IRNazanin" w:eastAsia="IRNazanin"/>
          <w:color w:val="111111"/>
          <w:sz w:val="28"/>
          <w:sz w:val="28"/>
          <w:szCs w:val="28"/>
          <w:rtl w:val="true"/>
          <w:lang w:bidi="fa-IR"/>
        </w:rPr>
        <w:t>أبی حنیفة؛ لأنّه کان أشهر مذاهب العامّة فی أکثر أوقات ظهور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راوی أحد الحدیثین أعدل من راوی الآخر، أو کون أحد الراویین</w:t>
      </w:r>
      <w:r>
        <w:rPr>
          <w:rStyle w:val="FootnoteAnchor"/>
          <w:rtl w:val="true"/>
        </w:rPr>
        <w:footnoteReference w:id="1167"/>
      </w:r>
      <w:r>
        <w:rPr>
          <w:rFonts w:ascii="IRNazanin" w:hAnsi="IRNazanin" w:eastAsia="IRNazanin"/>
          <w:color w:val="111111"/>
          <w:sz w:val="28"/>
          <w:sz w:val="28"/>
          <w:szCs w:val="28"/>
          <w:rtl w:val="true"/>
          <w:lang w:bidi="fa-IR"/>
        </w:rPr>
        <w:t>عدلا و الآخر غیر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راوی أحدهما فقیها خاصّة، أو أفقه من راوی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أحدهما خاصّة صادقا فی الحدیث، أو أصدق من راوی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أحدهما خاصّة ورعا، أو أورع من راوی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معتبر فی کلّ راو من الرواة، فیرجّح أحد الحدیثین المختلفین علی الآخر بکلّ واحد من هذه الوجوه الأربعة فی کلّ مرتبة من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مع حصول الشکّ فی ثبوت نقل الحدیث عن المعصوم، أمّا مع وجود القرائن المفیدة للعلم فیشکل الاعتماد علی ذلک، و لهذا قال بعض المحقّقین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ذلک إنّما هو قبل تدوین الأحادیث فی الکتب و الشهادة بصحّتها، فضلا عن الإجماع علیها، أو الشهادة بنقلها عن الکتب المعتمدة الصحیحة المجمع علیها، کالکتب الأربعة و نحوها التی نصّ مؤلّفوها علی نقلها من تلک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التخصیص یمکن أن یستفاد من حدیث عمر بن حنظلة؛ إذ هو ظاهر فی أنّ الحدیثین</w:t>
      </w:r>
    </w:p>
    <w:p>
      <w:pPr>
        <w:pStyle w:val="BookText"/>
        <w:rPr/>
      </w:pPr>
      <w:r>
        <w:rPr>
          <w:rFonts w:ascii="IRNazanin" w:hAnsi="IRNazanin" w:eastAsia="IRNazanin"/>
          <w:color w:val="111111"/>
          <w:sz w:val="28"/>
          <w:sz w:val="28"/>
          <w:szCs w:val="28"/>
          <w:rtl w:val="true"/>
          <w:lang w:bidi="fa-IR"/>
        </w:rPr>
        <w:t>غیر موجودین فی کتاب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الإجماع علی التفصیل السابق فی الصور التی یمکن فیها، فإنّ الحدیث الموافق له یتعیّن العمل به و إن خالفه ما لم یوافق 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الشهرة، فإنّه یرجّح بها الخبر علی ما خالفه و إن وافق قولا شاذّا نادرا؛ للأمر بترکه فی الحدیث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الحدیث للقرآن کما تقدّم، و لکن بملاحظة الأحادیث الواردة فی أنّه لا یجوز العمل فی تفسیر القرآن إلّا بنصّ منهم</w:t>
      </w:r>
      <w:r>
        <w:rPr>
          <w:rStyle w:val="FootnoteAnchor"/>
          <w:rtl w:val="true"/>
        </w:rPr>
        <w:footnoteReference w:id="1168"/>
      </w:r>
      <w:r>
        <w:rPr>
          <w:rFonts w:ascii="IRNazanin" w:hAnsi="IRNazanin" w:eastAsia="IRNazanin"/>
          <w:color w:val="111111"/>
          <w:sz w:val="28"/>
          <w:sz w:val="28"/>
          <w:szCs w:val="28"/>
          <w:rtl w:val="true"/>
          <w:lang w:bidi="fa-IR"/>
        </w:rPr>
        <w:t>علیهم السّلام یتعیّن تخصیص هذه الأخبار بأنّ المراد منها ما وافق الواضحات و المحکمات من القرآن، فأمّا ما یحتمل الاحتمالات الکثیرة أو احتمالین، فلا یمکن الترجیح بموافقته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یفهم من بعض الأخبار مع قرینة التصریحات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السنّة الثابتة، فإنّه إذا ورد حدیث یوافقه حدیث آخر أو أکثر، تعیّن العمل بما له موافق، سواء کان عن الرسول صلّی اللّه علیه و آله أو عن الأئمّة؛ و لذلک تراهم یعملون بأکثر القسمین من الأخبار، و یؤوّلون الأقلّ غالبا، و ذلک هو الموافق لحکمة أهل العصمة إذا أرادوا ترجیح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رواة أحد الحدیثین بالنسبة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قریب ممّا قبله، و ربما یرجع إلی الشهرة، فإنّها قد تکون فی النقل، و قد تکون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أحد الحدیثین متأخّرا فی التاریخ عن الآخر، فإنّ المتأخّر أرجح</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لیس علی إطلاقه، فإنّه روی أنّ إمام کلّ زمان أعرف بزمانه و بحکمه، و لا یخفی أنّ ذلک لا یبقی طول العهد و امتداد الدهر، و لذلک خلت عن هذا المرجّح أکثر الأحادیث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بالتأمّل أنّه راجع إلی اعتبار التقیّة و عدمها، و بالجملة المرجّحات السابقة أرجح منه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إذا لم یمکن الترجیح بشی‌ء ممّا ذکر، فالأولی موافقة الاحتیاط؛ للأمر به فی أحادیث کثیرة، و هو آخر الترجیحات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أنّه یعمل به بعد العجز عن المرجّحات المذکورة کلّها، و هو یقتضی التوقّف فی الفتوی و الإتیان بما یتردّد بین الوجوب و الاستحباب، أو بینه و بین الإباحة و الکراهة، و ترک ما یتردّد بین التحریم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مذهب جماعة من الأصحاب، و ذهب بعضهم إلی التخییر عند العجز عن الترجیح، و هو مذهب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بعض المحقّقین من المتأخّرین</w:t>
      </w:r>
      <w:r>
        <w:rPr>
          <w:rStyle w:val="FootnoteAnchor"/>
          <w:rtl w:val="true"/>
        </w:rPr>
        <w:footnoteReference w:id="1169"/>
      </w:r>
      <w:r>
        <w:rPr>
          <w:rFonts w:ascii="IRNazanin" w:hAnsi="IRNazanin" w:eastAsia="IRNazanin"/>
          <w:color w:val="111111"/>
          <w:sz w:val="28"/>
          <w:sz w:val="28"/>
          <w:szCs w:val="28"/>
          <w:rtl w:val="true"/>
          <w:lang w:bidi="fa-IR"/>
        </w:rPr>
        <w:t>بحمل أحادیث التوقّف و الاحتیاط</w:t>
      </w:r>
      <w:r>
        <w:rPr>
          <w:rStyle w:val="FootnoteAnchor"/>
          <w:rtl w:val="true"/>
        </w:rPr>
        <w:footnoteReference w:id="1170"/>
      </w:r>
      <w:r>
        <w:rPr>
          <w:rFonts w:ascii="IRNazanin" w:hAnsi="IRNazanin" w:eastAsia="IRNazanin"/>
          <w:color w:val="111111"/>
          <w:sz w:val="28"/>
          <w:sz w:val="28"/>
          <w:szCs w:val="28"/>
          <w:rtl w:val="true"/>
          <w:lang w:bidi="fa-IR"/>
        </w:rPr>
        <w:t>علی ما کان من حقوق الناس کالدین و المیراث و الزکاة و الخمس و الکفّارة و نحوها، و حمل أحادیث التخییر علی العبادات المحضة کالصلاة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فی غایة الجودة، بل یتعیّن المصیر إلیه؛ لأنّ حدیث عمر بن حنظلة الذی تضمّن الأمر بالتوقّف و الاحتیاط موضوعه الدین و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الطبرسی فی کتاب الاحتجاج عن الحارث بن المغیرة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أصحابک الحدیث و کلّهم ثقة، فموسّع علیک حتّی تری</w:t>
      </w:r>
      <w:r>
        <w:rPr>
          <w:rStyle w:val="FootnoteAnchor"/>
          <w:rtl w:val="true"/>
        </w:rPr>
        <w:footnoteReference w:id="1171"/>
      </w:r>
      <w:r>
        <w:rPr>
          <w:rFonts w:ascii="IRNazanin" w:hAnsi="IRNazanin" w:eastAsia="IRNazanin"/>
          <w:color w:val="111111"/>
          <w:sz w:val="28"/>
          <w:sz w:val="28"/>
          <w:szCs w:val="28"/>
          <w:rtl w:val="true"/>
          <w:lang w:bidi="fa-IR"/>
        </w:rPr>
        <w:t>القائم، فتردّ إلیه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 واحد یأمرنا بالأخذ به، و الآخر ینهانا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 حتّی یأتی</w:t>
      </w:r>
      <w:r>
        <w:rPr>
          <w:rStyle w:val="FootnoteAnchor"/>
          <w:rtl w:val="true"/>
        </w:rPr>
        <w:footnoteReference w:id="1172"/>
      </w:r>
      <w:r>
        <w:rPr>
          <w:rFonts w:ascii="IRNazanin" w:hAnsi="IRNazanin" w:eastAsia="IRNazanin"/>
          <w:color w:val="111111"/>
          <w:sz w:val="28"/>
          <w:sz w:val="28"/>
          <w:szCs w:val="28"/>
          <w:rtl w:val="true"/>
          <w:lang w:bidi="fa-IR"/>
        </w:rPr>
        <w:t>صاحبک فتسأله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الحسن بن 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تجیئنی</w:t>
      </w:r>
      <w:r>
        <w:rPr>
          <w:rStyle w:val="FootnoteAnchor"/>
          <w:rtl w:val="true"/>
        </w:rPr>
        <w:footnoteReference w:id="1173"/>
      </w:r>
      <w:r>
        <w:rPr>
          <w:rFonts w:ascii="IRNazanin" w:hAnsi="IRNazanin" w:eastAsia="IRNazanin"/>
          <w:color w:val="111111"/>
          <w:sz w:val="28"/>
          <w:sz w:val="28"/>
          <w:szCs w:val="28"/>
          <w:rtl w:val="true"/>
          <w:lang w:bidi="fa-IR"/>
        </w:rPr>
        <w:t>الأحادیث عنکم مختلفة،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جاءکم عنّا اعرضوه علی کتاب اللّه عزّ و جلّ و أحادیثنا، فإن کان ذلک یشبههما فهو منّا، و إن لم یکن یشبههما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ثقة بحدیثین مختلفین، فلم نعلم 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تعلم فموسّع علیک بأیّهما أخذت</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و فی جواب مکاتبة عبد اللّه بن جعفر الحمیری إلی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بعض الفقهاء عن المصلّی إذا قام من التشهّد الأوّل إلی الرکعة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أن یکبّر، فإنّ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التکبیر، و یجزیه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قوّته أقوم و أقعد؟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انتقل من حالة إلی اخری فعلیه التکبیر، و أمّا الحدیث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إذا رفع رأسه من السجدة الثانیة و کبّر ثمّ جلس ثمّ قام فلیس علیه فی القیام بعد القعود تکبیر، و کذلک التشهّد الأوّل یجری هذا المجری، و بأیّهما أخذت من باب التسلیم کان صوابا</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و روی الشیخ بسنده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إلی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أصحابنا فی رکعتی الفجر فی السفر، فروی بعضهم أن صلّهما فی المحمل، و روی بعضهم أن لا تصلّهما إلّا علی الأرض،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w:t>
      </w:r>
      <w:r>
        <w:rPr>
          <w:rStyle w:val="FootnoteAnchor"/>
          <w:rtl w:val="true"/>
        </w:rPr>
        <w:footnoteReference w:id="117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الحدیثان مع حدیث عمر بن حنظلة قرینتان علی التفصیل، لکن عدم وجود شی‌ء من المرجّحات فی الحدیثین المختلفین أمر ذکره بعض الرواة علی وجه الفرض و التقدیر، و لا وقوع له، کما ذکره الطبرسی فی کتاب الاحتجاج، و الاعتبار</w:t>
      </w:r>
    </w:p>
    <w:p>
      <w:pPr>
        <w:pStyle w:val="BookText"/>
        <w:rPr/>
      </w:pPr>
      <w:r>
        <w:rPr>
          <w:rFonts w:ascii="IRNazanin" w:hAnsi="IRNazanin" w:eastAsia="IRNazanin"/>
          <w:color w:val="111111"/>
          <w:sz w:val="28"/>
          <w:sz w:val="28"/>
          <w:szCs w:val="28"/>
          <w:rtl w:val="true"/>
          <w:lang w:bidi="fa-IR"/>
        </w:rPr>
        <w:t>و التتبّع و حکمة أهل العصمة تحکم بما ذکره</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و یتعیّن هنا أن نذکر هنا</w:t>
      </w:r>
      <w:r>
        <w:rPr>
          <w:rStyle w:val="FootnoteAnchor"/>
          <w:rtl w:val="true"/>
        </w:rPr>
        <w:footnoteReference w:id="1178"/>
      </w:r>
      <w:r>
        <w:rPr>
          <w:rFonts w:ascii="IRNazanin" w:hAnsi="IRNazanin" w:eastAsia="IRNazanin"/>
          <w:color w:val="111111"/>
          <w:sz w:val="28"/>
          <w:sz w:val="28"/>
          <w:szCs w:val="28"/>
          <w:rtl w:val="true"/>
          <w:lang w:bidi="fa-IR"/>
        </w:rPr>
        <w:t>بعض الأحادیث الدالّة علی المرجّحات المذکورة علی وجه التبرّک، و نقتصر منها علی اثنی عشر لیتمّ التبرّک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محمّد بن یعقوب الکلینی فی باب اختلاف الحدیث عن محمّد بن یحیی، عن محمّد بن الحسین، عن محمّد بن عیسی، عن صفوان بن یحیی، عن داود بن الحصین،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إلی السلطان أو إلی القضاة، أ یحلّ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تحاکم إلیهم فی حقّ أو باطل فإنّما تحاکم إلی الطاغوت، و ما یحکم له به فإنّما یأخذ سحتا و إن کان حقّا ثابتا له؛ لأنّه أخذه بحکم الطاغوت و قد امروا أن یکفروا به؛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یَتَحاکَمُوا إِلَی الطَّاغُوتِ وَ قَدْ أُمِرُوا أَنْ یَکْفُرُوا بِهِ</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واحد اختار رجلا من أصحابنا فرضیا أن یکونا الناظرین فی حقّهما، و اختلفا فیما حکما، و 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أصدقهما فی الحدیث و أورعهما، و لا یلتفت إلی ما یحکم به الآخر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صاحبه؟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 عنّا فی ذلک الذی حکما به المجمع علیه من</w:t>
      </w:r>
      <w:r>
        <w:rPr>
          <w:rStyle w:val="FootnoteAnchor"/>
          <w:rtl w:val="true"/>
        </w:rPr>
        <w:footnoteReference w:id="1180"/>
      </w:r>
      <w:r>
        <w:rPr>
          <w:rFonts w:ascii="IRNazanin" w:hAnsi="IRNazanin" w:eastAsia="IRNazanin"/>
          <w:color w:val="111111"/>
          <w:sz w:val="28"/>
          <w:sz w:val="28"/>
          <w:szCs w:val="28"/>
          <w:rtl w:val="true"/>
          <w:lang w:bidi="fa-IR"/>
        </w:rPr>
        <w:t>أصحابک، فیؤخذ به من حکمنا و یترک الشاذّ الذی لیس بمشهور عند أصحابک، 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علمه إلی اللّه و إلی رسوله صلّی اللّه علیه و آله،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ارتکب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کان الفقیهان عرفا حکمه من الکتاب و السنة، و وجدنا أحد الخبرین موافقا للعامّة و الآخر مخالفا لهم، بأیّ الخبرین یؤخذ؟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وافقهما الخبران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هم إلیه أمیل حکّامهم و قضاتهم، فیترک، و 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الخبران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کذلک، فارجه حتّی تلقی إمامک، فإنّ 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118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الشریف وحده کاف فی هذا الباب، کافل بإزالة الشکّ و الارتیاب، صریح فی صحّة طریقة الأخباریّین دون طریقة الاصولیّین؛ لتضمّنه وجوب الرجوع إلی رواة الحدیث فیما رووه من الأحکام عنهم علیهم السّلام، و عدم إشعاره</w:t>
      </w:r>
    </w:p>
    <w:p>
      <w:pPr>
        <w:pStyle w:val="BookText"/>
        <w:rPr/>
      </w:pPr>
      <w:r>
        <w:rPr>
          <w:rFonts w:ascii="IRNazanin" w:hAnsi="IRNazanin" w:eastAsia="IRNazanin"/>
          <w:color w:val="111111"/>
          <w:sz w:val="28"/>
          <w:sz w:val="28"/>
          <w:szCs w:val="28"/>
          <w:rtl w:val="true"/>
          <w:lang w:bidi="fa-IR"/>
        </w:rPr>
        <w:t>باشتراط الملکة التی اعتبروها فی المجتهد</w:t>
      </w:r>
      <w:r>
        <w:rPr>
          <w:rStyle w:val="FootnoteAnchor"/>
          <w:rtl w:val="true"/>
        </w:rPr>
        <w:footnoteReference w:id="1182"/>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رواته کلّهم فی غایة الثقة و الجلالة، و إن کانوا لم یصرّحوا بتوثیق عمر بن حنظلة، فقد وثّقه الشهید الثانی فی درایة الحدیث عملا بحدیث الوقت</w:t>
      </w:r>
      <w:r>
        <w:rPr>
          <w:rStyle w:val="FootnoteAnchor"/>
          <w:rtl w:val="true"/>
        </w:rPr>
        <w:footnoteReference w:id="1183"/>
      </w:r>
      <w:r>
        <w:rPr>
          <w:rFonts w:ascii="IRNazanin" w:hAnsi="IRNazanin" w:eastAsia="IRNazanin"/>
          <w:color w:val="111111"/>
          <w:sz w:val="28"/>
          <w:sz w:val="28"/>
          <w:szCs w:val="28"/>
          <w:rtl w:val="true"/>
          <w:lang w:bidi="fa-IR"/>
        </w:rPr>
        <w:t>، و قول 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حنظلة أتانا عنک بوقت،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 یکذب علینا</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و قد اعترضه الشیخ حسن بضعف سند حدیث الوقت</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واضح السقوط علی طریقة الأخباریّین؛ لظهور القرائن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الدور؛ لأنّ الاصولیّین قد قبلوا هذا الحدیث حتّی سمّوه مقبولة عمر بن حنظلة و وثّقوا راویه</w:t>
      </w:r>
      <w:r>
        <w:rPr>
          <w:rStyle w:val="FootnoteAnchor"/>
          <w:rtl w:val="true"/>
        </w:rPr>
        <w:footnoteReference w:id="1186"/>
      </w:r>
      <w:r>
        <w:rPr>
          <w:rFonts w:ascii="IRNazanin" w:hAnsi="IRNazanin" w:eastAsia="IRNazanin"/>
          <w:color w:val="111111"/>
          <w:sz w:val="28"/>
          <w:sz w:val="28"/>
          <w:szCs w:val="28"/>
          <w:rtl w:val="true"/>
          <w:lang w:bidi="fa-IR"/>
        </w:rPr>
        <w:t>، علی أنّ الأدلّة فی المقامین کثیرة جدّا، و قد تضمّن الحدیث أکثر المرجّحات المنصوصة، و فیه إشارة إلی تلازم کثیر منها غالبا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هذا الحدیث ما نقله محمّد بن علیّ بن جمهور الأحسائی فی کتاب غوالی اللئالی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مرفوعا إلی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یأتینا عنکم الحدیثان المتعارضان، فبأیّهما نأخذ؟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خذ بما اشتهر بین أصحابک و 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إنّهما مشهوران مرویّان مأثوران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یقول أعدلهما عندک، و أوثقهما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عدلان مرضیّان ثقتان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إلی ما وافق منهما مذهب العامّة فاترکه، و خذ بما خالفهم فإنّ الحقّ</w:t>
      </w:r>
    </w:p>
    <w:p>
      <w:pPr>
        <w:pStyle w:val="BookText"/>
        <w:rPr/>
      </w:pPr>
      <w:r>
        <w:rPr>
          <w:rFonts w:ascii="IRNazanin" w:hAnsi="IRNazanin" w:eastAsia="IRNazanin"/>
          <w:color w:val="111111"/>
          <w:sz w:val="28"/>
          <w:sz w:val="28"/>
          <w:szCs w:val="28"/>
          <w:rtl w:val="true"/>
          <w:lang w:bidi="fa-IR"/>
        </w:rPr>
        <w:t>فیما خالفهم</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کانا معا موافقین لهم أو مخالفین، فکیف أصنع؟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فخذ بما فیه الحائطة لدینک، و اترک ما خالف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له، فکیف أصنع؟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فتخیّر أحدهما فتأخذ به، و تدع الآخر</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و فی روایة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فأرجه حتّی تلقی إمامک، فتسأله</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أیضا فی الباب المذکور عن محمّد بن یحیی، عن أحمد بن محمّد بن عیسی، عن محمّد بن سنان، عن نصر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أنّا لا نقول إلّا حقّا فلیکتف بما یعلم منّا، فإن سمع منّا خلاف ما یعلم فلیعلم أنّ ذلک دفاع منّا عنه</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باب الأخذ بالسنّة و شواهد الکتاب عن 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r>
        <w:rPr>
          <w:rStyle w:val="FootnoteAnchor"/>
          <w:rtl w:val="true"/>
        </w:rPr>
        <w:footnoteReference w:id="119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قطب الدین سعید بن هبة اللّه الراوندی فی رسالة له، عن محمّد و علیّ ابنی علیّ بن عبد الصمد، عن أبیهما، عن أبی البرکات علیّ بن الحسین، عن أبی جعفر بن بابویه، عن أبیه، عن سعد بن عبد اللّه، عن یعقوب بن یزید، عن ابن أبی عمیر، عن</w:t>
      </w:r>
    </w:p>
    <w:p>
      <w:pPr>
        <w:pStyle w:val="BookText"/>
        <w:rPr/>
      </w:pPr>
      <w:r>
        <w:rPr>
          <w:rFonts w:ascii="IRNazanin" w:hAnsi="IRNazanin" w:eastAsia="IRNazanin"/>
          <w:color w:val="111111"/>
          <w:sz w:val="28"/>
          <w:sz w:val="28"/>
          <w:szCs w:val="28"/>
          <w:rtl w:val="true"/>
          <w:lang w:bidi="fa-IR"/>
        </w:rPr>
        <w:t>جمیل بن درّاج، عن أبی عبد اللّه علیه السّلام</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عن محمّد بن یحیی، عن عبد اللّه بن محمّد، عن علیّ بن الحکم، عن أبان،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حسین بن أبی العلاء</w:t>
      </w:r>
      <w:r>
        <w:rPr>
          <w:rStyle w:val="FootnoteAnchor"/>
          <w:rtl w:val="true"/>
        </w:rPr>
        <w:footnoteReference w:id="1193"/>
      </w:r>
      <w:r>
        <w:rPr>
          <w:rFonts w:ascii="IRNazanin" w:hAnsi="IRNazanin" w:eastAsia="IRNazanin"/>
          <w:color w:val="111111"/>
          <w:sz w:val="28"/>
          <w:sz w:val="28"/>
          <w:szCs w:val="28"/>
          <w:rtl w:val="true"/>
          <w:lang w:bidi="fa-IR"/>
        </w:rPr>
        <w:t>أنّه حضر ابن أبی یعفور فی هذا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الحدیث یرویه من نثق به و منهم من لا نثق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 فوجدتم له شاهدا</w:t>
      </w:r>
      <w:r>
        <w:rPr>
          <w:rStyle w:val="FootnoteAnchor"/>
          <w:rtl w:val="true"/>
        </w:rPr>
        <w:footnoteReference w:id="1194"/>
      </w:r>
      <w:r>
        <w:rPr>
          <w:rFonts w:ascii="IRNazanin" w:hAnsi="IRNazanin" w:eastAsia="IRNazanin"/>
          <w:color w:val="111111"/>
          <w:sz w:val="28"/>
          <w:sz w:val="28"/>
          <w:szCs w:val="28"/>
          <w:rtl w:val="true"/>
          <w:lang w:bidi="fa-IR"/>
        </w:rPr>
        <w:t xml:space="preserve">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قول رسول اللّه صلّی اللّه علیه و آله</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فالذی جاءکم به أولی به</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عن عدّة من أصحابنا، عن أحمد بن محمّد بن خالد، عن أبیه، عن النضر بن سوید، عن یحیی الحلبی، 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إلی الکتاب و السنّة، و کلّ حدیث لم یوافق کتاب اللّه فهو زخرف</w:t>
      </w:r>
      <w:r>
        <w:rPr>
          <w:rFonts w:eastAsia="IRNazanin" w:cs="IRNazanin"/>
          <w:color w:val="111111"/>
          <w:sz w:val="28"/>
          <w:szCs w:val="28"/>
          <w:rtl w:val="true"/>
          <w:lang w:bidi="fa-IR"/>
        </w:rPr>
        <w:t>».</w:t>
      </w:r>
      <w:r>
        <w:rPr>
          <w:rStyle w:val="FootnoteAnchor"/>
          <w:rtl w:val="true"/>
        </w:rPr>
        <w:footnoteReference w:id="119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عن محمّد بن یحیی، عن أحمد بن محمّد، عن ابن فضّال، عن علیّ بن عقبة، عن أیّوب بن راشد،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یوافق من الحدیث</w:t>
      </w:r>
    </w:p>
    <w:p>
      <w:pPr>
        <w:pStyle w:val="BookText"/>
        <w:rPr/>
      </w:pPr>
      <w:r>
        <w:rPr>
          <w:rFonts w:ascii="IRNazanin" w:hAnsi="IRNazanin" w:eastAsia="IRNazanin"/>
          <w:color w:val="111111"/>
          <w:sz w:val="28"/>
          <w:sz w:val="28"/>
          <w:szCs w:val="28"/>
          <w:rtl w:val="true"/>
          <w:lang w:bidi="fa-IR"/>
        </w:rPr>
        <w:t>القرآن فهو زخرف</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عن محمّد بن إسماعیل، عن الفضل بن شاذان، عن ابن أبی عمیر، عن هشام بن الحکم و غیره،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النبیّ صلّی اللّه علیه و آله بمنی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ما جاءکم عنّی یوافق کتاب اللّه فأنا قلته، و ما جاءکم یخالف کتاب اللّه فلم أقله</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بابویه فی عیون الأخبار عن أبیه و محمّد بن الحسن، عن سعد بن عبد اللّه، عن محمّد بن عبد اللّه المسمعی، عن أحمد بن الحسن المیثمی، عن الرضا علیه السّلام أنّه سأل عن الحدیثین المختلفین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اعرضوهما علی کتاب اللّه، فاتّبعوا ما وافق الکتاب، و ما لم یکن فی الکتاب فاتّبعوا ما وافق سنّة رسول اللّه صلّی اللّه علیه و آله، فاتّبعوا ما وافق أمره و نهیه، و ما کان فی السنّة نهی إعافة أو کراهة ثمّ کان الخبر الآخر خلافه فذلک رخصة، فما عافه رسول اللّه و کرهه و لم یحرمه، و ذلک الذی یسع الأخذ بهما جمیعا، و بأیّهما أخذت من باب التسلیم وسعک، و ما لم تجدوه فی شی‌ء من هذه الوجوه فردّوه إلینا، فنحن أولی بذلک، و لا تقولوا فیه بآرائکم، و علیکم بالکفّ و التثبّت و الوقوف و أنتم طالبون باحثون حتّی یأتیکم البیان من عندنا</w:t>
      </w:r>
      <w:r>
        <w:rPr>
          <w:rFonts w:eastAsia="IRNazanin" w:cs="IRNazanin"/>
          <w:color w:val="111111"/>
          <w:sz w:val="28"/>
          <w:szCs w:val="28"/>
          <w:rtl w:val="true"/>
          <w:lang w:bidi="fa-IR"/>
        </w:rPr>
        <w:t>».</w:t>
      </w:r>
      <w:r>
        <w:rPr>
          <w:rStyle w:val="FootnoteAnchor"/>
          <w:rtl w:val="true"/>
        </w:rPr>
        <w:footnoteReference w:id="120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اختلاف الحدیث عن علیّ، عن أبیه، عن عثمان بن عیسی و الحسن بن محبوب جمیعا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بالأخذ به، و الآخر ینهاه عنه، کیف یصنع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w:t>
      </w:r>
    </w:p>
    <w:p>
      <w:pPr>
        <w:pStyle w:val="BookText"/>
        <w:rPr/>
      </w:pPr>
      <w:r>
        <w:rPr>
          <w:rFonts w:ascii="IRNazanin" w:hAnsi="IRNazanin" w:eastAsia="IRNazanin"/>
          <w:color w:val="111111"/>
          <w:sz w:val="28"/>
          <w:sz w:val="28"/>
          <w:szCs w:val="28"/>
          <w:rtl w:val="true"/>
          <w:lang w:bidi="fa-IR"/>
        </w:rPr>
        <w:t>سعة حتّی یلقاه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عن علیّ بن إبراهیم، عن أبیه، عن عثمان بن عیسی، عن الحسین بن المختار، عن بعض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رأیتک لو حدّثتک بحدیث العام، ثمّ جئتنی من قابل فحدّثتک بخلافه، بأیّهما کنت تأخذ؟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آخذ بالأخیر،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فیه عن علیّ بن إبراهیم، عن أبیه، عن إسماعیل بن مرّار، عن یونس، عن داود بن فرقد،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حدیث عن أوّلکم و حدیث عن آخرکم بأیّهما نأخذ؟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به حتّی یبلغکم عن الحیّ، فإن بلغکم عن الحیّ فخذوا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ندخلکم إلّا فیما یسعکم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بالأحدث</w:t>
      </w:r>
      <w:r>
        <w:rPr>
          <w:rFonts w:eastAsia="IRNazanin" w:cs="IRNazanin"/>
          <w:color w:val="111111"/>
          <w:sz w:val="28"/>
          <w:szCs w:val="28"/>
          <w:rtl w:val="true"/>
          <w:lang w:bidi="fa-IR"/>
        </w:rPr>
        <w:t>».</w:t>
      </w:r>
      <w:r>
        <w:rPr>
          <w:rStyle w:val="FootnoteAnchor"/>
          <w:rtl w:val="true"/>
        </w:rPr>
        <w:footnoteReference w:id="120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رئیس الطائفة فی الاستبصار فی باب الخلع بإسناده عن الحسن بن محمّد بن سماعة، عن الحسن بن أیّوب</w:t>
      </w:r>
      <w:r>
        <w:rPr>
          <w:rStyle w:val="FootnoteAnchor"/>
          <w:rtl w:val="true"/>
        </w:rPr>
        <w:footnoteReference w:id="1204"/>
      </w:r>
      <w:r>
        <w:rPr>
          <w:rFonts w:ascii="IRNazanin" w:hAnsi="IRNazanin" w:eastAsia="IRNazanin"/>
          <w:color w:val="111111"/>
          <w:sz w:val="28"/>
          <w:sz w:val="28"/>
          <w:szCs w:val="28"/>
          <w:rtl w:val="true"/>
          <w:lang w:bidi="fa-IR"/>
        </w:rPr>
        <w:t>، عن ابن بکیر، عن عبید بن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منّی یشبه قول الناس فیه التقیّة، و ما سمعت منّی لا یشبه قول الناس فلا تقیّة فیه</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و فی معناه ما رواه الشیخ قطب الدین سعید بن هبة اللّه الراوندی فی رسالة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الشیخان محمّد و علیّ ابنا علیّ بن عبد الصمد، عن أبیهما، عن أبی البرکات علیّ بن الحسین، عن أبی جعفر بن بابویه، عن أبیه، عن سعد بن عبد اللّه، عن أیّوب بن نوح، عن محمّد بن أبی عمیر،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 ما الف کتاب اللّه فذروه، فإن لم تجدوهما فی کتاب اللّه فاعرضوهما علی أخبار العامّة، فما وافق أخبارهم فذروه، و ما خالف أخبارهم فخذوه</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و بالإسناد عن ابن بابویه، عن محمّد بن الحسن، عن الصفّار، عن أحمد بن محمّد بن عیسی، عن رجل، عن یونس بن عبد الرحمن، عن الحسن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فخذوا بما خالف القوم</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و عنه، عن محمّد بن موسی بن المتوکّل، عن علیّ بن الحسین السعدآبادی، عن أحمد بن أبی عبد اللّه البرقی، عن ابن فضّال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یسعنا فیما یرد علینا منکم إلّا التسلیم لکم؟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یسعکم إلّا التسلیم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فیروی عن أبی عبد اللّه علیه السّلام حدیث و یروی عنه خلافه، فبأیّهما نأخذ؟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القوم، و ما وافق القوم فاجتنبه</w:t>
      </w:r>
      <w:r>
        <w:rPr>
          <w:rFonts w:eastAsia="IRNazanin" w:cs="IRNazanin"/>
          <w:color w:val="111111"/>
          <w:sz w:val="28"/>
          <w:szCs w:val="28"/>
          <w:rtl w:val="true"/>
          <w:lang w:bidi="fa-IR"/>
        </w:rPr>
        <w:t>».</w:t>
      </w:r>
      <w:r>
        <w:rPr>
          <w:rStyle w:val="FootnoteAnchor"/>
          <w:rtl w:val="true"/>
        </w:rPr>
        <w:footnoteReference w:id="120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عن أبیه، عن سعد بن عبد اللّه، عن أحمد بن محمّد بن عیسی، عن ابن أبی عمیر، عن أبی حمزة،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و اللّه</w:t>
      </w:r>
    </w:p>
    <w:p>
      <w:pPr>
        <w:pStyle w:val="BookText"/>
        <w:rPr/>
      </w:pPr>
      <w:r>
        <w:rPr>
          <w:rFonts w:ascii="IRNazanin" w:hAnsi="IRNazanin" w:eastAsia="IRNazanin"/>
          <w:color w:val="111111"/>
          <w:sz w:val="28"/>
          <w:sz w:val="28"/>
          <w:szCs w:val="28"/>
          <w:rtl w:val="true"/>
          <w:lang w:bidi="fa-IR"/>
        </w:rPr>
        <w:t>علی شی‌ء ممّا هم علیه، و لا هم علی شی‌ء ممّا أنتم علیه فخالفوهم، فما هم من الحنیفیة علی شی‌ء</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و عنه، عن محمّد بن الحسن، عن الصفّار عن، أحمد بن محمّد بن عیسی، عن ابن أبی عمیر، عن داود بن الحصین، عمّن ذکره،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جعل اللّه لأحد خیرة فی اتّباع غیرنا، و إنّ من وافقنا خالف عدوّنا، و من وافق عدوّنا فی قول أو عمل فلیس منّا و لا نحن منهم</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و عنه، عن محمّد بن موسی بن المتوکّل، عن السعدآبادی، عن البرقی، عن أبیه،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بالخبرین المختلفین؟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ما یخالف منهما العامّة فخذوه، و انظروا ما یوافق أخبارهم فدعوه</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و فی عیون الأخبار عن محمّد بن علیّ ما جیلویه، عن أحمد بن محمّد بن خالد، عن أحمد بن محمّد السیّاری، 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یحدث الأمر لا أجد بدّا من معرفته و لیس فی البلد الذی أنا فیه أحد أستفتیه من موالیک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 فقیه البلد و استفتیه فی أمرک، فإذا أفتاک بشی‌ء، فخذ بخلافه، فإنّ الحقّ فی خلافه</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و رواه الشیخ فی کتاب القضاء من التهذیب</w:t>
      </w:r>
      <w:r>
        <w:rPr>
          <w:rFonts w:eastAsia="IRNazanin" w:cs="IRNazanin"/>
          <w:color w:val="111111"/>
          <w:sz w:val="28"/>
          <w:szCs w:val="28"/>
          <w:rtl w:val="true"/>
          <w:lang w:bidi="fa-IR"/>
        </w:rPr>
        <w:t>.</w:t>
      </w:r>
      <w:r>
        <w:rPr>
          <w:rStyle w:val="FootnoteAnchor"/>
          <w:rtl w:val="true"/>
        </w:rPr>
        <w:footnoteReference w:id="121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فی هذا الباب کثیرة جدّا و لکن لا تخرج</w:t>
      </w:r>
      <w:r>
        <w:rPr>
          <w:rStyle w:val="FootnoteAnchor"/>
          <w:rtl w:val="true"/>
        </w:rPr>
        <w:footnoteReference w:id="1214"/>
      </w:r>
      <w:r>
        <w:rPr>
          <w:rFonts w:ascii="IRNazanin" w:hAnsi="IRNazanin" w:eastAsia="IRNazanin"/>
          <w:color w:val="111111"/>
          <w:sz w:val="28"/>
          <w:sz w:val="28"/>
          <w:szCs w:val="28"/>
          <w:rtl w:val="true"/>
          <w:lang w:bidi="fa-IR"/>
        </w:rPr>
        <w:t>عن المرجّحات المذکورة؛ و اللّه الموفّق</w:t>
      </w:r>
      <w:r>
        <w:rPr>
          <w:rFonts w:eastAsia="IRNazanin" w:cs="IRNazanin"/>
          <w:color w:val="111111"/>
          <w:sz w:val="28"/>
          <w:szCs w:val="28"/>
          <w:rtl w:val="true"/>
          <w:lang w:bidi="fa-IR"/>
        </w:rPr>
        <w:t>.</w:t>
      </w:r>
      <w:bookmarkStart w:id="400" w:name="pg19819_193714"/>
    </w:p>
    <w:p>
      <w:pPr>
        <w:pStyle w:val="Heading4"/>
        <w:numPr>
          <w:ilvl w:val="3"/>
          <w:numId w:val="1"/>
        </w:numPr>
        <w:rPr/>
      </w:pPr>
      <w:bookmarkStart w:id="401" w:name="__RefHeading___Toc3055701_2314609296"/>
      <w:bookmarkStart w:id="402" w:name="_Toc154"/>
      <w:bookmarkEnd w:id="400"/>
      <w:bookmarkEnd w:id="401"/>
      <w:r>
        <w:rPr>
          <w:rtl w:val="true"/>
        </w:rPr>
        <w:t>الفصل التاسع فیما یعرف به دخول المعصوم فی الإجماع</w:t>
      </w:r>
      <w:bookmarkEnd w:id="402"/>
    </w:p>
    <w:p>
      <w:pPr>
        <w:pStyle w:val="BookText"/>
        <w:rPr/>
      </w:pPr>
      <w:r>
        <w:rPr>
          <w:rFonts w:ascii="IRNazanin" w:hAnsi="IRNazanin" w:eastAsia="IRNazanin"/>
          <w:color w:val="111111"/>
          <w:sz w:val="28"/>
          <w:sz w:val="28"/>
          <w:szCs w:val="28"/>
          <w:rtl w:val="true"/>
          <w:lang w:bidi="fa-IR"/>
        </w:rPr>
        <w:t>قد عرفت أنّ أصحابنا متّفقون علی أنّ الإجماع لیس بحجّة إذا لم یعلم دخول الإمام فیه؛ فاعلم أنّه یمکن العلم بدخوله فی جملة أقوال المجمعین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الإجماع علی حکم من ضروریّات الدین، فإنّ العلم بدخوله فی ذلک الإجماع ضروریّ لا شکّ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الإجماع علی حکم من ضروریّات المذهب، و العلم بدخوله فیه</w:t>
      </w:r>
      <w:r>
        <w:rPr>
          <w:rStyle w:val="FootnoteAnchor"/>
          <w:rtl w:val="true"/>
        </w:rPr>
        <w:footnoteReference w:id="1215"/>
      </w:r>
      <w:r>
        <w:rPr>
          <w:rFonts w:ascii="IRNazanin" w:hAnsi="IRNazanin" w:eastAsia="IRNazanin"/>
          <w:color w:val="111111"/>
          <w:sz w:val="28"/>
          <w:sz w:val="28"/>
          <w:szCs w:val="28"/>
          <w:rtl w:val="true"/>
          <w:lang w:bidi="fa-IR"/>
        </w:rPr>
        <w:t>أیضا ضروریّ لا یشکّ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الإجماع فی زمن ظهوره مع موافقته علیه السّلام مشافهة بحیث لا یحتمل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التواتر بقول المعصوم بوجود حدیث متواتر عن أحدهم علیهم السّلام تواترا لفظیا أو معنویا، و حینئذ لا یمکن وجود معارض له یساویه فضلا عن أن یرجّح علیه ببعض المرجّحات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خبر محفوف بالقرائن الدالّة علی العلم بقوله علیه السّلام و أنّه موافق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الإجماع من الأخباریّین؛ للعلم بأنّهم لا یعتمدون علی قول غیر المعصوم أصلا، و التتبّع و التصریحات منهم و من الاصولیّین دالّة علی ذلک، و هو معلوم قطعا من طریقتهم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صرّحوا ببطلان الاجتهاد و القیاس و الاستنباطات الظنّیّة، و ممّن صرّح بذلک الشیخ فی کتاب العدّة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الاجتهاد و القیاس فعندنا باطلان لا یجوز العمل</w:t>
      </w:r>
    </w:p>
    <w:p>
      <w:pPr>
        <w:pStyle w:val="BookText"/>
        <w:rPr/>
      </w:pP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و کذلک صرّح المرتضی و غیرهما</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و أمّا ما ذکره بعض الاصولیّین من أنّه متی حصل الإجماع، حصل العلم بدخول قول الإمام، فهو کلام لا دلیل علیه، و لا سند له عقلا و لا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سابقا طرفا من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الاطّلاع علی قول الإمام مع غیبة شخصه و خفاء عینه و انقطاع أخباره و أقواله و مکانه فی مدّة تقرب من سبعمائة سنة أو أقلّ أو أکثر، بحیث لم یعلم أنّه فی أیّ قطر من أقطار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مشارقها و مغاربها، برّها و بحرها، سهلها و جبلها، و أنّه ممازج للناس و مخالط و مقابل لهم، أو منزو عنهم ساکن فی أقاصی الأرض و أباعدها، أو هو فی کهف جبل منقطع عن الخلق، أو هو فی بعض الجزائر بحیث لا یصل إلیه أحد من الناس، إلی غیر ذلک ممّا لا سبیل إلیه و لا دلیل علیه، و هل دعوی ذلک إلّا مجازفة ظاهرة و تعسّف بیّن؟</w:t>
      </w:r>
    </w:p>
    <w:p>
      <w:pPr>
        <w:pStyle w:val="BookText"/>
        <w:rPr/>
      </w:pPr>
      <w:r>
        <w:rPr>
          <w:rFonts w:ascii="IRNazanin" w:hAnsi="IRNazanin" w:eastAsia="IRNazanin"/>
          <w:color w:val="111111"/>
          <w:sz w:val="28"/>
          <w:sz w:val="28"/>
          <w:szCs w:val="28"/>
          <w:rtl w:val="true"/>
          <w:lang w:bidi="fa-IR"/>
        </w:rPr>
        <w:t>و من هنا یعلم أنّ اتّفاق الفقهاء و العلماء فی عصر من الأعصار علی حکم من الأحکام لا یکفی فی العلم بدخول الإمام؛ إذ الذی یحصل العلم به اتّفاق الفقهاء و العلماء من أرباب الفتاوی و التصنیف الذی أخبارهم متواترة و آثارهم متواصلة، و هم ساکنون فی البلاد، معروفون بالأشخاص و الأعیان، محصورون، معدودون، و لا سبیل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ذلک لا یکفی فی صحّة الادّعاء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و قریب منه کلام شهید الثانی فی بعض رسائله</w:t>
      </w:r>
      <w:r>
        <w:rPr>
          <w:rFonts w:eastAsia="IRNazanin" w:cs="IRNazanin"/>
          <w:color w:val="111111"/>
          <w:sz w:val="28"/>
          <w:szCs w:val="28"/>
          <w:rtl w:val="true"/>
          <w:lang w:bidi="fa-IR"/>
        </w:rPr>
        <w:t>.</w:t>
      </w:r>
      <w:r>
        <w:rPr>
          <w:rStyle w:val="FootnoteAnchor"/>
          <w:rtl w:val="true"/>
        </w:rPr>
        <w:footnoteReference w:id="121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تأمّل کلامهم وجده مضطربا هنا، فإنّهم 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وجود من</w:t>
      </w:r>
    </w:p>
    <w:p>
      <w:pPr>
        <w:pStyle w:val="BookText"/>
        <w:rPr/>
      </w:pPr>
      <w:r>
        <w:rPr>
          <w:rFonts w:ascii="IRNazanin" w:hAnsi="IRNazanin" w:eastAsia="IRNazanin"/>
          <w:color w:val="111111"/>
          <w:sz w:val="28"/>
          <w:sz w:val="28"/>
          <w:szCs w:val="28"/>
          <w:rtl w:val="true"/>
          <w:lang w:bidi="fa-IR"/>
        </w:rPr>
        <w:t>لا یعرف نسبه، حتّی یکون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ذلک لا یکاد یکون محالا، مع أنّه لا یلزم منه کونه الإمام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العلم بدخول قول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اختلف الامّة فی مسألة فلا بدّ للإمام أن یظهر قوله فیهم، إمّا بظهوره لهم و إعلامهم بالحقّ، أو بإعلام من یوثق بقوله ممّن له معجز یدلّ علی صدقه حتّی یزول عنهم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أوضح فسادا و أظهر بطلانا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ظهور الإمام؛ لأنّا کنّا نحن السبب فی استتاره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یجب دخوله فیهم لما أمکن الاحتجاج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کما تری لا یمکن التعویل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بنقل کلام رئیس الطائفة الشیخ الطوسی فی کتاب العدّة لیتبیّن</w:t>
      </w:r>
      <w:r>
        <w:rPr>
          <w:rStyle w:val="FootnoteAnchor"/>
          <w:rtl w:val="true"/>
        </w:rPr>
        <w:footnoteReference w:id="1220"/>
      </w:r>
      <w:r>
        <w:rPr>
          <w:rFonts w:ascii="IRNazanin" w:hAnsi="IRNazanin" w:eastAsia="IRNazanin"/>
          <w:color w:val="111111"/>
          <w:sz w:val="28"/>
          <w:sz w:val="28"/>
          <w:szCs w:val="28"/>
          <w:rtl w:val="true"/>
          <w:lang w:bidi="fa-IR"/>
        </w:rPr>
        <w:t>بعض ما ذکرناه من الاختلاف و الاضطراب، قال قدّس سرّه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العلم بالإجماع، و من یعتبر قوله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المعتبر فی کونه حجّة قول الإمام المعصوم، فالطریق إلی معرفة قوله شیئان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منه و المشاهدة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عنه و ما یوجب</w:t>
      </w:r>
      <w:r>
        <w:rPr>
          <w:rStyle w:val="FootnoteAnchor"/>
          <w:rtl w:val="true"/>
        </w:rPr>
        <w:footnoteReference w:id="1221"/>
      </w:r>
      <w:r>
        <w:rPr>
          <w:rFonts w:ascii="IRNazanin" w:hAnsi="IRNazanin" w:eastAsia="IRNazanin"/>
          <w:color w:val="111111"/>
          <w:sz w:val="28"/>
          <w:sz w:val="28"/>
          <w:szCs w:val="28"/>
          <w:rtl w:val="true"/>
          <w:lang w:bidi="fa-IR"/>
        </w:rPr>
        <w:t>العلم، فیعلم بذلک قوله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تعیّن لنا قول الإمام، فإذا لم یتعیّن و لم ینقل نقلا یوجب العلم، و یکون قوله فی جملة أقوال الامّة غیر ممیّزة عنها، فإنّه یحتاج إلی أن ینظر فی أحوال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خالف ممّن یعرف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منشأه و عرف أنّه لیس هو الإمام الذی دلّت الدلائل علی عصمته و کونه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إطراح قوله و أن لا یعتدّ به، و تعتبر أقوال الذین لا یعرف نسبهم؛ لجواز أن یکون کلّ واحد منهم هو الإمام الذی هو الحجّة، و تعتبر أقوالهم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قولکم إذا اختلفت الإمامیّة فی مسألة، کیف تعلمون أنّ قول الإمام داخل فی جملة بعضها دون بعض؟</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اختلفت الإمامیّة فی مسألة، نظرنا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علیها دلالة توجب العلم من کتاب أو سنّة مقطوع بها تدلّ علی صحّة بعض تلک الأقوال المختلفة، قطعنا أنّ قول المعصوم موافق لذلک القول، مطابق له، و إن لم یکن علی أحد الأقوال دلیل یوجب العلم، نظرنا فی حال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عرفناه بعینه و نسبه قائلا بقول و الباقون قائلون بالقول الآخر، لم نعتبر قول من عرفناه؛ لأنّا نعلم أنّه لیس فیهم الإمام المعصوم الذی قوله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فی الفریقین أقوام لا تعرف أعیانهم و لا أنسابهم، و هم مع ذلک مختلفون، کانت المسألة من باب ما نکون فیها مخیّرین بأیّ القولین شئنا أخذنا، و یجری ذلک مجری الخبرین المتعارضین اللذین لا ترجیح لأحدهما علی الآخر علی ما مضی القول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ذلک لأنّه لو کان الحقّ فی أحدهما لوجب أن یکون ممّا یمکن الوصول إلیه، فلمّا لم یکن دلّ علی أنّه من باب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فرضنا أن یکون الحقّ فی واحد من الأقوال، و لم یکن هناک ما یمیّز ذلک القول من غیره، فلا یجوز للإمام المعصوم حینئذ الاستتار، و وجب علیه أن یظهر و یبیّن الحقّ فی تلک المسألة، أو یعلم بعض ثقاته الذین یسکن إلیهم الحقّ من تلک الأقوال حتّی یؤدّی ذلک إلی الامّة، و یقترن بقوله علم معجز یدلّ علی صدقه؛ لأنّه متی لم یکن کذلک لم یحسن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علمنا ببقاء التکلیف و عدم ظهوره أو ظهور، من یجری مجراه دلیل علی أنّ ذلک لم یتّفق</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ثمّ بالغ فی وجوب إظهار الحقّ علی الإمام بکلام طویل إلی أن قال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المرتضی علیّ بن الحسین الموسوی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أن یکون</w:t>
      </w:r>
      <w:bookmarkStart w:id="403" w:name="pg19819_193718"/>
    </w:p>
    <w:p>
      <w:pPr>
        <w:pStyle w:val="BookText"/>
        <w:rPr/>
      </w:pPr>
      <w:bookmarkEnd w:id="403"/>
      <w:r>
        <w:rPr>
          <w:rFonts w:ascii="IRNazanin" w:hAnsi="IRNazanin" w:eastAsia="IRNazanin"/>
          <w:color w:val="111111"/>
          <w:sz w:val="28"/>
          <w:sz w:val="28"/>
          <w:szCs w:val="28"/>
          <w:rtl w:val="true"/>
          <w:lang w:bidi="fa-IR"/>
        </w:rPr>
        <w:t>الحقّ فیما عند الإمام و الأقوال الأخر یکون کلّها باطلة، و لا یجب الظهور؛ لأنّا کنّا نحن السبب فی استتاره، و کلّ ما یفوتنا من الانتفاع به و بتصرّفه و بما معه من الأحکام یکون قد اتینا من قبل نفوسنا، و لو أزلنا سبب الاستتار لظهر و انتفعنا به، و أدّی إلینا الحقّ الذی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عندی غیر صحیح؛ لأنّه یؤدّی إلی أن لا یصحّ الاحتجاج بإجماع الطائفة أصلا؛ لأنّا لا نعلم دخول الإمام فیها إلّا بالاعتبار الذی بیّنّاه، فمتی جوّزنا انفراده و قلنا لا یجب ظهوره، منع ذلک من الاحتجاج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الشیخ قدّس سرّه</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و لا یخفی قوّة کلام المرتضی رضی اللّه عنه و أنّه هو الذی یجب المصیر إلیه هنا، و لا بدّ من تحقیق دخول الإمام بما ذکرناه سابقا، و لو وجب ظهور الإمام عند وجود الاختلاف لظهر و اشتهر و وجد له أثر؛ إذ الاختلاف بین الاصولیّین و أخباریّین واقع فی أکثر المسائل اصولا و فروعا، و الأدلّة متعارضة، و الأقوال متباینة، و فی عدم ظهوره علیه السّلام و إزالة الاختلاف عنهم دلیل واضح علی صحّة کلام السیّد المرتضی رضی اللّه عنه هنا؛ و اللّه الموفّق</w:t>
      </w:r>
      <w:r>
        <w:rPr>
          <w:rFonts w:eastAsia="IRNazanin" w:cs="IRNazanin"/>
          <w:color w:val="111111"/>
          <w:sz w:val="28"/>
          <w:szCs w:val="28"/>
          <w:rtl w:val="true"/>
          <w:lang w:bidi="fa-IR"/>
        </w:rPr>
        <w:t>.</w:t>
      </w:r>
    </w:p>
    <w:p>
      <w:pPr>
        <w:pStyle w:val="Heading4"/>
        <w:numPr>
          <w:ilvl w:val="3"/>
          <w:numId w:val="1"/>
        </w:numPr>
        <w:rPr/>
      </w:pPr>
      <w:bookmarkStart w:id="404" w:name="__RefHeading___Toc3055703_2314609296"/>
      <w:bookmarkStart w:id="405" w:name="_Toc155"/>
      <w:bookmarkEnd w:id="404"/>
      <w:r>
        <w:rPr>
          <w:rtl w:val="true"/>
        </w:rPr>
        <w:t>الفصل العاشر فی بیان الأحادیث المجمع علیها عموما أو خصوصا</w:t>
      </w:r>
      <w:bookmarkEnd w:id="40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الإجماع هنا سهل، و أمره واضح؛ فإنّا نقطع بالتتبّع و تصریح علمائنا أنّ الاصول الأربعمائة قد أجمعوا علی صحّتها</w:t>
      </w:r>
      <w:r>
        <w:rPr>
          <w:rStyle w:val="FootnoteAnchor"/>
          <w:rtl w:val="true"/>
        </w:rPr>
        <w:footnoteReference w:id="1224"/>
      </w:r>
      <w:r>
        <w:rPr>
          <w:rFonts w:ascii="IRNazanin" w:hAnsi="IRNazanin" w:eastAsia="IRNazanin"/>
          <w:color w:val="111111"/>
          <w:sz w:val="28"/>
          <w:sz w:val="28"/>
          <w:szCs w:val="28"/>
          <w:rtl w:val="true"/>
          <w:lang w:bidi="fa-IR"/>
        </w:rPr>
        <w:t>، و کانت فی زمن الکلینی و الشیخ و الصدوق فی غایة الشهرة و الظهور، و صرّح بذلک جمع کثیر من المحقّقین،</w:t>
      </w:r>
    </w:p>
    <w:p>
      <w:pPr>
        <w:pStyle w:val="BookText"/>
        <w:rPr/>
      </w:pPr>
      <w:r>
        <w:rPr>
          <w:rFonts w:ascii="IRNazanin" w:hAnsi="IRNazanin" w:eastAsia="IRNazanin"/>
          <w:color w:val="111111"/>
          <w:sz w:val="28"/>
          <w:sz w:val="28"/>
          <w:szCs w:val="28"/>
          <w:rtl w:val="true"/>
          <w:lang w:bidi="fa-IR"/>
        </w:rPr>
        <w:t>و لم یظهر من أحد منهم طعن فی شی‌ء منها، و أکثرها عرضت علی الأئمّة، و معلوم بالتتبّع أیضا أنّها کتبت فی حضور الأئمّة بأمرهم، و الأخبار الواردة فی هذا المعنی متواترة لا تقبل التشکیک، و لو أردنا جمعها أو ذکر بعضها لأدّی إلی الإطناب، و کون الحدیث موجودا فی کتاب خاصّ 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أخبر و صرّح الأئمّة الثلاثة بصحّة أحادیث کتبهم</w:t>
      </w:r>
      <w:r>
        <w:rPr>
          <w:rStyle w:val="FootnoteAnchor"/>
          <w:rtl w:val="true"/>
        </w:rPr>
        <w:footnoteReference w:id="1225"/>
      </w:r>
      <w:r>
        <w:rPr>
          <w:rFonts w:ascii="IRNazanin" w:hAnsi="IRNazanin" w:eastAsia="IRNazanin"/>
          <w:color w:val="111111"/>
          <w:sz w:val="28"/>
          <w:sz w:val="28"/>
          <w:szCs w:val="28"/>
          <w:rtl w:val="true"/>
          <w:lang w:bidi="fa-IR"/>
        </w:rPr>
        <w:t>، و نقلها من تلک الاصول المجمع علیها، و هذا الإجماع قد علم دخول المعصوم فیه؛ لما ذکرنا أنّهم أمروا بکتابتها، ثمّ عرضت علیهم، و أمروا بالعمل بها و أثنوا علی مصنّفیها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أجمعت العصابة علی تصحیح ما یصحّ عن ثمانیة عشر رجلا من رواة الحدیث، الذی رووا أکثر أحادیثنا الموجودة فی الکتب الأربعة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الإجماع أیضا قد تلقّاه الأصحاب بالقبول، و لم یطعن فیه أحد منهم، و مستنده هو الأحادیث الواردة عن الأئمّة علیهم السّلام بالأمر بالرجوع إلی الرواة المذکورین</w:t>
      </w:r>
      <w:r>
        <w:rPr>
          <w:rStyle w:val="FootnoteAnchor"/>
          <w:rtl w:val="true"/>
        </w:rPr>
        <w:footnoteReference w:id="1226"/>
      </w:r>
      <w:r>
        <w:rPr>
          <w:rFonts w:ascii="IRNazanin" w:hAnsi="IRNazanin" w:eastAsia="IRNazanin"/>
          <w:color w:val="111111"/>
          <w:sz w:val="28"/>
          <w:sz w:val="28"/>
          <w:szCs w:val="28"/>
          <w:rtl w:val="true"/>
          <w:lang w:bidi="fa-IR"/>
        </w:rPr>
        <w:t>، و العمل بروایاتهم فی أحادیث کثیرة جدّا قد مضی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الجماعة المشار إلیهم و نقل الإجماع علی تصحیح ما یصحّ عنهم الشیخ الجلیل أبو عمرو الکشّی فی کتاب الرجال،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تصدیق هؤلاء الأوّلین من أصحاب أبی جعفر و أصحاب أبی عبد اللّه علیهما السّلام و انقادوا لهم بالفقه،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الأوّلین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و معروف بن خرّبوذ، و برید، و أبو بصیر الأسدی، و الفضیل بن یسار، و محمّد بن مسلم الطائفی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أفقه الستّة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مکان أبی بصیر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المرادی، و هو لیث بن البختری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 بن الحسن بن بندار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عبد اللّه المسمعی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حدید و علیّ بن أسباط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أوتاد الأرض و أعلام الدین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برید بن معاویة، و لیث بن البختری المرادی، و 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محمّد بن عبد اللّه المسمعی، عن علیّ بن أسباط، عن محمّد بن سنان،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لأحدّث الرجل بحدیث</w:t>
      </w:r>
      <w:r>
        <w:rPr>
          <w:rStyle w:val="FootnoteAnchor"/>
          <w:rtl w:val="true"/>
        </w:rPr>
        <w:footnoteReference w:id="1227"/>
      </w:r>
      <w:r>
        <w:rPr>
          <w:rFonts w:ascii="IRNazanin" w:hAnsi="IRNazanin" w:eastAsia="IRNazanin"/>
          <w:color w:val="111111"/>
          <w:sz w:val="28"/>
          <w:sz w:val="28"/>
          <w:szCs w:val="28"/>
          <w:rtl w:val="true"/>
          <w:lang w:bidi="fa-IR"/>
        </w:rPr>
        <w:t>و أنهاه عن القیاس، فیخرج من عندی، فیتأوّل حدیثی علی غیر تأویله، إنّی أمرت قوما أن یتکلّموا و نهیت قوما، فکلّ یتأوّل لنفسه، یرید المعصیة للّه و لرسوله صلّی اللّه علیه و آله، فلو سمعوا و أطاعوا لأودعتهم ما أودع أبی أصحابه، إنّ أصحاب أبی کانوا زینا، أحیاء و أمواتا، أعنی زرارة و محمّد بن مسلم، و منهم لیث المرادی و برید العجلی، هؤلاء قوّامون بالقسط، هؤلاء قوّالون بالصدق، هؤلاء السابقون السابقون اولئک المقرّبون</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موضع تسمیة الفقهاء من أصحاب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أجمعت العصابة علی تصحیح ما یصحّ عن هؤلاء، و تصدیقهم لما یقولون، و أقرّوا لهم بالفقه، من دون اولئک الستّة الذین عدّدناهم و سمّیناهم ستّة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و عبد اللّه بن مسکان، و عبد اللّه بن بکیر، و حمّاد بن عیسی، و حمّاد بن عثمان، و أبان بن عیسی،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أبو إسحاق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ثعلبة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أفقه هؤلاء جمیل بن درّاج، و هم أحداث أصحاب أبی عبد اللّه</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ثمّ قال فی موضع تسمیة الفقهاء من أصحاب أبی إبراهیم علیه السّلام و أبی الحسن الرضا علیه السّلام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أجمعت العصابة علی تصحیح ما یصحّ عن هؤلاء و تصدیقهم، و أقرّوا لهم بالفقه و العلم، و هم ستّة نفر آخر دون الستّة الذین ذکرناهم فی أصحاب أبی عبد اللّه علیه السّلام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و صفوان بن یحیی بیّاع</w:t>
      </w:r>
    </w:p>
    <w:p>
      <w:pPr>
        <w:pStyle w:val="BookText"/>
        <w:rPr/>
      </w:pPr>
      <w:r>
        <w:rPr>
          <w:rFonts w:ascii="IRNazanin" w:hAnsi="IRNazanin" w:eastAsia="IRNazanin"/>
          <w:color w:val="111111"/>
          <w:sz w:val="28"/>
          <w:sz w:val="28"/>
          <w:szCs w:val="28"/>
          <w:rtl w:val="true"/>
          <w:lang w:bidi="fa-IR"/>
        </w:rPr>
        <w:t>السابری، و محمّد بن أبی عمیر، و عبد اللّه بن المغیرة، و الحسن بن محبوب، و 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مکان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 و فضالة بن أیّوب، و قال بعضهم مکان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أفقه هؤلاء یونس بن عبد الرحمن و صفوان بن یحیی</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مستند هذا الإجماع هو النصوص عن الأئمّة، فعلم دخول المعصوم فیه، مع أنّه من إجماعات الأخباریّین الذین لا یجمعون بل لا یقولون إلّا بنصّ صحیح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الشیخ فی کتاب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الطائفة علی صحّة مراسیل جماعة من الرواة، کما أجمعت علی صحّة مسانیدهم، کمحمّد بن أبی عمیر، و أحمد بن محمّد بن أبی نصر، و غیرهما</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و الظاهر أنّ مراده جمیع أصحاب الإجماع الذین أجمعوا علی تصحیح روایاتهم کما مرّ، فإنّ ذلک أعمّ من کونها مسندة أو مرسلة، و هذه الصحّة بمعنی الثبوت عن المعصوم بالقرائن التی من جملتها ثقة الراوی و 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الإجماع هنا قد عرفته، و لیس المراد أنّه بالتتبّع علم أنّ المذکورین لا یرسلون إلّا عن ثقة کما قیل</w:t>
      </w:r>
      <w:r>
        <w:rPr>
          <w:rStyle w:val="FootnoteAnchor"/>
          <w:rtl w:val="true"/>
        </w:rPr>
        <w:footnoteReference w:id="1232"/>
      </w:r>
      <w:r>
        <w:rPr>
          <w:rFonts w:ascii="IRNazanin" w:hAnsi="IRNazanin" w:eastAsia="IRNazanin"/>
          <w:color w:val="111111"/>
          <w:sz w:val="28"/>
          <w:sz w:val="28"/>
          <w:szCs w:val="28"/>
          <w:rtl w:val="true"/>
          <w:lang w:bidi="fa-IR"/>
        </w:rPr>
        <w:t>لأنّ ضعف الراوی لا ینافی الصحّة بهذا المعنی لکثرة القرائن غیر ثقة الراوی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أیضا فی کتاب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الطائفة علی العمل بروایات السکونی</w:t>
      </w:r>
    </w:p>
    <w:p>
      <w:pPr>
        <w:pStyle w:val="BookText"/>
        <w:rPr/>
      </w:pPr>
      <w:r>
        <w:rPr>
          <w:rFonts w:ascii="IRNazanin" w:hAnsi="IRNazanin" w:eastAsia="IRNazanin"/>
          <w:color w:val="111111"/>
          <w:sz w:val="28"/>
          <w:sz w:val="28"/>
          <w:szCs w:val="28"/>
          <w:rtl w:val="true"/>
          <w:lang w:bidi="fa-IR"/>
        </w:rPr>
        <w:t>و عمّار و من ماثلهما من الثقات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بعض المتأخّرین توثیق السکونی من هذا الإجماع و من الحکم بالمماثلة للثقات</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کون المماثلة فی فساد المذهب لکنّ الإجماع علی العمل بروایاته أوثق من التوثیق، إذ لم یحصّل مثله إلّا للقلیل من الثقات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الشیخ فی أوّل الاستبصار و غیرها أنّ کلّ حدیث لا معارض له فهو مجمع علیه؛ إذ لم ینقلوا ما یعارضه فقد أجمعوا علی نقله، و کأنّهم أجمعوا علی وجوب العمل به، و عدم إرادة غیر ظاهره من تقیّة أو تأویل أو نحوهما</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و ذکر فی آخر التهذیب و الاستبصار و غیرهما أنّ کلّ حدیث عمل به فیهما أو فی غیرهما أخذه من الاصول المجمع علیها</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و قد صرّح جماعة من العلماء و المحقّقین فی کتب الرجال و الحدیث و غیرها بوقوع الإجماع علی صحّة أحادیث کثیرة و کتب متعدّدة، یعلم ذلک بالتتبّع، و کلّ حدیث ثابت موافق للإجماع معتبر فهو مجمع علیه خصوصا و هذا القسم أکثر من أن یحصی، و أظهر من أن یخفی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أنّ قول السیّد المرتضی بعدم حجّیّة خبر الواحد، و اعتماده فی جمیع المسائل علی الإجماع إنّما هو باعتبار أنّ أحادیث الاصول الأربعمائة و أمثالها ممّا کان</w:t>
      </w:r>
      <w:bookmarkStart w:id="406" w:name="pg19819_193723"/>
    </w:p>
    <w:p>
      <w:pPr>
        <w:pStyle w:val="BookText"/>
        <w:rPr/>
      </w:pPr>
      <w:bookmarkEnd w:id="406"/>
      <w:r>
        <w:rPr>
          <w:rFonts w:ascii="IRNazanin" w:hAnsi="IRNazanin" w:eastAsia="IRNazanin"/>
          <w:color w:val="111111"/>
          <w:sz w:val="28"/>
          <w:sz w:val="28"/>
          <w:szCs w:val="28"/>
          <w:rtl w:val="true"/>
          <w:lang w:bidi="fa-IR"/>
        </w:rPr>
        <w:t>مشهورا فی زمانه غایة الشهرة قد خرجت بإجماع الطائفة علی صحّتها من باب خبر الواحد، و صار الاعتماد فی الحقیقة علی ذلک الإجماع الذی دخل فیه المعصوم بل المعصومون، مع تواتر تلک الکتب فی ذلک الوقت، و لا ریب أنّ الکتب الأربعة المتواترة الآن منقولة من تلک الاصول بالنصوص الواضحة و الأدلّة الکثیرة المذکورة فی مواضعها، مثل کتاب الفوائد المدنیّة</w:t>
      </w:r>
      <w:r>
        <w:rPr>
          <w:rStyle w:val="FootnoteAnchor"/>
          <w:rtl w:val="true"/>
        </w:rPr>
        <w:footnoteReference w:id="1237"/>
      </w:r>
      <w:r>
        <w:rPr>
          <w:rFonts w:ascii="IRNazanin" w:hAnsi="IRNazanin" w:eastAsia="IRNazanin"/>
          <w:color w:val="111111"/>
          <w:sz w:val="28"/>
          <w:sz w:val="28"/>
          <w:szCs w:val="28"/>
          <w:rtl w:val="true"/>
          <w:lang w:bidi="fa-IR"/>
        </w:rPr>
        <w:t>و غیره</w:t>
      </w:r>
      <w:r>
        <w:rPr>
          <w:rStyle w:val="FootnoteAnchor"/>
          <w:rtl w:val="true"/>
        </w:rPr>
        <w:footnoteReference w:id="1238"/>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3055705_2314609296"/>
      <w:bookmarkStart w:id="408" w:name="_Toc156"/>
      <w:bookmarkEnd w:id="407"/>
      <w:r>
        <w:rPr>
          <w:rtl w:val="true"/>
        </w:rPr>
        <w:t>الفصل الحادی عشر فی ذکر ما یمکن دعوی الإجماع فیه و إن لم یصرّحوا به</w:t>
      </w:r>
      <w:bookmarkEnd w:id="408"/>
    </w:p>
    <w:p>
      <w:pPr>
        <w:pStyle w:val="BookText"/>
        <w:rPr/>
      </w:pPr>
      <w:r>
        <w:rPr>
          <w:rFonts w:ascii="IRNazanin" w:hAnsi="IRNazanin" w:eastAsia="IRNazanin"/>
          <w:color w:val="111111"/>
          <w:sz w:val="28"/>
          <w:sz w:val="28"/>
          <w:szCs w:val="28"/>
          <w:rtl w:val="true"/>
          <w:lang w:bidi="fa-IR"/>
        </w:rPr>
        <w:t>و ذلک فی مواضع متعدّدة قد صارت ظاهرة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من ضروریّات الدین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ضروریّات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یعلمان بالتتبّع، و لکنّهما قد یختلفان بالنسبة إلی الأشخاص، فیکون الضروری عند الأکثر نظریّا عند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بالتتبّع اتّفاق الأخباریّین فیه، و عدم مخالفة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بالتتبّع اتّفاق الاصولیّین فیه مع وجود نصّ علیه، و عدم مخالفة أحد من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یصرّحون بنقل الإجماع فی هذا و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فیه حدیث معتمد ثابت النقل لا معارض له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فیه حدیث فی أحد الکتب الأربعة و إن کان له معارض؛ لأنّه مجمع علی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فتوی جماعة من الأخباریّین به، مع ظهور مخالف أو عدمه، فإنّه هناک یعلم وجود نصّ فی الاصول المجمع علیها بذلک المضمون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یطلق علی هذا القسم الشهرة، و قد اشیر إلیها فی حدیث عمر بن حنظلة السابق</w:t>
      </w:r>
      <w:r>
        <w:rPr>
          <w:rFonts w:eastAsia="IRNazanin" w:cs="IRNazanin"/>
          <w:color w:val="111111"/>
          <w:sz w:val="28"/>
          <w:szCs w:val="28"/>
          <w:rtl w:val="true"/>
          <w:lang w:bidi="fa-IR"/>
        </w:rPr>
        <w:t>.</w:t>
      </w:r>
      <w:bookmarkStart w:id="409" w:name="pg19819_193724"/>
    </w:p>
    <w:p>
      <w:pPr>
        <w:pStyle w:val="Heading4"/>
        <w:numPr>
          <w:ilvl w:val="3"/>
          <w:numId w:val="1"/>
        </w:numPr>
        <w:rPr/>
      </w:pPr>
      <w:bookmarkStart w:id="410" w:name="__RefHeading___Toc3055707_2314609296"/>
      <w:bookmarkStart w:id="411" w:name="_Toc157"/>
      <w:bookmarkEnd w:id="409"/>
      <w:bookmarkEnd w:id="410"/>
      <w:r>
        <w:rPr>
          <w:rtl w:val="true"/>
        </w:rPr>
        <w:t>الفصل الثانی عشر فی ذکر القرائن المقترنة بأحد الإجماعین المدّعیین و بالأحادیث المجمع علیها</w:t>
      </w:r>
      <w:bookmarkEnd w:id="411"/>
    </w:p>
    <w:p>
      <w:pPr>
        <w:pStyle w:val="BookText"/>
        <w:rPr/>
      </w:pPr>
      <w:r>
        <w:rPr>
          <w:rFonts w:ascii="IRNazanin" w:hAnsi="IRNazanin" w:eastAsia="IRNazanin"/>
          <w:color w:val="111111"/>
          <w:sz w:val="28"/>
          <w:sz w:val="28"/>
          <w:szCs w:val="28"/>
          <w:rtl w:val="true"/>
          <w:lang w:bidi="fa-IR"/>
        </w:rPr>
        <w:t>و غیرها بحیث یتعیّن المصیر إلیها قد ظهر لک أکثر أقسام القرائن من المرجّحات السابقة، و عرفت بعض ما یدلّ علیها، و أنا أذکر هنا جملة من قرائن الدالّة علی صحّة الکتب المنقول منها الأحادیث المذکورة التی هی سند الإجماع، و ذلک وجوه قد أوردها صاحب الفوائد المدنیّة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من الوجوه الدالّة علی صحّة أحادیث الکتب الأربعة و أمثالها باصطلاح قدمائنا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نقطع قطعا عادیا بأنّ جمعا کثیرا من ثقات أصحاب 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الجماعة الذین أجمعت العصابة علی أنّهم لم ینقلوا إلّا الصحیح باصطلاح قدمائنا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صرفوا أعمارهم فی مدّة تزید علی ثلاثمائة سنة فی أخذ الأحکام عنهم، و تألیف ما یسمعونه منهم، و عرض المؤلّفات علیهم، ثمّ التابعون لهم تبعوهم فی طریقتهم، و استمرّ هذا المعنی إلی زمن الأئمّة الثلاثة 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أنّه کانت عند قدمائنا اصول فی زمن أمیر المؤمنین علیه السّلام إلی زمن الأئمّة الثلاثة کانوا یعتمدون علیها فی عقائدهم و أعمالهم، و نعلم علما عادیا أنّهم کانوا متمکّنین من استعلام حال تلک الاصول و أخذ الأحکام عنهم بطریق القطع و الیقین، و نعلم أنّهم کانوا عالمین بأنّه مع التمکّن من القطع و الیقین فی أحکام اللّه تعالی لا یجوز الاعتماد علی ما لیس کذلک، و أنّهم لم یقصّروا فی ذلک، و استمرّ هذا المعنی إلی زمن الأئمّة الثلاثة، فعلم أنّ تلک الأحادیث کلّها صحیحة باصطلاح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الحکمة الربّانیّة و شفقة سیّد المرسلین و الأئمّة بالشیعة أن لا یضیع من کان فی أصلاب الرجال منهم، و تمهّد لهم اصول معتمدة یعملون بما فیها فی زمن الغیبة الکبری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الأخبار بأنّهم علیه السّلام أمروا شیعتهم بتألیف ما یسمعونه منهم و ضبطه</w:t>
      </w:r>
    </w:p>
    <w:p>
      <w:pPr>
        <w:pStyle w:val="BookText"/>
        <w:rPr/>
      </w:pPr>
      <w:r>
        <w:rPr>
          <w:rFonts w:ascii="IRNazanin" w:hAnsi="IRNazanin" w:eastAsia="IRNazanin"/>
          <w:color w:val="111111"/>
          <w:sz w:val="28"/>
          <w:sz w:val="28"/>
          <w:szCs w:val="28"/>
          <w:rtl w:val="true"/>
          <w:lang w:bidi="fa-IR"/>
        </w:rPr>
        <w:t>و نشره لیعمل به الشیعة فی زمن الغیبة و أخبروا بوقوعه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أحادیثنا موجودة فی اصول الجماعة الذین أجمعت العصابة علی تصحیح ما یصحّ عنهم، أی علی أنّهم لم ینقلوا إلّا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للعلم بوجودها فی تلک الاصول طرق،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نقطع بقرینة المقام أنّ الطریق المذکور للحدیث إنّما هو طریق إلی الأصل المأخوذ منه الحدیث، و تلک القرینة وافرة فی کتابی الشیخ و کتاب من لا یحضره الفقیه، بل فی الکافی عند النظر الدقیق، و قد ذکر الجماعة الکشّی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الإجماع الذی نقله الکشّی فی حقّ هذه الجماعة الروایات الناطقة بأنّهم معتمدون فی کلّ ما یروون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أخبار الأئمّة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أحادیث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 ذلک اشتمال طرق کثیرة منها علی من تغیّر حاله من الاستقامة، إمّا بانتحال المذهب الفاسدة، أو ظهور الکذب منه و طروّ الاختلال علیه بعد أن کان ثقة مستقیما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أحادیث کتبنا مأخوذة من الاصول المجمع علیها، لزم أن یکون أکثر أحادیثنا غیر صالحة للاعتماد علیها، و العادة قاضیة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ما یطرح رئیس الطائفة الأحادیث الصحیحة باصطلاح المتأخّرین و یعمل بنقائضها الضعیفة باصطلاح المتأخّرین، فلو لا ما ذکرناه لما وقع ذلک من مثل رئیس الطائفة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کثیرا ما یعتمد رئیس الطائفة علی طرق ضعیفة مع تمکّنه من طرق اخری صحیحة، فلو لا ما ذکرناه لما وقع من مثله ذلک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صرّح فی کتاب العدّة و فی أوّل الاستبصار بأنّ کلّ حدیث عمل به مأخوذ من الاصول المجمع علی صحّتها، و نحن نقطع عادة بأنّه ما کذب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شیخنا الصدوق قدّس سرّه ذکر مثل ذلک بل أقوی منه فی کتاب من لا یحضره الفقیه، و نحن نقطع عادة بأنّه ما کذب، و کذلک نقول فی حقّ الکافی</w:t>
      </w:r>
      <w:bookmarkStart w:id="412" w:name="pg19819_193726"/>
    </w:p>
    <w:p>
      <w:pPr>
        <w:pStyle w:val="BookText"/>
        <w:rPr/>
      </w:pPr>
      <w:bookmarkEnd w:id="412"/>
      <w:r>
        <w:rPr>
          <w:rFonts w:ascii="Amiri" w:hAnsi="Amiri" w:eastAsia="Amiri" w:cs="Amiri"/>
          <w:color w:val="111111"/>
          <w:sz w:val="28"/>
          <w:sz w:val="28"/>
          <w:szCs w:val="28"/>
          <w:rtl w:val="true"/>
          <w:lang w:bidi="ar-SA"/>
        </w:rPr>
        <w:t>للإمام ثقة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قطعنا قطعا عادیا فی حقّ أکثر رواة أحادیثنا بقرینة ما بلغنا من أحوالهم أنّهم لم یرضوا بالافتراء فی روایة الحدیث، و الذی لم نقطع فی حقّه بذلک کثیرا ما نقطع بأنّه طریق إلی أصل الثقة الذی أخذ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الفائدة فی ذکره مجرّد التبرّک باتّصال السلسلة المخاطبة اللسانیّة، و لدفع تعییر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ذلک أنّ ثقة الإسلام صرّح فی أوّل الکافی بصحّة جمیع أحادیثه، و کثیرا ما یذکر فی أوائل الأسانید من 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احتمال السهو، و هو یندفع تارة بتعاضد بعض الروایات ببعض، و تارة بقرینة تناسب أجزاء الحدیث، و تارة بقرینة السؤال و الجواب، و تارة بقرائن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الکتب الأربعة و أمثالها متواترة النسبة إلی مؤلّفیها، و أنّ هذا التواتر یفید القطع الإجمالی، و أنّ القطع التفصیلی بخصوصیّات الأحادیث یحصل بالقرائن المقامیّة کاتّفاق النسخ کما فی کتاب اللّه، فهو أظهر من أن یرتاب فیه لبیب 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بذلک صاحب المعالم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أثر الإجازة بالنسبة إلی العمل إنّما یظهر حیث لا یکون متعلّقها معلوما بالتواتر و نحوه، ککتب أخبارنا الأربعة، فإنّها متواترة إجمالا، و العلم بصحّة مضامینها تفصیلا یستفاد من قرائن الأحوال، و لا مدخل للإجازة فیه غالبا، و إنّما فائدتها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سلسلة الأسناد بالنبیّ و الأئمّة، و ذلک أمر مطلوب مرغوب إلیه للتیمّن کما لا یخفی</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انتهی کلام صاحب الفوائد المدنیّة فی هذا المقام</w:t>
      </w:r>
      <w:r>
        <w:rPr>
          <w:rFonts w:eastAsia="IRNazanin" w:cs="IRNazanin"/>
          <w:color w:val="111111"/>
          <w:sz w:val="28"/>
          <w:szCs w:val="28"/>
          <w:rtl w:val="true"/>
          <w:lang w:bidi="fa-IR"/>
        </w:rPr>
        <w:t>.</w:t>
      </w:r>
    </w:p>
    <w:p>
      <w:pPr>
        <w:pStyle w:val="Heading4"/>
        <w:numPr>
          <w:ilvl w:val="3"/>
          <w:numId w:val="1"/>
        </w:numPr>
        <w:rPr/>
      </w:pPr>
      <w:bookmarkStart w:id="413" w:name="__RefHeading___Toc3055709_2314609296"/>
      <w:bookmarkStart w:id="414" w:name="_Toc158"/>
      <w:bookmarkEnd w:id="413"/>
      <w:r>
        <w:rPr>
          <w:rtl w:val="true"/>
        </w:rPr>
        <w:t>[</w:t>
      </w:r>
      <w:r>
        <w:rPr>
          <w:rtl w:val="true"/>
        </w:rPr>
        <w:t>القرائن الدالّة علی صحّة أحادیث الکتب الأربعة</w:t>
      </w:r>
      <w:r>
        <w:rPr>
          <w:rtl w:val="true"/>
        </w:rPr>
        <w:t>:]</w:t>
      </w:r>
      <w:bookmarkEnd w:id="41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منه القرائن العامّة الشاملة لأکثر الأحادیث الدالّة علی صحّة أحادیث الکتب الأربعة و نحوها، و لنذکر قرائن أخر، و نقتصر علی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 ثقة، فإنّ ذلک قرینة علی صحّة الحدیث بمعنی ثبوته، و کثیرا ما یحصل بذلک العلم حتّی لا یبقی شکّ أصلا، خصوصا إذا انضمّ إلی ذلک 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وجدانی یساعده الأحادیث الواردة فی الأمر بالعمل بخبر الثقة، و هی أکثر من أن تحصی،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الأمر بالرجوع إلی وکلاء صاحب الزمان علیه السّلام لکونهم ثقات</w:t>
      </w:r>
      <w:r>
        <w:rPr>
          <w:rStyle w:val="FootnoteAnchor"/>
          <w:rtl w:val="true"/>
        </w:rPr>
        <w:footnoteReference w:id="1240"/>
      </w:r>
      <w:r>
        <w:rPr>
          <w:rFonts w:ascii="IRNazanin" w:hAnsi="IRNazanin" w:eastAsia="IRNazanin"/>
          <w:color w:val="111111"/>
          <w:sz w:val="28"/>
          <w:sz w:val="28"/>
          <w:szCs w:val="28"/>
          <w:rtl w:val="true"/>
          <w:lang w:bidi="fa-IR"/>
        </w:rPr>
        <w:t>، و کذا کثیر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الاعتماد علی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المتعارف فی کلام قدمائنا و فی کلام أئمّتنا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الشهید الثانی رحمه اللّه فی بحث العمل بقول</w:t>
      </w:r>
      <w:r>
        <w:rPr>
          <w:rStyle w:val="FootnoteAnchor"/>
          <w:rtl w:val="true"/>
        </w:rPr>
        <w:footnoteReference w:id="1241"/>
      </w:r>
      <w:r>
        <w:rPr>
          <w:rFonts w:ascii="IRNazanin" w:hAnsi="IRNazanin" w:eastAsia="IRNazanin"/>
          <w:color w:val="111111"/>
          <w:sz w:val="28"/>
          <w:sz w:val="28"/>
          <w:szCs w:val="28"/>
          <w:rtl w:val="true"/>
          <w:lang w:bidi="fa-IR"/>
        </w:rPr>
        <w:t>الثقة فی استبراء الجاریة أنّ بین الثقة و بین ظنّی العدالة عموما و خصوصا من وجه</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و قد صرّح الشیخ فی الفهرست بأنّ کثیرا من أصحاب الاصول ینتحلون المذاهب الفاسدة و کانت کتبهم معتمدة</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و قد صرّح فی کتاب العدّة بأنّه یجوز العمل بخبر الثقة فی الروایة و إن کان فاسد المذهب أو فاسقا بجوارحه؛</w:t>
      </w:r>
      <w:r>
        <w:rPr>
          <w:rStyle w:val="FootnoteAnchor"/>
          <w:rtl w:val="true"/>
        </w:rPr>
        <w:footnoteReference w:id="1244"/>
      </w:r>
      <w:r>
        <w:rPr>
          <w:rFonts w:ascii="IRNazanin" w:hAnsi="IRNazanin" w:eastAsia="IRNazanin"/>
          <w:color w:val="111111"/>
          <w:sz w:val="28"/>
          <w:sz w:val="28"/>
          <w:szCs w:val="28"/>
          <w:rtl w:val="true"/>
          <w:lang w:bidi="fa-IR"/>
        </w:rPr>
        <w:t>بل یظهر منه اتّفاق الإمامیّة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الرواة فی جمیع الطبقات ثقات، فهو من الخبر المحفوف بالقرینة قطعا، و قد تواترت الأحادیث بوجوب العمل بخبر الثقة، و تواترت بعدم جواز العمل بالظنّ، و ذلک ینتج أنّ خبر الثقة یفید العلم العادی، و إذا کان کون الراوی ثقة قرینة، فکونه أوثق أیضا قرینة کما تقدّم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الحدیث موجودا فی کتب أحد الثقات؛ لما تقدّم من أنّه یفید العلم،</w:t>
      </w:r>
    </w:p>
    <w:p>
      <w:pPr>
        <w:pStyle w:val="BookText"/>
        <w:rPr/>
      </w:pPr>
      <w:r>
        <w:rPr>
          <w:rFonts w:ascii="IRNazanin" w:hAnsi="IRNazanin" w:eastAsia="IRNazanin"/>
          <w:color w:val="111111"/>
          <w:sz w:val="28"/>
          <w:sz w:val="28"/>
          <w:szCs w:val="28"/>
          <w:rtl w:val="true"/>
          <w:lang w:bidi="fa-IR"/>
        </w:rPr>
        <w:t>و لما روی من الأحادیث الواردة عنهم علیهم السّلام بوجوب الرجوع إلی تلک الکتب التی ألّفها الثقات</w:t>
      </w:r>
      <w:r>
        <w:rPr>
          <w:rStyle w:val="FootnoteAnchor"/>
          <w:rtl w:val="true"/>
        </w:rPr>
        <w:footnoteReference w:id="1245"/>
      </w:r>
      <w:r>
        <w:rPr>
          <w:rFonts w:ascii="IRNazanin" w:hAnsi="IRNazanin" w:eastAsia="IRNazanin"/>
          <w:color w:val="111111"/>
          <w:sz w:val="28"/>
          <w:sz w:val="28"/>
          <w:szCs w:val="28"/>
          <w:rtl w:val="true"/>
          <w:lang w:bidi="fa-IR"/>
        </w:rPr>
        <w:t>، خصوصا و عموما، مع کون أسانیدها کانت مشتملة علی رواة ضعفاء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أردنا نقل بعض الروایات لأدّی إلی 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الحدیث موجودا فی الکتب الأربعة و نحوها؛ لما عرفت سابقا من تواترها، و کونها منقولا من الاصول المجمع علیها، و ما هو معلوم من جلالة مؤلّفیها، زیادة علی ما هو المعتبر مع تصریحهم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منقولا من کتاب بعض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یعلم بالتتبّع، و القرائن، و النصّ من علمائنا علیه، عموما أو خصوصا،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موافقا للقرآن، کما وردت الأحادیث الکثیرة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الآیات الواضحة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موافقا للأحادیث أخر، فإنّ تعاضد الأحادیث و توافقها علی معنی واحد قرینة ظاهرة واضحة علی ثبوتها و اعتمادها، و مثله تعدّد رواة الحدیث</w:t>
      </w:r>
      <w:r>
        <w:rPr>
          <w:rStyle w:val="FootnoteAnchor"/>
          <w:rtl w:val="true"/>
        </w:rPr>
        <w:footnoteReference w:id="1246"/>
      </w:r>
      <w:r>
        <w:rPr>
          <w:rFonts w:ascii="IRNazanin" w:hAnsi="IRNazanin" w:eastAsia="IRNazanin"/>
          <w:color w:val="111111"/>
          <w:sz w:val="28"/>
          <w:sz w:val="28"/>
          <w:szCs w:val="28"/>
          <w:rtl w:val="true"/>
          <w:lang w:bidi="fa-IR"/>
        </w:rPr>
        <w:t>، فإنّه قرینة أیضا قد نصّ علی کونه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الحدیث مکرّرا فی کتب متعدّدة معتمدة</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یستفاد من التتبّع، بل کانوا یطعنون فی الحدیث إذا کان لا یوجد إلّا فی کتاب واحد، و یوجد ذلک فی مواضع کثیرة من کلام المحقّقین من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الحدیث موافقا للضروریّات من الدین أو من المذهب</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موافقا للإجماع المعتبر من الأقسام السابقة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معارض له مع ثبوته بقرینة اخری، فإنّه یدلّ علی إجماعهم علی صحّة نقله، کما صرّح به الشیخ فی کتاب الاستبصار</w:t>
      </w:r>
      <w:r>
        <w:rPr>
          <w:rStyle w:val="FootnoteAnchor"/>
          <w:rtl w:val="true"/>
        </w:rPr>
        <w:footnoteReference w:id="1248"/>
      </w:r>
      <w:r>
        <w:rPr>
          <w:rFonts w:ascii="IRNazanin" w:hAnsi="IRNazanin" w:eastAsia="IRNazanin"/>
          <w:color w:val="111111"/>
          <w:sz w:val="28"/>
          <w:sz w:val="28"/>
          <w:szCs w:val="28"/>
          <w:rtl w:val="true"/>
          <w:lang w:bidi="fa-IR"/>
        </w:rPr>
        <w:t>، و إلّا لنقلوا له معارضا، بل یدلّ علی فتواهم بمضمونه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احتمال التقیّة لمخالفته للعامّة، کما تقدّم بیانه و إثباته عموما و خصوصا مع ثبوته بقرینة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الشهرة، کما تقدّم فی حدیث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أیضا قرائن أخر، بعضها متداخلة بحسب مقتضی المقام؛ و اللّه الموفّق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الشیخ فی کتاب العدّة جملة من القرائن، و نحن ننقل عبارته ملخّصة،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القرائن التی تدلّ علی صحّة أخبار الآحاد، و هی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موافقة لأدلّة العقل و مقتضاه من الحظر أو الإباحة علی مذهب قوم، أو الوقف علی ما ذهبنا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مطابقا لنصّ الکتاب، إمّا خصوصه أو عمومه أو دلیله أو فحواه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الخبر موافقا للسنّة المقطوع بها من جهة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موافقا لما أجمع علیه الفرقة المحقّة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القرائن کلّها تدلّ علی صحّة متضمّن أخبار الآحاد، و لا تدلّ علی صحّتها أنفسها؛ لجواز أن تکون</w:t>
      </w:r>
      <w:r>
        <w:rPr>
          <w:rStyle w:val="FootnoteAnchor"/>
          <w:rtl w:val="true"/>
        </w:rPr>
        <w:footnoteReference w:id="1249"/>
      </w:r>
      <w:r>
        <w:rPr>
          <w:rFonts w:ascii="IRNazanin" w:hAnsi="IRNazanin" w:eastAsia="IRNazanin"/>
          <w:color w:val="111111"/>
          <w:sz w:val="28"/>
          <w:sz w:val="28"/>
          <w:szCs w:val="28"/>
          <w:rtl w:val="true"/>
          <w:lang w:bidi="fa-IR"/>
        </w:rPr>
        <w:t>مصنوعة و إن وافقت هذه الأدلّة، فمتی تجرّد الخبر عن واحد من هذه الأدلّة، فإن کان هناک ما یدلّ علی خلافه من کتاب أو سنّة أو إجماع، وجب إطراحه و العمل بما دلّ علیه الدلیل، و إن کان هناک خبر آخر یعارضه، وجب ترجیح أحدهما علی الآخر، و إن لم یکن هناک خبر آخر یخالفه، وجب العمل به؛ لأنّ ذلک إجماع منهم علی نقله، فیکون العمل به</w:t>
      </w:r>
    </w:p>
    <w:p>
      <w:pPr>
        <w:pStyle w:val="BookText"/>
        <w:rPr/>
      </w:pPr>
      <w:r>
        <w:rPr>
          <w:rFonts w:ascii="IRNazanin" w:hAnsi="IRNazanin" w:eastAsia="IRNazanin"/>
          <w:color w:val="111111"/>
          <w:sz w:val="28"/>
          <w:sz w:val="28"/>
          <w:szCs w:val="28"/>
          <w:rtl w:val="true"/>
          <w:lang w:bidi="fa-IR"/>
        </w:rPr>
        <w:t>مقطوعا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 فتاوی مختلفة من الطائفة و لیس القول المخالف له مستندا إلی خبر آخر، وجب العمل بالقول الموافق لهذا الخبر؛ لأنّ القول لا بدّ له من دلیل، و لسنا نقول بالاجتهاد و القیاس یستند ذلک القول إلیه، فوجب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الأخبار إذا تعارضت فإنّا نحتاج إلی الترجیح، و هو یکون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الخبرین موافقا للکتاب أو السنّة المقطوع بها، فإنّه یجب العمل به، و کذلک إن وافق أحدهما إجماع الطائفة المحقّة، فما لم یکن شی‌ء من ذلک نظر، فما کان راویه عدلا وجب العمل به، فإن کان رواتهما جمیعا عدلین نظر فی أکثرهما رواة، فیعمل به و یترک الآخر، و إن تساویا عمل بأبعدهما من قول العامّة و یترک العمل بما یوافقهم، فإن کان الخبران یوافقانهم أو یخالفانهم، فإن کان متی عمل بأحد الخبرین أمکن العمل بالآخر بتأویل دون العکس، وجب العمل بما یمکن معه العمل بالآخر؛ لأنّ الخبرین منقولان مجمع علی نقلهما، و إذا لم یمکن ذلک، کان الإنسان مخیّرا فی العمل بأیّهما شاء</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المقصود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نحو ذلک فی الاستبصار أیضا</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و قال فی موضع آخر من کتاب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 لما ذکره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الاجتهاد عنده کما هو مذهب الأخباریّین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الظنّ فعندنا و إن لم یکن أصلا یستند الأحکام علیه فإنّه تقف أحکاما کثیرة علیه نحو تنفیذ الحکم عند الشاهدین و نحو جهات القبلة و ما یجری مجراها</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القیاس و الاجتهاد فعندنا أنّهما لیسا بدلیلین بل محظور استعمالهما و نحن</w:t>
      </w:r>
    </w:p>
    <w:p>
      <w:pPr>
        <w:pStyle w:val="BookText"/>
        <w:rPr/>
      </w:pPr>
      <w:r>
        <w:rPr>
          <w:rFonts w:ascii="IRNazanin" w:hAnsi="IRNazanin" w:eastAsia="IRNazanin"/>
          <w:color w:val="111111"/>
          <w:sz w:val="28"/>
          <w:sz w:val="28"/>
          <w:szCs w:val="28"/>
          <w:rtl w:val="true"/>
          <w:lang w:bidi="fa-IR"/>
        </w:rPr>
        <w:t>نبیّن ذلک فیما بعد</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جملة القرائن أیضا تعلّق الحدیث بالاستحباب أو الکراهة؛ للأحادیث الکثیرة الواردة فیمن بلغه شی‌ء من الثواب، و بعضها صحیح السند باصطلاح الاصولیّین أیضا، و هو ما رواه البرقی فی المحاسن، و إن کان قد اشتهر أنّ أحسن تلک الطرق حسن، فلیس بصحیح لما قلنا، و الثواب یترتّب علی فعل المستحبّ و ترک المکروه، و هو أعمّ أیضا من المذکور تفصیلا أو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الشیخ فی مواضع بأنّ کلّ حدیث عمل به فهو محفوف بالقرینة، و مأخوذ من الاصول المعتمدة المجمع علیها؛ و کذلک صرّح جماعة من المحقّقین کما تقدّم بعضه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من قبول قولهم فی ذلک، فلو ردّت شهادتهم فیه، لوجب ردّها إذا شهدوا بتوثیق راوی حدیث أو مدحه بطریق الأولویة؛ و ذلک لأنّ أمر العدالة و الضبط خفیّ جدّا بالنسبة إلی نقل الحدیث من کتاب من تلک الکتب المجمع علیها التی کتبت بأمر الأئمّة و عرضت علیهم، و کانت موجودة عند الشیعة، و بقیت إلی زمان ابن إدریس کما یفهم من آخر السرائر</w:t>
      </w:r>
      <w:r>
        <w:rPr>
          <w:rStyle w:val="FootnoteAnchor"/>
          <w:rtl w:val="true"/>
        </w:rPr>
        <w:footnoteReference w:id="1255"/>
      </w:r>
      <w:r>
        <w:rPr>
          <w:rFonts w:ascii="IRNazanin" w:hAnsi="IRNazanin" w:eastAsia="IRNazanin"/>
          <w:color w:val="111111"/>
          <w:sz w:val="28"/>
          <w:sz w:val="28"/>
          <w:szCs w:val="28"/>
          <w:rtl w:val="true"/>
          <w:lang w:bidi="fa-IR"/>
        </w:rPr>
        <w:t>، إلی زمان المحقّق کما یظهر من أوّل المعتبر</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یقبل قولهم فی التوثیق و المدح، لم یبق حدیث من الأحادیث صحیحا و لا حسنا و لا موثّقا، بل یصیر الجمیع من القسم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ظاهر البطلان، ضروری الفساد اتّفاقا؛ فتعیّن ما قلناه، و اللّه الموفّق</w:t>
      </w:r>
      <w:r>
        <w:rPr>
          <w:rFonts w:eastAsia="IRNazanin" w:cs="IRNazanin"/>
          <w:color w:val="111111"/>
          <w:sz w:val="28"/>
          <w:szCs w:val="28"/>
          <w:rtl w:val="true"/>
          <w:lang w:bidi="fa-IR"/>
        </w:rPr>
        <w:t>.</w:t>
      </w:r>
      <w:bookmarkStart w:id="415" w:name="pg19819_193732"/>
    </w:p>
    <w:p>
      <w:pPr>
        <w:pStyle w:val="Heading4"/>
        <w:numPr>
          <w:ilvl w:val="3"/>
          <w:numId w:val="1"/>
        </w:numPr>
        <w:rPr/>
      </w:pPr>
      <w:bookmarkStart w:id="416" w:name="__RefHeading___Toc3055711_2314609296"/>
      <w:bookmarkStart w:id="417" w:name="_Toc159"/>
      <w:bookmarkEnd w:id="415"/>
      <w:bookmarkEnd w:id="416"/>
      <w:r>
        <w:rPr>
          <w:rtl w:val="true"/>
        </w:rPr>
        <w:t>خاتمة هی فذلکة الحساب و نتیجة مقدّمات الأبواب</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الرجوع فی جمیع الأحکام إلی کلام اهل العصمة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طریقة الأخباریّین المأخوذة عن المأخوذین علیهم السّلام أنّهم لم یکونوا یعتمدون فی الاصول و الفروع إلّا علی ما ثبت عندهم عن أهل العصمة من الأحادیث المتواترة أو</w:t>
      </w:r>
      <w:r>
        <w:rPr>
          <w:rStyle w:val="FootnoteAnchor"/>
          <w:rtl w:val="true"/>
        </w:rPr>
        <w:footnoteReference w:id="1257"/>
      </w:r>
      <w:r>
        <w:rPr>
          <w:rFonts w:ascii="IRNazanin" w:hAnsi="IRNazanin" w:eastAsia="IRNazanin"/>
          <w:color w:val="111111"/>
          <w:sz w:val="28"/>
          <w:sz w:val="28"/>
          <w:szCs w:val="28"/>
          <w:rtl w:val="true"/>
          <w:lang w:bidi="fa-IR"/>
        </w:rPr>
        <w:t>المحفوفة بالقرائن، و لا ریب فی ذلک عند أحد من أهل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اعترف بذلک و جزم العلّامة فی النهایة،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الإمامیّة فالأخباریون منهم لم یعوّلوا فی اصول الدین و فروعه إلّا علی أخبار الآحاد المرویّة عن أئمّتهم</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ذلک حجّة قاطعة، فإنّ قول المعصوم بعد العلم بدعواه و الاطّلاع علی معجزاته حجّة لا یبقی عندها شکّ، و هو أوثق من جمیع الأدلّة العقلیّة الصرفة، و ما یتوقّف علیه حجّیّة الأدلّة السمعیّة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ورد فی بعض الأحادیث أنّه بدیهی ضروری موهبی</w:t>
      </w:r>
      <w:r>
        <w:rPr>
          <w:rStyle w:val="FootnoteAnchor"/>
          <w:rtl w:val="true"/>
        </w:rPr>
        <w:footnoteReference w:id="1259"/>
      </w:r>
      <w:r>
        <w:rPr>
          <w:rFonts w:ascii="IRNazanin" w:hAnsi="IRNazanin" w:eastAsia="IRNazanin"/>
          <w:color w:val="111111"/>
          <w:sz w:val="28"/>
          <w:sz w:val="28"/>
          <w:szCs w:val="28"/>
          <w:rtl w:val="true"/>
          <w:lang w:bidi="fa-IR"/>
        </w:rPr>
        <w:t>، و صرّح بذلک جماعة من العلماء، بل الوجدان یشهد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بین المتقدّمین و المتأخّرین فی حجّیّة قول المعصوم مطلقا إذا ثبت نقله کما هو المفروض، و المستفاد من الأحادیث الکثیرة وجوب الرجوع فی جمیع الامور الدینیّة إلی کلام أهل العصمة علیهم السّلام، و عدم جواز القول و العمل بغیر ما ثبت عنهم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بعض الحکماء من وجوب الرجوع إلی مجرّد العقل فی المطالب، فیردّه وجوه کثیرة عقلیّة، و أحادیث کثیرة نقلیّة</w:t>
      </w:r>
      <w:r>
        <w:rPr>
          <w:rFonts w:eastAsia="IRNazanin" w:cs="IRNazanin"/>
          <w:color w:val="111111"/>
          <w:sz w:val="28"/>
          <w:szCs w:val="28"/>
          <w:rtl w:val="true"/>
          <w:lang w:bidi="fa-IR"/>
        </w:rPr>
        <w:t>.</w:t>
      </w:r>
      <w:bookmarkStart w:id="418" w:name="pg19819_193733"/>
    </w:p>
    <w:p>
      <w:pPr>
        <w:pStyle w:val="Heading4"/>
        <w:numPr>
          <w:ilvl w:val="3"/>
          <w:numId w:val="1"/>
        </w:numPr>
        <w:rPr/>
      </w:pPr>
      <w:bookmarkStart w:id="419" w:name="__RefHeading___Toc3055713_2314609296"/>
      <w:bookmarkStart w:id="420" w:name="_Toc160"/>
      <w:bookmarkEnd w:id="418"/>
      <w:bookmarkEnd w:id="419"/>
      <w:r>
        <w:rPr>
          <w:rtl w:val="true"/>
        </w:rPr>
        <w:t>و لنذکر ممّا یدلّ علی ذلک وجوها اثنی عشر</w:t>
      </w:r>
      <w:r>
        <w:rPr>
          <w:rtl w:val="true"/>
        </w:rPr>
        <w:t>:</w:t>
      </w:r>
      <w:bookmarkEnd w:id="420"/>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معلوم من کثرة تناقضهم و شدّة اختلافهم، مع دعوی کلّ واحد منهم کمال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یقدروا أن یعرفوا حقیقة العقل حتّی اختلفوا فیها غایة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معلوم من اختلاط الأفکار و فسادها، و اشتباه المقدّمات العقلیّة بالجهلیّة، فلا یعلم المفکّر أنّ ما وقع فی قلبه من العقل، أو من وساوس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المشهورین بالعقل الذین یرجع الناس إلی کتبهم لم یحصّلوا اعتقادا، و لم یهتدوا إلی الإیمان، بل بقوا علی الکفر و الضلال، فکیف یجوز حسن الظنّ بهم و سلوک 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العقلیّة الصحیحة النافعة فی الدین و الدنیا، کلّها قد صارت نقلیّة مرویّة منصوصة عن أهل العصمة مستدلّا علیها فی کلامهم بما لا مزید علیه، و لا یتطرّق احتمال الخطأ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معلوم من أنّ العقل الصحیح الکامل الذی لا یعتریه جهل و لا فساد مخصوص بأهل العصمة، فمن رجع إلی کلامهم فقد تمسّک بالعقل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یدلّ علی صحّة النبوّة و الإمامة و وجوب طاعة النبیّ صلّی اللّه علیه و آله و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العقل کافیا، لکان بعث النبیّ صلّی اللّه علیه و آله و نصب الإمام عبثا، و لما وجب اتّباعهما علی جمیع الرعیّة، و لجاز مخالفة الناس لاعتقاد النبیّ و الإمام فی الاصول، فلا یجوز أن یکون الاعتقادات حقّا و لا باطلا و لا صحّة خلاف اعتقاد المعصوم و بطلان اعتقاده؛ فتعیّن العکس</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إفحام الأنبیاء إذا قال لهم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حصّلت ما یجب علیّ من الاعتقاد و الاصول بالعقل، فلا یجب علیّ اتّباع أحد فی شی‌ء من ذلک، کما أجاب</w:t>
      </w:r>
    </w:p>
    <w:p>
      <w:pPr>
        <w:pStyle w:val="BookText"/>
        <w:rPr/>
      </w:pPr>
      <w:r>
        <w:rPr>
          <w:rFonts w:ascii="IRNazanin" w:hAnsi="IRNazanin" w:eastAsia="IRNazanin"/>
          <w:color w:val="111111"/>
          <w:sz w:val="28"/>
          <w:sz w:val="28"/>
          <w:szCs w:val="28"/>
          <w:rtl w:val="true"/>
          <w:lang w:bidi="fa-IR"/>
        </w:rPr>
        <w:t>به بعض الحکماء المشهورین</w:t>
      </w:r>
      <w:r>
        <w:rPr>
          <w:rStyle w:val="FootnoteAnchor"/>
          <w:rtl w:val="true"/>
        </w:rPr>
        <w:footnoteReference w:id="1260"/>
      </w:r>
      <w:r>
        <w:rPr>
          <w:rFonts w:ascii="IRNazanin" w:hAnsi="IRNazanin" w:eastAsia="IRNazanin"/>
          <w:color w:val="111111"/>
          <w:sz w:val="28"/>
          <w:sz w:val="28"/>
          <w:szCs w:val="28"/>
          <w:rtl w:val="true"/>
          <w:lang w:bidi="fa-IR"/>
        </w:rPr>
        <w:t>عیسی علیه السّلام، و لم یؤمن به و بقی علی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الشکّ و الشبهات و وقوع أکثر الناظرین فی کلام الحکماء و الفلاسفة فی الاعتقادات الباطلة، کما لا یخفی علی من تأمّل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النهی الصریح عن ذلک فی اصول الکافی و غیره</w:t>
      </w:r>
      <w:r>
        <w:rPr>
          <w:rStyle w:val="FootnoteAnchor"/>
          <w:rtl w:val="true"/>
        </w:rPr>
        <w:footnoteReference w:id="1261"/>
      </w:r>
      <w:r>
        <w:rPr>
          <w:rFonts w:ascii="IRNazanin" w:hAnsi="IRNazanin" w:eastAsia="IRNazanin"/>
          <w:color w:val="111111"/>
          <w:sz w:val="28"/>
          <w:sz w:val="28"/>
          <w:szCs w:val="28"/>
          <w:rtl w:val="true"/>
          <w:lang w:bidi="fa-IR"/>
        </w:rPr>
        <w:t>، و یفهم من هناک وجوب الرجوع فی ذلک إلی أهل العصمة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أحادیث العقل المرویّة فی الکافی و غیره أنّ المعتبر منه هو ما عرف به حجّة اللّه من النبیّ و الإمام</w:t>
      </w:r>
      <w:r>
        <w:rPr>
          <w:rStyle w:val="FootnoteAnchor"/>
          <w:rtl w:val="true"/>
        </w:rPr>
        <w:footnoteReference w:id="1262"/>
      </w:r>
      <w:r>
        <w:rPr>
          <w:rFonts w:ascii="IRNazanin" w:hAnsi="IRNazanin" w:eastAsia="IRNazanin"/>
          <w:color w:val="111111"/>
          <w:sz w:val="28"/>
          <w:sz w:val="28"/>
          <w:szCs w:val="28"/>
          <w:rtl w:val="true"/>
          <w:lang w:bidi="fa-IR"/>
        </w:rPr>
        <w:t>، و هو الممیّز بین الصادق فی تلک الدعوی و الکاذب، و ذلک بعد الاطّلاع علی العجز واضح قطعی لا یقبل التشکیک، و لا یقدر الإنسان علی دفعه عن نفسه، و لا صرفه عن قلبه، و إنّما یجب علیه الإظهار باللسان، کما یفهم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w:t>
      </w:r>
      <w:r>
        <w:rPr>
          <w:rStyle w:val="FootnoteAnchor"/>
          <w:rtl w:val="true"/>
        </w:rPr>
        <w:footnoteReference w:id="1263"/>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أبی الحسن علیه السّلام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الحجّة علی الناس الیوم؟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یعرف به الصادق علی اللّه فیصدّقه، و الکاذب علی اللّه فیکذّبه</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r>
        <w:rPr>
          <w:rStyle w:val="FootnoteAnchor"/>
          <w:rtl w:val="true"/>
        </w:rPr>
        <w:footnoteReference w:id="126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نصب الحقّ لطاعة اللّه، و لا نجاة إلّا بالطاعة، و الطاعة بالعلم، و العلم بالتعلّم، و التعلّم بالعقل یعتقد</w:t>
      </w:r>
      <w:r>
        <w:rPr>
          <w:rStyle w:val="FootnoteAnchor"/>
          <w:rtl w:val="true"/>
        </w:rPr>
        <w:footnoteReference w:id="1266"/>
      </w:r>
      <w:r>
        <w:rPr>
          <w:rFonts w:ascii="IRNazanin" w:hAnsi="IRNazanin" w:eastAsia="IRNazanin"/>
          <w:color w:val="111111"/>
          <w:sz w:val="28"/>
          <w:sz w:val="28"/>
          <w:szCs w:val="28"/>
          <w:rtl w:val="true"/>
          <w:lang w:bidi="fa-IR"/>
        </w:rPr>
        <w:t>، و لا علم إلّا من عالم ربّانی، و معرفة العلم بالعقل</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إلی غیر ذلک من الأحادیث الکثیرة</w:t>
      </w:r>
      <w:r>
        <w:rPr>
          <w:rFonts w:eastAsia="IRNazanin" w:cs="IRNazanin"/>
          <w:color w:val="111111"/>
          <w:sz w:val="28"/>
          <w:szCs w:val="28"/>
          <w:rtl w:val="true"/>
          <w:lang w:bidi="fa-IR"/>
        </w:rPr>
        <w:t>.</w:t>
      </w:r>
      <w:bookmarkStart w:id="421" w:name="pg19819_193735"/>
    </w:p>
    <w:p>
      <w:pPr>
        <w:pStyle w:val="BookText"/>
        <w:rPr/>
      </w:pPr>
      <w:bookmarkEnd w:id="421"/>
      <w:r>
        <w:rPr>
          <w:rFonts w:ascii="IRNazanin" w:hAnsi="IRNazanin" w:eastAsia="IRNazanin"/>
          <w:color w:val="111111"/>
          <w:sz w:val="28"/>
          <w:sz w:val="28"/>
          <w:szCs w:val="28"/>
          <w:rtl w:val="true"/>
          <w:lang w:bidi="fa-IR"/>
        </w:rPr>
        <w:t>و فی الأبواب الثلاثة الأخیرة من کتاب التوحید من الکافی</w:t>
      </w:r>
      <w:r>
        <w:rPr>
          <w:rStyle w:val="FootnoteAnchor"/>
          <w:rtl w:val="true"/>
        </w:rPr>
        <w:footnoteReference w:id="1268"/>
      </w:r>
      <w:r>
        <w:rPr>
          <w:rFonts w:ascii="IRNazanin" w:hAnsi="IRNazanin" w:eastAsia="IRNazanin"/>
          <w:color w:val="111111"/>
          <w:sz w:val="28"/>
          <w:sz w:val="28"/>
          <w:szCs w:val="28"/>
          <w:rtl w:val="true"/>
          <w:lang w:bidi="fa-IR"/>
        </w:rPr>
        <w:t>و فی کتاب التوحید لابن بابویه أحادیث کثیرة، من رجع إلیها لم یبق عنده شکّ فیما قلناه</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 بهذا یظهر الجواب عن أحادیث العقل المطلقة، فإنّها محمولة علی هذا التقیید، مع معارضتها بأحادیث الجهل، و ما یظهر من حدیث جنود العقل من اختصاص العقل الکامل الجنود بالنبیّ و الإمام</w:t>
      </w:r>
      <w:r>
        <w:rPr>
          <w:rStyle w:val="FootnoteAnchor"/>
          <w:rtl w:val="true"/>
        </w:rPr>
        <w:footnoteReference w:id="1270"/>
      </w:r>
      <w:r>
        <w:rPr>
          <w:rFonts w:ascii="IRNazanin" w:hAnsi="IRNazanin" w:eastAsia="IRNazanin"/>
          <w:color w:val="111111"/>
          <w:sz w:val="28"/>
          <w:sz w:val="28"/>
          <w:szCs w:val="28"/>
          <w:rtl w:val="true"/>
          <w:lang w:bidi="fa-IR"/>
        </w:rPr>
        <w:t>فیجب الرجوع إلیهما خاصّة لخلوّهما من الجهل و جنوده؛ و هو المطلوب</w:t>
      </w:r>
      <w:r>
        <w:rPr>
          <w:rFonts w:eastAsia="IRNazanin" w:cs="IRNazanin"/>
          <w:color w:val="111111"/>
          <w:sz w:val="28"/>
          <w:szCs w:val="28"/>
          <w:rtl w:val="true"/>
          <w:lang w:bidi="fa-IR"/>
        </w:rPr>
        <w:t>.</w:t>
      </w:r>
    </w:p>
    <w:p>
      <w:pPr>
        <w:pStyle w:val="Heading4"/>
        <w:numPr>
          <w:ilvl w:val="3"/>
          <w:numId w:val="1"/>
        </w:numPr>
        <w:rPr/>
      </w:pPr>
      <w:bookmarkStart w:id="422" w:name="__RefHeading___Toc3055715_2314609296"/>
      <w:bookmarkStart w:id="423" w:name="_Toc161"/>
      <w:bookmarkEnd w:id="422"/>
      <w:r>
        <w:rPr>
          <w:rtl w:val="true"/>
        </w:rPr>
        <w:t>فصل و لنذکر من الأحادیث الدالّة علی ما ذکرنا فی هذا المقام</w:t>
      </w:r>
      <w:bookmarkEnd w:id="423"/>
    </w:p>
    <w:p>
      <w:pPr>
        <w:pStyle w:val="BookText"/>
        <w:rPr/>
      </w:pPr>
      <w:r>
        <w:rPr>
          <w:rFonts w:ascii="IRNazanin" w:hAnsi="IRNazanin" w:eastAsia="IRNazanin"/>
          <w:color w:val="111111"/>
          <w:sz w:val="28"/>
          <w:sz w:val="28"/>
          <w:szCs w:val="28"/>
          <w:rtl w:val="true"/>
          <w:lang w:bidi="fa-IR"/>
        </w:rPr>
        <w:t>الأخیر اثنی عشر حدیثا تبرّکا بالعدد، و إلّا فالأحادیث فی ذلک أکثر من أن تحصی، و أوفر من أن تستقصی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الحارث بن المغیرة کما رواه صاحب الفوائد المدنیّة فی آخر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علیه السّلام أ رأیت لو أنّ رجلا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أ نبیّ أنت أم لا، کان یقبل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کان یقتله إنّه لو قبل ذلک ما أسلم منافق أبدا</w:t>
      </w:r>
      <w:r>
        <w:rPr>
          <w:rFonts w:eastAsia="IRNazanin" w:cs="IRNazanin"/>
          <w:color w:val="111111"/>
          <w:sz w:val="28"/>
          <w:szCs w:val="28"/>
          <w:rtl w:val="true"/>
          <w:lang w:bidi="fa-IR"/>
        </w:rPr>
        <w:t>».</w:t>
      </w:r>
      <w:r>
        <w:rPr>
          <w:rStyle w:val="FootnoteAnchor"/>
          <w:rtl w:val="true"/>
        </w:rPr>
        <w:footnoteReference w:id="127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البرقی فی المحاسن عن 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مسکین، 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إلّا و قد یرد</w:t>
      </w:r>
      <w:r>
        <w:rPr>
          <w:rStyle w:val="FootnoteAnchor"/>
          <w:rtl w:val="true"/>
        </w:rPr>
        <w:footnoteReference w:id="1272"/>
      </w:r>
      <w:r>
        <w:rPr>
          <w:rFonts w:ascii="IRNazanin" w:hAnsi="IRNazanin" w:eastAsia="IRNazanin"/>
          <w:color w:val="111111"/>
          <w:sz w:val="28"/>
          <w:sz w:val="28"/>
          <w:szCs w:val="28"/>
          <w:rtl w:val="true"/>
          <w:lang w:bidi="fa-IR"/>
        </w:rPr>
        <w:t>علیه الحقّ حتّی یصدع قلبه</w:t>
      </w:r>
      <w:r>
        <w:rPr>
          <w:rStyle w:val="FootnoteAnchor"/>
          <w:rtl w:val="true"/>
        </w:rPr>
        <w:footnoteReference w:id="1273"/>
      </w:r>
      <w:r>
        <w:rPr>
          <w:rFonts w:ascii="Amiri" w:hAnsi="Amiri" w:eastAsia="Amiri" w:cs="Amiri"/>
          <w:color w:val="111111"/>
          <w:sz w:val="28"/>
          <w:sz w:val="28"/>
          <w:szCs w:val="28"/>
          <w:rtl w:val="true"/>
          <w:lang w:bidi="ar-SA"/>
        </w:rPr>
        <w:t>، قبله أو ترکه، و ذلک أنّ اللّه تعالی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 وَ لَکُمُ الْوَیْلُ مِمَّا تَصِفُونَ</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عن أبیه، عن یونس بن عبد الرحمن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باطل یقوم بإزاء حقّ إلّا غلب الحقّ علی الباطل،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عن النوفلی، عن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قوم یعملون علی ریبة من أمرهم، و مشکلة من رأیهم، و إزراء منهم</w:t>
      </w:r>
      <w:r>
        <w:rPr>
          <w:rStyle w:val="FootnoteAnchor"/>
          <w:rtl w:val="true"/>
        </w:rPr>
        <w:footnoteReference w:id="1277"/>
      </w:r>
      <w:r>
        <w:rPr>
          <w:rFonts w:ascii="IRNazanin" w:hAnsi="IRNazanin" w:eastAsia="IRNazanin"/>
          <w:color w:val="111111"/>
          <w:sz w:val="28"/>
          <w:sz w:val="28"/>
          <w:szCs w:val="28"/>
          <w:rtl w:val="true"/>
          <w:lang w:bidi="fa-IR"/>
        </w:rPr>
        <w:t>علی من سواهم، و قد تبیّن الحقّ من ذلک بمقایسة العدل عند ذوی الألباب</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فیه عن علیّ بن الحکم، عن هشام بن سالم،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یَحُولُ بَیْنَ الْمَرْءِ وَ قَلْبِهِ</w:t>
      </w:r>
      <w:r>
        <w:rPr>
          <w:rStyle w:val="FootnoteAnchor"/>
          <w:rtl w:val="true"/>
        </w:rPr>
        <w:footnoteReference w:id="127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بینه و بین أن یعلم أنّ الباطل حقّ</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عن ابن محبوب، عن هشام بن سالم</w:t>
      </w:r>
      <w:r>
        <w:rPr>
          <w:rStyle w:val="FootnoteAnchor"/>
          <w:rtl w:val="true"/>
        </w:rPr>
        <w:footnoteReference w:id="1281"/>
      </w:r>
      <w:r>
        <w:rPr>
          <w:rFonts w:ascii="IRNazanin" w:hAnsi="IRNazanin" w:eastAsia="IRNazanin"/>
          <w:color w:val="111111"/>
          <w:sz w:val="28"/>
          <w:sz w:val="28"/>
          <w:szCs w:val="28"/>
          <w:rtl w:val="true"/>
          <w:lang w:bidi="fa-IR"/>
        </w:rPr>
        <w:t>و عبد العزیز العبدی و عبد اللّه بن أبی یعفور،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یعرف باطلا حقّا، أبی اللّه أن یجعل الحقّ فی قلب المؤمن باطلا لا شکّ فیه، و أبی اللّه أن یجعل الباطل فی قلب الکافر حقّا لا شکّ فیه، و لو لم یجعل هذا هکذا ما عرف حقّ من باطل</w:t>
      </w:r>
      <w:r>
        <w:rPr>
          <w:rFonts w:eastAsia="IRNazanin" w:cs="IRNazanin"/>
          <w:color w:val="111111"/>
          <w:sz w:val="28"/>
          <w:szCs w:val="28"/>
          <w:rtl w:val="true"/>
          <w:lang w:bidi="fa-IR"/>
        </w:rPr>
        <w:t>».</w:t>
      </w:r>
      <w:r>
        <w:rPr>
          <w:rStyle w:val="FootnoteAnchor"/>
          <w:rtl w:val="true"/>
        </w:rPr>
        <w:footnoteReference w:id="128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فی کتاب التوحید فی باب السعادة و الشقاوة عن محمّد بن الحسن بن الولید، عن الصفار و سعد بن عبد اللّه، عن ابن أبی عمیر، عن هشام بن سالم،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یَحُولُ بَیْنَ الْمَرْءِ وَ قَلْبِهِ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أن یعلم أنّ الباطل حقّ</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ینقل العبد من الشقاوة إلی السعادة، و لا ینقله من السعادة إلی الشقاوة</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نشاهد فی کثیر من الناس آثار جزمهم بما هو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یظنّ کثیر من الناس الظنّ المتاخم للعلم جزما، فیزعمون أنّهم جزموا و لیس کذلک</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البرقی فی المحاسن فی باب المقاییس و الرأی عن أبیه، عمّن ذکره، عن أبی عبد اللّه علیه السّلام فی رسالة إلی أصحاب الرأی و المقاییس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من دعا غیره إلی دینه بالارتیاد و المقاییس، لم ینصف و لم یصب 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الناس لمّا سفهوا الحقّ و غمطوا النعمة و استغنوا بجهلهم و تدابیرهم عن علم اللّه، و اکتفوا بذلک دون رسله و القوّامون بأمره،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إلّا ما أدرکته عقولنا و عرفته ألبابنا، فولّاهم اللّه ما تولّوا، و أهملهم و خذلهم حتّی صاروا عبدة أنفسهم من حیث لا یعلمون، و لو کان اللّه رضی منهم اجتهادهم و ارتیاءهم فیما ادّعوا من ذلک، لم یبعث إلیهم فاصلا لما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زاجرا عن وصفهم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استدللنا أنّ رضا اللّه غیر ذلک ببعثه الرسول بالامور القیّمة الصحیحة، و التحذیر من الامور المشکلة المفسدة، ثمّ جعلهم أبوابه و صراطه و الأدلّاء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28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الاضطرار إلی الحجّة عن علیّ بن إبراهیم، عن أبیه، عمّن ذکره، عن یونس بن یعقوب أنّه قال لأبی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سمعتک تنهی عن الکلام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لأصحاب الکلام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ینقاد و هذا لا ینقاد، و هذا</w:t>
      </w:r>
    </w:p>
    <w:p>
      <w:pPr>
        <w:pStyle w:val="BookText"/>
        <w:rPr/>
      </w:pPr>
      <w:r>
        <w:rPr>
          <w:rFonts w:ascii="IRNazanin" w:hAnsi="IRNazanin" w:eastAsia="IRNazanin"/>
          <w:color w:val="111111"/>
          <w:sz w:val="28"/>
          <w:sz w:val="28"/>
          <w:szCs w:val="28"/>
          <w:rtl w:val="true"/>
          <w:lang w:bidi="fa-IR"/>
        </w:rPr>
        <w:t>ینساق و هذا لا ینساق، و هذا نعقله و هذا لا نعقله؟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لهم أن ترکوا ما أقول، و ذهبوا إلی ما یریدون</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الکشّی فی کتاب الرجال و نقله الشیخ فی الاختیار عن محمّد بن مسعود، عن علیّ بن محمّد القمّی، عن محمّد بن أحمد بن یحیی، عن إبراهیم بن هاشم، عن محمّد بن حمّاد، عن الحسن بن إبراهیم، عن یونس بن عبد الرحمن، عن یونس بن یعقوب، عن هشام بن سالم، عن أبی عبد اللّه علیه السّلام أنّه قال لرجل من أهل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أخذ ضغثا من الحقّ و ضغثا من الباطل فمغثهما، ثمّ أخرجهما إلی الناس، ثمّ بعث أنبیاء یفرّقون بینهما، ففرّقهما الأنبیاء و الأوصیاء، فبعث اللّه الأنبیاء لیفرّقوا ذلک، و جعل الأنبیاء قبل الأوصیاء لیعلم الناس من یفضّل اللّه و من یختصّ، و لو کان الحقّ علی حدّه، و الباطل علی حدّه، کلّ واحد منهما قائم بشأنه، ما احتاج الناس إلی نبیّ و لا وصیّ، و لکنّ اللّه خلطهما، و جعل تفریقهما إلی الأنبیاء و الأئمّة من عباده</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جماعة من أصحابنا، منهم الشیخ الجلیل عماد الدین الطبری فی کتاب بشارة المصطفی لشیعة المرتضی عن أمیر المؤمنین علیه السّلام أنّه قال لکمیل بن زیاد فی وصیّة 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لا تأخذ إلّا عنّا، تکن منّا</w:t>
      </w:r>
      <w:r>
        <w:rPr>
          <w:rFonts w:eastAsia="IRNazanin" w:cs="IRNazanin"/>
          <w:color w:val="111111"/>
          <w:sz w:val="28"/>
          <w:szCs w:val="28"/>
          <w:rtl w:val="true"/>
          <w:lang w:bidi="fa-IR"/>
        </w:rPr>
        <w:t>».</w:t>
      </w:r>
      <w:r>
        <w:rPr>
          <w:rStyle w:val="FootnoteAnchor"/>
          <w:rtl w:val="true"/>
        </w:rPr>
        <w:footnoteReference w:id="128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البرقی فی المحاسن عن ابن فضّال، عن ابن بکیر، عن حمزة بن الطیّار، عن أبی عبد اللّه علیه السّلام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ینفعکم فیما ینزل بکم ممّا لا تعلمون إلّا الکفّ عنه، و التثبّت فیه، و الردّ إلی أئمّة المسلمین حتّی یعرفوکم فیه الحقّ، و یحملوکم فیه علی القصد؛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1"/>
      </w:r>
      <w:bookmarkStart w:id="424" w:name="pg19819_193739"/>
    </w:p>
    <w:p>
      <w:pPr>
        <w:pStyle w:val="BookText"/>
        <w:rPr/>
      </w:pPr>
      <w:bookmarkEnd w:id="42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فی ذلک کثیرة جدّا، تقدّم بعضها، و یأتی جملة اخری منها إن شاء اللّه</w:t>
      </w:r>
      <w:r>
        <w:rPr>
          <w:rFonts w:eastAsia="IRNazanin" w:cs="IRNazanin"/>
          <w:color w:val="111111"/>
          <w:sz w:val="28"/>
          <w:szCs w:val="28"/>
          <w:rtl w:val="true"/>
          <w:lang w:bidi="fa-IR"/>
        </w:rPr>
        <w:t>.</w:t>
      </w:r>
    </w:p>
    <w:p>
      <w:pPr>
        <w:pStyle w:val="Heading4"/>
        <w:numPr>
          <w:ilvl w:val="3"/>
          <w:numId w:val="1"/>
        </w:numPr>
        <w:rPr/>
      </w:pPr>
      <w:bookmarkStart w:id="425" w:name="__RefHeading___Toc3055717_2314609296"/>
      <w:bookmarkStart w:id="426" w:name="_Toc162"/>
      <w:bookmarkEnd w:id="425"/>
      <w:r>
        <w:rPr>
          <w:rtl w:val="true"/>
        </w:rPr>
        <w:t>[</w:t>
      </w:r>
      <w:r>
        <w:rPr>
          <w:rtl w:val="true"/>
        </w:rPr>
        <w:t>فصل</w:t>
      </w:r>
      <w:r>
        <w:rPr>
          <w:rtl w:val="true"/>
        </w:rPr>
        <w:t xml:space="preserve">: </w:t>
      </w:r>
      <w:r>
        <w:rPr>
          <w:rtl w:val="true"/>
        </w:rPr>
        <w:t>فی وجوب الرجوع إلی کلام أهل العصمة فی الاصول و الفروع</w:t>
      </w:r>
      <w:r>
        <w:rPr>
          <w:rtl w:val="true"/>
        </w:rPr>
        <w:t>]</w:t>
      </w:r>
      <w:bookmarkEnd w:id="426"/>
    </w:p>
    <w:p>
      <w:pPr>
        <w:pStyle w:val="BookText"/>
        <w:rPr/>
      </w:pPr>
      <w:r>
        <w:rPr>
          <w:rFonts w:ascii="IRNazanin" w:hAnsi="IRNazanin" w:eastAsia="IRNazanin"/>
          <w:color w:val="111111"/>
          <w:sz w:val="28"/>
          <w:sz w:val="28"/>
          <w:szCs w:val="28"/>
          <w:rtl w:val="true"/>
          <w:lang w:bidi="fa-IR"/>
        </w:rPr>
        <w:t>فصل قد عرفت سابقا أنّ الإجماع الذی هو أقوی الأدلّة عندهم، و أوثق الحجج بزعمهم، لا یعتبر و لا یصحّ الاحتجاج به إلّا مع العلم بدخول المعصوم فیه، فلو اتّفقت عقول العقلاء کافّة، و أجمعت جمیع العلماء قاطبة، بل جمیع أهل الدنیا من العامّة و الخاصّة، المتقدّمین و المتأخّرین، مع مخالفة المعصوم لهم، أو من غیر أن یعلم دخول المعصوم فی جملة أقوالهم، لم یکن ذلک دلیلا، و لم یجز اتّباعه و لا العمل به؛ لأنّ المعصوم علیه السّلام رئیس الامّة، و هو الحجّة علیهم، و الحقّ منحصر فی قوله کما تقتضیه أدلّة الإمامة؛ فکیف یجوز أن یعتمد الإنسان علی مجرّد عقله مع کثرة الشبهات و الشکوک، و تناقض الآراء و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من الوجوه العقلیّة المطابقة للنصوص النقلیّة، فعلیک بالرجوع فی الاصول و الفروع إلی کلام أهل العصمة، و الأدلّة و البراهین المنقولة عنهم، و المقدّمات العقلیّة و النقلیّة المسموعة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و الاغترار بما ینقل من الحکماء الذین یعتمدون علی مجرّد الآراء، و لا یلتفتون إلی کلام أئمّة الهدی، و لا إلی کلام اللّه و کلام الأنبیاء، و إیّاک ثمّ إیّاک من الاغترار بما یدّعیه الصوفیّة من الاستغناء عن العلم و التعلّم بالکشف و الریاضة، فإنّ بطلان هذه الدعوی أظهر و فسادها أوضح ممّا تقدّم، و المفاسد التی تترتّب علیها أکثر من أن تحصی، و قد تقدّم بعضها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 بعض المتشرّعة منهم قد قسّم العلم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و تقلیدی، و ذکر أنّ الأوّل هو ما یحصل من اللّه بطریق الکشف من غیر واسطة، و الثانی ما یحصل من تقلید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هذا القائل فی مواضع بأنّ الأوّل غیر مختصّ بأهل</w:t>
      </w:r>
    </w:p>
    <w:p>
      <w:pPr>
        <w:pStyle w:val="BookText"/>
        <w:rPr/>
      </w:pPr>
      <w:r>
        <w:rPr>
          <w:rFonts w:ascii="IRNazanin" w:hAnsi="IRNazanin" w:eastAsia="IRNazanin"/>
          <w:color w:val="111111"/>
          <w:sz w:val="28"/>
          <w:sz w:val="28"/>
          <w:szCs w:val="28"/>
          <w:rtl w:val="true"/>
          <w:lang w:bidi="fa-IR"/>
        </w:rPr>
        <w:t>العصمة، بل هو حاصل لکثیر من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المشتمل علی تقیید المذکور و التصریح بما صرّح من تفضیل القسم الأوّل علی الثانی و ترجیحه</w:t>
      </w:r>
      <w:r>
        <w:rPr>
          <w:rStyle w:val="FootnoteAnchor"/>
          <w:rtl w:val="true"/>
        </w:rPr>
        <w:footnoteReference w:id="1292"/>
      </w:r>
      <w:r>
        <w:rPr>
          <w:rFonts w:ascii="IRNazanin" w:hAnsi="IRNazanin" w:eastAsia="IRNazanin"/>
          <w:color w:val="111111"/>
          <w:sz w:val="28"/>
          <w:sz w:val="28"/>
          <w:szCs w:val="28"/>
          <w:rtl w:val="true"/>
          <w:lang w:bidi="fa-IR"/>
        </w:rPr>
        <w:t>، بل القول بوجوده واضح البطلان و ظاهر الفساد؛ لما مضی و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استشهد لکلامه ببعض الأخبار المتشابهة، و الکلمات الواقعة فیها علی وجه المجاز دون الحقیقة، و علی طریقة المبالغة التی لا تنکر فی الوعظ و الخطابة، مع أنّها بأدنی التفات یعلم أنّها موافقة للمحکمات، و إنّما حاصلها أنّه قد یحصل لبعض الناس بسبب کثرة العبادات الشرعیّة زیادة الیقین، و کمال القبول لأحکام الدین، و تمام الانقیاد و التصدیق بکلام الأئمّة المعصومین، لا ما ظنّوه و خرجوا به عن طریق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حقّقنا بطلان قولهم فی الرسالة الاثنی عشریّة فی الردّ علی المارقین من الاثنی عشریّة</w:t>
      </w:r>
      <w:r>
        <w:rPr>
          <w:rStyle w:val="FootnoteAnchor"/>
          <w:rtl w:val="true"/>
        </w:rPr>
        <w:footnoteReference w:id="1293"/>
      </w:r>
      <w:r>
        <w:rPr>
          <w:rFonts w:ascii="IRNazanin" w:hAnsi="IRNazanin" w:eastAsia="IRNazanin"/>
          <w:color w:val="111111"/>
          <w:sz w:val="28"/>
          <w:sz w:val="28"/>
          <w:szCs w:val="28"/>
          <w:rtl w:val="true"/>
          <w:lang w:bidi="fa-IR"/>
        </w:rPr>
        <w:t>، و بطلان هذه الدعوی و التی قبلها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جملة ممّا یدلّ علی ذلک، و نذکر هنا جملة من الأحادیث فی هذا المعنی و هی أکثر من أن تحصی، لکنّا نقتصر منها علی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الضلال عن علیّ بن إبراهیم، عن أبیه، عن ابن أبی عمیر، عن عبد الرحمن بن الحجّاج، عن هاشم صاحب البرید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إنّه شرّ علیکم أن تقولوا بشی‌ء ما لم تسمعوه منّا</w:t>
      </w:r>
      <w:r>
        <w:rPr>
          <w:rFonts w:eastAsia="IRNazanin" w:cs="IRNazanin"/>
          <w:color w:val="111111"/>
          <w:sz w:val="28"/>
          <w:szCs w:val="28"/>
          <w:rtl w:val="true"/>
          <w:lang w:bidi="fa-IR"/>
        </w:rPr>
        <w:t>».</w:t>
      </w:r>
      <w:r>
        <w:rPr>
          <w:rStyle w:val="FootnoteAnchor"/>
          <w:rtl w:val="true"/>
        </w:rPr>
        <w:footnoteReference w:id="129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باب من مات و لیس له إمام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اللّه بغیر سماع عن صادق، ألزمه اللّه البتّة إلی العناء، و من ادّعی سماعا من غیر الباب الذی فتحه اللّه فهو مشرک، و ذلک الباب المأمون علی</w:t>
      </w:r>
    </w:p>
    <w:p>
      <w:pPr>
        <w:pStyle w:val="BookText"/>
        <w:rPr/>
      </w:pPr>
      <w:r>
        <w:rPr>
          <w:rFonts w:ascii="Amiri" w:hAnsi="Amiri" w:eastAsia="Amiri" w:cs="Amiri"/>
          <w:color w:val="111111"/>
          <w:sz w:val="28"/>
          <w:sz w:val="28"/>
          <w:szCs w:val="28"/>
          <w:rtl w:val="true"/>
          <w:lang w:bidi="ar-SA"/>
        </w:rPr>
        <w:t>سرّ اللّه المکنون</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أیضا فی باب أصناف الناس عن علیّ بن محمّد، عن سهل بن زیاد، عن محمّد بن یحیی، عن أحمد بن محمّد بن عیسی، جمیعا عن ابن محبوب، عن أبی اسامة، عن هشام بن سالم، عن أبی حمزة، عن أبی إسحاق السبیعی، عمّن حدّثه ممّن یوثق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آلوا بعد رسول اللّه صلّی اللّه علیه و آله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آلوا إلی عالم علی سبیل هدی من اللّه قد أغناه اللّه بما علم من علم غیره، و جاهل مدّع للعلم لا علم له معجب بما عنده قد فتنه</w:t>
      </w:r>
      <w:r>
        <w:rPr>
          <w:rStyle w:val="FootnoteAnchor"/>
          <w:rtl w:val="true"/>
        </w:rPr>
        <w:footnoteReference w:id="1296"/>
      </w:r>
      <w:r>
        <w:rPr>
          <w:rFonts w:ascii="IRNazanin" w:hAnsi="IRNazanin" w:eastAsia="IRNazanin"/>
          <w:color w:val="111111"/>
          <w:sz w:val="28"/>
          <w:sz w:val="28"/>
          <w:szCs w:val="28"/>
          <w:rtl w:val="true"/>
          <w:lang w:bidi="fa-IR"/>
        </w:rPr>
        <w:t>الدنیا و فتن غیره، و متعلّم من عالم علی سبیل هدی من اللّه و نجاة، ثمّ هلک من ادّعی و خاب من افتری</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الباب المذکور عن علیّ بن إبراهیم، عن محمّد بن عیسی، عن یونس، عن 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یغدو الناس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و غثاء؛ فنحن العلماء، و شیعتنا المتعلّمون، و سائر الناس غثاء</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باب ثواب العالم و المتعلّم عن محمّد بن یحیی، عن أحمد بن محمّد، عن الحسن بن محبوب، عن جمیل بن صالح،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 یعلّم العلم منکم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أجر المتعلّم، و له الفضل علیه، فتعلّموا العلم من حملة العلم، و علّموه إخوانکم کما علّمکموه العلماء</w:t>
      </w:r>
      <w:r>
        <w:rPr>
          <w:rFonts w:eastAsia="IRNazanin" w:cs="IRNazanin"/>
          <w:color w:val="111111"/>
          <w:sz w:val="28"/>
          <w:szCs w:val="28"/>
          <w:rtl w:val="true"/>
          <w:lang w:bidi="fa-IR"/>
        </w:rPr>
        <w:t>».</w:t>
      </w:r>
      <w:r>
        <w:rPr>
          <w:rStyle w:val="FootnoteAnchor"/>
          <w:rtl w:val="true"/>
        </w:rPr>
        <w:footnoteReference w:id="129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باب صفة العلم عن محمّد بن یحیی، عن أحمد بن محمّد بن عیسی، عن محمّد بن خالد، عن أبی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 و ذلک</w:t>
      </w:r>
      <w:r>
        <w:rPr>
          <w:rStyle w:val="FootnoteAnchor"/>
          <w:rtl w:val="true"/>
        </w:rPr>
        <w:footnoteReference w:id="1300"/>
      </w:r>
      <w:r>
        <w:rPr>
          <w:rFonts w:ascii="IRNazanin" w:hAnsi="IRNazanin" w:eastAsia="IRNazanin"/>
          <w:color w:val="111111"/>
          <w:sz w:val="28"/>
          <w:sz w:val="28"/>
          <w:szCs w:val="28"/>
          <w:rtl w:val="true"/>
          <w:lang w:bidi="fa-IR"/>
        </w:rPr>
        <w:t>أنّ الأنبیاء لم یورّثوا دینارا و لا درهما، و إنّما ورّثوا</w:t>
      </w:r>
      <w:r>
        <w:rPr>
          <w:rStyle w:val="FootnoteAnchor"/>
          <w:rtl w:val="true"/>
        </w:rPr>
        <w:footnoteReference w:id="1301"/>
      </w:r>
      <w:r>
        <w:rPr>
          <w:rFonts w:ascii="IRNazanin" w:hAnsi="IRNazanin" w:eastAsia="IRNazanin"/>
          <w:color w:val="111111"/>
          <w:sz w:val="28"/>
          <w:sz w:val="28"/>
          <w:szCs w:val="28"/>
          <w:rtl w:val="true"/>
          <w:lang w:bidi="fa-IR"/>
        </w:rPr>
        <w:t>أحادیث من</w:t>
      </w:r>
    </w:p>
    <w:p>
      <w:pPr>
        <w:pStyle w:val="BookText"/>
        <w:rPr/>
      </w:pPr>
      <w:r>
        <w:rPr>
          <w:rFonts w:ascii="IRNazanin" w:hAnsi="IRNazanin" w:eastAsia="IRNazanin"/>
          <w:color w:val="111111"/>
          <w:sz w:val="28"/>
          <w:sz w:val="28"/>
          <w:szCs w:val="28"/>
          <w:rtl w:val="true"/>
          <w:lang w:bidi="fa-IR"/>
        </w:rPr>
        <w:t>أحادیثهم، فمن أخذ بشی‌ء منها فقد أخذ حظّا وافرا، فانظروا علمکم هذا عمّن تأخذونه؟ فإنّ فینا أهل البیت فی کلّ خلف عدولا ینفون عنه تحریف الغالین، و انتحال المبطلین، و تأویل الجاهلین</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و الکلینی بسندهما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المسلمین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عادلة، أو یمین قاطعة، أو سنّة ماضیة من أئمّة الهدی</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معرفة الإمام بسنده عن ربعی،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الأشیاء إلّا بأسباب</w:t>
      </w:r>
      <w:r>
        <w:rPr>
          <w:rStyle w:val="FootnoteAnchor"/>
          <w:rtl w:val="true"/>
        </w:rPr>
        <w:footnoteReference w:id="1304"/>
      </w:r>
      <w:r>
        <w:rPr>
          <w:rFonts w:ascii="IRNazanin" w:hAnsi="IRNazanin" w:eastAsia="IRNazanin"/>
          <w:color w:val="111111"/>
          <w:sz w:val="28"/>
          <w:sz w:val="28"/>
          <w:szCs w:val="28"/>
          <w:rtl w:val="true"/>
          <w:lang w:bidi="fa-IR"/>
        </w:rPr>
        <w:t>، فجعل لکلّ شی‌ء سببا، و جعل لکلّ سبب شرحا، و جعل لکلّ شرح علما، و جعل لکلّ علم بابا ناطقا، عرفه من عرفه، و جهله من جهله، و ذاک رسول اللّه صلّی اللّه علیه و آله و نحن</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السیّد الرضیّ فی نهج البلاغة عن أمیر المؤمنین علیه السّلام فی جملة خطبة 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ناظر قلب اللبیب، به یبصر أمده، و یعرف غوره و نجده</w:t>
      </w:r>
      <w:r>
        <w:rPr>
          <w:rStyle w:val="FootnoteAnchor"/>
          <w:rtl w:val="true"/>
        </w:rPr>
        <w:footnoteReference w:id="1306"/>
      </w:r>
      <w:r>
        <w:rPr>
          <w:rFonts w:ascii="IRNazanin" w:hAnsi="IRNazanin" w:eastAsia="IRNazanin"/>
          <w:color w:val="111111"/>
          <w:sz w:val="28"/>
          <w:sz w:val="28"/>
          <w:szCs w:val="28"/>
          <w:rtl w:val="true"/>
          <w:lang w:bidi="fa-IR"/>
        </w:rPr>
        <w:t>، راع رعی، و داع دعا، فاستجیبوا للداعی، و اتّبعوا الراعی، قد خاضوا بحار الفتن، و أخذوا بالبدع دون السنن، نحن الشعار و الأصحاب و الخزنة و الأبواب، و لا تؤتی البیوت إلّا من أبوابها، فمن أتاها من غیر بابها</w:t>
      </w:r>
      <w:r>
        <w:rPr>
          <w:rStyle w:val="FootnoteAnchor"/>
          <w:rtl w:val="true"/>
        </w:rPr>
        <w:footnoteReference w:id="1307"/>
      </w:r>
      <w:r>
        <w:rPr>
          <w:rFonts w:ascii="Amiri" w:hAnsi="Amiri" w:eastAsia="Amiri" w:cs="Amiri"/>
          <w:color w:val="111111"/>
          <w:sz w:val="28"/>
          <w:sz w:val="28"/>
          <w:szCs w:val="28"/>
          <w:rtl w:val="true"/>
          <w:lang w:bidi="ar-SA"/>
        </w:rPr>
        <w:t>سمّی سارقا</w:t>
      </w:r>
      <w:r>
        <w:rPr>
          <w:rFonts w:eastAsia="Amiri" w:cs="Amiri" w:ascii="Amiri" w:hAnsi="Amiri"/>
          <w:color w:val="111111"/>
          <w:sz w:val="28"/>
          <w:szCs w:val="28"/>
          <w:rtl w:val="true"/>
          <w:lang w:bidi="ar-SA"/>
        </w:rPr>
        <w:t>».</w:t>
      </w:r>
      <w:r>
        <w:rPr>
          <w:rStyle w:val="FootnoteAnchor"/>
          <w:rtl w:val="true"/>
        </w:rPr>
        <w:footnoteReference w:id="130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دعائم الإسلام عن علیّ بن إبراهیم، عن أبیه و عبد اللّه بن الصلت، جمیعا عن حمّاد بن عیسی، عن حریز بن عبد اللّه، عن زرارة، 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ذروة الأمر و سنامه</w:t>
      </w:r>
    </w:p>
    <w:p>
      <w:pPr>
        <w:pStyle w:val="BookText"/>
        <w:rPr/>
      </w:pPr>
      <w:r>
        <w:rPr>
          <w:rFonts w:ascii="Amiri" w:hAnsi="Amiri" w:eastAsia="Amiri" w:cs="Amiri"/>
          <w:color w:val="111111"/>
          <w:sz w:val="28"/>
          <w:sz w:val="28"/>
          <w:szCs w:val="28"/>
          <w:rtl w:val="true"/>
          <w:lang w:bidi="ar-SA"/>
        </w:rPr>
        <w:t>و مفتاحه و باب الأشیاء و رضا الرحمن الطاعة للإمام بعد معرفته،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w:t>
      </w:r>
      <w:r>
        <w:rPr>
          <w:rStyle w:val="FootnoteAnchor"/>
          <w:rtl w:val="true"/>
        </w:rPr>
        <w:footnoteReference w:id="1309"/>
      </w:r>
      <w:r>
        <w:rPr>
          <w:rFonts w:ascii="IRNazanin" w:hAnsi="IRNazanin" w:eastAsia="IRNazanin"/>
          <w:color w:val="111111"/>
          <w:sz w:val="28"/>
          <w:sz w:val="28"/>
          <w:szCs w:val="28"/>
          <w:rtl w:val="true"/>
          <w:lang w:bidi="fa-IR"/>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أنّه لیس شی‌ء من الحقّ فی أیدی الناس إلّا ما خرج من عند الأئمّة بسنده عن أبی جعفر أنّه قال لسلمة بن کهیل و الحکم بن عتیبة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إلّا شیئا خرج من عندنا أهل البیت</w:t>
      </w:r>
      <w:r>
        <w:rPr>
          <w:rStyle w:val="FootnoteAnchor"/>
          <w:rtl w:val="true"/>
        </w:rPr>
        <w:footnoteReference w:id="1311"/>
      </w:r>
      <w:r>
        <w:rPr>
          <w:rFonts w:ascii="Amiri" w:hAnsi="Amiri" w:eastAsia="Amiri" w:cs="Amiri"/>
          <w:color w:val="111111"/>
          <w:sz w:val="28"/>
          <w:sz w:val="28"/>
          <w:szCs w:val="28"/>
          <w:rtl w:val="true"/>
          <w:lang w:bidi="ar-SA"/>
        </w:rPr>
        <w:t>ما قال اللّه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w:t>
      </w:r>
      <w:r>
        <w:rPr>
          <w:rStyle w:val="FootnoteAnchor"/>
          <w:rtl w:val="true"/>
        </w:rPr>
        <w:footnoteReference w:id="1312"/>
      </w:r>
      <w:r>
        <w:rPr>
          <w:rFonts w:ascii="IRNazanin" w:hAnsi="IRNazanin" w:eastAsia="IRNazanin"/>
          <w:color w:val="111111"/>
          <w:sz w:val="28"/>
          <w:sz w:val="28"/>
          <w:szCs w:val="28"/>
          <w:rtl w:val="true"/>
          <w:lang w:bidi="fa-IR"/>
        </w:rPr>
        <w:t>فلیذهب الحکم یمینا و شمالا، فو اللّه لا یوجد</w:t>
      </w:r>
      <w:r>
        <w:rPr>
          <w:rStyle w:val="FootnoteAnchor"/>
          <w:rtl w:val="true"/>
        </w:rPr>
        <w:footnoteReference w:id="1313"/>
      </w:r>
      <w:r>
        <w:rPr>
          <w:rFonts w:ascii="IRNazanin" w:hAnsi="IRNazanin" w:eastAsia="IRNazanin"/>
          <w:color w:val="111111"/>
          <w:sz w:val="28"/>
          <w:sz w:val="28"/>
          <w:szCs w:val="28"/>
          <w:rtl w:val="true"/>
          <w:lang w:bidi="fa-IR"/>
        </w:rPr>
        <w:t>العلم إلّا من</w:t>
      </w:r>
      <w:r>
        <w:rPr>
          <w:rStyle w:val="FootnoteAnchor"/>
          <w:rtl w:val="true"/>
        </w:rPr>
        <w:footnoteReference w:id="1314"/>
      </w:r>
      <w:r>
        <w:rPr>
          <w:rFonts w:ascii="IRNazanin" w:hAnsi="IRNazanin" w:eastAsia="IRNazanin"/>
          <w:color w:val="111111"/>
          <w:sz w:val="28"/>
          <w:sz w:val="28"/>
          <w:szCs w:val="28"/>
          <w:rtl w:val="true"/>
          <w:lang w:bidi="fa-IR"/>
        </w:rPr>
        <w:t>أهل بیت نزل علیهم جبرئیل</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الطبرسی فی کتاب الاحتجاج فی احتجاج أمیر المؤمنین علیه السّلام علی المهاجرین و الأنصار حکایة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علیّ بن أبی طالب علیه السّلام فیکم بمنزلتی، فقلّدوه دینکم، و أطیعوه فی جمیع امورکم، فإنّ عنده جمیع ما علّمنی اللّه عزّ و جلّ من علمه و حکمه، و اسألوه و تعلّموا منه و من أوصیائه بعده</w:t>
      </w:r>
      <w:r>
        <w:rPr>
          <w:rFonts w:eastAsia="IRNazanin" w:cs="IRNazanin"/>
          <w:color w:val="111111"/>
          <w:sz w:val="28"/>
          <w:szCs w:val="28"/>
          <w:rtl w:val="true"/>
          <w:lang w:bidi="fa-IR"/>
        </w:rPr>
        <w:t>».</w:t>
      </w:r>
      <w:r>
        <w:rPr>
          <w:rStyle w:val="FootnoteAnchor"/>
          <w:rtl w:val="true"/>
        </w:rPr>
        <w:footnoteReference w:id="131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فی ذلک کثیرة جدّا قد تجاوزت حدّ التواتر، و فیما أوردناه بل فی بعضه کفایة لاولی الألباب</w:t>
      </w:r>
      <w:r>
        <w:rPr>
          <w:rFonts w:eastAsia="IRNazanin" w:cs="IRNazanin"/>
          <w:color w:val="111111"/>
          <w:sz w:val="28"/>
          <w:szCs w:val="28"/>
          <w:rtl w:val="true"/>
          <w:lang w:bidi="fa-IR"/>
        </w:rPr>
        <w:t>.</w:t>
      </w:r>
      <w:bookmarkStart w:id="427" w:name="pg19819_193744"/>
    </w:p>
    <w:p>
      <w:pPr>
        <w:pStyle w:val="Heading4"/>
        <w:numPr>
          <w:ilvl w:val="3"/>
          <w:numId w:val="1"/>
        </w:numPr>
        <w:rPr/>
      </w:pPr>
      <w:bookmarkStart w:id="428" w:name="__RefHeading___Toc3055719_2314609296"/>
      <w:bookmarkStart w:id="429" w:name="_Toc163"/>
      <w:bookmarkEnd w:id="427"/>
      <w:bookmarkEnd w:id="428"/>
      <w:r>
        <w:rPr>
          <w:rtl w:val="true"/>
        </w:rPr>
        <w:t>[</w:t>
      </w:r>
      <w:r>
        <w:rPr>
          <w:rtl w:val="true"/>
        </w:rPr>
        <w:t>فصل</w:t>
      </w:r>
      <w:r>
        <w:rPr>
          <w:rtl w:val="true"/>
        </w:rPr>
        <w:t xml:space="preserve">: </w:t>
      </w:r>
      <w:r>
        <w:rPr>
          <w:rtl w:val="true"/>
        </w:rPr>
        <w:t>الأحادیث الدالّة علی وجوب الرجوع إلیهم علیهم السّلام فی الاصول</w:t>
      </w:r>
      <w:r>
        <w:rPr>
          <w:rtl w:val="true"/>
        </w:rPr>
        <w:t>]</w:t>
      </w:r>
      <w:bookmarkEnd w:id="429"/>
    </w:p>
    <w:p>
      <w:pPr>
        <w:pStyle w:val="BookText"/>
        <w:rPr/>
      </w:pPr>
      <w:r>
        <w:rPr>
          <w:rFonts w:ascii="IRNazanin" w:hAnsi="IRNazanin" w:eastAsia="IRNazanin"/>
          <w:color w:val="111111"/>
          <w:sz w:val="28"/>
          <w:sz w:val="28"/>
          <w:szCs w:val="28"/>
          <w:rtl w:val="true"/>
          <w:lang w:bidi="fa-IR"/>
        </w:rPr>
        <w:t>فصل قد عرفت أنّ هذه الأحادیث و أمثالها دالّة علی وجوب الرجوع إلیهم فی الاصول و الفروع، و أنا أذکر هنا ما هو مختصّ بالدلالة علی وجوب الرجوع إلیهم فی الاصول لیکون مؤکّدا لما تقدّم، و نقتصر من هذا القسم أیضا علی اثنی عشر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البدع و الرأی و المقاییس عن محمّد بن أبی عبد اللّه رفعه،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اوحّد اللّه؟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لا تکوننّ مبتدعا، من نظر برأیه هلک، و من ترک أهل بیت نبیّه فقد ضلّ، و من ترک کتاب اللّه و قول نبیّه کفر</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باب النهی عن الکلام فی الکیفیّة عن عدّة من أصحابنا، عن أحمد بن محمّد بن خالد، عن أبیه، عن ابن أبی عمیر، عن محمّد بن مروان،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زیاد، إیّاک و الخصومات، فإنّها تورث الشکّ، و تحبط العمل، و تردی صاحبها، و عسی أن یتکلّم الرجل بالشی‌ء فلا یغفر له، إنّه کان فیما مضی قوم ترکوا علم ما وکّلوا به، فطلبوا علم ما کفوه، حتّی انتهی بهم الکلام</w:t>
      </w:r>
      <w:r>
        <w:rPr>
          <w:rStyle w:val="FootnoteAnchor"/>
          <w:rtl w:val="true"/>
        </w:rPr>
        <w:footnoteReference w:id="1318"/>
      </w:r>
      <w:r>
        <w:rPr>
          <w:rFonts w:ascii="IRNazanin" w:hAnsi="IRNazanin" w:eastAsia="IRNazanin"/>
          <w:color w:val="111111"/>
          <w:sz w:val="28"/>
          <w:sz w:val="28"/>
          <w:szCs w:val="28"/>
          <w:rtl w:val="true"/>
          <w:lang w:bidi="fa-IR"/>
        </w:rPr>
        <w:t xml:space="preserve">إلی اللّه فتحیّروا،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لیدعی من بین یدیه فیجیب من خلفه، و یدعی من خلفه فیجیب من بین یدیه</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أیضا فی أوّل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دینه من کتاب اللّه و سنّة نبیّه زالت الجبال قبل أن یزول، و من أخذ دینه من أفواه الرجال ردّته الرجال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أمرنا من القرآن لم یتنکّب الفتن</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قال الکلینی بعد إیراد هذین الحدیثین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لهذه العلّة انبثقت</w:t>
      </w:r>
      <w:r>
        <w:rPr>
          <w:rStyle w:val="FootnoteAnchor"/>
          <w:rtl w:val="true"/>
        </w:rPr>
        <w:footnoteReference w:id="1321"/>
      </w:r>
      <w:r>
        <w:rPr>
          <w:rFonts w:ascii="IRNazanin" w:hAnsi="IRNazanin" w:eastAsia="IRNazanin"/>
          <w:color w:val="111111"/>
          <w:sz w:val="28"/>
          <w:sz w:val="28"/>
          <w:szCs w:val="28"/>
          <w:rtl w:val="true"/>
          <w:lang w:bidi="fa-IR"/>
        </w:rPr>
        <w:t>علی أهل دهرنا بثوق هذه الأدیان الفاسدة و المذاهب المستشنعة</w:t>
      </w:r>
      <w:r>
        <w:rPr>
          <w:rStyle w:val="FootnoteAnchor"/>
          <w:rtl w:val="true"/>
        </w:rPr>
        <w:footnoteReference w:id="1322"/>
      </w:r>
      <w:r>
        <w:rPr>
          <w:rFonts w:ascii="IRNazanin" w:hAnsi="IRNazanin" w:eastAsia="IRNazanin"/>
          <w:color w:val="111111"/>
          <w:sz w:val="28"/>
          <w:sz w:val="28"/>
          <w:szCs w:val="28"/>
          <w:rtl w:val="true"/>
          <w:lang w:bidi="fa-IR"/>
        </w:rPr>
        <w:t>، التی قد استوفت شرائط الکفر و الشرک کلّها، و ذلک بتوفیق اللّه و خذلانه، فمن أراد اللّه توفیقه و أن یکون إیمانه ثابتا مستقرّا سبّب له الأسباب التی تؤدّیه إلی أن یأخذ دینه من کتاب اللّه و سنّة نبیّه بعلم و یقین و بصیرة، فذلک أثبت فی دینه من الجبال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اللّه خذلانه و أن یکون دینه معارا مستودعا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له أسباب الاستحسان و التقلید و التأویل من غیر علم و بصیرة، فذاک فی المشیئة، إن شاء اللّه أتمّ ایمانه، و إن شاء سلبه إیّاه، و لا یؤمن علیه أن یصبح مؤمنا و یمسی کافرا، أو یمسی مؤمنا و یصبح کافرا؛ لأنّه کلّما رأی کبیرا من الکبراء مال معه، و کلّما رأی شیئا استحسن ظاهره قبله</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الکلینی و غیره من الأخباریّین لا یعملون و لا یعتمدون إلّا علی الأحادیث الصریحة، فمثل هذا الکلام مأخوذ من الأحادیث السابقة و الآتیة، بل هو متن حدیث البتة، کما یعلم من عادتهم بالتتبّع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أیضا فی باب النسبة عن محمّد بن یحیی، عن أحمد بن محمّد، عن الحسین بن سعید، عن النضر بن سوید، عن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عن التوحید،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علم أنّه یکون فی آخر الزمان أقوام متعمّقون، فأنزل اللّه عزّ و جلّ قُلْ هُوَ اللَّهُ أَحَدٌ</w:t>
      </w:r>
      <w:r>
        <w:rPr>
          <w:rStyle w:val="FootnoteAnchor"/>
          <w:rtl w:val="true"/>
        </w:rPr>
        <w:footnoteReference w:id="1324"/>
      </w:r>
      <w:r>
        <w:rPr>
          <w:rFonts w:ascii="IRNazanin" w:hAnsi="IRNazanin" w:eastAsia="IRNazanin"/>
          <w:color w:val="111111"/>
          <w:sz w:val="28"/>
          <w:sz w:val="28"/>
          <w:szCs w:val="28"/>
          <w:rtl w:val="true"/>
          <w:lang w:bidi="fa-IR"/>
        </w:rPr>
        <w:t>و الآیات من سورة الحدید إلی قوله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عَلِیمٌ بِذاتِ الصُّدُورِ</w:t>
      </w:r>
      <w:r>
        <w:rPr>
          <w:rStyle w:val="FootnoteAnchor"/>
          <w:rtl w:val="true"/>
        </w:rPr>
        <w:footnoteReference w:id="1325"/>
      </w:r>
      <w:r>
        <w:rPr>
          <w:rFonts w:ascii="IRNazanin" w:hAnsi="IRNazanin" w:eastAsia="IRNazanin"/>
          <w:color w:val="111111"/>
          <w:sz w:val="28"/>
          <w:sz w:val="28"/>
          <w:szCs w:val="28"/>
          <w:rtl w:val="true"/>
          <w:lang w:bidi="fa-IR"/>
        </w:rPr>
        <w:t>فمن رام وراء ذلک فقد هلک</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أوّل الباب المذکور عن أحمد بن إدریس، عن محمّد بن عبد الجبّار، عن صفوان بن یحیی، عن أبی أیّوب، عن محمّد بن مسلم، عن أبی جعفر علیه السّلام</w:t>
      </w:r>
      <w:r>
        <w:rPr>
          <w:rStyle w:val="FootnoteAnchor"/>
          <w:rtl w:val="true"/>
        </w:rPr>
        <w:footnoteReference w:id="13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الیهود سألوا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 لنا ربّک، فمکث</w:t>
      </w:r>
      <w:r>
        <w:rPr>
          <w:rStyle w:val="FootnoteAnchor"/>
          <w:rtl w:val="true"/>
        </w:rPr>
        <w:footnoteReference w:id="1328"/>
      </w:r>
      <w:r>
        <w:rPr>
          <w:rFonts w:ascii="Amiri" w:hAnsi="Amiri" w:eastAsia="Amiri" w:cs="Amiri"/>
          <w:color w:val="111111"/>
          <w:sz w:val="28"/>
          <w:sz w:val="28"/>
          <w:szCs w:val="28"/>
          <w:rtl w:val="true"/>
          <w:lang w:bidi="ar-SA"/>
        </w:rPr>
        <w:t>ثلاثا لا یجیبهم، 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إلی آخرها</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ترکه علیه السّلام للجواب مع کمال عقله و معرفته بجمیع الأدلّة العقلیّة، و مع ذلک انتظر الوحی و النصّ من اللّه ثلاثة أیّام و ثلاث لیال، مع أنّ الظاهر أنّ الأدلّة القطعیّة کانت أحبّ إلی السائلین و أروج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دالّ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باب النهی عن الصفة بغیر ما وصف به نفسه عن علیّ بن إبراهیم، عن العبّاس بن معروف، عن ابن أبی نجران، عن حمّاد بن عثمان، عن عبد الرحیم القصیر أنّه کتب إلی أبی عبد اللّه علیه السّلام علی یدی عبد الملک بن أعین، یسأله عن التوحید، فکتب إلیه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و ما ذهب إلیه من قبلک، فتعالی اللّه الذی لیس کمثله شی‌ء و هو السمیع البصیر، فاعلم رحمک اللّه أنّ المذهب الصحیح فی التوحید ما نزل به القرآن فی صفات اللّه عزّ و جلّ، فانف عن اللّه البطلان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تعدوا القرآن فتضلّوا بعد البیان</w:t>
      </w:r>
      <w:r>
        <w:rPr>
          <w:rFonts w:eastAsia="IRNazanin" w:cs="IRNazanin"/>
          <w:color w:val="111111"/>
          <w:sz w:val="28"/>
          <w:szCs w:val="28"/>
          <w:rtl w:val="true"/>
          <w:lang w:bidi="fa-IR"/>
        </w:rPr>
        <w:t>.</w:t>
      </w:r>
      <w:r>
        <w:rPr>
          <w:rStyle w:val="FootnoteAnchor"/>
          <w:rtl w:val="true"/>
        </w:rPr>
        <w:footnoteReference w:id="133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الباب المذکور عن محمّد بن أبی عبد اللّه، عن محمّد بن إسماعیل، عن الحسین بن الحسن، عن بکر بن صالح، عن الحسن بن سعید، عن إبراهیم بن عمر الخزّار و محمّد بن الحسین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فحکینا له أنّ محمّدا صلّی اللّه علیه و آله رأی ربّه و أنّ بعضهم یقولون إنّه أجوف إلی السّرة و البقیّة صمد، فخرّ ساجدا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ما عرفوک و ما وحّدوک، فمن أجل ذلک وصفوک، سبحانک</w:t>
      </w:r>
    </w:p>
    <w:p>
      <w:pPr>
        <w:pStyle w:val="BookText"/>
        <w:rPr/>
      </w:pPr>
      <w:r>
        <w:rPr>
          <w:rFonts w:ascii="IRNazanin" w:hAnsi="IRNazanin" w:eastAsia="IRNazanin"/>
          <w:color w:val="111111"/>
          <w:sz w:val="28"/>
          <w:sz w:val="28"/>
          <w:szCs w:val="28"/>
          <w:rtl w:val="true"/>
          <w:lang w:bidi="fa-IR"/>
        </w:rPr>
        <w:t>لو عرفوک لوصفوک بما وصفت به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أصفک إلّا بما وصفت به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آل محمّد 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یسبقنا الغالی و لا یلحقنا التالی</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ثمّ قال فی آخر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ما شهد له الکتاب و السنّة فنحن القائلون به</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الباب المذکور أیضا عن علیّ بن محمّد و محمّد بن الحسن، عن سهل بن زیاد، عن إبراهیم بن محمّد الهمدانی، عن 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موسی بن جعفر کتب إلی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أجلّ و أعظم من أن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 فصفوه بما وصف به نفسه، و کفّوا عمّا سوی ذلک</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أیضا عنهما عن سهل، عن السندی بن الربیع، عن ابن أبی عمیر، عن حفص أخی مرازم،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شی‌ء من الصفة،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تجاوز ما فی القرآن</w:t>
      </w:r>
      <w:r>
        <w:rPr>
          <w:rFonts w:eastAsia="IRNazanin" w:cs="IRNazanin"/>
          <w:color w:val="111111"/>
          <w:sz w:val="28"/>
          <w:szCs w:val="28"/>
          <w:rtl w:val="true"/>
          <w:lang w:bidi="fa-IR"/>
        </w:rPr>
        <w:t>».</w:t>
      </w:r>
      <w:r>
        <w:rPr>
          <w:rStyle w:val="FootnoteAnchor"/>
          <w:rtl w:val="true"/>
        </w:rPr>
        <w:footnoteReference w:id="133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عیون الأخبار فی باب ذکر مجلس الرضا علیه السّلام مع أهل الأدیان، و رواه الطبرسی فی الاحتجاج عن الحسن بن علیّ النوفلی الهاشمی عن الرضا علیه السّلام فی احتجاجه علی عمران الصابی فی التوحید و الصفات و غیر ذلک، یقول فیه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أخذ علم ذلک برأیه، و طلب وجوده و إدراکه عن نفسه لا عن غیرها، لم یزدد من علم ذلک إلّا بعدا؛ لأنّ اللّه تعالی جعل علم ذلک خاصّة عند قوم</w:t>
      </w:r>
    </w:p>
    <w:p>
      <w:pPr>
        <w:pStyle w:val="BookText"/>
        <w:rPr/>
      </w:pPr>
      <w:r>
        <w:rPr>
          <w:rFonts w:ascii="IRNazanin" w:hAnsi="IRNazanin" w:eastAsia="IRNazanin"/>
          <w:color w:val="111111"/>
          <w:sz w:val="28"/>
          <w:sz w:val="28"/>
          <w:szCs w:val="28"/>
          <w:rtl w:val="true"/>
          <w:lang w:bidi="fa-IR"/>
        </w:rPr>
        <w:t>یعقلون و یعلمون و یفهمون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جلّ جلاله بقدرته یمسک ذلک کلّه، و لیس بداخل فی شی‌ء، و لا یخرج منه شی‌ء، و لا یئوده حفظه، و لا یعجز عن إمساکه، و لا یعرف أحد من الخلق کیف ذلک إلّا اللّه، و من اطّلعه علیه من رسله و أهل سرّه و المستحفظین لأمره و خزّانه العالمین بشریعته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باب النوادر من التوحید عن الحسین بن محمّد، عن معلّی بن محمّد، عن محمّد بن جمهور، عن علیّ بن الصلت، عن الحکم و إسماعیل بن حبیب،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بنا عرف اللّه، و بنا وحّد اللّه، و محمّد حجاب اللّه تبارک و تعالی</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و مثله بل أوضح دلالة منه ما رواه الکلینی أیضا فی باب معرفة الإمام و الردّ إلیه عن الحسین بن محمّد، عن معلّی بن محمّد، عن ابن جمهور، عن عبد اللّه بن عبد الرحمن، عن الهیثم بن واقد، عن مقرّن،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ابن الکوّاء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الْأَعْرافِ رِجالٌ یَعْرِفُونَ کُلًّا بِسِیماهُمْ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علی الأعراف، نعرف أنصارنا بسیماهم، و نحن الأعراف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اللّه إلّا بسبیل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لو شاء لعرّف العباد نفسه، و لکن جعلنا أبوابه و صراطه و سبیله و الباب</w:t>
      </w:r>
      <w:r>
        <w:rPr>
          <w:rStyle w:val="FootnoteAnchor"/>
          <w:rtl w:val="true"/>
        </w:rPr>
        <w:footnoteReference w:id="1337"/>
      </w:r>
      <w:r>
        <w:rPr>
          <w:rFonts w:ascii="IRNazanin" w:hAnsi="IRNazanin" w:eastAsia="IRNazanin"/>
          <w:color w:val="111111"/>
          <w:sz w:val="28"/>
          <w:sz w:val="28"/>
          <w:szCs w:val="28"/>
          <w:rtl w:val="true"/>
          <w:lang w:bidi="fa-IR"/>
        </w:rPr>
        <w:t>الذی یؤتی منه</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فی ذلک کثیرة جدّا، و فیما ذکرناه کفایة إن شاء اللّه تعالی، فعلیک بالتسلیم و الانقیاد، و إیّاک و التعصّب و العناد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ارجع إلی کلام أهل العصمة فی جمیع المطالب المهمّة، فإنّک تجد فی أحادیثهم جمیع العلوم المحتاج إلیها، و سائر القواعد التی یمکن العمل بها و التفریع علیها،</w:t>
      </w:r>
    </w:p>
    <w:p>
      <w:pPr>
        <w:pStyle w:val="BookText"/>
        <w:rPr/>
      </w:pPr>
      <w:r>
        <w:rPr>
          <w:rFonts w:ascii="IRNazanin" w:hAnsi="IRNazanin" w:eastAsia="IRNazanin"/>
          <w:color w:val="111111"/>
          <w:sz w:val="28"/>
          <w:sz w:val="28"/>
          <w:szCs w:val="28"/>
          <w:rtl w:val="true"/>
          <w:lang w:bidi="fa-IR"/>
        </w:rPr>
        <w:t>و لم یبق عند التحقیق مسألة واحدة خالیة من حکم خاصّ أو عامّ؛ لأنّهم علیه السّلام قد بیّنوا جمیع ما یحتاج إلیه من أحکام الإیمان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یحتاج إلی زیادة التتبّع لکلامهم فی مظانّه، و التقاط حدیثهم من أماکنه و معادنه، و الاحتیاط فی فهمه و تحقیقه و معرفة معانیه و متنه و طریقه و تمییز المحکمات من المتشابهات و الحقائق من المجازات، و ذلک یعلم من تعاضد الأحادیث و اتّفاقها علی المعنی الواحد، و رجحانها علی معارضاتها کما تقدّم بیانه من القواعد؛ و اللّه الهادی إلی طریق الحقّ فی ذلک، و المؤیّد و المسدّد لمن سلک هذه المسالک، و الموفّق لسلوک سبیل أهل العصمة للنجاة من جمیع 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لتصحیح القول و العمل، و اعصمنا من الخطأ و الخطل، و جنّبنا الزیغ و الزلل، و أعذنا من السأمة و الملل، و أنقذنا من أسر البطالة و الکسل، و بلّغنا ببرکة متابعة حججک علیهم السّلام غایة الأمل، و فرغنا لطاعتک و عبادتک قبل انقضاء الأجل، و آمنّا یوم لقائک من کلّ خجل و وجل، و داو قلوبنا و أبداننا بلطفک الخفیّ من جمیع العلل، آمین ربّ العالمین و صلّ علی ساداتنا محمّد و آله الطاهرین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الرسالة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الأسماع فی حکم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الخمیس، رابع عشر شهر رجب المبارک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مؤلّفها محمّد بن الحسن بن علیّ بن محمّد الحرّ العاملی عامله اللّه بلطفه الخفیّ</w:t>
      </w:r>
      <w:r>
        <w:rPr>
          <w:rFonts w:eastAsia="IRNazanin" w:cs="IRNazanin"/>
          <w:color w:val="111111"/>
          <w:sz w:val="28"/>
          <w:szCs w:val="28"/>
          <w:rtl w:val="true"/>
          <w:lang w:bidi="fa-IR"/>
        </w:rPr>
        <w:t>.</w:t>
      </w:r>
      <w:bookmarkStart w:id="430" w:name="pg19819_193750"/>
    </w:p>
    <w:p>
      <w:pPr>
        <w:pStyle w:val="Heading2"/>
        <w:numPr>
          <w:ilvl w:val="1"/>
          <w:numId w:val="1"/>
        </w:numPr>
        <w:rPr/>
      </w:pPr>
      <w:bookmarkStart w:id="431" w:name="__RefHeading___Toc3055721_2314609296"/>
      <w:bookmarkStart w:id="432" w:name="_Toc164"/>
      <w:bookmarkEnd w:id="430"/>
      <w:bookmarkEnd w:id="431"/>
      <w:r>
        <w:rPr/>
        <w:t>6</w:t>
      </w:r>
      <w:r>
        <w:rPr>
          <w:rtl w:val="true"/>
        </w:rPr>
        <w:t xml:space="preserve"> </w:t>
      </w:r>
      <w:r>
        <w:rPr>
          <w:rtl w:val="true"/>
        </w:rPr>
        <w:t xml:space="preserve">حجّیة الشهرة السیّد علیّ الطباطبائی </w:t>
      </w:r>
      <w:r>
        <w:rPr>
          <w:rtl w:val="true"/>
        </w:rPr>
        <w:t>(</w:t>
      </w:r>
      <w:r>
        <w:rPr>
          <w:rtl w:val="true"/>
        </w:rPr>
        <w:t>صاحب ریاض المسائل</w:t>
      </w:r>
      <w:r>
        <w:rPr>
          <w:rtl w:val="true"/>
        </w:rPr>
        <w:t>) (</w:t>
      </w:r>
      <w:r>
        <w:rPr>
          <w:rtl w:val="true"/>
        </w:rPr>
        <w:t xml:space="preserve">م </w:t>
      </w:r>
      <w:r>
        <w:rPr/>
        <w:t>1231</w:t>
      </w:r>
      <w:r>
        <w:rPr>
          <w:rtl w:val="true"/>
        </w:rPr>
        <w:t xml:space="preserve"> </w:t>
      </w:r>
      <w:r>
        <w:rPr>
          <w:rtl w:val="true"/>
        </w:rPr>
        <w:t>ق</w:t>
      </w:r>
      <w:r>
        <w:rPr>
          <w:rtl w:val="true"/>
        </w:rPr>
        <w:t xml:space="preserve">) </w:t>
      </w:r>
      <w:r>
        <w:rPr>
          <w:rtl w:val="true"/>
        </w:rPr>
        <w:t>تحقیق علیّ الفاضلی</w:t>
      </w:r>
      <w:bookmarkEnd w:id="43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3055723_2314609296"/>
      <w:bookmarkStart w:id="434" w:name="_Toc165"/>
      <w:bookmarkEnd w:id="433"/>
      <w:r>
        <w:rPr>
          <w:rtl w:val="true"/>
        </w:rPr>
        <w:t>اشارة</w:t>
      </w:r>
      <w:bookmarkStart w:id="435" w:name="pg19819_193752"/>
      <w:bookmarkEnd w:id="434"/>
    </w:p>
    <w:p>
      <w:pPr>
        <w:pStyle w:val="Heading3"/>
        <w:numPr>
          <w:ilvl w:val="2"/>
          <w:numId w:val="1"/>
        </w:numPr>
        <w:rPr/>
      </w:pPr>
      <w:bookmarkStart w:id="436" w:name="__RefHeading___Toc3055725_2314609296"/>
      <w:bookmarkStart w:id="437" w:name="_Toc166"/>
      <w:bookmarkEnd w:id="435"/>
      <w:bookmarkEnd w:id="436"/>
      <w:r>
        <w:rPr>
          <w:rtl w:val="true"/>
        </w:rPr>
        <w:t>مقدّمة التحقیق</w:t>
      </w:r>
      <w:bookmarkEnd w:id="437"/>
    </w:p>
    <w:p>
      <w:pPr>
        <w:pStyle w:val="Heading4"/>
        <w:numPr>
          <w:ilvl w:val="3"/>
          <w:numId w:val="1"/>
        </w:numPr>
        <w:rPr/>
      </w:pPr>
      <w:bookmarkStart w:id="438" w:name="__RefHeading___Toc3055727_2314609296"/>
      <w:bookmarkStart w:id="439" w:name="_Toc167"/>
      <w:bookmarkEnd w:id="438"/>
      <w:r>
        <w:rPr>
          <w:rtl w:val="true"/>
        </w:rPr>
        <w:t>المؤلّف و اسرته</w:t>
      </w:r>
      <w:bookmarkEnd w:id="439"/>
    </w:p>
    <w:p>
      <w:pPr>
        <w:pStyle w:val="BookText"/>
        <w:rPr/>
      </w:pPr>
      <w:r>
        <w:rPr>
          <w:rFonts w:ascii="IRNazanin" w:hAnsi="IRNazanin" w:eastAsia="IRNazanin"/>
          <w:color w:val="111111"/>
          <w:sz w:val="28"/>
          <w:sz w:val="28"/>
          <w:szCs w:val="28"/>
          <w:rtl w:val="true"/>
          <w:lang w:bidi="fa-IR"/>
        </w:rPr>
        <w:t xml:space="preserve">هو السیّد میر علیّ بن السیّد محمّد علیّ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میر أبی المعالی الصغیر بن العلّامة النحریر میر أبی المعالی الکبیر صهر ملّا محمّد صالح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آغا أحمد الکرمانشاهی حفید الوحید البهبهانی فی 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بزرگوار و فاضل عالی‌مقدار، علامه نحریر مرحوم میر ابو المعالی بزرگ قدّس سرّه چهار پسر و دو دختر مخلف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فاضل مقدس علامه میر ابو طالب</w:t>
      </w:r>
      <w:r>
        <w:rPr>
          <w:rStyle w:val="FootnoteAnchor"/>
          <w:rtl w:val="true"/>
        </w:rPr>
        <w:footnoteReference w:id="1339"/>
      </w:r>
      <w:r>
        <w:rPr>
          <w:rFonts w:ascii="IRNazanin" w:hAnsi="IRNazanin" w:eastAsia="IRNazanin"/>
          <w:color w:val="111111"/>
          <w:sz w:val="28"/>
          <w:sz w:val="28"/>
          <w:szCs w:val="28"/>
          <w:rtl w:val="true"/>
          <w:lang w:bidi="fa-IR"/>
        </w:rPr>
        <w:t>است، و دیگری مقدس صالح میر سیّد علی است، و سیم میر سیّد محمّد، و چهارم غفران‌مآب امیر ابو المعالی کوچک است</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ثمّ ذکر أولاد کلّ منهم إلی أن قال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مرحمت غفران‌مآب میر ابو المعالی کوچک قدّس سرّه والد مرحمت و غفران‌پناه آقا سیّد محمّد علی مشهور به آقا سیّد است، و آقا سیّد مرحوم والد ماجد بندگان جلیل الشأن رفیع مکان علامی فهامی زبدة المجتهدین امیر سیّد علی طباطبایی دام ظله العالی و همشیره مکرمه ایشان است، و حلیله جلیله آقا سیّد، عمه مقدسه مکرمه والد ماجد این فقیر است</w:t>
      </w:r>
      <w:r>
        <w:rPr>
          <w:rFonts w:eastAsia="IRNazanin" w:cs="IRNazanin"/>
          <w:color w:val="111111"/>
          <w:sz w:val="28"/>
          <w:szCs w:val="28"/>
          <w:rtl w:val="true"/>
          <w:lang w:bidi="fa-IR"/>
        </w:rPr>
        <w:t>.</w:t>
      </w:r>
      <w:r>
        <w:rPr>
          <w:rStyle w:val="FootnoteAnchor"/>
          <w:rtl w:val="true"/>
        </w:rPr>
        <w:footnoteReference w:id="1341"/>
      </w:r>
      <w:bookmarkStart w:id="440" w:name="pg19819_193753"/>
    </w:p>
    <w:p>
      <w:pPr>
        <w:pStyle w:val="BookText"/>
        <w:rPr/>
      </w:pPr>
      <w:bookmarkEnd w:id="440"/>
      <w:r>
        <w:rPr>
          <w:rFonts w:ascii="IRNazanin" w:hAnsi="IRNazanin" w:eastAsia="IRNazanin"/>
          <w:color w:val="111111"/>
          <w:sz w:val="28"/>
          <w:sz w:val="28"/>
          <w:szCs w:val="28"/>
          <w:rtl w:val="true"/>
          <w:lang w:bidi="fa-IR"/>
        </w:rPr>
        <w:t>قال أیضا فی 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همشیره مکرمه معظمه مجتهد العصر و الزمان جناب سیّد سابق الالقاب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حباله عالی‌جناب سلالة الاطیاب، مرحمت و غفران مآب آقا سیّد عبد اللّه عطار کاشانی بود که در قضیه وهابی به درجه شهادت رسید</w:t>
      </w:r>
      <w:r>
        <w:rPr>
          <w:rFonts w:eastAsia="IRNazanin" w:cs="IRNazanin"/>
          <w:color w:val="111111"/>
          <w:sz w:val="28"/>
          <w:szCs w:val="28"/>
          <w:rtl w:val="true"/>
          <w:lang w:bidi="fa-IR"/>
        </w:rPr>
        <w:t>.</w:t>
      </w:r>
      <w:r>
        <w:rPr>
          <w:rStyle w:val="FootnoteAnchor"/>
          <w:rtl w:val="true"/>
        </w:rPr>
        <w:footnoteReference w:id="1342"/>
      </w:r>
    </w:p>
    <w:p>
      <w:pPr>
        <w:pStyle w:val="Heading4"/>
        <w:numPr>
          <w:ilvl w:val="3"/>
          <w:numId w:val="1"/>
        </w:numPr>
        <w:rPr/>
      </w:pPr>
      <w:bookmarkStart w:id="441" w:name="__RefHeading___Toc3055729_2314609296"/>
      <w:bookmarkStart w:id="442" w:name="_Toc168"/>
      <w:bookmarkEnd w:id="441"/>
      <w:r>
        <w:rPr>
          <w:rtl w:val="true"/>
        </w:rPr>
        <w:t>أولاده</w:t>
      </w:r>
      <w:r>
        <w:rPr>
          <w:rtl w:val="true"/>
        </w:rPr>
        <w:t>:</w:t>
      </w:r>
      <w:bookmarkEnd w:id="442"/>
    </w:p>
    <w:p>
      <w:pPr>
        <w:pStyle w:val="BookText"/>
        <w:rPr/>
      </w:pPr>
      <w:r>
        <w:rPr>
          <w:rFonts w:ascii="IRNazanin" w:hAnsi="IRNazanin" w:eastAsia="IRNazanin"/>
          <w:color w:val="111111"/>
          <w:sz w:val="28"/>
          <w:sz w:val="28"/>
          <w:szCs w:val="28"/>
          <w:rtl w:val="true"/>
          <w:lang w:bidi="fa-IR"/>
        </w:rPr>
        <w:t>قال آغا أحمد الکرمانشاهی فی 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امجادش از بطن عمه مکرمه</w:t>
      </w:r>
      <w:r>
        <w:rPr>
          <w:rStyle w:val="FootnoteAnchor"/>
          <w:rtl w:val="true"/>
        </w:rPr>
        <w:footnoteReference w:id="1343"/>
      </w:r>
      <w:r>
        <w:rPr>
          <w:rFonts w:ascii="IRNazanin" w:hAnsi="IRNazanin" w:eastAsia="IRNazanin"/>
          <w:color w:val="111111"/>
          <w:sz w:val="28"/>
          <w:sz w:val="28"/>
          <w:szCs w:val="28"/>
          <w:rtl w:val="true"/>
          <w:lang w:bidi="fa-IR"/>
        </w:rPr>
        <w:t>یکی جناب مستغنی القاب وحید الزمان آقا سیّد محمّد</w:t>
      </w:r>
      <w:r>
        <w:rPr>
          <w:rStyle w:val="FootnoteAnchor"/>
          <w:rtl w:val="true"/>
        </w:rPr>
        <w:footnoteReference w:id="1344"/>
      </w:r>
      <w:r>
        <w:rPr>
          <w:rFonts w:ascii="IRNazanin" w:hAnsi="IRNazanin" w:eastAsia="IRNazanin"/>
          <w:color w:val="111111"/>
          <w:sz w:val="28"/>
          <w:sz w:val="28"/>
          <w:szCs w:val="28"/>
          <w:rtl w:val="true"/>
          <w:lang w:bidi="fa-IR"/>
        </w:rPr>
        <w:t>است، و دیگری نور چشمی عالی‌جناب سیّد مهدی</w:t>
      </w:r>
      <w:r>
        <w:rPr>
          <w:rStyle w:val="FootnoteAnchor"/>
          <w:rtl w:val="true"/>
        </w:rPr>
        <w:footnoteReference w:id="1345"/>
      </w:r>
      <w:r>
        <w:rPr>
          <w:rFonts w:ascii="IRNazanin" w:hAnsi="IRNazanin" w:eastAsia="IRNazanin"/>
          <w:color w:val="111111"/>
          <w:sz w:val="28"/>
          <w:sz w:val="28"/>
          <w:szCs w:val="28"/>
          <w:rtl w:val="true"/>
          <w:lang w:bidi="fa-IR"/>
        </w:rPr>
        <w:t>است، و صبیه که زوجه نور چشمی آقا محمّد اسماعیل بود</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و صبیه‌ای که از بطن جاریه حبشیه است به سیّد محمّد خلف سید حسین کرمانشاهانی شوهر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صبیه دیگر هنوز در خانه‌اند و شوهر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أیضا فی مرآة الأحوال،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و فی ط دوانی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امر صبیه مرضیه جناب سیّد معظم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عمه‌زاده است نکاح نمود، و از او چند اولاد شد و فوت شدند، و بعد از چند مدت به جهت سوء مزاجی که فیما بین ایشان شد تفریق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صبیه جالینوس الزمانی میرزا زین العابدین طبیب اصفهانی در نکاح اوست، و از طایفه کلهر نیز نکاحی کرده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از بطن جاریه یک دختر</w:t>
      </w:r>
    </w:p>
    <w:p>
      <w:pPr>
        <w:pStyle w:val="BookText"/>
        <w:rPr/>
      </w:pPr>
      <w:r>
        <w:rPr>
          <w:rFonts w:ascii="IRNazanin" w:hAnsi="IRNazanin" w:eastAsia="IRNazanin"/>
          <w:color w:val="111111"/>
          <w:sz w:val="28"/>
          <w:sz w:val="28"/>
          <w:szCs w:val="28"/>
          <w:rtl w:val="true"/>
          <w:lang w:bidi="fa-IR"/>
        </w:rPr>
        <w:t>است، و از بطن دختر سیّد علی اصفهانی، سیّد محمّد علی و یک دختر است</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و صهره الآخر السیّد محمّد تقی بن السیّد رضا بن السیّد مهدی بحر العلوم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قال محمّد أمین الخوئی فی ترجمة السیّد محمّد باقر الحجّة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اسرة جلیلة، اسرة علم و فضل و نبالة و بیت فقه و ورع و جلالة، خرج من تلک الاسرة الشریفة من زمن حضرة الاستاذ صاحب الریاض إلی عهدنا الحاضر ما یناهز من خمسة عشر من الأعلام البرعة</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و قال آغا بزرک الطهرانی فی ترجمة السیّد محمّد صادق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 من هذا البیت الرفیع بعض أفذاذ العلماء و أکابرهم</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و قال أیضا فی ترجمة السیّد عبد الحسین الحجّة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الطباطبائی من بیوت العلم المعروفة فی کربلاء، و أسر الزعامة و المجد و الشرف و الفضل، توارثوا الفقاهة و الرئاسة أبا عن جدّ، و ظهر فیهم علماء متبحّرون و فقهاء بارعون، فجدّهم السیّد علیّ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ورث مقامه ولده السیّد محمّد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خلفه ولده السیّد حسن إلی أن توفّی فخلفه ولده السیّد ابو القاسم و هو الّذی لقّب بالحجّة و لازم اللقب أولاده و أحفاده، و قد توفّی 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فخلفه ولداه أکبرهما</w:t>
      </w:r>
    </w:p>
    <w:p>
      <w:pPr>
        <w:pStyle w:val="BookText"/>
        <w:rPr/>
      </w:pPr>
      <w:r>
        <w:rPr>
          <w:rFonts w:ascii="IRNazanin" w:hAnsi="IRNazanin" w:eastAsia="IRNazanin"/>
          <w:color w:val="111111"/>
          <w:sz w:val="28"/>
          <w:sz w:val="28"/>
          <w:szCs w:val="28"/>
          <w:rtl w:val="true"/>
          <w:lang w:bidi="fa-IR"/>
        </w:rPr>
        <w:t xml:space="preserve">السیّد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السیّد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أصغرهما السیّد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أبیه بسبعة أشهر و هو والد المترجم له، و الکلّ علماء أجلّاء، و فقهاء صلحاء خدموا الدین بالتدریس و التألیف و غیرهما</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و نحن فی هذا المجال نذکر من رجال هذه الاسرة بعض ما عثرت علیه من دون استقصاء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حسن الملقّب بالحاج آغا ابن السیّد محمّد المجاهد ابن صاحب الریاض</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حسین بن السیّد محمّد المجاهد المتوفّی حدود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کان هو و أخوه السیّد حسن سبطی بحر العلوم، و کان هو صهر السلطان فتح علیّ شاه القاجار علی ابنة ابنه علیّ میرزا</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زین العابدین بن السیّد حسین بن السیّد محمّد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السیّد علیّ نقی بن السیّد حسن بن السیّد محمّد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أبو القاسم الحجّة ابن السیّد حسن بن السیّد محمّد المجاهد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صادق بن السیّد مهدی بن صاحب الریاض، سبط السیّد محمّد المجاهد، الشهیر بالسیّد صادق السنگلجی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الآغا میرزا جعفر بن السیّد علیّ نقی بن السیّد حسن بن السیّد محمّد المجاهد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السیّد محمّد باقر الحجّة بن السیّد أبی القاسم بن السیّد حسن بن السیّد محمّد</w:t>
      </w:r>
      <w:bookmarkStart w:id="443" w:name="pg19819_193756"/>
    </w:p>
    <w:p>
      <w:pPr>
        <w:pStyle w:val="BookText"/>
        <w:rPr/>
      </w:pPr>
      <w:bookmarkEnd w:id="443"/>
      <w:r>
        <w:rPr>
          <w:rFonts w:ascii="IRNazanin" w:hAnsi="IRNazanin" w:eastAsia="IRNazanin"/>
          <w:color w:val="111111"/>
          <w:sz w:val="28"/>
          <w:sz w:val="28"/>
          <w:szCs w:val="28"/>
          <w:rtl w:val="true"/>
          <w:lang w:bidi="fa-IR"/>
        </w:rPr>
        <w:t xml:space="preserve">المجاهد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 xml:space="preserve">صاحب المکتبة المذکورة فی الذریعة،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صادق بن السیّد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القاسم بن الحسن بن السیّد محمّد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السیّد عبد الحسین الحجّة ابن السیّد علیّ بن السیّد أبی القاسم الملقّب بالحجّة ابن السیّد حسن بن السیّد محمّد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055731_2314609296"/>
      <w:bookmarkStart w:id="445" w:name="_Toc169"/>
      <w:bookmarkEnd w:id="444"/>
      <w:r>
        <w:rPr>
          <w:rtl w:val="true"/>
        </w:rPr>
        <w:t>الثناء علیه</w:t>
      </w:r>
      <w:r>
        <w:rPr>
          <w:rtl w:val="true"/>
        </w:rPr>
        <w:t>:</w:t>
      </w:r>
      <w:bookmarkEnd w:id="445"/>
    </w:p>
    <w:p>
      <w:pPr>
        <w:pStyle w:val="BookText"/>
        <w:rPr/>
      </w:pPr>
      <w:r>
        <w:rPr>
          <w:rFonts w:ascii="IRNazanin" w:hAnsi="IRNazanin" w:eastAsia="IRNazanin"/>
          <w:color w:val="111111"/>
          <w:sz w:val="28"/>
          <w:sz w:val="28"/>
          <w:szCs w:val="28"/>
          <w:rtl w:val="true"/>
          <w:lang w:bidi="fa-IR"/>
        </w:rPr>
        <w:t xml:space="preserve">قال عنه استاده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إجازته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استجازنی السیّد السند، الماجد الأمجد، الموفّق المسدّد، الرشید الأرشد، المحقّق المدقّق، العالم الکامل، الفاضل الباذل، صاحب الذهن الدقیق و الفهم الملی، الطاهر المطهّر، النابغة النورانیة، صاحب النسب الجلیل الرفیع و الحسب الجمیل، و الطبع الوقّاد، و الذهن النقّاد، ولدی الروحی، میر سیّد علی علیّ بن سیّد محمّد علیّ، وفقه اللّه لمراضیه، و أیّده و سدّده و أرشده</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و قال عنه شیخه فی الإجازة المیرزا مهدی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إجازته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استجازنی العالم الفاضل الکامل الأکرم الأمجد الولد الروحانی السیّد علیّ بن محمّد علیّ الحسنی الحسینی الشهیر بالطباطبائی الأصفهانی أیده اللّه تعالی فاجزت له أحیاه اللّه فی سرور</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 xml:space="preserve">و قال عنه تلمیذه المولی أحمد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لملّا علیّ الآرانی عند عدّ مشایخه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أخبرنی به إجازة سیّدنا الألمعی اللوذعی العالم الکامل الفقیه الفاضل الواصل فی مرتبتی العلم و العمل إلی درجة لا یدانیها ریب و لا زلل، المجتهد المحقّق الأمیر السیّد علیّ بن محمّد علیّ الطباطبائی المجاور فی الحائر المدرّس</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أیّام إفاداته و متّع اللّه المسلمین بطول بقائه و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شرحی الکبیر و الصغیر علی النافع و الشرح علی المفاتیح</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 xml:space="preserve">و قال عنه أیضا النراقی فی إجازته لأخیه محمّد مهدی النراقی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إجازة شیخی العالم العلم العلّامة و المجتهد الکامل الفهّامة، قدوة المجتهدین و شمس فلک المعالی و الفقه و الدین، وحید عصره و فرید دهره، البارع الألمعی، السیّد السند المعتمد السیّد علیّ بن محمّد علی، ابن اخت الفاضل البهبهانی و صهره، الکاظمینی مولدا و الحائری مسکنا و مدفنا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تربته و رفع فی جنان الخلد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الشرحین الکبیر و الصغیر علی النافع، المسمّی أوّلهما بریاض السالکین</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و وصفه تلمیذه الشیخ أسد اللّه التستری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مقابس الأنوار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الاستاذ الوحید، سیّد المحقّقین، و سند المدقّقین، العلّامة النحریر، مالک مجامع الفضل بالتقریر و التحریر، المتفرّع من دوحة الرسالة و الإمامة، المترعرع فی روضة الجلالة و الکرامة، الرافع للعلوم الدینیّة أرفع رایة، الجامع بین محاسن الدرایة و الروایة، محیی شریعة أجداده المنتجبین، مبیّن معاضل الدین المبین بأوضح البراهین و أفصح التبیین، نادرة الزمان خلاصة الأفاضل الأعیان، الحاوی لشتات الفضائل و المفاخر الفائق بها علی الأوائل و الأواخر، أوّل مشایخی و أساتیدی و سنادی و ملاذی و عمادی السیّد علیّ بن محمّد علیّ الطباطبائی الحائری أدام اللّه وجوده و أفاض علیه لطفه و جوده، و هو ابن اخت الاستاذ الأعظم و صهره و تلمیذه و روی عنه و عن غیره و أروی عنه، و له شرحان معروفان علی النافع کبیر موسوم بریاض المسائل و صغیر و هما فی اصول المسائل الفقهیة أحسن الکتب الموجودة فی مسائل عدیدة، و شرح</w:t>
      </w:r>
    </w:p>
    <w:p>
      <w:pPr>
        <w:pStyle w:val="BookText"/>
        <w:rPr/>
      </w:pPr>
      <w:r>
        <w:rPr>
          <w:rFonts w:ascii="IRNazanin" w:hAnsi="IRNazanin" w:eastAsia="IRNazanin"/>
          <w:color w:val="111111"/>
          <w:sz w:val="28"/>
          <w:sz w:val="28"/>
          <w:szCs w:val="28"/>
          <w:rtl w:val="true"/>
          <w:lang w:bidi="fa-IR"/>
        </w:rPr>
        <w:t>مبسوط علی قطعة من کتاب الصلاة من المفاتیح مشتمل علی معظم الأقوال و الأدلّة و التراجیح و تضاریع</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و وصفه تلمیذه الرجالی أبو علیّ الحائری صاحب منتهی المقال المتوفّی قبل استاده 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عالم، عرّیف، و فقیه فاضل غطریف، جلیل القدر، وحید العصر، حسن الخلق، عظیم الحلم، حضرت مدّة مجلس إفادته، و تطفّلت برهة علی تلامذته، فإن قال لم یترک مقالا لقائل، و إن صال لم یدع نصالا لصائل</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 xml:space="preserve">و وصفه تلمیذه السیّد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 مشایخه فی إجازته للمولی محمّد صالح البرغانی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السند، و الرکن الأوحد، و الفرد الأمجد، العالم النحریر، و الفقیه البصیر، و المحدّث الخبیر، سیّد الفقهاء و المجتهدین، و سند المحقّقین و المدقّقین، و استاد العلماء المتبحّرین، مقرّب مقاصد الشریعة من کلّ فجّ عمیق، و سالک سبیل التحقیق و التدقیق، و مهذّب مسائل الدین الوثیق، ذو القدر العلیّ، و الفضل الجلیّ، سیّدنا و سندنا الأمیر السیّد علیّ نجل المولی الأولی السیّد محمّد علیّ الطباطبائی صاحب الشرحین الکبیر و الصغیر النافعین علی المختصر النافع و شرح المفاتیح و غیرهما، قدّس ذکره و رافع فی الملأ الأعلی ذکره</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وصفه أیضا شبّر عنه عدّ مشایخه فی إجازته للسیّد محمّد تقی القزوینی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العلم العلّامة و الفاضل الفهّامة، خرّیت طریق التحقیق، و مالک أزمّة الفضل بالنظر الدقیق، و مهذّب مسائل الدین الوثیق، و مقرّب مقاصد الشریعة من کلّ فجّ عمیق، السیّد علیّ الطباطبائی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أطری علیه السیّد محمّد باقر الشفتی، المعروف بحجّة الاسلام، صاحب مطالع</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بعض إجازاته عند عدّ مشایخه،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شمس فلک الإفادة و الإفاضة، بدر سماء المجد و العزّ و السعادة، محیی قواعد الشریعة الغرّاء، مقنّن قوانین الاجتهاد فی الملّة البیضاء، فخر المجتهدین، ملاذ العلماء العاملین، ملجأ الفقهاء الکاملین، سیّدنا و استاذنا العلیّ العالی، الأمیر السیّد علیّ الطباطبائی الحائری</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و قال عنه تلمیذه السیّد محمّد جواد العاملی صاحب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إجازته لآقا محمّد علیّ بن باقر الهزارجریبی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فأجزت له أن یروی عنّی ما استجزته و قرأته و سمعته من السیّد الاستاذ، رحمة اللّه سبحانه فی البلاد و العباد، الإمام العلّامة، و مشکاة البرکة و الکرامة، صاحب الکرامات، أبو الفضائل، مصنّف الکتاب المسمّی بریاض المسائل، الّذی علیه المدار فی هذه الأعصار، النور الساطع المضی‌ء، و الصراط الواضح السوی، سیّدنا و استاذنا، الأمیر الکبیر، السیّد علی أعلی اللّه شأنه و شان من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حسن نیّته و صفاء طویته منّ اللّه سبحانه و تعالی علیه بتصنیف الریاض الّذی شاع و ذاع، و طبّق الآفاق فی جمیع الأقطار، و هو مما یبقی إلی أن یقوم صاحب الدار جعلنا اللّه فداه و منّ علینا بقاه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عالم ربّانی، و مخبت صمدانی، رسخ فی التقوی قدمه، وسیط باللّه لحمه و دمه</w:t>
      </w:r>
      <w:r>
        <w:rPr>
          <w:rStyle w:val="FootnoteAnchor"/>
          <w:rtl w:val="true"/>
        </w:rPr>
        <w:footnoteReference w:id="1369"/>
      </w:r>
      <w:r>
        <w:rPr>
          <w:rFonts w:ascii="Amiri" w:hAnsi="Amiri" w:eastAsia="Amiri" w:cs="Amiri"/>
          <w:color w:val="111111"/>
          <w:sz w:val="28"/>
          <w:sz w:val="28"/>
          <w:szCs w:val="28"/>
          <w:rtl w:val="true"/>
          <w:lang w:bidi="ar-SA"/>
        </w:rPr>
        <w:t>، زهد فی دنیاه فقرّبه اللّه و هو أوّل من علّم العبد و ربّاه</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 xml:space="preserve">و قال عنه تلمیذه الحاج محمّد حسن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إشارات الاصول فی آخر مبحث حجّیة الأخبار عند ذکر مشایخه فی الإجازة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استادنا الأقدم و شیخنا الأفخم، العالم العامل الفاضل الکامل، المحقّق المدقّق، الحسیب النسیب الأدیب الأریب، السیّد الأجل، و البحر الأزخر، ذو النفس القدسیة و السجیّة الملکیة الأمیر السیّد علیّ روّح اللّه روحه و کثر من</w:t>
      </w:r>
    </w:p>
    <w:p>
      <w:pPr>
        <w:pStyle w:val="BookText"/>
        <w:rPr/>
      </w:pPr>
      <w:r>
        <w:rPr>
          <w:rFonts w:ascii="IRNazanin" w:hAnsi="IRNazanin" w:eastAsia="IRNazanin"/>
          <w:color w:val="111111"/>
          <w:sz w:val="28"/>
          <w:sz w:val="28"/>
          <w:szCs w:val="28"/>
          <w:rtl w:val="true"/>
          <w:lang w:bidi="fa-IR"/>
        </w:rPr>
        <w:t>عنده فتؤخر فقد أجازنی أن أروی ما سمعته منه و حقّقته من تألیفاته و تصنیفاته و رسائله و ما أخذت منه شفاها بشرط مراعاة الاحتیاط فی النقل و القول و العمل</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و قال عنه تلمیذه میر عبد اللطیف الشوشتری حفید السیّد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تحفة العالم،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 علماء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فاضل علامه عالی‌شان میر سیّد علی مشهور به کوچک، که صیت فضیلتش در صماخ فلک کج‌بین و ساحت غبرای زمین پیچیده، مستغنی از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مبسوط به مختصر النافع دارد به طمطراق نوشته است که مقدار فضل او از آن ظاهر و هویدا است، به تدریس آن مشغول بود، گاه گاهی من هم حاضر بودم و می‌شنیدم، دقت بسیاری فرموده، اصل و مأخذ مسائل را نوشته، به موقع خود بی‌نظیر است، و از عزلت‌گزینان و خلوت‌طلبان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أثنی علیه الشیخ جعفر الکبیر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الحقّ المبین بعد نقله ما دار بینه و بین أحد أعلام الأخباریّین،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اجتمعت مع أعظم علمائهم فی مکان،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رسالتک و رسالة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جناب زبدة المجتهدین و أفضل العلماء العاملین مولانا و مقتدانا میر سیّد علیّ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 المحدث لاسم اللّه حرام، و لیس علیه دلیل،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علی وجوب تعظیم المحترمات دلیل، فما الدلیل علی عدم جواز تنجیس القرآن و إلقائه فی القذرات؟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و وصفه تلمیذه الشهید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للتنکابنی صاحب قصص العلماء ب</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شرفی العلوم و السیادة البحر الزاخر و البدر الباهر استاذنا الأعظم الأمیر السیّد علیّ بن السیّد محمّد علی الطباطبائی صاحب الشرحین الکبیر و الصغیر</w:t>
      </w:r>
    </w:p>
    <w:p>
      <w:pPr>
        <w:pStyle w:val="BookText"/>
        <w:rPr/>
      </w:pPr>
      <w:r>
        <w:rPr>
          <w:rFonts w:ascii="IRNazanin" w:hAnsi="IRNazanin" w:eastAsia="IRNazanin"/>
          <w:color w:val="111111"/>
          <w:sz w:val="28"/>
          <w:sz w:val="28"/>
          <w:szCs w:val="28"/>
          <w:rtl w:val="true"/>
          <w:lang w:bidi="fa-IR"/>
        </w:rPr>
        <w:t>علی النافع</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 xml:space="preserve">و أشاد به تلمیذه السیّد محمّد حسن الزنوزی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عبّر عنه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استاذنا الأعظم عالم عامل کامل، فاضل باذل عادل، فقیه وحید تقی نقی، عابد زاهد، ثقة موثّق، صاحب أخلاق کریمة و أوصاف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تلمیذه الزنوزی أیضا عند ذکر مشایخه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الأمجد الأورع النبیه السیّد علیّ بن السیّد محمّد الطباطبائی، القاطن بکربلاء، صاحب شرح المختصر النافع الکبیر و الصغیر</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و وصفه السیّد محمّد باقر بن السیّد علی الحسینی القزوینی فی إجازته للتنکابنی صاحب قصص العلماء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السند المؤیّد المسدّد، علّامة دهره و وحید عصره، استاد الأساتید، النحریر الأعظم و الفقیه الأفخم، المحقّق المدقّق، البدر الطالع و النور الساطع مولانا العلی میر سیّد علیّ الطباطبائی الحائری مسکنا و مدفنا حشره اللّه تعالی مع مشرّفه فی الفردوس العلی</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و ذکره المحدّث النیسابوری فی رجاله، مع أنّه کان من المعاندین له فی ظاهر السیاق، بهذه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فی الفقه و اصوله، مجتهد صرف، یراعی الاحتیاط بما یراه، عاصرناه</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xml:space="preserve">و وصفه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النور الجلیّ و الحبر الملیّ و المجتهد الاصولی مولانا الآقا سیّد علیّ بن السیّد محمّد علیّ بن السیّد أبی المعالی الصغیر ابن السیّد أبی المعالی الکبیر الطباطبائی النسب الأصفهانی المحتد الکاظمی المولد الحائری المنشأ و المقام أعلی اللّه مقامه</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و وصفه أیضا الخوانساری فی إجازته للسیّد عبد الغفّار الحسینی التویسرکانی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جماعة من فحول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حجّة الإسلام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وقته و أوانه أجلّهم و أرفعهم سیّدنا العلی العالی و النور المتعالی السیّد علیّ بن السیّد محمّد علیّ بن السیّد أبی المعالی صاحب الشرح الکبیر علی کتاب مختصر النافع</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و وصفه أیضا الخوانساری فی إجازته للسیّد محمّد مهدی الحسینی البروجردی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السند الأجل الأعلم العلی العالی ابن السیّد محمّد علیّ بن السیّد أبی المعالی العلوی الحسینی الطباطبائی الکربلائی صاحب کتاب ریاض المسائل فی شرح المختصر النافع، و شرح آخر علیه صغیر کتبه بعد شرحه الکبیر</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 xml:space="preserve">و وصفه السیّد إعجاز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کتاب ریاض المسائل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السند المحقّق المدقّق النحریر العلّام الحبر القمقام السیّد علیّ بن محمّد علیّ الطباطبائی تغمده اللّه بغفرانه و أذاقه حلاوة رضوانه شرح فیه المختصر النافع للمحقّق طاب ثراه و هو کتاب دقیق متین یعرف منه کمال مصنّفه و طول باعه فی الفقه استدلّ فیه علی جمیع أبواب الفقه من الطهارة إلی الدیات</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و قال عنه محمّد شفیع الجابلقی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الروضة البهیة فی طرق الشفیعیة، 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الربّانی و المحقّق الصمدانی و السیّد السند العلی العالی الأمیر سیّد علیّ الطباطبائی صاحب ریاض المسائل شمس فلک الإفادة و الإفاضة مدرّس علماء الطائفة المحقّة مقنن قوانین الاصولیة، و هو رحمه اللّه فی غایة الجودة و الزکاوة و کلّ من تأخّر عنه من العلماء المجتهدین و الفقهاء المتبحّرین أخذ من مصنّفاته جزاه اللّه تعالی أفضل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عنه السیّد علیّ أصغر بن محمّد شفیع الجابلقی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 علی خاله فبلغ إلی النهایة، له کتب منها کتاب الریاض، جامع للأدلّة بنظم جدید، لا یفهمه إلّا المهرة فی فنون ثلاثة</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و قال عنه الشیخ علیّ شریعتمدار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العالم العلم العلّام، و المجتهد الکامل الفهّام، جامع شرفی العلم و العبادة و حاوی منقبتی الحسب و نسب السیادة، العالم العامل و الاستاد الکامل، السید السناد و الرکن العماد، شمس فلک معانی الفقه و الاصول، قطب دائرة فلک الدالّ و المدلول، النور الجلی الأمیر السیّد علیّ بن المیر محمد علیّ، ابن اخت استاده الآقا البهبهانی و صهره، کاظمی المولد، حائری المسکن و المدفن، صاحب الشرح الکبیر المسمّی بریاض المسائل قدّس اللّه تربته و رفع فی جنان الخلد رتبته</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و وصفه السیّد محمّد هاشم الخوانساری چهار 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العلماء الأعلام الأمیر السیّد علیّ الطباطبائی صاحب الشرح الکبیر الموسوم بریاض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الأجلّ الأفخم استاد الأساتید صاحب الریاض</w:t>
      </w:r>
      <w:r>
        <w:rPr>
          <w:rFonts w:eastAsia="IRNazanin" w:cs="IRNazanin"/>
          <w:color w:val="111111"/>
          <w:sz w:val="28"/>
          <w:szCs w:val="28"/>
          <w:rtl w:val="true"/>
          <w:lang w:bidi="fa-IR"/>
        </w:rPr>
        <w:t>.</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 xml:space="preserve">و وصفه الشیخ حسن المامقانی م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لابنه الشیخ عبد اللّه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السند و الحبر المعتمد نادرة الزمان صاحب ریاض المسائل</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 xml:space="preserve">و وصفه المیرزا حسین الخلیلی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العلیم الثجّاج، و سراج الهدی الثاقب الوهّاج، ذی الفضل السامی العلی الأمیر السیّد علیّ الطباطبائی الحائری طاب ثراه</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 xml:space="preserve">و وصفه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المحققین و سند المدقّقین علامة نحریر آقا سیّد علیّ </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 xml:space="preserve">و وصفه السیّد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أعیان الشیعة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المؤسّس، الّذی ملأ الدنیا ذکره، و عمّ العالم فضله، تخرّج علیه علماء أعلام، و فقهاء عظام، صاروا من أکابر المراجع فی الاسلام، کصاحب المقابیس، و صاحب المطالع، و صاحب مفتاح الکرامة، و أمثالهم من الأجلّة</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و قال عنه تلمیذه آغا أحمد الکرمانشاهی حفید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مرآة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الزمان جناب آقا میر سیّد علی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مخدره مکرمه معظمه عمه محترمه فقیر، در حباله عالی‌جناب، مقدس القاب، فضائل مآب، سلالة الأطیاب، علامه فهامه، عمدة المحققین و زبدة المجتهدین مطاعی جناب آقا میر سیّد علی طباطبایی دام ظله العالی است، و والد آن جناب، مرحمت و غفران پناه آقا سیّد محمّد علی مشهور به آقا سیّد خلف جناب مستطاب میر ابو المعالی کوچک است که ذکر ایشان در اولاد دختری مرحوم فاضل کامل جد امجد آخوند ملا محمّد صالح مازندرانی گذشت، و والده آن جناب همشیره مکرمه معظمه جد امجد فقیر عمدة المجتهدین استاذ المتأخرین مرحوم آقا محمّد باقر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است قلیل النظیر و فضائل و محامدش عالمگیر، و از اعاظم فضلای دوران و عمده علمای این خاندان، و متخلّق به اخلاق حمیده مصطفوی، و متأدب به آداب مرضیه مرتضوی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شهور و اعوام بسیار باید تا مثل او عالمی به وجود آید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پایه فضیلت و جلال مقام آن زبده انام از آن برتر است که عنقای سبک سیر خیال به اوّل دریچه او تواند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علوم شرعیه را در خدمت والد ماجد این فقیر نمود و در عصر آن دو بزرگوار کوس فضیلت را نواخت و علم</w:t>
      </w:r>
    </w:p>
    <w:p>
      <w:pPr>
        <w:pStyle w:val="BookText"/>
        <w:rPr/>
      </w:pPr>
      <w:r>
        <w:rPr>
          <w:rFonts w:ascii="IRNazanin" w:hAnsi="IRNazanin" w:eastAsia="IRNazanin"/>
          <w:color w:val="111111"/>
          <w:sz w:val="28"/>
          <w:sz w:val="28"/>
          <w:szCs w:val="28"/>
          <w:rtl w:val="true"/>
          <w:lang w:bidi="fa-IR"/>
        </w:rPr>
        <w:t>علم را برافراخت و نام نامیش خافقین را گرفت، و کفی له بذلک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علم تصدیع و محنت بسیار کشید، به حدی که بر السن و افواه مشهور است که آن جناب علم را به گریه و زاری و مناجات به درگاه حضرت باری تحصیل نموده است، زیرا که به ظاهر مدت تحصیلش آن‌قدر نبود که توان به این مرتبه عالیه رسید و علاوه در کیفیت آن نیز به جهت ضیق معاش اغلب قصور می‌شده است، بلی، ذلک فضل اللّه یؤتیه من یشاء</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بعد از حصول اندکی از مراتب مقدمات نحویه و صرفیه حسب الحکم والد فقیر به خواندن کتاب مدارک الأحکام بر وجه استدلال به شراکت علماء عظام شروع کرد، و در آن باب تعب و محنت بسیار کشید، و به حدی رسید که به سبب عدم طاقت و تحمل گریزان شده، تحصیل را موقوف نمود و باز ملاحظه احوال همگنان و خویشان نموده به غیرت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نکنم عاشقی چه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خدمت جد مرحوم به استفاده علوم مشغول شد، و رسید به آنچه از درگاه احدیت قسمتش بود، و مرجع علماء عظیم الشأن و فضلای با نام و نشان گردید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کبیر و صغیرش بر مختصر نافع و رسائل بسیار بر مراتب تسلطش در فقه و اصول گواهند، و از اطراف و اکناف بلاد سیّما بلاد هندوستان امورات خیرات مختصه به عتبات به خدمتش مرجوع است، و از آن جمله است آنکه حسب الوصیة غفران پناه تفضل حسین خان کشمیری استاد نواب مستطاب مالک رقاب و وزیر الممالک هندوستان نواب سعادت علی خان بهادر، زر بسیاری از لکهنو به خدمتش فرستادند که خانه و باغات خرید کرده، بر فقرا</w:t>
      </w:r>
    </w:p>
    <w:p>
      <w:pPr>
        <w:pStyle w:val="BookText"/>
        <w:rPr/>
      </w:pPr>
      <w:r>
        <w:rPr>
          <w:rFonts w:ascii="IRNazanin" w:hAnsi="IRNazanin" w:eastAsia="IRNazanin"/>
          <w:color w:val="111111"/>
          <w:sz w:val="28"/>
          <w:sz w:val="28"/>
          <w:szCs w:val="28"/>
          <w:rtl w:val="true"/>
          <w:lang w:bidi="fa-IR"/>
        </w:rPr>
        <w:t>و مقدسین مجاورین ارض اقدس کربلای معلی وقف نماید، و بحمد اللّه الملک الوهاب آن جناب در این باب نهایت دقت نموده باغات و خانه‌ها خریده وقف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عالی‌جناب سلالة الاطیاب سیّد عبد اللطیف خان شوشتری مرحوم که واسطه تبلیغ آن مبلغ بود و از جمع دیگر از ثقات و مقدسین ساکنین بلده لکهنو به عنوان تواتر، این مقدمه را شنیده بود، به جهت تذکره آیندگان در این دفتر نگارش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بحمد اللّه در آن ارض اقدس مجاورند، و از بلبلان خوش‌الحان آن چمنند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این فقیر در مجلس شریفش از مستمعان بودم</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و فی شرح حال میرزا محمّد حسن زنوزی و معاصران وی لبعض معاصریه المطبوع فی میراث اسلامی ایران،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الزمان و ینبوع العلم و الإیمان، صفوة الفضلاء الکرام و علّامة الإسلام، استاذ المتأخرین و مؤسّس اجتهادین، الآقا میر سیّد علیّ بن محمّد علیّ الطباطبائی صاحب شرح 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احوال و دقایق افعال آن جناب، از حدّ و حساب بیرون است، اعلام آن نه به واسطه کلک بیان ممکن است و نه در دایره شرح و بیان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تصانیفه اصدق شاهد علی 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را ابنائی است که جملگی بی‌تفاوت و فرق، اختر یک برج‌اند، گوهر یک درج و فرع یک اصل‌اند و نور یک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ارباب علوم، مماثل آیات نجوم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نجوم سماء کلّما غاب کوکب‌بدا کوکب تأدی إلیه کواکبه</w:t>
      </w:r>
    </w:p>
    <w:p>
      <w:pPr>
        <w:pStyle w:val="BookText"/>
        <w:rPr/>
      </w:pPr>
      <w:r>
        <w:rPr>
          <w:rFonts w:ascii="IRNazanin" w:hAnsi="IRNazanin" w:eastAsia="IRNazanin"/>
          <w:color w:val="111111"/>
          <w:sz w:val="28"/>
          <w:sz w:val="28"/>
          <w:szCs w:val="28"/>
          <w:rtl w:val="true"/>
          <w:lang w:bidi="fa-IR"/>
        </w:rPr>
        <w:t>ثمّ ذکر ابنه السیّد المجاهد و قال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فی حلقة درسه رایته جالسا فی الصدر، کالمعرفة الواقعة فی القدر عنده جمع کثیر من التلامذة </w:t>
      </w:r>
      <w:r>
        <w:rPr>
          <w:rFonts w:eastAsia="IRNazanin" w:cs="IRNazanin"/>
          <w:color w:val="111111"/>
          <w:sz w:val="28"/>
          <w:szCs w:val="28"/>
          <w:rtl w:val="true"/>
          <w:lang w:bidi="fa-IR"/>
        </w:rPr>
        <w:t>...</w:t>
      </w:r>
      <w:bookmarkStart w:id="446" w:name="pg19819_193767"/>
    </w:p>
    <w:p>
      <w:pPr>
        <w:pStyle w:val="BookText"/>
        <w:rPr/>
      </w:pPr>
      <w:bookmarkEnd w:id="446"/>
      <w:r>
        <w:rPr>
          <w:rFonts w:ascii="IRNazanin" w:hAnsi="IRNazanin" w:eastAsia="IRNazanin"/>
          <w:color w:val="111111"/>
          <w:sz w:val="28"/>
          <w:sz w:val="28"/>
          <w:szCs w:val="28"/>
          <w:rtl w:val="true"/>
          <w:lang w:bidi="fa-IR"/>
        </w:rPr>
        <w:t xml:space="preserve">و قال عنه التنکابنی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سیّد اسانید و مرجع روات و اساتید، و در علم منقول وحید، و در تقریر و تحبیر تحریرش در نهایت فصاحت و بلاغت و تسدید، و در جدل بی‌بدل و مؤید در نهایت تأیید، مشایخ و اساتید زمان ما همه از تلامذه آن جناب بی‌واسطه و با واسطه، و فضیلت تلامذه آن جناب بر وفور علم او شهید و اصول او را بر فقه او زیادتی بود، مسلّم دیار عرب و عجم بلکه مطلق بلاد اسلام و از فاضل قمی در فقه ماهرتر بود لیکن تألیف ایشان به عکس اشتهار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علی سبیل الاستمرار در هر شب جمعه از اوّل شب تا صبح، احیا و به عبادت حضرت آفریدگار اشتغال داشت</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و قال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تبحّره فی الاصول أزید من الفقه کما أنّ تبحّر شریکه فی الدرس الفاضل القمی کان فی الفقه أزید من الاصول فالتمس کلّ منهما صاحبه أن یصنّف کتابا فی غیر ما هو متبحّر فیه فصنّف هو الریاض و صنف الفاضل القمی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 شدّة ورعه أنّ بنت المولی الوحید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تتعدّی علیه فی الکلام الوحش و ترک یوما الرواح إلی المسجد للإمامة فافتقده المأمومون و أتوه یستخبرون سبب ترکه،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الیوم مستشکل فی عدالتی فلا أؤم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 السبب،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الآغا الوحید شتمتنی کثیرا فلما ضاق صدری 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قلت فهو مردود علیک، و لذلک استشکل فی الإمامة، فلم یؤم إلی أن استبرءوا له من بنت الوحید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391"/>
      </w:r>
    </w:p>
    <w:p>
      <w:pPr>
        <w:pStyle w:val="Heading4"/>
        <w:numPr>
          <w:ilvl w:val="3"/>
          <w:numId w:val="1"/>
        </w:numPr>
        <w:rPr/>
      </w:pPr>
      <w:bookmarkStart w:id="447" w:name="__RefHeading___Toc3055733_2314609296"/>
      <w:bookmarkStart w:id="448" w:name="_Toc170"/>
      <w:bookmarkEnd w:id="447"/>
      <w:r>
        <w:rPr>
          <w:rtl w:val="true"/>
        </w:rPr>
        <w:t>دراسته و مشایخه</w:t>
      </w:r>
      <w:r>
        <w:rPr>
          <w:rtl w:val="true"/>
        </w:rPr>
        <w:t>:</w:t>
      </w:r>
      <w:bookmarkEnd w:id="448"/>
    </w:p>
    <w:p>
      <w:pPr>
        <w:pStyle w:val="BookText"/>
        <w:rPr/>
      </w:pPr>
      <w:r>
        <w:rPr>
          <w:rFonts w:ascii="IRNazanin" w:hAnsi="IRNazanin" w:eastAsia="IRNazanin"/>
          <w:color w:val="111111"/>
          <w:sz w:val="28"/>
          <w:sz w:val="28"/>
          <w:szCs w:val="28"/>
          <w:rtl w:val="true"/>
          <w:lang w:bidi="fa-IR"/>
        </w:rPr>
        <w:t>قال فی منتهی المقال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اشتغل أولا علی ولد الاستاذ العلامة ادام اللّه أیامهما و أیّامه، فقرنه سلّمه اللّه فی الدرس مع شرکاء أکبر منه فی السن و أقدم فی التحصیل بکثیر، و فی أیّام قلائل</w:t>
      </w:r>
    </w:p>
    <w:p>
      <w:pPr>
        <w:pStyle w:val="BookText"/>
        <w:rPr/>
      </w:pPr>
      <w:r>
        <w:rPr>
          <w:rFonts w:ascii="IRNazanin" w:hAnsi="IRNazanin" w:eastAsia="IRNazanin"/>
          <w:color w:val="111111"/>
          <w:sz w:val="28"/>
          <w:sz w:val="28"/>
          <w:szCs w:val="28"/>
          <w:rtl w:val="true"/>
          <w:lang w:bidi="fa-IR"/>
        </w:rPr>
        <w:t>فاقهم طرّا و سبقهم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قلیل ترقّی فاشتغل عند خاله الاستاذ العلّامة أدام اللّه أیّامه و أیّامه، و بعد مدّة قلیلة اشتغل بالتصنیف و التدریس و التألیف</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قال آغا أحمد الکرمانشاهی فی ترجمة والده آغا محمّد علی بن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افاضل و علمای بسیار در خدمتش به استفاده علوم مشغول بودند، و از آن جمله‌اند عالی‌جنابان معلّی القابان سیّدی المجتهدین سیّد محمّد مهدی طباطبائی قدّس سرّه و میر سیّد علی طباطبایی و غیر ایشان که بحمد اللّه همگی صاحب نام و نشان و از علمای عالی‌شأنند</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و قال آغا أحمد فی ترجمة المؤلّف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علم تصدیق و محنت بسیار کشید به حدی که بر السن و افواه مشهور است که آن جناب علم را به گریه و زاری و مناجات به درگاه حضرت باری تحصیل نموده است؛ زیرا که به ظاهر مدت تحصیلش آن‌قدر نبود که توان به این مرتبه عالیه رسید و علاوه در کیفیت آن نیز به جهت ضیق معاش اغلب قصور می‌شده است بلی،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حصول اندکی از مراتب مقدمات نحویه و صرفیه حسب الحکم والد فقیر به خواندن کتاب مدارک الأحکام بر وجه استدلال به شرکت علماء عظام شروع کرد و در آن باب، تعب بسیار کشید و به حدی رسید که به سبب عدم طاقت و تحمل، گریزان شده، تحصیل را موقوف نمود و باز ملاحظه احوال همگنان و خویشان نموده به غیرت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نکنم عاشقی چه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خدمت جد مرحوم به استفاده علوم مشغول شد، و رسید به آنچه از درگاه احدیت قسمتش بود، و مرجع علمای عظیم الشأن و فضلای با نام و نشان گردید</w:t>
      </w:r>
      <w:r>
        <w:rPr>
          <w:rFonts w:eastAsia="IRNazanin" w:cs="IRNazanin"/>
          <w:color w:val="111111"/>
          <w:sz w:val="28"/>
          <w:szCs w:val="28"/>
          <w:rtl w:val="true"/>
          <w:lang w:bidi="fa-IR"/>
        </w:rPr>
        <w:t>.</w:t>
      </w:r>
      <w:r>
        <w:rPr>
          <w:rStyle w:val="FootnoteAnchor"/>
          <w:rtl w:val="true"/>
        </w:rPr>
        <w:footnoteReference w:id="139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آغا أحمد الکرمانشاهی عند ذکر تلامذة جدّه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جمله‌اند والد این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ارجمند آن بزرگوار، و عم نامدار، و دو سیّد عالی‌تبار سیّد محمّد مهدی طباطبایی، و میر سیّد علی طباطبایی که بعد از تشریف بردن والد از عتبات، در خدمت آن جناب به استفاده مشغول شدند</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و قال تلمیذه الشیخ أسد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غیره</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 xml:space="preserve">قال فی روضات الجنّات،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عنه أیضا أنه کان یحضر درس صاحب الحدائق لیلا لغایة اعتماده علی فضله و منزلته، و حذرا عن اطّلاع خاله العلّامة علیه، و أنّه کتب جمیع مجلّدات الحدائق بخطّه الشریف، و ذکر والدنا العلّامة أعلی اللّه مقامه أنّه طلب من جنابه الکتاب المذکور أیّام تشرّفه بالزیارة فذهب إلی داخل الدار و أتی بجمیع تلک المجلّدات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روضات الجنّات،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الشیخ یوسف البحرانی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سمّینا العلّامة المروّج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أنکر علی سیر هذا الرجل الجلیل فی زمن حیاته، و شدّد الملامة و التبخیل علی من حضر فی مجلس إفادته بحیث قد نقل أنّ ابن اخته الفاضل صاحب ریاض المسائل کان من خوفه یدخل علی ذلک الجناب سرّا و یقرأ علیه ما کان یقرأ علیه لیلا و متخافتا لا جهرا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مشایخه فی الإجازة المیرزا مهدی بن المیرزا أبی القاسم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فی أواخر شعبان المعظّم من سنة </w:t>
      </w:r>
      <w:r>
        <w:rPr>
          <w:rFonts w:eastAsia="IRNazanin" w:cs="IRNazanin"/>
          <w:color w:val="111111"/>
          <w:sz w:val="28"/>
          <w:szCs w:val="28"/>
          <w:lang w:bidi="fa-IR"/>
        </w:rPr>
        <w:t>1211</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و من مشایخه فی الإجازة أیضا السیّد المیر عبد الباقی بن المیر محمّد حسین بن المیر محمّد صالح الخاتون‌آبادی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1207</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ذکره السیّد محمّد باقر بن السیّد علیّ الحسینی القزوینی فی إجازته للتنکابنی صاحب قصص العلماء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سیّدنا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المتقدّم ألقابه طاب ثراه فقد روی عن السیّد الجلیل ذی الشرف الجمیل المرتحل من العالم الفانی إلی العالم الباقی الأمیر عبد الباقی الأصبهانی، عن والده المغفور میر محمّد حسین، عن جدّه من قبل أمّه فتّاح العلوم و الأسرار، کشّاف الأستار عن وجوه الأخیار مولانا محمّد باقر المجلسی أفاض اللّه من لطفه الخفی و الجلی</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قال التنکابنی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جناب در سن کهولت به اصرار خال مفاضل خود آقا محمّد باقر بهبهانی تحصیل علم اشتغال نمود </w:t>
      </w:r>
      <w:r>
        <w:rPr>
          <w:rFonts w:eastAsia="IRNazanin" w:cs="IRNazanin"/>
          <w:color w:val="111111"/>
          <w:sz w:val="28"/>
          <w:szCs w:val="28"/>
          <w:rtl w:val="true"/>
          <w:lang w:bidi="fa-IR"/>
        </w:rPr>
        <w:t>...</w:t>
      </w:r>
      <w:r>
        <w:rPr>
          <w:rStyle w:val="FootnoteAnchor"/>
          <w:rtl w:val="true"/>
        </w:rPr>
        <w:footnoteReference w:id="1400"/>
      </w:r>
      <w:r>
        <w:rPr>
          <w:rFonts w:ascii="IRNazanin" w:hAnsi="IRNazanin" w:eastAsia="IRNazanin"/>
          <w:color w:val="111111"/>
          <w:sz w:val="28"/>
          <w:sz w:val="28"/>
          <w:szCs w:val="28"/>
          <w:rtl w:val="true"/>
          <w:lang w:bidi="fa-IR"/>
        </w:rPr>
        <w:t xml:space="preserve">در بدایت امر در خدمت آقا محمّد علی بن آقا محمّد باقر تلمذ کرده است، پس آقا محمّد علی او را با کسانی که از او بزرگتر در سن و مقدم در تحصیل بودند شریک نموده و او در اندک زمانی ترقی بسیار کرده و به تدریس و تصنیف اشتغال داشته و بسیار خوش‌احوال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از حکمت عاری بود و چون می‌خواست که تعریف ملک نماید به تلامذه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ملک چیست؟ تلامذه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مجرّد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آن جناب در علم هیئت عاری بود، چون شرح کبیر را تألیف می‌نمود به مبحث قبله رسید، کار بر او مشکل شد؛ زیرا که در هیئت ربطی نداشت، پس یکی از تلامذه سیّد در علم هیئت مربوط بود و سیّد به او فرمود که به خانه ما</w:t>
      </w:r>
      <w:bookmarkStart w:id="449" w:name="pg19819_193771"/>
    </w:p>
    <w:p>
      <w:pPr>
        <w:pStyle w:val="BookText"/>
        <w:rPr/>
      </w:pPr>
      <w:bookmarkEnd w:id="449"/>
      <w:r>
        <w:rPr>
          <w:rFonts w:ascii="IRNazanin" w:hAnsi="IRNazanin" w:eastAsia="IRNazanin"/>
          <w:color w:val="111111"/>
          <w:sz w:val="28"/>
          <w:sz w:val="28"/>
          <w:szCs w:val="28"/>
          <w:rtl w:val="true"/>
          <w:lang w:bidi="fa-IR"/>
        </w:rPr>
        <w:t>آمده، در وقت خاص بعضی از ضروریات قبله از علم هیئت به من تعلیم نمائید، آن شخص گفت همچنان که ما کتاب را در زیر بغل می‌گیریم و شرفیاب می‌شویم و مستفیض می‌گردیم، شما نیز کتاب را زیر بغل گرفته و به منزل بنده تشریف‌فرما گشته و مسائل هیئت را فرا گرفته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 که من از این مرحله دریغ ندارم لیکن هروقت از خانه به در آیم مردم هجوم می‌کنند و اوقات را بر من تلخ می‌نمایند و نمی‌گذارند که من به کار خود مشغول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جناب آقای سیّد علی از این سخن دلگیر شد و آن شب را به درون حرم سیّد الشهداء علیه السّلام تا صبح مشغول عبادت و تضرّع و زاری و بی‌قراری بود و از حضرت آفریدگار به توسط حضرت سیّد الشهداء علیه السّلام درخواست نمود کشف دقایق علم هیئت را که ضرور بود بر او افاضه و منکشف گشته و مباحث قبله را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1401"/>
      </w:r>
    </w:p>
    <w:p>
      <w:pPr>
        <w:pStyle w:val="Heading4"/>
        <w:numPr>
          <w:ilvl w:val="3"/>
          <w:numId w:val="1"/>
        </w:numPr>
        <w:rPr/>
      </w:pPr>
      <w:bookmarkStart w:id="450" w:name="__RefHeading___Toc3055735_2314609296"/>
      <w:bookmarkStart w:id="451" w:name="_Toc171"/>
      <w:bookmarkEnd w:id="450"/>
      <w:r>
        <w:rPr>
          <w:rtl w:val="true"/>
        </w:rPr>
        <w:t>تلامذته و الراوون عنه</w:t>
      </w:r>
      <w:r>
        <w:rPr>
          <w:rtl w:val="true"/>
        </w:rPr>
        <w:t>:</w:t>
      </w:r>
      <w:bookmarkEnd w:id="451"/>
    </w:p>
    <w:p>
      <w:pPr>
        <w:pStyle w:val="BookText"/>
        <w:rPr/>
      </w:pP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الروایة عنه رحمه اللّه فهی لکثیر، و شرف التلمّذ إلی غفیر</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إبراهیم بن محمّد باقر الحسینی الحائری المتوفّی بعد سنة </w:t>
      </w:r>
      <w:r>
        <w:rPr>
          <w:rFonts w:eastAsia="IRNazanin" w:cs="IRNazanin"/>
          <w:color w:val="111111"/>
          <w:sz w:val="28"/>
          <w:szCs w:val="28"/>
          <w:lang w:bidi="fa-IR"/>
        </w:rPr>
        <w:t>1223</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 محمّد إبراهیم بن محمّد حسن الکلباسی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إشارات الاصول و غیرها</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الآغا محمّد إبراهیم شیخ الإسلام الخوئی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1233</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أبو جعفر بن السیّد محمّد حسین التنکابنی، خال مؤلّف قصص العلماء</w:t>
      </w:r>
    </w:p>
    <w:p>
      <w:pPr>
        <w:pStyle w:val="BookText"/>
        <w:rPr/>
      </w:pPr>
      <w:r>
        <w:rPr>
          <w:rFonts w:ascii="IRNazanin" w:hAnsi="IRNazanin" w:eastAsia="IRNazanin"/>
          <w:color w:val="111111"/>
          <w:sz w:val="28"/>
          <w:sz w:val="28"/>
          <w:szCs w:val="28"/>
          <w:rtl w:val="true"/>
          <w:lang w:bidi="fa-IR"/>
        </w:rPr>
        <w:t>و استاذه</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أبو الحسن بن أبی القاسم الطهرانی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أبو القاسم اللاهیجی صاحب ریاض المؤمنین</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أبو القاسم بن السیّد حسین الخوانساری جدّ صاحب الروضات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أبو القاسم بن السیّد عبّاس الموسوی صاحب سلم السلالم</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أحمد بن زین الدین الأحسائی الشهیر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أحمد بن الشیخ علیّ بن کتان النجفی المتوفّی بعد سنة </w:t>
      </w:r>
      <w:r>
        <w:rPr>
          <w:rFonts w:eastAsia="IRNazanin" w:cs="IRNazanin"/>
          <w:color w:val="111111"/>
          <w:sz w:val="28"/>
          <w:szCs w:val="28"/>
          <w:lang w:bidi="fa-IR"/>
        </w:rPr>
        <w:t>1229</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 أحمد بن محمّد علیّ الکرمانشاهی حفید 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صورت إجازه جناب میر سیّد علی طباطبائی دام فضله</w:t>
      </w:r>
    </w:p>
    <w:p>
      <w:pPr>
        <w:pStyle w:val="BookText"/>
        <w:rPr/>
      </w:pPr>
      <w:r>
        <w:rPr>
          <w:rFonts w:ascii="IRNazanin" w:hAnsi="IRNazanin" w:eastAsia="IRNazanin"/>
          <w:color w:val="111111"/>
          <w:sz w:val="28"/>
          <w:sz w:val="28"/>
          <w:szCs w:val="28"/>
          <w:rtl w:val="true"/>
          <w:lang w:bidi="fa-IR"/>
        </w:rPr>
        <w:t>و دیگر جناب مستطاب معلّی و مقدس القاب العالم المؤیّد من عند اللّه الملک الجبّار و المشتهر فی جمیع الأمصار اشتهار الشمس فی رابعة النهار، ناشر آثار الأئمة الأطهار علیهم صلوات الملک القهّار، السیّد السند و الرکن المعتمد، صاحب الفخر الجلی و المقام البهی ابن عمة والدی الأمیر سیّد علیّ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فضله است، و این صورت خط شریف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و کفی و الصلاة علی عباده الّذین اصطفی، و بعد، فقد أجزته أیّده اللّه تعالی أیضا و وفّقه لمراضیه و جعل له کلّ یوم خیرا من ماضیه أن یروی عنّی ما برز منّی من تألیفاتی و تصنیفاتی و رسائلی و ما سمعه مشافهة منّی و کذلک کتب الأخبار و الآثار لا سیّما کتب الأربعة الّتی بلغت فی الاشتهار اشتهار الشمس فی رابعة النهار بحقّ أسانید المعروفة المعلومة إلی المشایخ الثلاثة مشترطا علیه أدام اللّه سبحانه توفیقه أن لا یحید عن جادّة الاحتیاط فإنّه سبیل النجاة و أن لا ینسانی من صالح دعواته فی لیله و نهاره و لا سیّما أعقاب و أدبار صلواته و مظانّ استجابة دعواته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الجانی المفتقر إلی رحمة ربّه الغنی ابن محمّد علیّ الطباطبائی، علیّ، فی یوم الأربعین من السنة السابعة عشر من المائة الثالثة بعد الألف من الهجرة النبویة، علی صاحبها آلاف صلاة و تحیة، و کان ذلک فی کربلاء المشرّفة علی مشرّفها الصلوات المتکاثرة و التسلیمات المتتالیة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أحمد بن لطف علیّ خان القره‌داغی التبریزی الشهیر بالمجتهد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1265</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أحمد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قصص العلماء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استاده ملّا عبد الکریم الإیروانی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کم تدریس می‌کرد و دماغ تدریس نداشت و می‌گفت که در میان تلامذه آقا سید علی ما سه نفر سرآمد اهل زمان بودیم، و او را از این سه نفر برتر شاگردی نبود، من و شریف العلماء و میرزا احمد ترک و من از آن دو نفر برتری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أحمد بن محمّد مهدی النراقی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أسد اللّه بن إسماعیل الدزفولی التستری الکاظمی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بذلک أیضا فی إجازته لملا علیّ الآرانی المطبوع فی میراث حدیث شیعة،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و فی إجازته لأخیه الأصغر المولی مهدی النراقی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مقدّمة تحقیق عوائد الأیام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مقابس الأنوار و کشف القناع</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قال فی مقابس الأنوار بعد ما وصفه بما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مشایخی و أساتیدی و سنادی و ملاذی و عمادی السیّد علیّ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إسماعیل بن محمّد علیّ الکرمانشاهی حفید الوحید البهبهانی</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إسماعیل بن محمّد هادی الفدائی الکزازی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باقر بن محمّد نقی الشفتی الأصفهانی الشهیر بحجّة الإسلام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تقی بن محمّد رحیم الأصفهانی الشهیر صاحب هدایة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تقی بن عبد الحیّ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1258</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تقی بن علیّ محمّد الچهاردهی المتوفّی بعد </w:t>
      </w:r>
      <w:r>
        <w:rPr>
          <w:rFonts w:eastAsia="IRNazanin" w:cs="IRNazanin"/>
          <w:color w:val="111111"/>
          <w:sz w:val="28"/>
          <w:szCs w:val="28"/>
          <w:lang w:bidi="fa-IR"/>
        </w:rPr>
        <w:t>1265</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محمّد تقی بن علیّ محمّد النوری، والد محدّث النوری صاحب المستدرک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تقی بن محمّد ملا کتاب النجفی المتوفّی قبل سنة </w:t>
      </w:r>
      <w:r>
        <w:rPr>
          <w:rFonts w:eastAsia="IRNazanin" w:cs="IRNazanin"/>
          <w:color w:val="111111"/>
          <w:sz w:val="28"/>
          <w:szCs w:val="28"/>
          <w:lang w:bidi="fa-IR"/>
        </w:rPr>
        <w:t>1251</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محمّد تقی بن محمّد البرغانی القزوینی الشهیر بالشهید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محمّد جعفر بن سیف الدین الأسترآبادی شریعتمدار صاحب التصنیفات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جعفر بن ملّا علیّ بن آقا حسین شاطر العقدائی</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جعفر بن محمّد علیّ الکرمانشاهی حفید 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جواد بن السیّد محمّد العاملی النجفی الشهیر صاحب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حسن الغنی</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حسن بن الشیخ باقر النجفی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معارف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قلیلا علی السیّد میر علیّ الطباطبائی صاحب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المیرزا حسن بن عبد الرسول الحسینی الزنوزی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ریاض الجنّة المطبوع و غیرها</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حسن بن محمّد علیّ الیزدی الحائری المتوفّی بعد سنة </w:t>
      </w:r>
      <w:r>
        <w:rPr>
          <w:rFonts w:eastAsia="IRNazanin" w:cs="IRNazanin"/>
          <w:color w:val="111111"/>
          <w:sz w:val="28"/>
          <w:szCs w:val="28"/>
          <w:lang w:bidi="fa-IR"/>
        </w:rPr>
        <w:t>1242</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حسن بن محمّد البیرجندی</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حسین بن الشیخ محمّد علیّ الأعسم النجفی المتوفّی بعد سنة </w:t>
      </w:r>
      <w:r>
        <w:rPr>
          <w:rFonts w:eastAsia="IRNazanin" w:cs="IRNazanin"/>
          <w:color w:val="111111"/>
          <w:sz w:val="28"/>
          <w:szCs w:val="28"/>
          <w:lang w:bidi="fa-IR"/>
        </w:rPr>
        <w:t>1236</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خلف بن الحاج عسکر الحائری صاحب شرح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 xml:space="preserve">ألّف کتاب الخلاصة و هو تلخیص ما استفاده من دروس استاذه صاحب الریاض فی مسائل الفقه فی الطهارة و الصلاة و قد وقع الفراغ منه سنة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خلیفة بن السیّد علیّ الأحسائی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1256</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محمّد خلیل الزائر</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دلدار علیّ بن السیّد محمّد معین النقوی اللکنهوی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المولی رضا البابلی</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رضا بن السیّد مهدی بحر العلوم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زین العابدین بن إسکندر الشیروانی الشیرازی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بستان السیاحة و غیرها</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زین العابدین بن المولی علیّ أکبر الدرخشتی القائنی</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زین العابدین بن محمّد معصوم البلکناری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الکرام،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بخطّه شرح الصغیر لصاحب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أنّه من تلامیذ الشارح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زین العابدین بن مشهدی یار الخلخالی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الکرام،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فضلاء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بخطّه شرح الصغیر لصاحب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المظنون أنّه من تلامیذ الشارح، فقد علّق علی هوامش النسخة تعلیقات نافعة تدلّ علی خبرة و 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عبد الحسین الحجّة فی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الشریف بن المولی حسن علیّ الآملی المازندرانی الحائری الشهیر بشریف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شمس الدین بن جمال الدین البهبهانی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1247</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صادق الرشتی</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محمّد صالح بن الآغا محمّد البرغانی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الشهید الثالث المتقدّم ذکره</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صدر الدین محمّد بن المولی محمّد رضا التبریزی</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صدر الدین محمّد بن السیّد صالح العاملی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التصنیفات و جدّ آل الصدر و آل شرف الدین</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عبّاس علیّ المازندرانی</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 الحسین بن المولی علیّ البرغانی القزوینی المتوفّی حدود </w:t>
      </w:r>
      <w:r>
        <w:rPr>
          <w:rFonts w:eastAsia="IRNazanin" w:cs="IRNazanin"/>
          <w:color w:val="111111"/>
          <w:sz w:val="28"/>
          <w:szCs w:val="28"/>
          <w:lang w:bidi="fa-IR"/>
        </w:rPr>
        <w:t>1290</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عبد العظیم بن السیّد علیّ رضا الحسینی اللنجانی الأصفهانی المتوفّی بعد سنة </w:t>
      </w:r>
      <w:r>
        <w:rPr>
          <w:rFonts w:eastAsia="IRNazanin" w:cs="IRNazanin"/>
          <w:color w:val="111111"/>
          <w:sz w:val="28"/>
          <w:szCs w:val="28"/>
          <w:lang w:bidi="fa-IR"/>
        </w:rPr>
        <w:t>1231</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 علیّ بن امید علیّ الجیلانی الغروی صاحب مناهج الأحکام فی شرح شرائع الإسلام المتوفّی بعد سنة </w:t>
      </w:r>
      <w:r>
        <w:rPr>
          <w:rFonts w:eastAsia="IRNazanin" w:cs="IRNazanin"/>
          <w:color w:val="111111"/>
          <w:sz w:val="28"/>
          <w:szCs w:val="28"/>
          <w:lang w:bidi="fa-IR"/>
        </w:rPr>
        <w:t>1226</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 الکریم بن أبی القاسم الإیروانی</w:t>
      </w:r>
      <w:r>
        <w:rPr>
          <w:rFonts w:eastAsia="IRNazanin" w:cs="IRNazanin"/>
          <w:color w:val="111111"/>
          <w:sz w:val="28"/>
          <w:szCs w:val="28"/>
          <w:rtl w:val="true"/>
          <w:lang w:bidi="fa-IR"/>
        </w:rPr>
        <w:t>.</w:t>
      </w:r>
      <w:r>
        <w:rPr>
          <w:rStyle w:val="FootnoteAnchor"/>
          <w:rtl w:val="true"/>
        </w:rPr>
        <w:footnoteReference w:id="1452"/>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عبد اللطیف بن أبی طالب الجزائری الشوشتری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بتلمّذه عنده فی کتابه تحفة العالم،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نصّ کلامه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 اللّه الدیزجی</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عبد اللّه بن محمّد باقر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الشیخ حسن المامقانی صاحب حاشیة المکاسب</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السیّد عبد اللّه بن محمّد رضا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عبد اللّه مدرّس الزنوزی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 الوهّاب بن محمّد علیّ القزوینی المتوفّی بعد سنة </w:t>
      </w:r>
      <w:r>
        <w:rPr>
          <w:rFonts w:eastAsia="IRNazanin" w:cs="IRNazanin"/>
          <w:color w:val="111111"/>
          <w:sz w:val="28"/>
          <w:szCs w:val="28"/>
          <w:lang w:bidi="fa-IR"/>
        </w:rPr>
        <w:t>1260</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الرشتی البهشتی</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محمّد علیّ بن محمّد حسن الآرانی الشهیر بملّا علیّ الآرانی، قال فی ترجمة نفسه من کتابه عوائد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سفر خیر اثر عتبات عالیات شدم و به کربلا رفتم و در خدمت سیّد المحقّقین و سند المدقّقین عمدة العلماء و زبدة الفضلاء جامع الاصول و الفروع آقا سیّد علی رحمه اللّه بنا به مباحثه فقه و اصول و حدیث گذاشتم، و رجال را در طی مباحثه تهذیب الأخبار می‌دیدم، و گاهی هم به مجمع درس و افاده عمدة المتبحّرین حبر معتمد آقا سیّد محمّد حاضر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تابستان سنه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قافله کربلای معلّی از آران وارد نراق شدند و حقیر را تکلیف رفتن به کربلا کردند، به همراهی ایشان به کربلا مشرف شدم و در آن سفر نیز به خدمت سیّد المحقّقین امیر سیّد علی رحمه اللّه رسیدم و از برکات انفاس کثیر البرکات وی استفاده علوم شرعیه نمودم</w:t>
      </w:r>
      <w:r>
        <w:rPr>
          <w:rFonts w:eastAsia="IRNazanin" w:cs="IRNazanin"/>
          <w:color w:val="111111"/>
          <w:sz w:val="28"/>
          <w:szCs w:val="28"/>
          <w:rtl w:val="true"/>
          <w:lang w:bidi="fa-IR"/>
        </w:rPr>
        <w:t>.</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و قال الآرانی أیضا فی ترجمة نفسه من کتابه شرح الأحوال من البدایة إلی المآل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دوشنبه شهر شوّال المکرّم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دوباره مصمّم به سفر عتبات عالیات شدم و در آنجا ماندم و در خدمت عمدة العلماء و زبدة الفضلاء جامع الاصول و الفروع، سید المحقّقین امیر سیّد علی طباطبایی به مباحثه فقه و اصول فقه پرداختم و گاهی هم به مجمع عمدة المتبحّرین، الحبر المعتمد آقا</w:t>
      </w:r>
    </w:p>
    <w:p>
      <w:pPr>
        <w:pStyle w:val="BookText"/>
        <w:rPr/>
      </w:pPr>
      <w:r>
        <w:rPr>
          <w:rFonts w:ascii="IRNazanin" w:hAnsi="IRNazanin" w:eastAsia="IRNazanin"/>
          <w:color w:val="111111"/>
          <w:sz w:val="28"/>
          <w:sz w:val="28"/>
          <w:szCs w:val="28"/>
          <w:rtl w:val="true"/>
          <w:lang w:bidi="fa-IR"/>
        </w:rPr>
        <w:t>سیّد محمّد مخدوم‌زاده آن بزرگوار، حاضر می‌شدم و از او نیز استفاده قواعد اصولیه و فقهیه می‌کردم و در آنجا شروع به نوشتن ینابیع الاصول نمودم و قدری از آن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عجالة الحائریة را نیز در آنجا نوشتم، و رساله قالعة الشبهة را نیز در آنجا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رساله به اتمام رسید، به نظر کیمیا اثر آن بزرگوار رساندم و بسیار تحسین فرمودند و شاگردان خود را مأمور به استنساخ آن نمودند و از آن رساله نسخه برداشتند</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محمّد علیّ بن السیّد صالح العاملی المتقدّم ذکره</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علیّ الضیاکاهی</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علیّ الأمینی السجّادی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السیّد محسن العاملی صاحب أعیان الشیعة</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علیّ أکبر الزارجی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1260</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غلامحسین خان بن الحاج محمّد إسماعیل بن آقا علاء الدین محمّد بن ملا محمّد صالح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آغا أحمد الکرمانشاهی فی مرآة الأحوال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الأعیان جناب میرزا غلامحسین خان دام عزّه مدتی در حدود هندوستان به عزّت و کامرانی گذرانید و از پادشاه وقت مخاطب به خطاب ثابت جنگی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آن جامع الفواضل مشهور و کمالات صوریه و معنویة و خصایل ستوده مرضیه‌اش گوشزد هر نزدیک و دور است، در عنفوان شباب با آن جمعیتی که حضرت وهّاب به او عنایت کرده بود، دست از همه برداشت و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عتبات عالیات عرش درجات مشرف شد و از آنجا سعادت زیارت بیت اللّه الحرام و حرم حضرت رسول صلّی اللّه علیه و آله و ائمه بقیع علیهم السّلام را دریافتند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مجاورت</w:t>
      </w:r>
    </w:p>
    <w:p>
      <w:pPr>
        <w:pStyle w:val="BookText"/>
        <w:rPr/>
      </w:pPr>
      <w:r>
        <w:rPr>
          <w:rFonts w:ascii="IRNazanin" w:hAnsi="IRNazanin" w:eastAsia="IRNazanin"/>
          <w:color w:val="111111"/>
          <w:sz w:val="28"/>
          <w:sz w:val="28"/>
          <w:szCs w:val="28"/>
          <w:rtl w:val="true"/>
          <w:lang w:bidi="fa-IR"/>
        </w:rPr>
        <w:t xml:space="preserve">عتبه خامس آل عبا را اختیار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مجلس شریف عالی‌جناب مستغنی الألقاب، وحید الزمان، مرجع الانام، مرحوم مغفور جنت آرامگاه میرزا محمّد مهدی شهرستانی قدّس سرّه و جناب مجتهد العصر و الزمان میر سیّد علی طباطبایی دام ظله العالی به استفاده علوم شرعیه مشغول بود، و به فیض زیارت عتبه علیه عالیه امام ثامن ضامن علیه السّلام نیز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قضیه وهابی که همه مقدسین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عالم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هندوستان تشریف برد و در این اوقات در مرشدآباد بنگاله می‌باشند</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محمّد قاسم النراقی المتوفّی بعد </w:t>
      </w:r>
      <w:r>
        <w:rPr>
          <w:rFonts w:eastAsia="IRNazanin" w:cs="IRNazanin"/>
          <w:color w:val="111111"/>
          <w:sz w:val="28"/>
          <w:szCs w:val="28"/>
          <w:lang w:bidi="fa-IR"/>
        </w:rPr>
        <w:t>1256</w:t>
      </w:r>
      <w:r>
        <w:rPr>
          <w:rFonts w:eastAsia="IRNazanin" w:cs="IRNazanin"/>
          <w:color w:val="111111"/>
          <w:sz w:val="28"/>
          <w:szCs w:val="28"/>
          <w:rtl w:val="true"/>
          <w:lang w:bidi="fa-IR"/>
        </w:rPr>
        <w:t>.</w:t>
      </w:r>
      <w:r>
        <w:rPr>
          <w:rStyle w:val="FootnoteAnchor"/>
          <w:rtl w:val="true"/>
        </w:rPr>
        <w:footnoteReference w:id="1466"/>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قاسم الجیلانی</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قصیر بن المعصوم الرضوی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کاظم بن محمّد التبریزی الهروی</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محمّد کاظم بن محمّد شفیع الهزار جریبی الحائری الساکن بمحلة النقیب فی کربلاء و المتوفّی بها بعد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سنة </w:t>
      </w:r>
      <w:r>
        <w:rPr>
          <w:rFonts w:eastAsia="IRNazanin" w:cs="IRNazanin"/>
          <w:color w:val="111111"/>
          <w:sz w:val="28"/>
          <w:szCs w:val="28"/>
          <w:lang w:bidi="fa-IR"/>
        </w:rPr>
        <w:t>1238</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لطف علیّ بن المیرزا أحمد المجتهد التبریزی المتقدّم ذکره</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محسن بن المولی سمیع الکرمانشاهی من أحفاد الفیض الکاشانی أخو بسمل الکرمانشاهی</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إسماعیل، أبو علیّ الحائری صاحب منتهی المقال المتوفّی فی حیاة استاذه 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سنة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منتهی المقال،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مدّة مجلس إفادته و تطفّلت برهة علی تلامذته، فإن قال لم یترک مقالا لقائل، و إن صال لم یدع نصالا لصائل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فاضل السمنانی</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ولده السیّد محمّد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محمّد الکاشانی</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کفی و سلامه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استجازنی الأخ الأسعد الأکرم الأمجد الولد الروحانی السید محمّد الکاشانی، فأجزت له أحیاه اللّه تعالی فی سرور، و حباه بکلّ حبور أن یروی عنّی و عن مشایخی خصوصا شیوخنا الثلاثة الّذین کانوا مرجع الأنام فی أخذ الفتیا و الأحکام بحقّ روایتهم عن مشایخهم المعروفین فی أسانید الإجازات المنتهیة إلی أئمة الامّة، و منهم إلی نبی الرحمة و سراج الامّة، و منه إلی اللّه سبحانه، سائلا منه سلوک الاحتیاط الذی هو مسلک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بیمناه الداثرة، اوتی بها کتابه فی الآخرة، فقیر عفو ربّه الغنی علیّ بن محمّد علیّ الحسنی الحسینی الشهیر بالطباطبائی الأصفهانی أصلا، و الکاظمی مولدا، و الحائری موطنا دنیا و آخرة، إن شاء اللّه تعالی، و کان ذلک فی أواسط شهر شوّال المکرّم من شهور سنة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خاتمه</w:t>
      </w:r>
    </w:p>
    <w:p>
      <w:pPr>
        <w:pStyle w:val="BookText"/>
        <w:rPr/>
      </w:pPr>
      <w:r>
        <w:rPr>
          <w:rFonts w:ascii="Amiri" w:hAnsi="Amiri" w:eastAsia="Amiri" w:cs="Amiri"/>
          <w:color w:val="111111"/>
          <w:sz w:val="28"/>
          <w:sz w:val="28"/>
          <w:szCs w:val="28"/>
          <w:rtl w:val="true"/>
          <w:lang w:bidi="ar-SA"/>
        </w:rPr>
        <w:t>لا إله إلّا اللّه الملک الحقّ المبین</w:t>
      </w:r>
    </w:p>
    <w:p>
      <w:pPr>
        <w:pStyle w:val="BookText"/>
        <w:rPr/>
      </w:pPr>
      <w:r>
        <w:rPr>
          <w:rFonts w:ascii="IRNazanin" w:hAnsi="IRNazanin" w:eastAsia="IRNazanin"/>
          <w:color w:val="111111"/>
          <w:sz w:val="28"/>
          <w:sz w:val="28"/>
          <w:szCs w:val="28"/>
          <w:rtl w:val="true"/>
          <w:lang w:bidi="fa-IR"/>
        </w:rPr>
        <w:t>علی طباطبائی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بن حبیب اللّه الرضوی نزیل المشهد الرضوی المتوفّی بها سنة </w:t>
      </w:r>
      <w:r>
        <w:rPr>
          <w:rFonts w:eastAsia="IRNazanin" w:cs="IRNazanin"/>
          <w:color w:val="111111"/>
          <w:sz w:val="28"/>
          <w:szCs w:val="28"/>
          <w:lang w:bidi="fa-IR"/>
        </w:rPr>
        <w:t>1266</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بن عبد الصمد الحسینی الشهشهانی الأصفهانی المدرّس بها المتوفّی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أنوار الریاض حاشیة علی ریاض المسائل فی ثمان مجلّدات</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بن عبد الکریم بن جواد الجزائری الشوشتری</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محمّد شریف بن الرضا الشیروانی التبریزی صاحب التصانیف مثل مصباح الاصول و مقالید الأخبار و دوحة الأخبار</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محمّد المشهدی صاحب شرح الأحادیث المشکلة و بعض الآیات و شرح الدرّة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1257</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بن محمّد کاظم الاصطهباناتی</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آخوند ملّا محمّد بن محمّد علیّ بن محسن بن محمّد علیّ البهبهانی</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ذکره فی مرآة الأحوال،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محمّد در خدمت آقا سیّد علی دام ظلّه العالی تحصیل علوم شرعیه کرده است و نهایت نیکو سلیقه و مستقیم الطبع است، و در این اوقات در بلده بهبهان به تدریس و نماز جماعت مشغولند</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محمود بن محمّد علیّ الکرمانشاهی حفید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أخوه فی مرآة الأحوال، و قال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فقیر در بطن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 است عالی‌شأن و عالمی است با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امر در خدمت والد بزرگوار تحصیل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در خدمت برادر نامدار و این فقیر به استفاده مشغول شد و چند روزی از مستمعان افادات جناب سیّد علی سابق الألقاب دام ظله و مدتی را از گل‌چینان حدایق افادات فاضل نحریر و عالم بی‌نظیر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جعفر نجفی دام ظله العالی بود</w:t>
      </w:r>
      <w:r>
        <w:rPr>
          <w:rFonts w:eastAsia="IRNazanin" w:cs="IRNazanin"/>
          <w:color w:val="111111"/>
          <w:sz w:val="28"/>
          <w:szCs w:val="28"/>
          <w:rtl w:val="true"/>
          <w:lang w:bidi="fa-IR"/>
        </w:rPr>
        <w:t>.</w:t>
      </w:r>
      <w:r>
        <w:rPr>
          <w:rStyle w:val="FootnoteAnchor"/>
          <w:rtl w:val="true"/>
        </w:rPr>
        <w:footnoteReference w:id="1484"/>
      </w:r>
      <w:bookmarkStart w:id="452" w:name="pg19819_193784"/>
    </w:p>
    <w:p>
      <w:pPr>
        <w:pStyle w:val="BookText"/>
        <w:rPr/>
      </w:pPr>
      <w:bookmarkEnd w:id="452"/>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علم الهدی بن معصوم بن محمّد الرضوی الخراسانی</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ولده السیّد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1249</w:t>
      </w:r>
      <w:r>
        <w:rPr>
          <w:rFonts w:eastAsia="IRNazanin" w:cs="IRNazanin"/>
          <w:color w:val="111111"/>
          <w:sz w:val="28"/>
          <w:szCs w:val="28"/>
          <w:rtl w:val="true"/>
          <w:lang w:bidi="fa-IR"/>
        </w:rPr>
        <w:t>).</w:t>
      </w:r>
      <w:r>
        <w:rPr>
          <w:rStyle w:val="FootnoteAnchor"/>
          <w:rtl w:val="true"/>
        </w:rPr>
        <w:footnoteReference w:id="1486"/>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مهدی بن محمّد شفیع الأسترآبادی الکرمانشاهی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نصر اللّه بن حسن الحسینی الأسترآبادی</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زمانه بر سر جنگ است یا علی مددی‌کمک ز غیر تو ننگ است یا علی مددی</w:t>
      </w:r>
    </w:p>
    <w:p>
      <w:pPr>
        <w:pStyle w:val="BookText"/>
        <w:rPr/>
      </w:pPr>
      <w:r>
        <w:rPr>
          <w:rFonts w:ascii="IRNazanin" w:hAnsi="IRNazanin" w:eastAsia="IRNazanin"/>
          <w:color w:val="111111"/>
          <w:sz w:val="28"/>
          <w:sz w:val="28"/>
          <w:szCs w:val="28"/>
          <w:rtl w:val="true"/>
          <w:lang w:bidi="fa-IR"/>
        </w:rPr>
        <w:t>گشود کار دو عالم به یک اشاره تست‌به کار ما چه درنگ است یا علی مددی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هادی بن محمّد باقر الشریف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53" w:name="__RefHeading___Toc3055737_2314609296"/>
      <w:bookmarkStart w:id="454" w:name="_Toc172"/>
      <w:bookmarkEnd w:id="453"/>
      <w:r>
        <w:rPr>
          <w:rtl w:val="true"/>
        </w:rPr>
        <w:t>مصنّفاته</w:t>
      </w:r>
      <w:r>
        <w:rPr>
          <w:rtl w:val="true"/>
        </w:rPr>
        <w:t>:</w:t>
      </w:r>
      <w:bookmarkEnd w:id="454"/>
    </w:p>
    <w:p>
      <w:pPr>
        <w:pStyle w:val="BookText"/>
        <w:rPr/>
      </w:pPr>
      <w:r>
        <w:rPr>
          <w:rFonts w:ascii="IRNazanin" w:hAnsi="IRNazanin" w:eastAsia="IRNazanin"/>
          <w:color w:val="111111"/>
          <w:sz w:val="28"/>
          <w:sz w:val="28"/>
          <w:szCs w:val="28"/>
          <w:rtl w:val="true"/>
          <w:lang w:bidi="fa-IR"/>
        </w:rPr>
        <w:t xml:space="preserve">قال تلمیذه أبو علیّ الحائری فی منتهی المقال،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مدّ فی بقاه مصنّفات فائقة و مؤلّفات رائقه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شرحه علی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منه کتاب الصلاة، و هو مجلّد کبیر جمع فیه جمیع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منه نسختین فی مکتبة آیة اللّه المرعشی برقم </w:t>
      </w:r>
      <w:r>
        <w:rPr>
          <w:rFonts w:eastAsia="IRNazanin" w:cs="IRNazanin"/>
          <w:color w:val="111111"/>
          <w:sz w:val="28"/>
          <w:szCs w:val="28"/>
          <w:lang w:bidi="fa-IR"/>
        </w:rPr>
        <w:t>13620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کاتبه علیّ أصغر بن زین العابدین النجف‌آبادی فی شهور ذی القعدة الحرام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مکتبة دانشکده حقوق و علوم سیاسی و اقتصادی دانشگاه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تلمیذه الشیخ أسد اللّه التستری فی مقابس الأنوار،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 مصنّفاته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علی قطعة من کتاب الصلاة من المفاتیح مشتمل علی معظم الأقوال و الأدلّة و التراجیح و تضاریع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سمّاه بریاض المسائل فی بیان أحکام الشرع بالدلائل، و هو فی غایة الجودة جدّا، لم یسبق بمثله، ذکر فیه جمیع ما وصل إلیه من الأقوال علی نهج عسر علی سواه بل استحال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مقدّمة تحقیق ریاض المسائل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الشیخ مرتضی الأنصاری فی إحدی وصایاه لتلامذته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ابحثوا و حقّقوا فی کتاب ریاض المسائل للسیّد علیّ الطباطبائی، فإنّه سیعینکم کثیرا فی نیل مرتبة الاجتهاد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تثلیث التسبیحات الأربع فی الأخیرتین و کیفیّة ترتیب الصلاة المقضیة عن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أجلّاء النجف عنهما الاستاذ العلّامة دام علاه و أشار إلیه دام ظلّه بالجواب، و هی عندی بخطّه الشریف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وجیزة فی الاصول الخمس، جیّدة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الإجماع و الاستصحاب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الرضویة، برقم </w:t>
      </w:r>
      <w:r>
        <w:rPr>
          <w:rFonts w:eastAsia="IRNazanin" w:cs="IRNazanin"/>
          <w:color w:val="111111"/>
          <w:sz w:val="28"/>
          <w:szCs w:val="28"/>
          <w:lang w:bidi="fa-IR"/>
        </w:rPr>
        <w:t>19101</w:t>
      </w:r>
      <w:r>
        <w:rPr>
          <w:rFonts w:ascii="IRNazanin" w:hAnsi="IRNazanin" w:eastAsia="IRNazanin"/>
          <w:color w:val="111111"/>
          <w:sz w:val="28"/>
          <w:sz w:val="28"/>
          <w:szCs w:val="28"/>
          <w:rtl w:val="true"/>
          <w:lang w:bidi="fa-IR"/>
        </w:rPr>
        <w:t xml:space="preserve">، تاریخ الکتابة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الرضویة، برقم </w:t>
      </w:r>
      <w:r>
        <w:rPr>
          <w:rFonts w:eastAsia="IRNazanin" w:cs="IRNazanin"/>
          <w:color w:val="111111"/>
          <w:sz w:val="28"/>
          <w:szCs w:val="28"/>
          <w:lang w:bidi="fa-IR"/>
        </w:rPr>
        <w:t>18509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ملک، برقم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إحیاء التراث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الارموی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3680</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مسجد الأعظم برقم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تاریخ الکتابة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کاتبها محمّد حسن بن محمّد صادق النوری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آیة اللّه الگلپایگانی، برقم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روضات الجنّات،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یذکر کثیرا أنّی ما أردت به النشر و التدوین بل المشق و التمرین فرفعه اللّه تعالی إلی ما رفع و نفع به أحسن ما به ینتفع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فی الذریعة،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بأمر خاله و استاده الوحید البهبهانی، لمّا سئل عن المسألتین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فی 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ألف بیت کتبه بالتماس الشیخ سلیمان العاملی، رأیته فی کتب السیّد محمّد باقر الحجّة فی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ثان علی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اختصره من الأوّل، جیّد لطیف، سلک فی العبادات مسلک الاحتیاط لیعمّ نفعه العامی و المبتدئ و المنتهی، و الفقیه و المقلّد له و لغیره فی أیّام حیاته أدامها اللّه و بعد وفاته</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تحقیق حجّیة مفهوم الموافقة</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نسخها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الرضویة، برقم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آیة اللّه المرعشی، 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آیة اللّه الگلپایگانی، 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مسجد أعظم بقم، برقم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ملی، برقم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مدرسة النمازی بخوی، برقم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إحیاء التراث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الارموی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جواز الاکتفاء بضربة واحدة فی التیمّم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اختصاص الخطاب الشفاهی بالحاضر فی مجلس الخطاب کما هو عند الشیعة</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تحقیق أنّ منجّزات المریض تحسب من الثلث أم من أصل الترکة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تحقیق حکم الاستظهار للحائض إذا تجاوز دمها عن العشرة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رسالة فی الاصول الخمس فارسیّة للاستاذ العلّامة دام علاه بالعربیة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بیان أنّ الکفّار مکلّفون بالفروع عند الشیعة بل و غیرهم إلّا أبا حنیفة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أصالة براءة ذمّة الزوج عن المهر و أنّ علی الزوجة إثبات اشتغال ذمّته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حجّیة الشهرة وفاقا للشهید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هذه الرسالة و سیوافیک الکلام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حلّیة النظر إلی الأجنبیة فی الجملة و إباحة سماع صوتها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کتاب معالم الاصول غیر مدوّنة، کتبها بخطّة علی حواشی المعالم فی صغره و أوائل مباحثته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متفرّقة علی المدارک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متفرّقة علی الحدائق الناضرة لشیخنا یوسف البحرانی 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الذریعة،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النجف عند السیّد جعفر آل بحر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منها نسخة فی مکتبة ملی، برقم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فی روضات الجنات،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أنه کان یحضره درس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جمیع مجلّدات الحدائق بخطّه الشریف، و ذکر والدنا العلّامة أعلی اللّه مقامه أنه طلب من جنابه الکتاب المذکور أیّام تشرّفه بالزیارة فذهب إلی داخل الدار و أتی بجمیع تلک المجلّدات إلیه، فکانت عنده إلی یوم خروجه عن ذلک المشهد الشریف</w:t>
      </w:r>
      <w:r>
        <w:rPr>
          <w:rFonts w:eastAsia="IRNazanin" w:cs="IRNazanin"/>
          <w:color w:val="111111"/>
          <w:sz w:val="28"/>
          <w:szCs w:val="28"/>
          <w:rtl w:val="true"/>
          <w:lang w:bidi="fa-IR"/>
        </w:rPr>
        <w:t>».</w:t>
      </w:r>
      <w:bookmarkStart w:id="455" w:name="pg19819_193788"/>
    </w:p>
    <w:p>
      <w:pPr>
        <w:pStyle w:val="BookText"/>
        <w:rPr/>
      </w:pPr>
      <w:bookmarkEnd w:id="455"/>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أجزاء غیر تامّة فی شرح مبادئ الاصول لمولانا الإمام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حواش و رسائل و فوائد و أجوبة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ابی علی الحائری فی منتهی المقال</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ألّفها بالتماس المیرزا محمّد رحیم الشهیر بآغا بزرگ، فرغ منها فی یوم الجمعة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قال فی 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اختار فیه الامتناع و نسخه شایعة</w:t>
      </w:r>
      <w:r>
        <w:rPr>
          <w:rFonts w:eastAsia="IRNazanin" w:cs="IRNazanin"/>
          <w:color w:val="111111"/>
          <w:sz w:val="28"/>
          <w:szCs w:val="28"/>
          <w:rtl w:val="true"/>
          <w:lang w:bidi="fa-IR"/>
        </w:rPr>
        <w:t>.</w:t>
      </w:r>
    </w:p>
    <w:p>
      <w:pPr>
        <w:pStyle w:val="Heading4"/>
        <w:numPr>
          <w:ilvl w:val="3"/>
          <w:numId w:val="1"/>
        </w:numPr>
        <w:rPr/>
      </w:pPr>
      <w:bookmarkStart w:id="456" w:name="__RefHeading___Toc3055739_2314609296"/>
      <w:bookmarkStart w:id="457" w:name="_Toc173"/>
      <w:bookmarkEnd w:id="456"/>
      <w:r>
        <w:rPr>
          <w:rtl w:val="true"/>
        </w:rPr>
        <w:t>نسخها</w:t>
      </w:r>
      <w:r>
        <w:rPr>
          <w:rtl w:val="true"/>
        </w:rPr>
        <w:t>:</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الرضویة، 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برقم </w:t>
      </w:r>
      <w:r>
        <w:rPr>
          <w:rFonts w:eastAsia="IRNazanin" w:cs="IRNazanin"/>
          <w:color w:val="111111"/>
          <w:sz w:val="28"/>
          <w:szCs w:val="28"/>
          <w:lang w:bidi="fa-IR"/>
        </w:rPr>
        <w:t>19636</w:t>
      </w:r>
      <w:r>
        <w:rPr>
          <w:rFonts w:ascii="IRNazanin" w:hAnsi="IRNazanin" w:eastAsia="IRNazanin"/>
          <w:color w:val="111111"/>
          <w:sz w:val="28"/>
          <w:sz w:val="28"/>
          <w:szCs w:val="28"/>
          <w:rtl w:val="true"/>
          <w:lang w:bidi="fa-IR"/>
        </w:rPr>
        <w:t xml:space="preserve">، تاریخ الکتابة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کاتبها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آیة اللّه المرعشی، برقم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9644</w:t>
      </w:r>
      <w:r>
        <w:rPr>
          <w:rFonts w:ascii="IRNazanin" w:hAnsi="IRNazanin" w:eastAsia="IRNazanin"/>
          <w:color w:val="111111"/>
          <w:sz w:val="28"/>
          <w:sz w:val="28"/>
          <w:szCs w:val="28"/>
          <w:rtl w:val="true"/>
          <w:lang w:bidi="fa-IR"/>
        </w:rPr>
        <w:t xml:space="preserve">، تاریخ کتابتها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کاتبها عبد العظیم بن علی خان الزنوزی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آیة اللّه الگلپایگانی، برقم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 xml:space="preserve">، تاریخ کتابتها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کاتبها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الوزیری، 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مسجد أعظم بقم، برقم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عدم تعدّی النجاسة بالسرایة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مکتبة الرضویة، برقم </w:t>
      </w:r>
      <w:r>
        <w:rPr>
          <w:rFonts w:eastAsia="IRNazanin" w:cs="IRNazanin"/>
          <w:color w:val="111111"/>
          <w:sz w:val="28"/>
          <w:szCs w:val="28"/>
          <w:lang w:bidi="fa-IR"/>
        </w:rPr>
        <w:t>20800</w:t>
      </w:r>
      <w:r>
        <w:rPr>
          <w:rFonts w:ascii="IRNazanin" w:hAnsi="IRNazanin" w:eastAsia="IRNazanin"/>
          <w:color w:val="111111"/>
          <w:sz w:val="28"/>
          <w:sz w:val="28"/>
          <w:szCs w:val="28"/>
          <w:rtl w:val="true"/>
          <w:lang w:bidi="fa-IR"/>
        </w:rPr>
        <w:t xml:space="preserve">، تاریخ کتابتها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کاتبها محمّد بن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مدرسة النمازی بخوی، برقم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تاریخ کتابتها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نکاح البالغة الرشیدة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نسخة بخط مؤلفها فی مکتبة ملی، 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مصوّرة عندی، وهبها للمولی محمّد حسن القزوینی شریک درسه عند الوحید البهبهانی و صاحب کتاب کشف الغطاء فی الأخلاق المطبوع أخیرا، و کتب القزوینی علی ظهر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وهبه مصنّفه و هو کاتبه للعبد الفقیر المحتاج إلی رحمة ربّه الغنی خادم أئمة العلوم محمّد حسن بن محمّد معصوم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 جرائهما بالنبی و الوصی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و الجواب فی الطلاق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نسخة فی مکتبة الرضویة، برقم </w:t>
      </w:r>
      <w:r>
        <w:rPr>
          <w:rFonts w:eastAsia="IRNazanin" w:cs="IRNazanin"/>
          <w:color w:val="111111"/>
          <w:sz w:val="28"/>
          <w:szCs w:val="28"/>
          <w:lang w:bidi="fa-IR"/>
        </w:rPr>
        <w:t>19731</w:t>
      </w:r>
      <w:r>
        <w:rPr>
          <w:rFonts w:ascii="IRNazanin" w:hAnsi="IRNazanin" w:eastAsia="IRNazanin"/>
          <w:color w:val="111111"/>
          <w:sz w:val="28"/>
          <w:sz w:val="28"/>
          <w:szCs w:val="28"/>
          <w:rtl w:val="true"/>
          <w:lang w:bidi="fa-IR"/>
        </w:rPr>
        <w:t xml:space="preserve">، تاریخ الکتابة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ذکرها فی الذریعة،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توجد فی عدّة من مکتبات العراق و هی التی اعترض علیها صاحب مفتاح الکرامة فی کتابه المذکور آنفا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ذکرها فی الذریعة،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فارسیة عملیة فتوائیة بعنوان السؤال و الجوابات الّتی أجاب بها السیّد صاحب الریاض، و قد جمعت المسائل فی حیاته سنة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رأیت النسخة فی خزانة کتب سیّدنا آیة اللّه المجدّد الشیرازی، و بما أنّ الصفحة الاولی منها ناقصة لم یعلم الشخص الجامع للمسائل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ذکرها فی 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رأیته ضمن مجموعة من رسائله کتابة بعضها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المیرزا جواد المشهدی قال فی بعض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کثیر من النصوص من طرق الأصحاب بل و المخالف أیضا ما یظهر للمتتبّع تحقّق النقص فی القرآن و البحث</w:t>
      </w:r>
    </w:p>
    <w:p>
      <w:pPr>
        <w:pStyle w:val="BookText"/>
        <w:rPr/>
      </w:pPr>
      <w:r>
        <w:rPr>
          <w:rFonts w:ascii="IRNazanin" w:hAnsi="IRNazanin" w:eastAsia="IRNazanin"/>
          <w:color w:val="111111"/>
          <w:sz w:val="28"/>
          <w:sz w:val="28"/>
          <w:szCs w:val="28"/>
          <w:rtl w:val="true"/>
          <w:lang w:bidi="fa-IR"/>
        </w:rPr>
        <w:t>فیه لا طائل تحته بعد تحقّق الإجماع عن الکلّ بوجوب العمل بما فی أیدینا و أنّه لا یمنع احتمال النقص من الاحتجاج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الذریعة،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فارسیة عملیة من فتاوی المیر السیّد علیّ صاحب الریاض، استخرجها تلمیذه المولی محمّد علیّ الرشتی البهشتی من تصانیف استاده، الشرح الکبیر و الشرح الصغیر و غیرهما، و رتّبه علی أبواب ذوات فصول فی الطهارة و الصلاة و الصوم، فرغ منها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نسخة منها فی مکتبة السیّد محمّد باقر الحجّة بکربلاء تاریخ کتابتها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ذکرها فی الذریعة،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استخرجها أبو علیّ الرجالی عن کتابه الریاض بالفارسیة اسمها زهر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و الجواب فی المسائل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الذریعة،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یقرب من ألف بیت فی مکتبة الطهرانی بسامرّاء مع السؤال و الجواب لولده السیّد محمّد المجاهد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الطهارة و 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ذکرها فی الذریعة،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النسخة کانت فی مکتبة مدرسة السبزواری بمشهد خراسان المعروفة بمدرسة الملا محمّد باقر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الحجّ المقصور علی أحکام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الذریعة،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بخطّ السیّد محسن بن الحسن الأعرجی الکاظمی المتوفّی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ذکر فیه أنه کتب الفتاوی و الأحکام علی مقتضی الاحتیاط من کلّ ما قضی به اختیار فخر العلماء الأعلام من علماء عصرنا العظام المیر السیّد علیّ الطباطبائی الجدیر بمزید الإجلال و الإعظام متّع اللّه بطول بقائه بقایا اللیالی و الأیام</w:t>
      </w:r>
      <w:r>
        <w:rPr>
          <w:rFonts w:eastAsia="IRNazanin" w:cs="IRNazanin"/>
          <w:color w:val="111111"/>
          <w:sz w:val="28"/>
          <w:szCs w:val="28"/>
          <w:rtl w:val="true"/>
          <w:lang w:bidi="fa-IR"/>
        </w:rPr>
        <w:t>.</w:t>
      </w:r>
      <w:bookmarkStart w:id="458" w:name="pg19819_193791"/>
    </w:p>
    <w:p>
      <w:pPr>
        <w:pStyle w:val="BookText"/>
        <w:rPr/>
      </w:pPr>
      <w:bookmarkEnd w:id="458"/>
      <w:r>
        <w:rPr>
          <w:rFonts w:ascii="IRNazanin" w:hAnsi="IRNazanin" w:eastAsia="IRNazanin"/>
          <w:color w:val="111111"/>
          <w:sz w:val="28"/>
          <w:sz w:val="28"/>
          <w:szCs w:val="28"/>
          <w:rtl w:val="true"/>
          <w:lang w:bidi="fa-IR"/>
        </w:rPr>
        <w:t>و النسخة موجودة فی خزانة کبّة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عملیة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ذکرها فی الذریعة،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مطابقة لفتاوی صاحب الریاض رتّبها حسین الطهرانی المجاور بالحائر، و قد دوّن أیضا قوت لا یموت و أقلّ واجب من فتاوی المحقّق القمی، ثمّ دوّن الرسالة الاتفاقیة الإجماعیة لتطبیق العمل علی ما یوافق جمیع الفتاوی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بکلّ ذلک فی أوّل الرسالة الموجودة عند الشیخ قاسم محیی الدین بالنجف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النخبة الوجیزة فی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ذکرها فی الذریعة،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انتخبه أبو علیّ الرجالی من ریاض المسائل لاستاده میر سیّد علیّ مراعیا فیه طریق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مقدّمة و مقصدین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کتابتها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مهدی بن أحمد آل حیدر الکاظمی</w:t>
      </w:r>
      <w:r>
        <w:rPr>
          <w:rFonts w:eastAsia="IRNazanin" w:cs="IRNazanin"/>
          <w:color w:val="111111"/>
          <w:sz w:val="28"/>
          <w:szCs w:val="28"/>
          <w:rtl w:val="true"/>
          <w:lang w:bidi="fa-IR"/>
        </w:rPr>
        <w:t>.</w:t>
      </w:r>
    </w:p>
    <w:p>
      <w:pPr>
        <w:pStyle w:val="Heading4"/>
        <w:numPr>
          <w:ilvl w:val="3"/>
          <w:numId w:val="1"/>
        </w:numPr>
        <w:rPr/>
      </w:pPr>
      <w:bookmarkStart w:id="459" w:name="__RefHeading___Toc3055741_2314609296"/>
      <w:bookmarkStart w:id="460" w:name="_Toc174"/>
      <w:bookmarkEnd w:id="459"/>
      <w:r>
        <w:rPr>
          <w:rtl w:val="true"/>
        </w:rPr>
        <w:t>من خدماته</w:t>
      </w:r>
      <w:r>
        <w:rPr>
          <w:rtl w:val="true"/>
        </w:rPr>
        <w:t>:</w:t>
      </w:r>
      <w:bookmarkEnd w:id="460"/>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أوّل أمره یکتب بکتابة الأکفان و هو مشغول بتصنیف الریاض، ثمّ انفتح علیه باب الهند فی الدولة الشیعیة و صارت الدراهم عنده کأکوام الحنطة حتّی اشتری دور الکربلائیین من أربابها و وقفها علی سکّانها و أهلها جیلا بعد جیل و بنی سور کربلاء و طلب عشیرة من البلوج و أسکنهم کربلاء لقوّتهم و شدّتهم، و روّج الدین بکلّ قواه، و بذل فی سبیل ذلک کل لوازمه، و عظم أهل العلم فقدمهم و بارک اللّه فی کلّ اموره</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قال مهدی بامداد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بواسطة بودن سیّد علی اصفهانی صاحب ریاض و پسرش سیّد محمّد</w:t>
      </w:r>
      <w:bookmarkStart w:id="461" w:name="pg19819_193792"/>
    </w:p>
    <w:p>
      <w:pPr>
        <w:pStyle w:val="BookText"/>
        <w:rPr/>
      </w:pPr>
      <w:bookmarkEnd w:id="461"/>
      <w:r>
        <w:rPr>
          <w:rFonts w:ascii="IRNazanin" w:hAnsi="IRNazanin" w:eastAsia="IRNazanin"/>
          <w:color w:val="111111"/>
          <w:sz w:val="28"/>
          <w:sz w:val="28"/>
          <w:szCs w:val="28"/>
          <w:rtl w:val="true"/>
          <w:lang w:bidi="fa-IR"/>
        </w:rPr>
        <w:t>معروف به مجاهد صاحب مناهل در کربلا، شهر مزبور مرکز روحانی شده بود و به این جهت طلاب علوم دینی به شهر مزبور روی می‌آوردند، بعدا به واسطه بودن علمایی چند در نجف، مرکز علوم دینی نجف گردید و آنجا اهمیت پیدا کرد</w:t>
      </w:r>
      <w:r>
        <w:rPr>
          <w:rFonts w:eastAsia="IRNazanin" w:cs="IRNazanin"/>
          <w:color w:val="111111"/>
          <w:sz w:val="28"/>
          <w:szCs w:val="28"/>
          <w:rtl w:val="true"/>
          <w:lang w:bidi="fa-IR"/>
        </w:rPr>
        <w:t>.</w:t>
      </w:r>
      <w:r>
        <w:rPr>
          <w:rStyle w:val="FootnoteAnchor"/>
          <w:rtl w:val="true"/>
        </w:rPr>
        <w:footnoteReference w:id="1494"/>
      </w:r>
    </w:p>
    <w:p>
      <w:pPr>
        <w:pStyle w:val="Heading4"/>
        <w:numPr>
          <w:ilvl w:val="3"/>
          <w:numId w:val="1"/>
        </w:numPr>
        <w:rPr/>
      </w:pPr>
      <w:bookmarkStart w:id="462" w:name="__RefHeading___Toc3055743_2314609296"/>
      <w:bookmarkStart w:id="463" w:name="_Toc175"/>
      <w:bookmarkEnd w:id="462"/>
      <w:r>
        <w:rPr>
          <w:rtl w:val="true"/>
        </w:rPr>
        <w:t>سوانح حیاته</w:t>
      </w:r>
      <w:r>
        <w:rPr>
          <w:rtl w:val="true"/>
        </w:rPr>
        <w:t>:</w:t>
      </w:r>
      <w:bookmarkEnd w:id="463"/>
    </w:p>
    <w:p>
      <w:pPr>
        <w:pStyle w:val="BookText"/>
        <w:rPr/>
      </w:pPr>
      <w:r>
        <w:rPr>
          <w:rFonts w:ascii="IRNazanin" w:hAnsi="IRNazanin" w:eastAsia="IRNazanin"/>
          <w:color w:val="111111"/>
          <w:sz w:val="28"/>
          <w:sz w:val="28"/>
          <w:szCs w:val="28"/>
          <w:rtl w:val="true"/>
          <w:lang w:bidi="fa-IR"/>
        </w:rPr>
        <w:t>ذکر الخوانساری فی روضات الجنات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شنّ جماعة الوهابیة النواصب هجومهم بإمارة رئیسهم الملحد المردود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مشهد مولانا الحسین، 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عید الغدیر، حیث أغلب أهل البلد توجّهوا إلی زیارة أمیر المؤمنین علیه السّلام المخصوصة، و من عجیب الاتفاق فی تلک الواقعة العظیمة أیضا إلی سیّدنا صاحب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وقف علی قصدهم الهجوم علی داره بعزیمة قتله و قتل عیاله و نهب أمواله، فأرسل بحسب الإمکان أهالیه و أمواله فی الخفاء عنهم إلی مواضع مأمونة، و بقی هو وحدة فی الدار مع طفل رضیع لم یذهبوا به مع أنفسهم، فحمل ذلک الطفل معه، و ارتقی إلی زاویة من بیوتاتها الفوقانیّة، معدّة لخزن الحطب و الوقود و أمثاله، لیختفی فیها عن عیونهم، فلمّا وردوا و جعلوا یجوسون خلال حجرات الدار فی طلبه و ینادون فی کلّ جهة منها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میر علیّ؟ ثمّ عمدوا إلی تلک الزاویة، أخذ هو رحمه اللّه ذلک الطفل الرضیع علی صدره، متوکّلا علی اللّه تعالی فی جمیع أمره، و دخل تحت سبدة کبیرة کانت هناک من جملة ضروریات البیت، فلمّا صعدوا إلی تلک الزاویة، و ما رأوا فیها غیر حزمة من الحطب موضوعة فی ناحیة منها، و کان قد أعمی اللّه أبصارهم عن مشاهدة تلک السبدة، تخیّلوا أنّ جناب السیّد لعلّه اختفی بین الأحطاب و الأخشاب، فأخذوها واحدا بعد واحد، و وضعوها بأیدیهم فوق تلک السبدة، إلی أن نفدت، و یئس الّذین کفروا من دینهم، فانقلبوا خائبین و خاسرین،</w:t>
      </w:r>
    </w:p>
    <w:p>
      <w:pPr>
        <w:pStyle w:val="BookText"/>
        <w:rPr/>
      </w:pPr>
      <w:r>
        <w:rPr>
          <w:rFonts w:ascii="IRNazanin" w:hAnsi="IRNazanin" w:eastAsia="IRNazanin"/>
          <w:color w:val="111111"/>
          <w:sz w:val="28"/>
          <w:sz w:val="28"/>
          <w:szCs w:val="28"/>
          <w:rtl w:val="true"/>
          <w:lang w:bidi="fa-IR"/>
        </w:rPr>
        <w:t xml:space="preserve">و خرج السیّد المرحوم لنعمة اللّه من الشاکرین، و فی عصمة اللّه من الحائرین، و أنّه کیف سکن ذلک الطفل الصغیر من الفزع و الأنین، و أخمد منه التنفّس و الحنین کما یخمد الجنین، إلی أن جعل الأمر الخارق للعادة عبرة للناظرین و عظة للفاکرین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 و اللّه خیر الماکرین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 و هو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اولئک الفجرة الفسقة الملاعین لمّا فعلوا ما فعلوا، و قتلوا ما قتلوا، و نهبوا من المؤمنین و المسلمین، و هدموا أرکان الدین المتین، و هتکوا حرمة ابن بنت رسول اللّه الأمین، بحیث ربطوا الدواب الکثیرة القذرة فی الصحن المطهر، و أخذوا جمع ما کان من النفائس فی الحرم المنوّر، بل قلعوا ضریحه الشریف، و کسروا صندوقه المنیف، و وضعوا هاون القهوة فوق رأس الحضرة المقدسة علی وجه التخفیف، و دقّوها و طبخوها و شربوها، و سقوها کلّ شقی عتریف و فاسق غیر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خافوا علی أنفسهم الخبیثة من سوء عاقبة الأطوار، و من هجوم رجال الحقّ علیهم بعد ذلک من الأقطار، فاختاروا الفرار علی القرار، و لم یلبثوا فی البلد الا بقیّة ذلک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 اللّه بأفواههم و اللّه متمّ نوره و 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قال تلمیذه المولی علیّ الآرانی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واقعات این سال </w:t>
      </w:r>
      <w:r>
        <w:rPr>
          <w:rStyle w:val="FootnoteAnchor"/>
          <w:rtl w:val="true"/>
        </w:rPr>
        <w:footnoteReference w:id="1496"/>
      </w:r>
      <w:r>
        <w:rPr>
          <w:rFonts w:ascii="IRNazanin" w:hAnsi="IRNazanin" w:eastAsia="IRNazanin"/>
          <w:color w:val="111111"/>
          <w:sz w:val="28"/>
          <w:sz w:val="28"/>
          <w:szCs w:val="28"/>
          <w:rtl w:val="true"/>
          <w:lang w:bidi="fa-IR"/>
        </w:rPr>
        <w:t>این بود که در روز عید غدیر آن طائفه یاغیه باغیه طاغیه وهابیه که امیر و سردار ایشان مسعود نامسعود ولد عبد العزیز وهابی بود که در نجد و درعیّه سمت سروری و حکمرانی داشت بر سر کربلای معلّا لشکر کشید و بعض محلّات آن بلد مبارک را مسخّر نمود و قتل عامی کرد و داغ شهادت سیّد الشهداء تازه شد و بسیاری از سادات عظام و فضلای ذوی العزّ و الاحترام و طلاب علوم ائمه اطهار علیهم السّلام را طعمه شمشیر ظلم و ستم نمودند و کتب علمیه بسیاری را در عرضه تلف درآوردند، و بر سر سرای سیّد المحقّقین استادنا آقا سیّد علی ریختند و مبالغی از امانت‌های مردم</w:t>
      </w:r>
      <w:bookmarkStart w:id="464" w:name="pg19819_193794"/>
    </w:p>
    <w:p>
      <w:pPr>
        <w:pStyle w:val="BookText"/>
        <w:rPr/>
      </w:pPr>
      <w:bookmarkEnd w:id="464"/>
      <w:r>
        <w:rPr>
          <w:rFonts w:ascii="IRNazanin" w:hAnsi="IRNazanin" w:eastAsia="IRNazanin"/>
          <w:color w:val="111111"/>
          <w:sz w:val="28"/>
          <w:sz w:val="28"/>
          <w:szCs w:val="28"/>
          <w:rtl w:val="true"/>
          <w:lang w:bidi="fa-IR"/>
        </w:rPr>
        <w:t>که در آنجا بود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کامل ربّانی ملّا عبد الصمد همدانی را شهید کردند</w:t>
      </w:r>
      <w:r>
        <w:rPr>
          <w:rFonts w:eastAsia="IRNazanin" w:cs="IRNazanin"/>
          <w:color w:val="111111"/>
          <w:sz w:val="28"/>
          <w:szCs w:val="28"/>
          <w:rtl w:val="true"/>
          <w:lang w:bidi="fa-IR"/>
        </w:rPr>
        <w:t>.</w:t>
      </w:r>
      <w:r>
        <w:rPr>
          <w:rStyle w:val="FootnoteAnchor"/>
          <w:rtl w:val="true"/>
        </w:rPr>
        <w:footnoteReference w:id="1497"/>
      </w:r>
    </w:p>
    <w:p>
      <w:pPr>
        <w:pStyle w:val="Heading4"/>
        <w:numPr>
          <w:ilvl w:val="3"/>
          <w:numId w:val="1"/>
        </w:numPr>
        <w:rPr/>
      </w:pPr>
      <w:bookmarkStart w:id="465" w:name="__RefHeading___Toc3055745_2314609296"/>
      <w:bookmarkStart w:id="466" w:name="_Toc176"/>
      <w:bookmarkEnd w:id="465"/>
      <w:r>
        <w:rPr>
          <w:rtl w:val="true"/>
        </w:rPr>
        <w:t>المؤلّف و المحقّق القمی صاحب القوانین</w:t>
      </w:r>
      <w:r>
        <w:rPr>
          <w:rtl w:val="true"/>
        </w:rPr>
        <w:t>:</w:t>
      </w:r>
      <w:bookmarkEnd w:id="466"/>
    </w:p>
    <w:p>
      <w:pPr>
        <w:pStyle w:val="BookText"/>
        <w:rPr/>
      </w:pPr>
      <w:r>
        <w:rPr>
          <w:rFonts w:ascii="IRNazanin" w:hAnsi="IRNazanin" w:eastAsia="IRNazanin"/>
          <w:color w:val="111111"/>
          <w:sz w:val="28"/>
          <w:sz w:val="28"/>
          <w:szCs w:val="28"/>
          <w:rtl w:val="true"/>
          <w:lang w:bidi="fa-IR"/>
        </w:rPr>
        <w:t>قال الخوانساری فی ترجمة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اصولیا فاشتهر کتابه فی الفقه، بخلاف صاحب القوانین فإنّه کان فقیها فاشتهر کتابه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یکن بین الرجلین أیضا صفاء فی الظاهر، و لا شباهة فی المشرب، و لا مراودة فی غیر سفر الزیارات، و کان السیّد رحمه اللّه تعالی ذا قوّة غریبة فی علم المناظرة و الجدل، بخلاف المیرزا؛ فانّه کان عاجزا عن مقاومته فی میدان النظار، فاتفق أن وقع بینهما کلام فی بعض مسائل الاصول عند تلاقیها فی أرض الحائر المطهّر فلمّا رأی السیّد استدعاءه للمباحثة نهض إلیه علی رکبتیه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تقول حتّی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معلنا به صوته، فأجابه المیرزا بصوت رخیم اکتب ما 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انحصر المجلس عنهما بهاتین الکلمتین، و العهدة فی نقل ذلک، إلینا علی الراوی</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قال الخوانساری فی ترجمة المحقّق القمّی صاحب القوانین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بینه و بین صاحب الریاض مخالفات و منافرات کثیرة فی کثیر من المسائل العلمیّة و غیرها، و کان هو یری حرمة الزبیب المغلی فی المرق أو الطّبیخ قبل ذهاب ثلثیه، مثل ماء العنب، و یقول بنجاستها أیضا قبل ذلک، و لکن السیّد الّذی هو صاحب الریاض کان یحکم بحلّه و طهارته، فاتّفق أنّ السیّد رحمه اللّه أضافه فی سفر زیارة له بأرض الحائر المطهّر علی مشرّفها السّلام، فلمّا احضرت المائدة و بسطت ظروف الأطعمة، و مدّ مولانا المیرزا یده الشریفة إلی مطبوخ کان فی جملة ما اعدّ له من الغذاء، و وضع اللّقمة فی فمه أم لم یضعها أحسّ بکون الزبیب المغلی فی ذلک المطبوخ، فتغیّر وجهه الشّریف، و قام من فوره ناویا الماء لیغسل به ما مسّه و أقبل علی جناب السیّد معاتبا إیاه بقوله</w:t>
      </w:r>
      <w:r>
        <w:rPr>
          <w:rFonts w:eastAsia="IRNazanin" w:cs="IRNazanin"/>
          <w:color w:val="111111"/>
          <w:sz w:val="28"/>
          <w:szCs w:val="28"/>
          <w:rtl w:val="true"/>
          <w:lang w:bidi="fa-IR"/>
        </w:rPr>
        <w:t>:</w:t>
      </w:r>
      <w:bookmarkStart w:id="467" w:name="pg19819_193795"/>
    </w:p>
    <w:p>
      <w:pPr>
        <w:pStyle w:val="BookText"/>
        <w:rPr/>
      </w:pPr>
      <w:bookmarkEnd w:id="467"/>
      <w:r>
        <w:rPr>
          <w:rFonts w:ascii="IRNazanin" w:hAnsi="IRNazanin" w:eastAsia="IRNazanin"/>
          <w:color w:val="111111"/>
          <w:sz w:val="28"/>
          <w:sz w:val="28"/>
          <w:szCs w:val="28"/>
          <w:rtl w:val="true"/>
          <w:lang w:bidi="fa-IR"/>
        </w:rPr>
        <w:t>مرحبا بإضافتک و إکرامک و إنعامک فقد أذیتنا و أطعمتنا النّجاسة، و لم یقرب بعد ذلک یده إلی الطّعام</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و کان شیخنا الفقیه المتبحّر السیّد صدر الدین الموسوی العاملی، عامله اللّه بلطفه الخفی و الجلی، یذکر لی أنّ فی تلک الأیّام کنت هناک، فکان صاحب الریاض یضیق علیه الأمر فی المناظرة فی مسائل الفقه و الاصول، حیثما یجده، و کان رحمه اللّه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مع هذا الرجل فیما یریده من المسائل حتّی تعلم أنّه لیس بشی‌ء، و إنّی أجدک أفضل منه یقینا، أو ما یکون قریبا من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صحّة کون اعتقاد صاحب الریاض فی حقّه کذلک؛ و ذلک لأنه رحمه اللّه کان قلیل الحافظة جدّا، و لا بدع له فی ذلک، لما ورد فی النبوی المشهور أنّ أقلّ ما اوتیت هذه الامة قوّة الحافظة و صباحة المنظر، و من الظّاهر أنّ هذه الصّفة متی وجدت فی الإنسان کانت منسیة مراتب فهمه و فضیلته و مغشیّة مواهب ذهنه و قریحته و إن کان هو علّامة وقته، و محقّق سلسلته و قبیلته، و لا یکاد یحصل له تقدّم فی المناظرات، أو یتبیّن له ترفع فی المحاورات بخلاف من وجد فیه خلاف هذه الصفة و غلبت حافظته العالیة علی قوّة المتصرّفة، فإنّه یصیر فی الأغلب اعجوبة فی المناظرات و شهرة عند الناظرین فی الأسباب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حکی عنهما أیضا أنّ فی مجلس من مجالس الجدل بینهما جعل السیّد یتجلّد علی المیرزا رافعا صوته علیه جاثیا إلیه برکبتیه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حتّی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المیرزا رحمه اللّه بصوت خفیض و نداء غیر عریض اکتب حتّی أکتب</w:t>
      </w:r>
      <w:r>
        <w:rPr>
          <w:rFonts w:eastAsia="IRNazanin" w:cs="IRNazanin"/>
          <w:color w:val="111111"/>
          <w:sz w:val="28"/>
          <w:szCs w:val="28"/>
          <w:rtl w:val="true"/>
          <w:lang w:bidi="fa-IR"/>
        </w:rPr>
        <w:t>!</w:t>
      </w:r>
      <w:r>
        <w:rPr>
          <w:rStyle w:val="FootnoteAnchor"/>
          <w:rtl w:val="true"/>
        </w:rPr>
        <w:footnoteReference w:id="1500"/>
      </w:r>
    </w:p>
    <w:p>
      <w:pPr>
        <w:pStyle w:val="Heading4"/>
        <w:numPr>
          <w:ilvl w:val="3"/>
          <w:numId w:val="1"/>
        </w:numPr>
        <w:rPr/>
      </w:pPr>
      <w:bookmarkStart w:id="468" w:name="__RefHeading___Toc3055747_2314609296"/>
      <w:bookmarkStart w:id="469" w:name="_Toc177"/>
      <w:bookmarkEnd w:id="468"/>
      <w:r>
        <w:rPr>
          <w:rtl w:val="true"/>
        </w:rPr>
        <w:t>المؤلّف و الشیخ أسد اللّه التستری</w:t>
      </w:r>
      <w:r>
        <w:rPr>
          <w:rtl w:val="true"/>
        </w:rPr>
        <w:t>:</w:t>
      </w:r>
      <w:bookmarkEnd w:id="469"/>
    </w:p>
    <w:p>
      <w:pPr>
        <w:pStyle w:val="BookText"/>
        <w:rPr/>
      </w:pPr>
      <w:r>
        <w:rPr>
          <w:rFonts w:ascii="IRNazanin" w:hAnsi="IRNazanin" w:eastAsia="IRNazanin"/>
          <w:color w:val="111111"/>
          <w:sz w:val="28"/>
          <w:sz w:val="28"/>
          <w:szCs w:val="28"/>
          <w:rtl w:val="true"/>
          <w:lang w:bidi="fa-IR"/>
        </w:rPr>
        <w:t>قال الخوانساری فی ترجمة الشیخ أسد اللّه التستری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أنّ الأمیر سیّد علیّ المرحوم صاحب ریاض المسائل کان لا یقول بعدالته</w:t>
      </w:r>
      <w:bookmarkStart w:id="470" w:name="pg19819_193796"/>
    </w:p>
    <w:p>
      <w:pPr>
        <w:pStyle w:val="BookText"/>
        <w:rPr/>
      </w:pPr>
      <w:bookmarkEnd w:id="470"/>
      <w:r>
        <w:rPr>
          <w:rFonts w:ascii="IRNazanin" w:hAnsi="IRNazanin" w:eastAsia="IRNazanin"/>
          <w:color w:val="111111"/>
          <w:sz w:val="28"/>
          <w:sz w:val="28"/>
          <w:szCs w:val="28"/>
          <w:rtl w:val="true"/>
          <w:lang w:bidi="fa-IR"/>
        </w:rPr>
        <w:t>و یشنّع علیه و ینکر فضله و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تتلمذه الکثیر عنده کما استفید لنا من تضاعیف کتابه المتقدّم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ذلک لکثرة تشنیعه علی الاستاد المروّج رحمه اللّه بحیث صار هذا الأمر العظیم منشأ لخروجه من أرض الحائر المطهّر إلی تربة الکاظمین علیهما السّلام و توقّفه هنالک طول حیاته؛ کما قد ذکره السیّد الصدر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لنا أیضا من بعد هذه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المذکور لمّا تنبّه من تفریطه فی حقّ استاده و رجع إلی الحائر نزل فی بیتی، فأتی إلی زیارته الآقا سیّد علیّ فی یومه الأوّل، و کان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رأیت فی منامی کأنّ رجلا من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اسمک یخرج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ناقة اللّه 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کیف الحساب فی ذلک؟</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لمّا حاسبتها فی بعض أسفاری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مخلّی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 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 لمولد استاده الآقا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لم یتحقّق ذکر من رآه فی نومه أنّ الآیة فیمن جعلت</w:t>
      </w:r>
      <w:r>
        <w:rPr>
          <w:rFonts w:eastAsia="IRNazanin" w:cs="IRNazanin"/>
          <w:color w:val="111111"/>
          <w:sz w:val="28"/>
          <w:szCs w:val="28"/>
          <w:rtl w:val="true"/>
          <w:lang w:bidi="fa-IR"/>
        </w:rPr>
        <w:t>.</w:t>
      </w:r>
      <w:r>
        <w:rPr>
          <w:rStyle w:val="FootnoteAnchor"/>
          <w:rtl w:val="true"/>
        </w:rPr>
        <w:footnoteReference w:id="1501"/>
      </w:r>
    </w:p>
    <w:p>
      <w:pPr>
        <w:pStyle w:val="Heading4"/>
        <w:numPr>
          <w:ilvl w:val="3"/>
          <w:numId w:val="1"/>
        </w:numPr>
        <w:rPr/>
      </w:pPr>
      <w:bookmarkStart w:id="471" w:name="__RefHeading___Toc3055749_2314609296"/>
      <w:bookmarkStart w:id="472" w:name="_Toc178"/>
      <w:bookmarkEnd w:id="471"/>
      <w:r>
        <w:rPr>
          <w:rtl w:val="true"/>
        </w:rPr>
        <w:t>المؤلّف و المیرزا محمّد الأخباری</w:t>
      </w:r>
      <w:r>
        <w:rPr>
          <w:rtl w:val="true"/>
        </w:rPr>
        <w:t>:</w:t>
      </w:r>
      <w:bookmarkEnd w:id="472"/>
    </w:p>
    <w:p>
      <w:pPr>
        <w:pStyle w:val="BookText"/>
        <w:rPr/>
      </w:pPr>
      <w:r>
        <w:rPr>
          <w:rFonts w:ascii="IRNazanin" w:hAnsi="IRNazanin" w:eastAsia="IRNazanin"/>
          <w:color w:val="111111"/>
          <w:sz w:val="28"/>
          <w:sz w:val="28"/>
          <w:szCs w:val="28"/>
          <w:rtl w:val="true"/>
          <w:lang w:bidi="fa-IR"/>
        </w:rPr>
        <w:t>قال التنکابنی فی ترجمة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در جدل ید طولائی داشته و کسی به غیر از آقا سیّد علی بر او غلبه نکرده و مرحوم آخوند ملا صفر علی لاهیجی که یکی از مشایخ من بوده برایم حکایت داشته که مجادل بودن میرزا محمّد از این بابت بوده که او را جامعیت بوده و در مسأله که صحبت می‌داشت اگر می‌دید که عجز دارد خصم را از آن مسأله به تدابیر و حیل بیرون می‌برده و در علم دیگر داخل می‌کرد اگر در آنجا هم مآل کار را عجز خویش مشاهده می‌کرد باز به علم دیگر و مسأله دیگر منتقل و هکذا تا اینکه خصم را عاجز می‌کرد و در یک مسأله پایداری و اقامت نداشت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میرزا محمّد به عتبات عالیات مشرّف شد به خدمت جناب آقا سیّد علی مشرف شد و مسأله نزاع میان اخباری و مجتهد در میان ایشان شد، آقا سیّد علی</w:t>
      </w:r>
      <w:bookmarkStart w:id="473" w:name="pg19819_193797"/>
    </w:p>
    <w:p>
      <w:pPr>
        <w:pStyle w:val="BookText"/>
        <w:rPr/>
      </w:pPr>
      <w:bookmarkEnd w:id="473"/>
      <w:r>
        <w:rPr>
          <w:rFonts w:ascii="IRNazanin" w:hAnsi="IRNazanin" w:eastAsia="IRNazanin"/>
          <w:color w:val="111111"/>
          <w:sz w:val="28"/>
          <w:sz w:val="28"/>
          <w:szCs w:val="28"/>
          <w:rtl w:val="true"/>
          <w:lang w:bidi="fa-IR"/>
        </w:rPr>
        <w:t>فرمود که من با تو مباحثه و مجادله می‌نمایم به شرط اینکه کار به مکالمه و مقاوله تمام شود و پای نوشتجات و ارسال رسائل به میان نیاید، میرزا محمّد قبول نمود، پس مناظره کردند و آقا سیّد علی بر میرزا محمّد غلبه نمود، پس میرزا محمّد به کاظمین رفت و از آنجا رساله در این مسأله در ردّ بر آقا سیّد علی نوشت و برای او فرستاد، سیّد چون رساله را دید قبول نکرد و گفت که قرار میان من و او مکالمه و مقاوله و مباحثه بود، نه به مکاتبه و مراسله، اکنون نیز اگر سخنی دارد حاضر شود و با من مکالمه کند تا او را ملزم سازم</w:t>
      </w:r>
      <w:r>
        <w:rPr>
          <w:rFonts w:eastAsia="IRNazanin" w:cs="IRNazanin"/>
          <w:color w:val="111111"/>
          <w:sz w:val="28"/>
          <w:szCs w:val="28"/>
          <w:rtl w:val="true"/>
          <w:lang w:bidi="fa-IR"/>
        </w:rPr>
        <w:t>.</w:t>
      </w:r>
      <w:r>
        <w:rPr>
          <w:rStyle w:val="FootnoteAnchor"/>
          <w:rtl w:val="true"/>
        </w:rPr>
        <w:footnoteReference w:id="1502"/>
      </w:r>
    </w:p>
    <w:p>
      <w:pPr>
        <w:pStyle w:val="Heading4"/>
        <w:numPr>
          <w:ilvl w:val="3"/>
          <w:numId w:val="1"/>
        </w:numPr>
        <w:rPr/>
      </w:pPr>
      <w:bookmarkStart w:id="474" w:name="__RefHeading___Toc3055751_2314609296"/>
      <w:bookmarkStart w:id="475" w:name="_Toc179"/>
      <w:bookmarkEnd w:id="474"/>
      <w:r>
        <w:rPr>
          <w:rtl w:val="true"/>
        </w:rPr>
        <w:t>المؤلّف و صاحب مفتاح الکرامة و المولی عبد الصمد الهمدانی صاحب بحر المعارف</w:t>
      </w:r>
      <w:bookmarkEnd w:id="475"/>
    </w:p>
    <w:p>
      <w:pPr>
        <w:pStyle w:val="BookText"/>
        <w:rPr/>
      </w:pPr>
      <w:r>
        <w:rPr>
          <w:rFonts w:ascii="IRNazanin" w:hAnsi="IRNazanin" w:eastAsia="IRNazanin"/>
          <w:color w:val="111111"/>
          <w:sz w:val="28"/>
          <w:sz w:val="28"/>
          <w:szCs w:val="28"/>
          <w:rtl w:val="true"/>
          <w:lang w:bidi="fa-IR"/>
        </w:rPr>
        <w:t>قال الخوانساری فی ترجمة السیّد جواد الحسینی الحسنی صاحب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صاحب ریاض المسائل رحمه اللّه ینکر فضیلته و فضیلة مولانا عبد الصمد الهمدانی صاحب کتابی الفقه و اللغة الکبیرین من رأس کما حکاه لنا بعض فقهاء العصر سلّمه اللّه تعالی</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 xml:space="preserve">قال السیّد محسن العاملی فی ترجمة صاحب مفتاح الکرامة المطبوع فی آخر کتاب المتاجر من مفتاح الکرامة،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772</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صاحب الروضات عن بعض أهل عصره شیئا عن صاحب الریاض یبعده بل یکذبه ما وجدناه من حال کلّ من هذین العلمین مع الآخر و تعظیم کلّ منهما لصاحبه و ثنائه علیه، و اطلعت علی مکاتبة بینهما فی بعض المسائل الّتی أفتی بها صاحب الریاض و بیّن له صاحب الترجمة خطأه فی تلک الفتوی فرجع إلی قومه بعد تراد المکاتبة بینهما سؤالا و جوابا و قد رأیتها بخطّهما الشریف، و ذکر صاحب الترجمة فی خطبة بعض رسائله أنّها کانت بأمر استاذه 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رسالة فی المواسعة و المضایقة کتبها بالتماس شیخه 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فی مسألة الشک فی الشرطیة و الجزئیة فی العبادات و ذکر فیها مباحثة فی ذلک مع شیخه صاحب الریاض</w:t>
      </w:r>
      <w:r>
        <w:rPr>
          <w:rFonts w:eastAsia="IRNazanin" w:cs="IRNazanin"/>
          <w:color w:val="111111"/>
          <w:sz w:val="28"/>
          <w:szCs w:val="28"/>
          <w:rtl w:val="true"/>
          <w:lang w:bidi="fa-IR"/>
        </w:rPr>
        <w:t>.</w:t>
      </w:r>
      <w:bookmarkStart w:id="476" w:name="pg19819_193798"/>
    </w:p>
    <w:p>
      <w:pPr>
        <w:pStyle w:val="Heading4"/>
        <w:numPr>
          <w:ilvl w:val="3"/>
          <w:numId w:val="1"/>
        </w:numPr>
        <w:rPr/>
      </w:pPr>
      <w:bookmarkStart w:id="477" w:name="__RefHeading___Toc3055753_2314609296"/>
      <w:bookmarkStart w:id="478" w:name="_Toc180"/>
      <w:bookmarkEnd w:id="476"/>
      <w:bookmarkEnd w:id="477"/>
      <w:r>
        <w:rPr>
          <w:rtl w:val="true"/>
        </w:rPr>
        <w:t>المؤلّف و تلمیذه شریف العلماء</w:t>
      </w:r>
      <w:r>
        <w:rPr>
          <w:rtl w:val="true"/>
        </w:rPr>
        <w:t>:</w:t>
      </w:r>
      <w:bookmarkEnd w:id="478"/>
    </w:p>
    <w:p>
      <w:pPr>
        <w:pStyle w:val="BookText"/>
        <w:rPr/>
      </w:pPr>
      <w:r>
        <w:rPr>
          <w:rFonts w:ascii="IRNazanin" w:hAnsi="IRNazanin" w:eastAsia="IRNazanin"/>
          <w:color w:val="111111"/>
          <w:sz w:val="28"/>
          <w:sz w:val="28"/>
          <w:szCs w:val="28"/>
          <w:rtl w:val="true"/>
          <w:lang w:bidi="fa-IR"/>
        </w:rPr>
        <w:t>قال التنکابنی فی ترجمة شریف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مقدمات، اوّل به نزد آقا سیّد محمّد تحصیل می‌نمود از آن پس نزد سیّد الأساتید آقا سیّد علی نیز تلمذ کرده و در آخر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نه سال در نزد آقا سیّد علی تلمذ نمود تا اینکه مستغنی از اشتغال و قابل افتا گردید، و در آخر حال می‌گفت که من از استادم منتفع نمی‌شوم و استادم از جواب ایرادات من عاجز است، و بسیار از اوقات به جهت عجز از جواب، تغیّر بالنسبة به شریف العلما می‌نمود، پس با والدش به سوی دیار عجم مسافرت کرد و هر شهری یک ماه دو ماه اقامه نمود و منظورش تحصیل کتب و اسباب بود، پس میسر نشد و کسی به او اعانتی ننمود، پس به زیارت امام ثامن مشرّف شد و باز به کربلا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اوایل حال یک سال یا کمتر خدمت میرزا قمی تحصیل کرد، پس از مراجعت به کربلا باز به مجلس استادش آقا سیّد علی حاضر می‌شد که استفاده کند لیکن فایده برای او نداشت چه استادش به سن شیوخیت و معمّر شده بود، پس مشغول به مطالعه و مباحثه و کمال سعی را مرعی داشت تا در اندک زمانی استادی شد که سرآمد مهره حذقه ارباب منقول گردید</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قال التنکابنی فی ترجمة استاده ملا عبد الکریم الإیروانی تلمیذ صاحب الریاض</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می‌فرمود که چون سیّد الأساتید آقا سیّد علی را زمان وفات در رسید، من و شریف العلماء را طلبید و فرمود که مرا به شما وصیتی است و آن این است که مجلس درس پسرم سیّد محمّد را نشکنید و به مجلس او حاضر شوید، پس از وفات سیّد، من شریف العلما را به همراه گرفتم و به مجلس درس آقا سیّد محمّد رفتیم و تلامذه مرحوم آقا سیّد علی هم جمع شدند تا روزی دیدم شریف العلما به مجلس درس نیامد، پس از انقضای مجلس نزد شریف العلما رفتم و با او در مقام عتاب برآمدم که چرا به درس حاضر</w:t>
      </w:r>
      <w:bookmarkStart w:id="479" w:name="pg19819_193799"/>
    </w:p>
    <w:p>
      <w:pPr>
        <w:pStyle w:val="BookText"/>
        <w:rPr/>
      </w:pPr>
      <w:bookmarkEnd w:id="479"/>
      <w:r>
        <w:rPr>
          <w:rFonts w:ascii="IRNazanin" w:hAnsi="IRNazanin" w:eastAsia="IRNazanin"/>
          <w:color w:val="111111"/>
          <w:sz w:val="28"/>
          <w:sz w:val="28"/>
          <w:szCs w:val="28"/>
          <w:rtl w:val="true"/>
          <w:lang w:bidi="fa-IR"/>
        </w:rPr>
        <w:t>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 که چه قدر و تا کی زینت مجلس دیگران شویم، من باید خود درسی بنا کنم، پس من به مجلس آقا سیّد محمّد رفتم لیکن شریف العلما مجلس درسی بنا گذاشته، طلاب یکسر در مجلس او جمع شدند و مجلس آقا سیّد محمّد شکسته شد، چون من حال را بر این منوال دیدم، خود هم مجلس درسی بنا کردم، چند روز طلاب هجوم‌آور شدند پس کم شدند تا دو سه نفر باقی ماندند، و شبها تا صبح چراغ شریف العلما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در حجره او رفتم دیدم چراغ را در بالای طاقچه گذاشته و دو سه سطر از قوانین را نگاه می‌کند از آن پس در میان حجره گردش می‌کند و فکر می‌کند و به همین منوال هر شب تا صبح بود، پس من بنای تدریس قوانین گذاشتم، باز جمعیت شد، بعد از دو سه روز اجتماع بدل به افتراق و تزاید روی به تناقص گذاشته و مجلس شریف العلما در نهایت جمعیت، پس دیدم که با وجود شریف العلما و رغبت مردم به درس او، در این بلد ممکن نیست که کسی تدریس کند، پس از آنجا به قزوین آمدم</w:t>
      </w:r>
      <w:r>
        <w:rPr>
          <w:rFonts w:eastAsia="IRNazanin" w:cs="IRNazanin"/>
          <w:color w:val="111111"/>
          <w:sz w:val="28"/>
          <w:szCs w:val="28"/>
          <w:rtl w:val="true"/>
          <w:lang w:bidi="fa-IR"/>
        </w:rPr>
        <w:t>.</w:t>
      </w:r>
      <w:r>
        <w:rPr>
          <w:rStyle w:val="FootnoteAnchor"/>
          <w:rtl w:val="true"/>
        </w:rPr>
        <w:footnoteReference w:id="1505"/>
      </w:r>
    </w:p>
    <w:p>
      <w:pPr>
        <w:pStyle w:val="Heading4"/>
        <w:numPr>
          <w:ilvl w:val="3"/>
          <w:numId w:val="1"/>
        </w:numPr>
        <w:rPr/>
      </w:pPr>
      <w:bookmarkStart w:id="480" w:name="__RefHeading___Toc3055755_2314609296"/>
      <w:bookmarkStart w:id="481" w:name="_Toc181"/>
      <w:bookmarkEnd w:id="480"/>
      <w:r>
        <w:rPr>
          <w:rtl w:val="true"/>
        </w:rPr>
        <w:t>المؤلّف و آخوند المولی علیّ النوری</w:t>
      </w:r>
      <w:r>
        <w:rPr>
          <w:rtl w:val="true"/>
        </w:rPr>
        <w:t>:</w:t>
      </w:r>
      <w:bookmarkEnd w:id="481"/>
    </w:p>
    <w:p>
      <w:pPr>
        <w:pStyle w:val="BookText"/>
        <w:rPr/>
      </w:pPr>
      <w:r>
        <w:rPr>
          <w:rFonts w:ascii="IRNazanin" w:hAnsi="IRNazanin" w:eastAsia="IRNazanin"/>
          <w:color w:val="111111"/>
          <w:sz w:val="28"/>
          <w:sz w:val="28"/>
          <w:szCs w:val="28"/>
          <w:rtl w:val="true"/>
          <w:lang w:bidi="fa-IR"/>
        </w:rPr>
        <w:t>قال التنکابنی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 آقا سیّد علی صاحب ریاض رفت، سیّد به قلیان معتاد نبود و آخوند معتاد بود، پس قلیانی از برای آخوند آوردند که منافذ بسیار داشت و کوک نبود، هرچه کشید دید دود نمی‌دهد، به 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قلیانی که اخباری حرام می‌داند این قلیان شما است نه قلیانهای دیگر، پس سیّد خندید و امر کرد که قلیان دیگر آوردند</w:t>
      </w:r>
      <w:r>
        <w:rPr>
          <w:rFonts w:eastAsia="IRNazanin" w:cs="IRNazanin"/>
          <w:color w:val="111111"/>
          <w:sz w:val="28"/>
          <w:szCs w:val="28"/>
          <w:rtl w:val="true"/>
          <w:lang w:bidi="fa-IR"/>
        </w:rPr>
        <w:t>.</w:t>
      </w:r>
      <w:r>
        <w:rPr>
          <w:rStyle w:val="FootnoteAnchor"/>
          <w:rtl w:val="true"/>
        </w:rPr>
        <w:footnoteReference w:id="1506"/>
      </w:r>
    </w:p>
    <w:p>
      <w:pPr>
        <w:pStyle w:val="Heading4"/>
        <w:numPr>
          <w:ilvl w:val="3"/>
          <w:numId w:val="1"/>
        </w:numPr>
        <w:rPr/>
      </w:pPr>
      <w:bookmarkStart w:id="482" w:name="__RefHeading___Toc3055757_2314609296"/>
      <w:bookmarkStart w:id="483" w:name="_Toc182"/>
      <w:bookmarkEnd w:id="482"/>
      <w:r>
        <w:rPr>
          <w:rtl w:val="true"/>
        </w:rPr>
        <w:t>المؤلّف و بحر العلوم</w:t>
      </w:r>
      <w:r>
        <w:rPr>
          <w:rtl w:val="true"/>
        </w:rPr>
        <w:t>:</w:t>
      </w:r>
      <w:bookmarkEnd w:id="48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التنکابنی فی ترجمة بحر العلوم</w:t>
      </w:r>
      <w:r>
        <w:rPr>
          <w:rFonts w:eastAsia="IRNazanin" w:cs="IRNazanin"/>
          <w:color w:val="111111"/>
          <w:sz w:val="28"/>
          <w:szCs w:val="28"/>
          <w:rtl w:val="true"/>
          <w:lang w:bidi="fa-IR"/>
        </w:rPr>
        <w:t>:</w:t>
      </w:r>
      <w:bookmarkStart w:id="484" w:name="pg19819_193800"/>
    </w:p>
    <w:p>
      <w:pPr>
        <w:pStyle w:val="BookText"/>
        <w:rPr/>
      </w:pPr>
      <w:bookmarkEnd w:id="484"/>
      <w:r>
        <w:rPr>
          <w:rFonts w:ascii="IRNazanin" w:hAnsi="IRNazanin" w:eastAsia="IRNazanin"/>
          <w:color w:val="111111"/>
          <w:sz w:val="28"/>
          <w:sz w:val="28"/>
          <w:szCs w:val="28"/>
          <w:rtl w:val="true"/>
          <w:lang w:bidi="fa-IR"/>
        </w:rPr>
        <w:t xml:space="preserve">صبیه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مرحوم آقا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به کربلا آمد و در خانه آقا سیّد محمّد اقامه نمود تلامذه آقا سیّد علی از او درخواست کردند که آقا سیّد علی از بحر العلوم درخواست کند که چند روزی را که در کربلا اقامت کرده‌اند تدریس نماید، آقا سیّد علی از بحر العلوم درخواست نمود، بحر العلوم اجابت کرد، چند روز درس فرمودند و آقا سیّد علی نیز به مجلس درس حاضر می‌شدند، روزی آقا سیّد علی ایرادی کرد، بحر العلوم متغیر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سیّد علی، پس ساکت شد و ایرادی ننمود</w:t>
      </w:r>
      <w:r>
        <w:rPr>
          <w:rFonts w:eastAsia="IRNazanin" w:cs="IRNazanin"/>
          <w:color w:val="111111"/>
          <w:sz w:val="28"/>
          <w:szCs w:val="28"/>
          <w:rtl w:val="true"/>
          <w:lang w:bidi="fa-IR"/>
        </w:rPr>
        <w:t>.</w:t>
      </w:r>
      <w:r>
        <w:rPr>
          <w:rStyle w:val="FootnoteAnchor"/>
          <w:rtl w:val="true"/>
        </w:rPr>
        <w:footnoteReference w:id="1507"/>
      </w:r>
    </w:p>
    <w:p>
      <w:pPr>
        <w:pStyle w:val="Heading4"/>
        <w:numPr>
          <w:ilvl w:val="3"/>
          <w:numId w:val="1"/>
        </w:numPr>
        <w:rPr/>
      </w:pPr>
      <w:bookmarkStart w:id="485" w:name="__RefHeading___Toc3055759_2314609296"/>
      <w:bookmarkStart w:id="486" w:name="_Toc183"/>
      <w:bookmarkEnd w:id="485"/>
      <w:r>
        <w:rPr>
          <w:rtl w:val="true"/>
        </w:rPr>
        <w:t>المؤلّف و المولی محمّد تقی البرغانی الشهید الثالث</w:t>
      </w:r>
      <w:r>
        <w:rPr>
          <w:rtl w:val="true"/>
        </w:rPr>
        <w:t>:</w:t>
      </w:r>
      <w:bookmarkEnd w:id="486"/>
    </w:p>
    <w:p>
      <w:pPr>
        <w:pStyle w:val="BookText"/>
        <w:rPr/>
      </w:pPr>
      <w:r>
        <w:rPr>
          <w:rFonts w:ascii="IRNazanin" w:hAnsi="IRNazanin" w:eastAsia="IRNazanin"/>
          <w:color w:val="111111"/>
          <w:sz w:val="28"/>
          <w:sz w:val="28"/>
          <w:szCs w:val="28"/>
          <w:rtl w:val="true"/>
          <w:lang w:bidi="fa-IR"/>
        </w:rPr>
        <w:t>قال التنکابنی فی ترجمة استاده الشهید الثالث</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محمّد تقی خود برای این فقیر بیان فرمود که در بدو تحصیل در قزوین تحصیل می‌نمودم، از آن پس به بلده طیبه قم گذارم افتاد و در آنجا در مجلس درس فاضل قمی صاحب قوانین حاضر شدم و آن درس مرا پسند نیفتاد </w:t>
      </w:r>
      <w:r>
        <w:rPr>
          <w:rFonts w:eastAsia="IRNazanin" w:cs="IRNazanin"/>
          <w:color w:val="111111"/>
          <w:sz w:val="28"/>
          <w:szCs w:val="28"/>
          <w:rtl w:val="true"/>
          <w:lang w:bidi="fa-IR"/>
        </w:rPr>
        <w:t>...</w:t>
      </w:r>
      <w:r>
        <w:rPr>
          <w:rStyle w:val="FootnoteAnchor"/>
          <w:rtl w:val="true"/>
        </w:rPr>
        <w:footnoteReference w:id="1508"/>
      </w:r>
      <w:r>
        <w:rPr>
          <w:rFonts w:ascii="IRNazanin" w:hAnsi="IRNazanin" w:eastAsia="IRNazanin"/>
          <w:color w:val="111111"/>
          <w:sz w:val="28"/>
          <w:sz w:val="28"/>
          <w:szCs w:val="28"/>
          <w:rtl w:val="true"/>
          <w:lang w:bidi="fa-IR"/>
        </w:rPr>
        <w:t>از آن پس به عتبات عالیات مشرّف شدم و در مجلس درس عالم علیم و بحر خضم آقا سیّد علی بن سیّد محمّد علی طباطبایی صاحب ریاض که شرح کبیر است حاضر شدم، روز اوّل آن جناب در مسأله نسخ وجوب و عدم بقاء جواز، تدریس می‌فرمود، من او را نقض به شجره مقطوعه نمودم که فصل رفت و جنس باقی‌مانده، ناگاه جوانی غیر ملتحی در نزد سیّد نشسته بود او با من به تکلم درآمد در نهایت سخنان محققانه می‌گفت با نهایت فصاحت و بلاغت و طلاقت لسان، پس نزدیک به آن شد که مرا ملزم کند و من نمی‌توانستم که از</w:t>
      </w:r>
      <w:bookmarkStart w:id="487" w:name="pg19819_193801"/>
    </w:p>
    <w:p>
      <w:pPr>
        <w:pStyle w:val="BookText"/>
        <w:rPr/>
      </w:pPr>
      <w:bookmarkEnd w:id="487"/>
      <w:r>
        <w:rPr>
          <w:rFonts w:ascii="IRNazanin" w:hAnsi="IRNazanin" w:eastAsia="IRNazanin"/>
          <w:color w:val="111111"/>
          <w:sz w:val="28"/>
          <w:sz w:val="28"/>
          <w:szCs w:val="28"/>
          <w:rtl w:val="true"/>
          <w:lang w:bidi="fa-IR"/>
        </w:rPr>
        <w:t>عهده او برآیم و با او مقاومت کنم، پس متغیر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طفل چرا نامربوط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آقا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تغیر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داری با او موافق قاعده تکلم کن او اگرچه بچه است اما شیر بچه است، پس از نسب آن جوان سؤال نمودم، گفتند که او آقا سیّد مهدی فرزند دلبند و خلف باشرف آقا سیّد علی است، پس من سکوت نمودم</w:t>
      </w:r>
      <w:r>
        <w:rPr>
          <w:rFonts w:eastAsia="IRNazanin" w:cs="IRNazanin"/>
          <w:color w:val="111111"/>
          <w:sz w:val="28"/>
          <w:szCs w:val="28"/>
          <w:rtl w:val="true"/>
          <w:lang w:bidi="fa-IR"/>
        </w:rPr>
        <w:t>.</w:t>
      </w:r>
      <w:r>
        <w:rPr>
          <w:rStyle w:val="FootnoteAnchor"/>
          <w:rtl w:val="true"/>
        </w:rPr>
        <w:footnoteReference w:id="1509"/>
      </w:r>
    </w:p>
    <w:p>
      <w:pPr>
        <w:pStyle w:val="Heading4"/>
        <w:numPr>
          <w:ilvl w:val="3"/>
          <w:numId w:val="1"/>
        </w:numPr>
        <w:rPr/>
      </w:pPr>
      <w:bookmarkStart w:id="488" w:name="__RefHeading___Toc3055761_2314609296"/>
      <w:bookmarkStart w:id="489" w:name="_Toc184"/>
      <w:bookmarkEnd w:id="488"/>
      <w:r>
        <w:rPr>
          <w:rtl w:val="true"/>
        </w:rPr>
        <w:t>المؤلّف و تلمیذه حجّة الإسلام الشفتی</w:t>
      </w:r>
      <w:r>
        <w:rPr>
          <w:rtl w:val="true"/>
        </w:rPr>
        <w:t>:</w:t>
      </w:r>
      <w:bookmarkEnd w:id="489"/>
    </w:p>
    <w:p>
      <w:pPr>
        <w:pStyle w:val="BookText"/>
        <w:rPr/>
      </w:pPr>
      <w:r>
        <w:rPr>
          <w:rFonts w:ascii="IRNazanin" w:hAnsi="IRNazanin" w:eastAsia="IRNazanin"/>
          <w:color w:val="111111"/>
          <w:sz w:val="28"/>
          <w:sz w:val="28"/>
          <w:szCs w:val="28"/>
          <w:rtl w:val="true"/>
          <w:lang w:bidi="fa-IR"/>
        </w:rPr>
        <w:t>قال التنکابنی فی ترجمة حجّة الإسلام الشفتی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حجة الاسلام در نزد آقا سیّد علی صاحب ریاض در کربلای معلی درس می‌خواند، حجة الاسلام به نحوی فقر داشته که نعلین پایش پاشنه نداشت و پاشنه آن هم از کهنگی و کثرت استعمال در رفته و برای معاش یومیه، یکسر معطل و فاقد و عادم، و آقا سیّد علی شخصی را قرار داده بود که هر روز دو گرده نان، یکی در وقت نهار و یکی در وقت شام به جهت حجة الاسلام می‌برد</w:t>
      </w:r>
      <w:r>
        <w:rPr>
          <w:rFonts w:eastAsia="IRNazanin" w:cs="IRNazanin"/>
          <w:color w:val="111111"/>
          <w:sz w:val="28"/>
          <w:szCs w:val="28"/>
          <w:rtl w:val="true"/>
          <w:lang w:bidi="fa-IR"/>
        </w:rPr>
        <w:t>.</w:t>
      </w:r>
      <w:r>
        <w:rPr>
          <w:rStyle w:val="FootnoteAnchor"/>
          <w:rtl w:val="true"/>
        </w:rPr>
        <w:footnoteReference w:id="1510"/>
      </w:r>
    </w:p>
    <w:p>
      <w:pPr>
        <w:pStyle w:val="Heading4"/>
        <w:numPr>
          <w:ilvl w:val="3"/>
          <w:numId w:val="1"/>
        </w:numPr>
        <w:rPr/>
      </w:pPr>
      <w:bookmarkStart w:id="490" w:name="__RefHeading___Toc3055763_2314609296"/>
      <w:bookmarkStart w:id="491" w:name="_Toc185"/>
      <w:bookmarkEnd w:id="490"/>
      <w:r>
        <w:rPr>
          <w:rtl w:val="true"/>
        </w:rPr>
        <w:t>المؤلّف و کاشف الغطاء</w:t>
      </w:r>
      <w:r>
        <w:rPr>
          <w:rtl w:val="true"/>
        </w:rPr>
        <w:t>:</w:t>
      </w:r>
      <w:bookmarkEnd w:id="491"/>
    </w:p>
    <w:p>
      <w:pPr>
        <w:pStyle w:val="BookText"/>
        <w:rPr/>
      </w:pPr>
      <w:r>
        <w:rPr>
          <w:rFonts w:ascii="IRNazanin" w:hAnsi="IRNazanin" w:eastAsia="IRNazanin"/>
          <w:color w:val="111111"/>
          <w:sz w:val="28"/>
          <w:sz w:val="28"/>
          <w:szCs w:val="28"/>
          <w:rtl w:val="true"/>
          <w:lang w:bidi="fa-IR"/>
        </w:rPr>
        <w:t>قال التنکابنی فی ترجمة کاشف الغطاء</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کلمات آن جناب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 و علامه مجتهد بوده‌اند پس من مجتهد نیستم، و اگر آقا سیّد علی صاحب شرح کبیر مجتهد است پس من هشت مجتهدم، و مکرر در بازار می‌نشست و غذا می‌خورد پس به او عرض می‌کردند که اکل در بازار خلاف مروّت و سالب عدالت است، در جواب می‌فرمود که اگر آقا سیّد علی در بازار اکل کند، سلب عدالت او می‌شود، و اگر من در بازار اکل کنم، سلب عدالت من نمی‌شود؛ زیرا که مرا جلالی نیست و درویش می‌باشم</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نقل سماحة آیة اللّه السیّد موسی الشبیری الزنجانی دام ظلّه کلام کاشف الغطاء بنحو آخر عن الآیات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الفضل الزنجانی و أخیه السیّد رضا الزنجانی، عن أبیهما السیّد محمّد الزنجانی، عن استاده الشیخ حسن المامقانی عن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سید علی یک مجتهد، من دو مجتهد، اگر میرزا ابو القاسم یک مجتهد، من هم یک مجتهد، و اگر سید مهدی یک مجتهد، من هیچ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نقل السیّد رضا الزنجانی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نیم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سماحة آیة اللّه الشبیری الزنجانی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السیّد أبو الفضل الزنجانی أضبط من أخیه 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محمّد حسین کاشف الغطاء فی العبقات العنبریة فی الطبقات 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فلنختم هذا المقام بحکایة فی معدن الشرف</w:t>
      </w:r>
      <w:r>
        <w:rPr>
          <w:rStyle w:val="FootnoteAnchor"/>
          <w:rtl w:val="true"/>
        </w:rPr>
        <w:footnoteReference w:id="1512"/>
      </w:r>
      <w:r>
        <w:rPr>
          <w:rFonts w:ascii="IRNazanin" w:hAnsi="IRNazanin" w:eastAsia="IRNazanin"/>
          <w:color w:val="111111"/>
          <w:sz w:val="28"/>
          <w:sz w:val="28"/>
          <w:szCs w:val="28"/>
          <w:rtl w:val="true"/>
          <w:lang w:bidi="fa-IR"/>
        </w:rPr>
        <w:t>هنا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عدة من الثقات أنّ السیّد میر علیّ صاحب الریاض اجتمع مع السیّد جواد صاحب مفتاح الکرامة و معه جماعة، و کان فی کربلاء، فأخذ القوم فی الثناء علی الشیخ الأکبر و أن لیس له شریک فی فضله و سجایاه خصوصا فی العبادات، و الالتزام بالنوافل و الأوراد من المستحبّات، فضلا عن الواجبات، فقال المیر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قلتموه حقّ إلّا أن هذا عمل العجائز و حرفة عاجز، فقد ترک أبحاثه و دروسه و علمه، و صار ملازما للأسفار، و السیاحة و لم یبق عنده سوی ما قلتم مما هو بالنساء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فانتدب السیّد جواد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للّه للعجب العجاب، أ تقول هذا فی حقّ رئیس المسلمین، و حجّة اللّه علی الخلق أجمعین، کهف الأنام، و مرجع الخاصّ و العامّ، و أبی الأرامل و الأیتام، صاحب العلوم العجیبة، و الکرامات الباهرة الغریبة، من لم تسمح بمثله الأیام، و تعجز عن انتاج شکله الاعوام، فلا یضاهیه إنسان، و لا احتوت علی مثله الأزمان، و لا یحیط بکنهه الواصفون، و لا یعلم أقلّ مزایاه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أطال فی الإطراء و الثناء بما لا مزید علیه حتّی قال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تحسب أیّها السیّد أنّ کثرة الأسفار مما یمت إلی ذلک الهیکل القدسی بالعار،</w:t>
      </w:r>
    </w:p>
    <w:p>
      <w:pPr>
        <w:pStyle w:val="BookText"/>
        <w:rPr/>
      </w:pPr>
      <w:r>
        <w:rPr>
          <w:rFonts w:ascii="IRNazanin" w:hAnsi="IRNazanin" w:eastAsia="IRNazanin"/>
          <w:color w:val="111111"/>
          <w:sz w:val="28"/>
          <w:sz w:val="28"/>
          <w:szCs w:val="28"/>
          <w:rtl w:val="true"/>
          <w:lang w:bidi="fa-IR"/>
        </w:rPr>
        <w:t>و أنّک بجلوسک هذا تقاربه أو تدانیه، أو أنّک بقدحک هذا فیه تساویه، کلّا ثمّ کلّا، و هل قام عمود الدین إلّا فی أسفاره، و فیه، و هل هذا إلّا سیرة ساداته و موالیه، أ لیس النبی صلّی اللّه علیه و آله خرج إلی الطائف، و هاجر إلی المدینة لإحیاء هذا الدین، و تبعه علی هذا وصیه أمیر المؤمنین علیه السّلام، فقد هاجر من المدینة إلی البصرة ثمّ إلی الکوفة ثمّ إلی النهروان و الشام، کلّه محافظة علی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تنبئ عنه الروایة أنّه علیه السّلام لمّا حمل علی أهل الشام، و خفی صوته، و حمل أولاده و أصحابه فوجده مالک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 بمثل هذا المکان تصلی؟</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مالک و هل قتالی إلّا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سیرة ولدیه المظلومین الحسن و الحسین علیهما السّلام، و کذا سائر الأنبیاء و الأوصیاء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أنزل اللّه تعالی ذلک فی محکم کتابه کقوله تعالی إِنَّما أَنْتَ مُنْذِرٌ وَ لِکُلِّ قَوْمٍ هادٍ</w:t>
      </w:r>
      <w:r>
        <w:rPr>
          <w:rStyle w:val="FootnoteAnchor"/>
          <w:rtl w:val="true"/>
        </w:rPr>
        <w:footnoteReference w:id="1513"/>
      </w:r>
      <w:r>
        <w:rPr>
          <w:rFonts w:ascii="IRNazanin" w:hAnsi="IRNazanin" w:eastAsia="IRNazanin"/>
          <w:color w:val="111111"/>
          <w:sz w:val="28"/>
          <w:sz w:val="28"/>
          <w:szCs w:val="28"/>
          <w:rtl w:val="true"/>
          <w:lang w:bidi="fa-IR"/>
        </w:rPr>
        <w:t>، و أمثال هذا کثیر، فقد حذا أیّده اللّه حذو المتقدّمین من الأنبیاء و الوصیّین و عباد اللّه الصالحین، حتّی قام عمود الدین بعد ما مال، و أرشد إلی سبیل الهدی جماعة من أولی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السیّد یزأر، و یهدر بهذا، و أمثاله حتّی سکنت فورته، و قرّت شقشقته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الخبر إلی السیّد المحقّق المدقّق السیّد محسن الکاظمی</w:t>
      </w:r>
      <w:r>
        <w:rPr>
          <w:rStyle w:val="FootnoteAnchor"/>
          <w:rtl w:val="true"/>
        </w:rPr>
        <w:footnoteReference w:id="1514"/>
      </w:r>
      <w:r>
        <w:rPr>
          <w:rFonts w:ascii="IRNazanin" w:hAnsi="IRNazanin" w:eastAsia="IRNazanin"/>
          <w:color w:val="111111"/>
          <w:sz w:val="28"/>
          <w:sz w:val="28"/>
          <w:szCs w:val="28"/>
          <w:rtl w:val="true"/>
          <w:lang w:bidi="fa-IR"/>
        </w:rPr>
        <w:t>و هو فی بلده، فشدّ الرحال حتّی اجتمع بالسیّد المیر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 علی رئیس مذهبنا و إمام ملّتنا، قد ضیّع علمه، و صار من أهل الأسفار؟ فقال له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جاء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مقالتک، و جئت لمعاقبتک، و تأنیبک، انتهی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رواها بطریق آخر عن حجة الإسلام الشیخ العلامة الشیخ محمّد طه نجف</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و أیّده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المسلمین الشیخ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البارئ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میر علیّ کان مشغوفا بالتألیف و التصنیف، و مولعا بکتابه المعروف بالریاض مفتخرا به، و لم تکن له ید بالعبادة، فلا یزید فی صلاته علی غیر</w:t>
      </w:r>
    </w:p>
    <w:p>
      <w:pPr>
        <w:pStyle w:val="BookText"/>
        <w:rPr/>
      </w:pPr>
      <w:r>
        <w:rPr>
          <w:rFonts w:ascii="IRNazanin" w:hAnsi="IRNazanin" w:eastAsia="IRNazanin"/>
          <w:color w:val="111111"/>
          <w:sz w:val="28"/>
          <w:sz w:val="28"/>
          <w:szCs w:val="28"/>
          <w:rtl w:val="true"/>
          <w:lang w:bidi="fa-IR"/>
        </w:rPr>
        <w:t>الطریقة المعروفة من نوافل و تعقیبات و غیر ذلک</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و کان الشیخ محافظا علی تلک الأشیاء خصوصا النوافل المرتبة، فاتّفق أن اجتمعا یوما فقال الشیخ للسیّد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العلماء المشهورین فلم لا تتنفّل بصلاتک و هو نقص بمثلک، فکیف إذا اقتدت عوام الناس بک؟ فقال السیّد معرّضا بالشیخ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سیرة العجائز، لکن أنت لم ترکت العلم و صرت من أهل الأسفار، و حرمت لذة التصنیف؟ فسکت الشیخ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بلغت هذه إلی السیّد محسن الکاظمی فأتی إلی کربلاء، و اجتمع بالمیر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العاتب علی شیخ الطائفة و رئیس الفرقة المحقّة بذلک الکلام؟ فقال له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هذا، نحن علماء یتکلم بعضنا مع بعض فما أنت و الدخول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مع التهذیب و الاختصار الکثیر مما ذکر من الطویل الذی لا طائل تحته، فإنّ نقل مثل هذا عن العلماء فی غیر محله إلّا مع حمل کلامهم علی خلاف ظاهره و توجیهه بغیر مؤداه، فإنّه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صدرت من صاحب لک زلّةفکن أنت محتالا لزلّته عذرا</w:t>
      </w:r>
    </w:p>
    <w:p>
      <w:pPr>
        <w:pStyle w:val="BookText"/>
        <w:rPr/>
      </w:pPr>
      <w:r>
        <w:rPr>
          <w:rFonts w:ascii="IRNazanin" w:hAnsi="IRNazanin" w:eastAsia="IRNazanin"/>
          <w:color w:val="111111"/>
          <w:sz w:val="28"/>
          <w:sz w:val="28"/>
          <w:szCs w:val="28"/>
          <w:rtl w:val="true"/>
          <w:lang w:bidi="fa-IR"/>
        </w:rPr>
        <w:t>فکیف إذا صدر من العالم الواجب الاتّباع ما هو بنظر العامی زلّة، و إلّا فحاشا أن یقع منهم مثل ذلک، مع أنّا لا نعتقد العصمة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 ذکر شیئا من ذلک فما أجاد و لا وافق السداد، صاحب قصص العلماء فإنّه نقل عن الشیخ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العلّامة و الشهید مجتهدین، فأنا لست بمجتهد، و إن کان السید میر علیّ مجتهدا فأنا ثمانیة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الخلط الذی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علی فرض صحّتها لا تخفی علیک الأوجه و المعاذیر مع علمک بأنّ الحقّ مع کلّ منهما و أنّه علیه یسیر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أظنّ ظنّا قویا أن کلّ هذا لا أصل له، کیف و قد رأیت من تعظیم الشیخ لهذا السیّد العظیم ما یبعد معه صدور هذا الأمر الذمیم، قال الشیخ فی الحقّ المبین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اجتمعت مع أعظم علمائهم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رسالتک و رسالة السیّد علیّ، یعنی زبدة المجتهدین و أفضل العلماء العاملین، مولانا و مقتدانا</w:t>
      </w:r>
    </w:p>
    <w:p>
      <w:pPr>
        <w:pStyle w:val="BookText"/>
        <w:rPr/>
      </w:pPr>
      <w:r>
        <w:rPr>
          <w:rFonts w:ascii="IRNazanin" w:hAnsi="IRNazanin" w:eastAsia="IRNazanin"/>
          <w:color w:val="111111"/>
          <w:sz w:val="28"/>
          <w:sz w:val="28"/>
          <w:szCs w:val="28"/>
          <w:rtl w:val="true"/>
          <w:lang w:bidi="fa-IR"/>
        </w:rPr>
        <w:t>سیّد میر علیّ دام ظله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قلت و ما أنا و الدخول بین هؤلاء الأولیاء المقرّبین، و مثل السیّد محسن منع عن ذلک فکیف بمثلی، و ها هم قد وفدوا علی ربّ کریم، فأحلّهم دار المقامة، لا یمسّهم فیها نصب و لا لغوب یَطُوفُ عَلَیْهِمْ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 أَبارِیقَ وَ کَأْسٍ مِنْ مَعِینٍ</w:t>
      </w:r>
      <w:r>
        <w:rPr>
          <w:rStyle w:val="FootnoteAnchor"/>
          <w:rtl w:val="true"/>
        </w:rPr>
        <w:footnoteReference w:id="1517"/>
      </w:r>
      <w:r>
        <w:rPr>
          <w:rFonts w:ascii="Amiri" w:hAnsi="Amiri" w:eastAsia="Amiri" w:cs="Amiri"/>
          <w:color w:val="111111"/>
          <w:sz w:val="28"/>
          <w:sz w:val="28"/>
          <w:szCs w:val="28"/>
          <w:rtl w:val="true"/>
          <w:lang w:bidi="ar-SA"/>
        </w:rPr>
        <w:t>و نَزَعْنا ما فِی صُدُورِهِمْ مِنْ غِلٍّ إِخْواناً عَلی سُرُرٍ مُتَقابِلِینَ</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نسأل اللّه أن یدخلنا فی زمرتهم، و یرزقنا شفاعة حججه و شفاعتهم</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و فی کتاب شرح احوال آیة اللّه العظمی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صدر 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قم در زمان میرزای قمی وسواس در عدالت داشت، پس در میرزا شبهه پیدا کرد و مسافرت به عتبات کرد برای پیدا کردن عادل تا در کربلای معلّی به خدمت مرحوم سیّد علی صاحب ریاض رسید و سیّد چون وضع زیبا و دستگاه متجملانه‌ای داشته است، رأیش از آن جناب نیز منصرف می‌گردد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نجف اشرف به خدمت مرحوم سیّد بحر العلوم می‌رسد و آن جناب نیز در قلبش وقعی پیدا نمی‌کند تا آنکه از کرامات آن جانب یا کس دیگری مذکور می‌دارند که در نجف اشرف به آن شخص دعا کرده که خداوند رفع عیب و مرض از چشمت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بعد در نظرش مرحوم سیّد خیلی جلوه کرد، و همچنین در کربلا صاحب ریاض را بسیار شخص جلیل دید، و در قم که وارد شد از اخلاص‌کیشان میرزا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برکت دعای آن شخص جلیل القدر بود</w:t>
      </w:r>
      <w:r>
        <w:rPr>
          <w:rFonts w:eastAsia="IRNazanin" w:cs="IRNazanin"/>
          <w:color w:val="111111"/>
          <w:sz w:val="28"/>
          <w:szCs w:val="28"/>
          <w:rtl w:val="true"/>
          <w:lang w:bidi="fa-IR"/>
        </w:rPr>
        <w:t>.</w:t>
      </w:r>
      <w:r>
        <w:rPr>
          <w:rStyle w:val="FootnoteAnchor"/>
          <w:rtl w:val="true"/>
        </w:rPr>
        <w:footnoteReference w:id="1520"/>
      </w:r>
      <w:bookmarkStart w:id="492" w:name="pg19819_193806"/>
    </w:p>
    <w:p>
      <w:pPr>
        <w:pStyle w:val="Heading4"/>
        <w:numPr>
          <w:ilvl w:val="3"/>
          <w:numId w:val="1"/>
        </w:numPr>
        <w:rPr/>
      </w:pPr>
      <w:bookmarkStart w:id="493" w:name="__RefHeading___Toc3055765_2314609296"/>
      <w:bookmarkStart w:id="494" w:name="_Toc186"/>
      <w:bookmarkEnd w:id="492"/>
      <w:bookmarkEnd w:id="493"/>
      <w:r>
        <w:rPr>
          <w:rtl w:val="true"/>
        </w:rPr>
        <w:t>مولده و وفاته</w:t>
      </w:r>
      <w:r>
        <w:rPr>
          <w:rtl w:val="true"/>
        </w:rPr>
        <w:t>:</w:t>
      </w:r>
      <w:bookmarkEnd w:id="494"/>
    </w:p>
    <w:p>
      <w:pPr>
        <w:pStyle w:val="BookText"/>
        <w:rPr/>
      </w:pPr>
      <w:r>
        <w:rPr>
          <w:rFonts w:ascii="IRNazanin" w:hAnsi="IRNazanin" w:eastAsia="IRNazanin"/>
          <w:color w:val="111111"/>
          <w:sz w:val="28"/>
          <w:sz w:val="28"/>
          <w:szCs w:val="28"/>
          <w:rtl w:val="true"/>
          <w:lang w:bidi="fa-IR"/>
        </w:rPr>
        <w:t>قال أبو علیّ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میلاده الشریف فی مشهد الکاظمین علی مشرّفیه صلوات الخافقین، فی أشرف الأیّام، و هو الثانی عشر من شهر ولد فیه أشرف الأنام علیه و آله أفضل التحیّة و السلام، فی السنة الحادیة و الستّین بعد المائة و الألف</w:t>
      </w:r>
      <w:r>
        <w:rPr>
          <w:rFonts w:eastAsia="IRNazanin" w:cs="IRNazanin"/>
          <w:color w:val="111111"/>
          <w:sz w:val="28"/>
          <w:szCs w:val="28"/>
          <w:rtl w:val="true"/>
          <w:lang w:bidi="fa-IR"/>
        </w:rPr>
        <w:t>.</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قال تلمیذه آغا أحمد الکرمانشاهی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استادی آقا سید علی معز إلیه در شب بیست و سیم شهر محرم الحرام سنه هزار و دویست و سی‌یک هجری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معلّی به رحمت ایزدی پیوست و در سرداب جدّ امجد ما بین پای شریف شهداء سعداء مدفون گردید، و به فاصله چهل و سه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عمّه مکرّمه زوجه ایشان در آن ارض اقدس مدفون شد، تغمّدهما اللّه بغفرانه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غرّه ربیع الثانی سنه مزبوره جناب استادی میرزا ابو القاسم چاپلقی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ذکرش در اجازات فقیر در این کتاب مسطور است و در دار المؤمنین قم رحلت فرموده و در مقبره علماء در آن بلده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همان سال عالی‌جنابان سیّد علی محمّد و سیّد لطف علی مازندرانیین، اوّلی در کربلای معلّی، و دوّمی در کاظمین مرحوم شدند، و لهذا این عام را عام الحزن گویند، سزاست</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قال تلمیذه المولی علی الآرانی فی کتابه عوائد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وقایع سنه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بود که یوم یکشنبه بیست و دوم شهر محرّم الحرام استاد ما سیّد المحقّقین العالم الربّانی امیر سیّد علی طباطبایی، داعی حق را لبیک اجابت گفته، به جوار رحمت ایزدی پیوست؛ عطّر اللّه مضجعه اللطیف</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عصر یوم پنجشنبه سلخ ربیع الأوّل، عالم عامل محقّق ربانی میرزا ابو القاسم جیلانی از دار فانی به دار باقی ارتحال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روحه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داغ فراق این دو عالم وحید و دو محقّق فرید بر دل روزگار باقی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چهارشنبه بیستم شهر ربیع الأوّل سنه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در حوالی سحر در خواب دیدم که اعلم العلماء امیر سیّد علی مذکور بر حقیر داخل شد و در نزد من نشست، بعد از صحبت مرا ترغیب می‌نمود به اینکه متوجه امور شرعیه بندگان خدا باش و از این خدمت که از جانب آقای حقیقی با تو محول شده است پهلو خالی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از خواب بیدار شدم و از آن وقت در طی تألیفات خود از آن مرحوم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می‌کنم</w:t>
      </w:r>
      <w:r>
        <w:rPr>
          <w:rFonts w:eastAsia="IRNazanin" w:cs="IRNazanin"/>
          <w:color w:val="111111"/>
          <w:sz w:val="28"/>
          <w:szCs w:val="28"/>
          <w:rtl w:val="true"/>
          <w:lang w:bidi="fa-IR"/>
        </w:rPr>
        <w:t>.</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قال فی روضات الجنات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توفّی قدّس سرّه فی حدود </w:t>
      </w:r>
      <w:r>
        <w:rPr>
          <w:rFonts w:eastAsia="Amiri" w:cs="Amiri" w:ascii="Amiri" w:hAnsi="Amiri"/>
          <w:color w:val="111111"/>
          <w:sz w:val="28"/>
          <w:szCs w:val="28"/>
          <w:lang w:bidi="ar-SA"/>
        </w:rPr>
        <w:t>1231</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 xml:space="preserve">قال فی مکارم الآثار،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التراجم فی الروضات أنّ مراده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سنة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فی غرّة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دفن بالرواق المشرقی من الحضرة المقدّسة، قریبا من قبر خاله العلّامة، و کان ولده الأمجد الأرشد الآقا السیّد محمّد المرحوم آنذاک قاطنا بمدینة أصفهان العجم، فلمّا بلغه نعی أبیه المبرور أقام مراسم تعزیته هناک، و جلس أیاما للعزاء یأتون إلی زیارته من کلّ فجّ عمیق، ثمّ رجع إلی موطنه الأصیل و مقامه الجلیل بعد زمان قلیل، و بقی فی خلافة أبیه و نیابته فی جمیع ما یأتیه، إلی زمن انتقاله فی موکب سلطان العجم إلی دفاع الروسیّة، و وفاته فی ذلک السفر ببلدة قزوین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نجوم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وفاتش در ماه محرّم سنه إحدی و ثلاثین بعد الألف و المائتین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وفاتش را در این مصراح یافته‌اند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 علیّ مات علم محمّد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شعرای لکهنو تاریخ وفاتش را چنین گفته‌اند</w:t>
      </w:r>
      <w:r>
        <w:rPr>
          <w:rFonts w:eastAsia="IRNazanin" w:cs="IRNazanin"/>
          <w:color w:val="111111"/>
          <w:sz w:val="28"/>
          <w:szCs w:val="28"/>
          <w:rtl w:val="true"/>
          <w:lang w:bidi="fa-IR"/>
        </w:rPr>
        <w:t>:</w:t>
      </w:r>
      <w:bookmarkStart w:id="495" w:name="pg19819_193808"/>
    </w:p>
    <w:p>
      <w:pPr>
        <w:pStyle w:val="BookText"/>
        <w:rPr/>
      </w:pPr>
      <w:bookmarkEnd w:id="495"/>
      <w:r>
        <w:rPr>
          <w:rFonts w:ascii="IRNazanin" w:hAnsi="IRNazanin" w:eastAsia="IRNazanin"/>
          <w:color w:val="111111"/>
          <w:sz w:val="28"/>
          <w:sz w:val="28"/>
          <w:szCs w:val="28"/>
          <w:rtl w:val="true"/>
          <w:lang w:bidi="fa-IR"/>
        </w:rPr>
        <w:t>بگفت هاتف غیبی ز روی جودت طبع‌علی مقنن دین نبی ز دنیا رفت</w:t>
      </w:r>
    </w:p>
    <w:p>
      <w:pPr>
        <w:pStyle w:val="BookText"/>
        <w:rPr/>
      </w:pPr>
      <w:r>
        <w:rPr>
          <w:rFonts w:ascii="IRNazanin" w:hAnsi="IRNazanin" w:eastAsia="IRNazanin"/>
          <w:color w:val="111111"/>
          <w:sz w:val="28"/>
          <w:sz w:val="28"/>
          <w:szCs w:val="28"/>
          <w:rtl w:val="true"/>
          <w:lang w:bidi="fa-IR"/>
        </w:rPr>
        <w:t xml:space="preserve">در مصراع اوّل تعمیه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بنابراین مدت عمرش شصت و نه سال و نه ماه تقریبا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و قال فی نخبة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الریاض سیّد الأجل‌محقّق عن خاله الآقا نقل</w:t>
      </w:r>
    </w:p>
    <w:p>
      <w:pPr>
        <w:pStyle w:val="BookText"/>
        <w:rPr/>
      </w:pPr>
      <w:r>
        <w:rPr>
          <w:rFonts w:ascii="IRNazanin" w:hAnsi="IRNazanin" w:eastAsia="IRNazanin"/>
          <w:color w:val="111111"/>
          <w:sz w:val="28"/>
          <w:sz w:val="28"/>
          <w:szCs w:val="28"/>
          <w:rtl w:val="true"/>
          <w:lang w:bidi="fa-IR"/>
        </w:rPr>
        <w:t xml:space="preserve">قد عاش سبعین بعلم و عمل‌مقبضه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الریاض 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3055767_2314609296"/>
      <w:bookmarkStart w:id="497" w:name="_Toc187"/>
      <w:bookmarkEnd w:id="496"/>
      <w:r>
        <w:rPr>
          <w:rtl w:val="true"/>
        </w:rPr>
        <w:t>الرسالة</w:t>
      </w:r>
      <w:r>
        <w:rPr>
          <w:rtl w:val="true"/>
        </w:rPr>
        <w:t>:</w:t>
      </w:r>
      <w:bookmarkEnd w:id="497"/>
    </w:p>
    <w:p>
      <w:pPr>
        <w:pStyle w:val="BookText"/>
        <w:rPr/>
      </w:pPr>
      <w:r>
        <w:rPr>
          <w:rFonts w:ascii="IRNazanin" w:hAnsi="IRNazanin" w:eastAsia="IRNazanin"/>
          <w:color w:val="111111"/>
          <w:sz w:val="28"/>
          <w:sz w:val="28"/>
          <w:szCs w:val="28"/>
          <w:rtl w:val="true"/>
          <w:lang w:bidi="fa-IR"/>
        </w:rPr>
        <w:t>قال عنها المؤلّف فی أوّل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الرسالة منفردة فی بیان حجّیة الشهرة و جواز الاعتماد علیها فی إثبات الأحکام الشرعیة، قد کتبتها فی غایة الاستعجال مع کثرة الاشتغال و بلبال البال و إخلال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حصیلة البحث</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ظهر ممّا ذکرنا من أوّل الرسالة إلی هنا من وجوه شتّی حجّیّة الشهرة مطلقا، کان معها روایة ضعیفة أم لا، اتّضح دلیلها أم لا، لکن خرج منها الشهرة التی لا یتّضح دلیلها، و لا وجد معها روایة و غیرها من الاصول مطلقا باشتهار عدم حجّیّة مثلها کما ذکره الخال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ما عداها من نحو الشهرة التی معها روایة ضعیفة مثلا باقیة بحالها فی حجّیّتها؛ لعدم مانع عنها أصلا؛ لاختصاص الشهرة المانعة عن حجّیّة الشهرة بغیر مثل هذه الشهرة ممّا لم ینضمّ إلیه نحو روایة ضعیفة؛ إذ لا مانع آخر یتصوّر عنها عدا الأدلّة الدالّة علی عدم حجّیّة الظنّ مطلقا، لکن ما قدّمناه من الأدلّة القاطعة علی حجّیّة الظنون الاجتهادیّة فی الأحکام الشرعیّة و ما یتعلّق بها من نحو الشهرة و غیرها تخصّصها؛</w:t>
      </w:r>
      <w:bookmarkStart w:id="498" w:name="pg19819_193809"/>
    </w:p>
    <w:p>
      <w:pPr>
        <w:pStyle w:val="BookText"/>
        <w:rPr/>
      </w:pPr>
      <w:bookmarkEnd w:id="498"/>
      <w:r>
        <w:rPr>
          <w:rFonts w:ascii="Amiri" w:hAnsi="Amiri" w:eastAsia="Amiri" w:cs="Amiri"/>
          <w:color w:val="111111"/>
          <w:sz w:val="28"/>
          <w:sz w:val="28"/>
          <w:szCs w:val="28"/>
          <w:rtl w:val="true"/>
          <w:lang w:bidi="ar-SA"/>
        </w:rPr>
        <w:t>لأنّها خاصّة، و الخاصّ مقدّم علی العامّ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فی أواخر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اصل وضع الرسالة و إن کان لبیان حجّیة الشهرة إلّا أنّ المقصود الأهمّ منها إنّما هو إثبات کلّیة الکبری المستفادة من الدلیل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دلیل الانسداد الذی استدلّ به صاحب المعالم لحجّیة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بالتقریب الذی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أدرج ابنه السیّد محمّد المجاهد معظمها فی مفاتیح الاصول،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والدی العلّامة أعلی اللّه تعالی فی الخلد مقامه إلی جملة مما ذکرناه فی رسالته فی الشهرة، و نحن ننقل جمیع ما ذکره فی تلک الرسالة لاشتماله علی فوائد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عند إتمامها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انتهی إلیه کلامه و لقد أجاد فیما أفاد و إن کان للتأمّل فی جملة مما ذکره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هذه الرسالة فی زمان حیاة استاده الوحید البهبهانی، کما یظهر ذلک من الجمل الدعائیة له</w:t>
      </w:r>
      <w:r>
        <w:rPr>
          <w:rFonts w:eastAsia="IRNazanin" w:cs="IRNazanin"/>
          <w:color w:val="111111"/>
          <w:sz w:val="28"/>
          <w:szCs w:val="28"/>
          <w:rtl w:val="true"/>
          <w:lang w:bidi="fa-IR"/>
        </w:rPr>
        <w:t>.</w:t>
      </w:r>
    </w:p>
    <w:p>
      <w:pPr>
        <w:pStyle w:val="Heading4"/>
        <w:numPr>
          <w:ilvl w:val="3"/>
          <w:numId w:val="1"/>
        </w:numPr>
        <w:rPr/>
      </w:pPr>
      <w:bookmarkStart w:id="499" w:name="__RefHeading___Toc3055769_2314609296"/>
      <w:bookmarkStart w:id="500" w:name="_Toc188"/>
      <w:bookmarkEnd w:id="499"/>
      <w:r>
        <w:rPr>
          <w:rtl w:val="true"/>
        </w:rPr>
        <w:t>النسخ المعتمدة</w:t>
      </w:r>
      <w:r>
        <w:rPr>
          <w:rtl w:val="true"/>
        </w:rPr>
        <w:t>:</w:t>
      </w:r>
      <w:bookmarkEnd w:id="500"/>
    </w:p>
    <w:p>
      <w:pPr>
        <w:pStyle w:val="BookText"/>
        <w:rPr/>
      </w:pPr>
      <w:r>
        <w:rPr>
          <w:rFonts w:ascii="IRNazanin" w:hAnsi="IRNazanin" w:eastAsia="IRNazanin"/>
          <w:color w:val="111111"/>
          <w:sz w:val="28"/>
          <w:sz w:val="28"/>
          <w:szCs w:val="28"/>
          <w:rtl w:val="true"/>
          <w:lang w:bidi="fa-IR"/>
        </w:rPr>
        <w:t>نذکرها علی حسب الاعتبار و الصحّة و إن وقع فی کلّها تصحیفات و سقطات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مکتبة الرضویة برقم </w:t>
      </w:r>
      <w:r>
        <w:rPr>
          <w:rFonts w:eastAsia="IRNazanin" w:cs="IRNazanin"/>
          <w:color w:val="111111"/>
          <w:sz w:val="28"/>
          <w:szCs w:val="28"/>
          <w:lang w:bidi="fa-IR"/>
        </w:rPr>
        <w:t>19635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موقوفات قائد الثورة الإسلامیة السیّد علیّ الخامنئی حفظه اللّه و رعاه و نرمز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المندرجة فی مفاتیح الاصول لابنه السیّد محمّد المجاهد و نرمز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مکتبة آیة اللّه المرعشی برقم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نرمز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501" w:name="pg19819_193810"/>
    </w:p>
    <w:p>
      <w:pPr>
        <w:pStyle w:val="BookText"/>
        <w:rPr/>
      </w:pPr>
      <w:bookmarkEnd w:id="50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مکتبة مجلس الشوری الإسلامی برقم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إبراهیم بن المرتضی الحسینی الزنجانی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و اشتراکاتها مع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و علی أساس هذه النسخة طبعت فی گنجینه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راجعنا إلی هذه الطبعة و لم تکن مصوّرة النسخة عندی و نرمز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مکتبة آیة اللّه المرعشی برقم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فی الفهرست خطأ إلی آقا علیّ بن محمّد علیّ الکرمانشاهی و سقطت صفحات من آخرها و نرمز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مکتبة آیة اللّه المرعشی برقم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شهر شعبان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نرمز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مکتبة الرضویة برقم </w:t>
      </w:r>
      <w:r>
        <w:rPr>
          <w:rFonts w:eastAsia="IRNazanin" w:cs="IRNazanin"/>
          <w:color w:val="111111"/>
          <w:sz w:val="28"/>
          <w:szCs w:val="28"/>
          <w:lang w:bidi="fa-IR"/>
        </w:rPr>
        <w:t>2894</w:t>
      </w:r>
      <w:r>
        <w:rPr>
          <w:rFonts w:ascii="IRNazanin" w:hAnsi="IRNazanin" w:eastAsia="IRNazanin"/>
          <w:color w:val="111111"/>
          <w:sz w:val="28"/>
          <w:sz w:val="28"/>
          <w:szCs w:val="28"/>
          <w:rtl w:val="true"/>
          <w:lang w:bidi="fa-IR"/>
        </w:rPr>
        <w:t>، کتبت فی حیاة المؤلّف کما جاء فی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الرسالة من تحقیقات المحقّق العلّامة آقا سیّد علیّ أدام اللّه ظلاله علی رءوسنا معشر الشیعة بحقّ محمّد و آله خیر البریة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نرمز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مکتبة الرضویة برقم </w:t>
      </w:r>
      <w:r>
        <w:rPr>
          <w:rFonts w:eastAsia="IRNazanin" w:cs="IRNazanin"/>
          <w:color w:val="111111"/>
          <w:sz w:val="28"/>
          <w:szCs w:val="28"/>
          <w:lang w:bidi="fa-IR"/>
        </w:rPr>
        <w:t>19990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موقوفات قائد الثورة السیّد علیّ الخامنئی دام ظلّه الوارف کتبت فی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و اشتراکاتها مع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و نرمز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وقع تصحیفات و سقطات کثیرة فی الأربعة الأخیرة خصوصا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502" w:name="__RefHeading___Toc3055771_2314609296"/>
      <w:bookmarkStart w:id="503" w:name="_Toc189"/>
      <w:bookmarkEnd w:id="502"/>
      <w:r>
        <w:rPr>
          <w:rtl w:val="true"/>
        </w:rPr>
        <w:t>نسخ آخر للرسالة</w:t>
      </w:r>
      <w:r>
        <w:rPr>
          <w:rtl w:val="true"/>
        </w:rPr>
        <w:t>:</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الرضویة بأرقام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14504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ملک بطهران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2439</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إحیاء التراث بقم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مدرسة فیضیة بقم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مجلس الشوری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6606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مکتبة دانشکده إلهیات بمشهد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مکتبة دانشکده إلهیات بطهران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مکتبة دانشکده حقوق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مکتبة مدرسة الرضوی بقم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مکتبة مدرسة إمام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مکتبة مدرسة السلطانی بکاشان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مکتبة إمام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جدیر بالذکر أنّا بسطنا هذه المقدّمة 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کنّا بصدد نشر سائر رسائله قدّس سرّه،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مقدّمات آثاره المطبوعة جامعة لترجمة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نشکر لصدیقی المحقّق الشیخ محمّد حسین الدرایتی حیث کان له حظّ وافر فی إنجاز هذا المشروع، و کذلک لصدیقی الفاضل الشیخ مصطفی غیبی حیث ساعدنی فی مقابلة النسخ</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صادف إتمام هذه المقدّمة لأیّام وفاة المرجع الدینی الشیخ الفقیه آیة اللّه میرزا جواد التبریزی أعلی اللّه مقامه الشریف اهدی ثوابها إلی روحه الشریف، راجیا من المولی الکریم القبول و له الحمد أوّلا و أخیرا کما ینبغی لکرم وجهه و عزّ جلاله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04" w:name="pg19819_193818"/>
    </w:p>
    <w:p>
      <w:pPr>
        <w:pStyle w:val="Heading3"/>
        <w:numPr>
          <w:ilvl w:val="2"/>
          <w:numId w:val="1"/>
        </w:numPr>
        <w:rPr/>
      </w:pPr>
      <w:bookmarkStart w:id="505" w:name="__RefHeading___Toc3055773_2314609296"/>
      <w:bookmarkStart w:id="506" w:name="_Toc190"/>
      <w:bookmarkEnd w:id="504"/>
      <w:bookmarkEnd w:id="505"/>
      <w:r>
        <w:rPr>
          <w:rtl w:val="true"/>
        </w:rPr>
        <w:t>[</w:t>
      </w:r>
      <w:r>
        <w:rPr>
          <w:rtl w:val="true"/>
        </w:rPr>
        <w:t>التحقیق فی الکتاب حجیة الشهرة</w:t>
      </w:r>
      <w:r>
        <w:rPr>
          <w:rtl w:val="true"/>
        </w:rPr>
        <w:t>]</w:t>
      </w:r>
      <w:bookmarkEnd w:id="506"/>
    </w:p>
    <w:p>
      <w:pPr>
        <w:pStyle w:val="Heading4"/>
        <w:numPr>
          <w:ilvl w:val="3"/>
          <w:numId w:val="1"/>
        </w:numPr>
        <w:rPr/>
      </w:pPr>
      <w:bookmarkStart w:id="507" w:name="__RefHeading___Toc3055775_2314609296"/>
      <w:bookmarkStart w:id="508" w:name="_Toc191"/>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حجّیة الشهرة بسم اللّه الرّحمن الرّحیم و به نستعین</w:t>
      </w:r>
      <w:r>
        <w:rPr>
          <w:rStyle w:val="FootnoteAnchor"/>
          <w:rtl w:val="true"/>
        </w:rPr>
        <w:footnoteReference w:id="1526"/>
      </w:r>
      <w:r>
        <w:rPr>
          <w:rFonts w:ascii="Amiri" w:hAnsi="Amiri" w:eastAsia="Amiri" w:cs="Amiri"/>
          <w:color w:val="111111"/>
          <w:sz w:val="28"/>
          <w:sz w:val="28"/>
          <w:szCs w:val="28"/>
          <w:rtl w:val="true"/>
          <w:lang w:bidi="ar-SA"/>
        </w:rPr>
        <w:t>الحمد للّه ربّ العالمین، و صلّی اللّه علی خیر خلقه محمّد و آله</w:t>
      </w:r>
      <w:r>
        <w:rPr>
          <w:rStyle w:val="FootnoteAnchor"/>
          <w:rtl w:val="true"/>
        </w:rPr>
        <w:footnoteReference w:id="1527"/>
      </w:r>
      <w:r>
        <w:rPr>
          <w:rFonts w:ascii="IRNazanin" w:hAnsi="IRNazanin" w:eastAsia="IRNazanin"/>
          <w:color w:val="111111"/>
          <w:sz w:val="28"/>
          <w:sz w:val="28"/>
          <w:szCs w:val="28"/>
          <w:rtl w:val="true"/>
          <w:lang w:bidi="fa-IR"/>
        </w:rPr>
        <w:t>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فیقول الفقیر إلی ربّه الغنیّ، علیّ بن محمّد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رسالة منفردة</w:t>
      </w:r>
      <w:r>
        <w:rPr>
          <w:rStyle w:val="FootnoteAnchor"/>
          <w:rtl w:val="true"/>
        </w:rPr>
        <w:footnoteReference w:id="1528"/>
      </w:r>
      <w:r>
        <w:rPr>
          <w:rFonts w:ascii="IRNazanin" w:hAnsi="IRNazanin" w:eastAsia="IRNazanin"/>
          <w:color w:val="111111"/>
          <w:sz w:val="28"/>
          <w:sz w:val="28"/>
          <w:szCs w:val="28"/>
          <w:rtl w:val="true"/>
          <w:lang w:bidi="fa-IR"/>
        </w:rPr>
        <w:t>فی بیان حجّیّة الشهرة و جواز الاعتماد علیها فی إثبات الأحکام الشرعیّة، قد کتبتها فی غایة الاستعجال، مع کثرة الاشتغال، و بلبال البال، و إخلال</w:t>
      </w:r>
      <w:r>
        <w:rPr>
          <w:rStyle w:val="FootnoteAnchor"/>
          <w:rtl w:val="true"/>
        </w:rPr>
        <w:footnoteReference w:id="1529"/>
      </w:r>
      <w:r>
        <w:rPr>
          <w:rFonts w:ascii="IRNazanin" w:hAnsi="IRNazanin" w:eastAsia="IRNazanin"/>
          <w:color w:val="111111"/>
          <w:sz w:val="28"/>
          <w:sz w:val="28"/>
          <w:szCs w:val="28"/>
          <w:rtl w:val="true"/>
          <w:lang w:bidi="fa-IR"/>
        </w:rPr>
        <w:t>الحال،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سبحانه التوفیق، و الهدایة إلی سواء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الشهید علی حجیّة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حکی شیخنا الشهید رحمه اللّه فی الذکری عن بعض الأصحاب إلحاق الشهرة بالإجماع، و استقربه إن کان المراد إلحاقها فی الحجّیّة لا فی کونها إجماعا،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عدالتهم تمنع من الاقتحام علی الإفتاء بغیر دلیل، و لا یلزم من عدم الظفر بالدلیل عدم الدلیل، و لقوّة الظنّ فی جانب الشهرة</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هذا القول وحید عصره و زمانه، و فرید دهره و أوانه، خالی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سبحانه علی رءوس العباد</w:t>
      </w:r>
      <w:r>
        <w:rPr>
          <w:rStyle w:val="FootnoteAnchor"/>
          <w:rtl w:val="true"/>
        </w:rPr>
        <w:footnoteReference w:id="1531"/>
      </w:r>
      <w:r>
        <w:rPr>
          <w:rFonts w:ascii="IRNazanin" w:hAnsi="IRNazanin" w:eastAsia="IRNazanin"/>
          <w:color w:val="111111"/>
          <w:sz w:val="28"/>
          <w:sz w:val="28"/>
          <w:szCs w:val="28"/>
          <w:rtl w:val="true"/>
          <w:lang w:bidi="fa-IR"/>
        </w:rPr>
        <w:t>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استاد الکلّ فی الکلّ آقا حسین الخوانساری، و اختاره لکن قال بعدم حجّیّتها إذا خلت عن حجّة أصلا و لو روایة ضعیفة أو نحوها؛ لاشتهاره بین أصحابنا بحیث کاد</w:t>
      </w:r>
      <w:r>
        <w:rPr>
          <w:rStyle w:val="FootnoteAnchor"/>
          <w:rtl w:val="true"/>
        </w:rPr>
        <w:footnoteReference w:id="1532"/>
      </w:r>
      <w:r>
        <w:rPr>
          <w:rFonts w:ascii="IRNazanin" w:hAnsi="IRNazanin" w:eastAsia="IRNazanin"/>
          <w:color w:val="111111"/>
          <w:sz w:val="28"/>
          <w:sz w:val="28"/>
          <w:szCs w:val="28"/>
          <w:rtl w:val="true"/>
          <w:lang w:bidi="fa-IR"/>
        </w:rPr>
        <w:t>أن</w:t>
      </w:r>
      <w:r>
        <w:rPr>
          <w:rStyle w:val="FootnoteAnchor"/>
          <w:rtl w:val="true"/>
        </w:rPr>
        <w:footnoteReference w:id="1533"/>
      </w:r>
      <w:r>
        <w:rPr>
          <w:rFonts w:ascii="IRNazanin" w:hAnsi="IRNazanin" w:eastAsia="IRNazanin"/>
          <w:color w:val="111111"/>
          <w:sz w:val="28"/>
          <w:sz w:val="28"/>
          <w:szCs w:val="28"/>
          <w:rtl w:val="true"/>
          <w:lang w:bidi="fa-IR"/>
        </w:rPr>
        <w:t>یکون إجماعا</w:t>
      </w:r>
      <w:r>
        <w:rPr>
          <w:rFonts w:eastAsia="IRNazanin" w:cs="IRNazanin"/>
          <w:color w:val="111111"/>
          <w:sz w:val="28"/>
          <w:szCs w:val="28"/>
          <w:rtl w:val="true"/>
          <w:lang w:bidi="fa-IR"/>
        </w:rPr>
        <w:t>.</w:t>
      </w:r>
      <w:bookmarkStart w:id="509" w:name="pg19819_193819"/>
    </w:p>
    <w:p>
      <w:pPr>
        <w:pStyle w:val="BookText"/>
        <w:rPr/>
      </w:pPr>
      <w:bookmarkEnd w:id="5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صاحب المعالم 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الأقوی لما ذکره شیخنا</w:t>
      </w:r>
      <w:r>
        <w:rPr>
          <w:rStyle w:val="FootnoteAnchor"/>
          <w:rtl w:val="true"/>
        </w:rPr>
        <w:footnoteReference w:id="1534"/>
      </w:r>
      <w:r>
        <w:rPr>
          <w:rFonts w:ascii="IRNazanin" w:hAnsi="IRNazanin" w:eastAsia="IRNazanin"/>
          <w:color w:val="111111"/>
          <w:sz w:val="28"/>
          <w:sz w:val="28"/>
          <w:szCs w:val="28"/>
          <w:rtl w:val="true"/>
          <w:lang w:bidi="fa-IR"/>
        </w:rPr>
        <w:t>فی الذکری من الدلیلین و إن اجیب عنهما</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الأوّل، بأنّ العدالة إنّما یؤمن معها تعمّد الإفتاء بغیر ما یظنّ بالاجتهاد دلیلا، و لیس الخطأ بمأمون علی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الشهرة التی یحصل</w:t>
      </w:r>
      <w:r>
        <w:rPr>
          <w:rStyle w:val="FootnoteAnchor"/>
          <w:rtl w:val="true"/>
        </w:rPr>
        <w:footnoteReference w:id="1536"/>
      </w:r>
      <w:r>
        <w:rPr>
          <w:rFonts w:ascii="IRNazanin" w:hAnsi="IRNazanin" w:eastAsia="IRNazanin"/>
          <w:color w:val="111111"/>
          <w:sz w:val="28"/>
          <w:sz w:val="28"/>
          <w:szCs w:val="28"/>
          <w:rtl w:val="true"/>
          <w:lang w:bidi="fa-IR"/>
        </w:rPr>
        <w:t>معها قوّة الظنّ هی الحاصلة قبل زمن الشیخ رحمه اللّه لا الواقعة بعده، و أکثر ما یوجد مشتهرا</w:t>
      </w:r>
      <w:r>
        <w:rPr>
          <w:rStyle w:val="FootnoteAnchor"/>
          <w:rtl w:val="true"/>
        </w:rPr>
        <w:footnoteReference w:id="1537"/>
      </w:r>
      <w:r>
        <w:rPr>
          <w:rFonts w:ascii="IRNazanin" w:hAnsi="IRNazanin" w:eastAsia="IRNazanin"/>
          <w:color w:val="111111"/>
          <w:sz w:val="28"/>
          <w:sz w:val="28"/>
          <w:szCs w:val="28"/>
          <w:rtl w:val="true"/>
          <w:lang w:bidi="fa-IR"/>
        </w:rPr>
        <w:t xml:space="preserve">فی کلام الأصحاب حدث بعد زمن الشیخ رحمه اللّه کما نبّه علیه شیخنا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الرعایة</w:t>
      </w:r>
      <w:r>
        <w:rPr>
          <w:rStyle w:val="FootnoteAnchor"/>
          <w:rtl w:val="true"/>
        </w:rPr>
        <w:footnoteReference w:id="1538"/>
      </w:r>
      <w:r>
        <w:rPr>
          <w:rFonts w:ascii="IRNazanin" w:hAnsi="IRNazanin" w:eastAsia="IRNazanin"/>
          <w:color w:val="111111"/>
          <w:sz w:val="28"/>
          <w:sz w:val="28"/>
          <w:szCs w:val="28"/>
          <w:rtl w:val="true"/>
          <w:lang w:bidi="fa-IR"/>
        </w:rPr>
        <w:t>الذی ألّفه فی درایة الحدیث مبیّنا وجهه فیما حکی عنه</w:t>
      </w:r>
      <w:r>
        <w:rPr>
          <w:rStyle w:val="FootnoteAnchor"/>
          <w:rtl w:val="true"/>
        </w:rPr>
        <w:footnoteReference w:id="1539"/>
      </w:r>
      <w:r>
        <w:rPr>
          <w:rFonts w:ascii="Amiri" w:hAnsi="Amiri" w:eastAsia="Amiri" w:cs="Amiri"/>
          <w:color w:val="111111"/>
          <w:sz w:val="28"/>
          <w:sz w:val="28"/>
          <w:szCs w:val="28"/>
          <w:rtl w:val="true"/>
          <w:lang w:bidi="ar-SA"/>
        </w:rPr>
        <w:t>من أنّ</w:t>
      </w:r>
      <w:r>
        <w:rPr>
          <w:rStyle w:val="FootnoteAnchor"/>
          <w:rtl w:val="true"/>
        </w:rPr>
        <w:footnoteReference w:id="1540"/>
      </w:r>
      <w:r>
        <w:rPr>
          <w:rFonts w:ascii="IRNazanin" w:hAnsi="IRNazanin" w:eastAsia="IRNazanin"/>
          <w:color w:val="111111"/>
          <w:sz w:val="28"/>
          <w:sz w:val="28"/>
          <w:szCs w:val="28"/>
          <w:rtl w:val="true"/>
          <w:lang w:bidi="fa-IR"/>
        </w:rPr>
        <w:t>أکثر الفقهاء الذین نشئوا بعد</w:t>
      </w:r>
      <w:r>
        <w:rPr>
          <w:rStyle w:val="FootnoteAnchor"/>
          <w:rtl w:val="true"/>
        </w:rPr>
        <w:footnoteReference w:id="1541"/>
      </w:r>
      <w:r>
        <w:rPr>
          <w:rFonts w:ascii="IRNazanin" w:hAnsi="IRNazanin" w:eastAsia="IRNazanin"/>
          <w:color w:val="111111"/>
          <w:sz w:val="28"/>
          <w:sz w:val="28"/>
          <w:szCs w:val="28"/>
          <w:rtl w:val="true"/>
          <w:lang w:bidi="fa-IR"/>
        </w:rPr>
        <w:t>الشیخ رحمه اللّه کانوا یتّبعونه فی الفتوی تقلیدا له؛ لکثرة اعتقادهم فیه</w:t>
      </w:r>
      <w:r>
        <w:rPr>
          <w:rStyle w:val="FootnoteAnchor"/>
          <w:rtl w:val="true"/>
        </w:rPr>
        <w:footnoteReference w:id="1542"/>
      </w:r>
      <w:r>
        <w:rPr>
          <w:rFonts w:ascii="IRNazanin" w:hAnsi="IRNazanin" w:eastAsia="IRNazanin"/>
          <w:color w:val="111111"/>
          <w:sz w:val="28"/>
          <w:sz w:val="28"/>
          <w:szCs w:val="28"/>
          <w:rtl w:val="true"/>
          <w:lang w:bidi="fa-IR"/>
        </w:rPr>
        <w:t>و حسن ظنّهم به، فلمّا جاء المتأخّرون وجدوا أحکاما مشهورة قد عمل بها الشیخ</w:t>
      </w:r>
      <w:r>
        <w:rPr>
          <w:rStyle w:val="FootnoteAnchor"/>
          <w:rtl w:val="true"/>
        </w:rPr>
        <w:footnoteReference w:id="1543"/>
      </w:r>
      <w:r>
        <w:rPr>
          <w:rFonts w:ascii="Amiri" w:hAnsi="Amiri" w:eastAsia="Amiri" w:cs="Amiri"/>
          <w:color w:val="111111"/>
          <w:sz w:val="28"/>
          <w:sz w:val="28"/>
          <w:szCs w:val="28"/>
          <w:rtl w:val="true"/>
          <w:lang w:bidi="ar-SA"/>
        </w:rPr>
        <w:t>و متابعوه فحسبوها شهرة من</w:t>
      </w:r>
      <w:r>
        <w:rPr>
          <w:rStyle w:val="FootnoteAnchor"/>
          <w:rtl w:val="true"/>
        </w:rPr>
        <w:footnoteReference w:id="1544"/>
      </w:r>
      <w:r>
        <w:rPr>
          <w:rFonts w:ascii="IRNazanin" w:hAnsi="IRNazanin" w:eastAsia="IRNazanin"/>
          <w:color w:val="111111"/>
          <w:sz w:val="28"/>
          <w:sz w:val="28"/>
          <w:szCs w:val="28"/>
          <w:rtl w:val="true"/>
          <w:lang w:bidi="fa-IR"/>
        </w:rPr>
        <w:t>العلماء و ما دروا أنّ مرجعها إلی الشیخ</w:t>
      </w:r>
      <w:r>
        <w:rPr>
          <w:rStyle w:val="FootnoteAnchor"/>
          <w:rtl w:val="true"/>
        </w:rPr>
        <w:footnoteReference w:id="1545"/>
      </w:r>
      <w:r>
        <w:rPr>
          <w:rFonts w:ascii="Amiri" w:hAnsi="Amiri" w:eastAsia="Amiri" w:cs="Amiri"/>
          <w:color w:val="111111"/>
          <w:sz w:val="28"/>
          <w:sz w:val="28"/>
          <w:szCs w:val="28"/>
          <w:rtl w:val="true"/>
          <w:lang w:bidi="ar-SA"/>
        </w:rPr>
        <w:t>و أنّ الشهرة حصلت بمتابعته</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3055777_2314609296"/>
      <w:bookmarkStart w:id="511" w:name="_Toc192"/>
      <w:bookmarkEnd w:id="510"/>
      <w:r>
        <w:rPr>
          <w:rtl w:val="true"/>
        </w:rPr>
        <w:t>[</w:t>
      </w:r>
      <w:r>
        <w:rPr>
          <w:rtl w:val="true"/>
        </w:rPr>
        <w:t>الجواب عن صاحب المعالم</w:t>
      </w:r>
      <w:r>
        <w:rPr>
          <w:rtl w:val="true"/>
        </w:rPr>
        <w:t>:]</w:t>
      </w:r>
      <w:bookmarkEnd w:id="511"/>
    </w:p>
    <w:p>
      <w:pPr>
        <w:pStyle w:val="BookText"/>
        <w:rPr/>
      </w:pPr>
      <w:r>
        <w:rPr>
          <w:rFonts w:ascii="IRNazanin" w:hAnsi="IRNazanin" w:eastAsia="IRNazanin"/>
          <w:color w:val="111111"/>
          <w:sz w:val="28"/>
          <w:sz w:val="28"/>
          <w:szCs w:val="28"/>
          <w:rtl w:val="true"/>
          <w:lang w:bidi="fa-IR"/>
        </w:rPr>
        <w:t>و ذلک لضعف الجوابین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Style w:val="FootnoteAnchor"/>
          <w:rtl w:val="true"/>
        </w:rPr>
        <w:footnoteReference w:id="1546"/>
      </w:r>
      <w:r>
        <w:rPr>
          <w:rFonts w:ascii="IRNazanin" w:hAnsi="IRNazanin" w:eastAsia="IRNazanin"/>
          <w:color w:val="111111"/>
          <w:sz w:val="28"/>
          <w:sz w:val="28"/>
          <w:szCs w:val="28"/>
          <w:rtl w:val="true"/>
          <w:lang w:bidi="fa-IR"/>
        </w:rPr>
        <w:t>بأنّ احتمال الخطأ فی دلیلهم إنّما ینافی قطعیّة صحّته</w:t>
      </w:r>
      <w:r>
        <w:rPr>
          <w:rStyle w:val="FootnoteAnchor"/>
          <w:rtl w:val="true"/>
        </w:rPr>
        <w:footnoteReference w:id="1547"/>
      </w:r>
      <w:r>
        <w:rPr>
          <w:rFonts w:ascii="Amiri" w:hAnsi="Amiri" w:eastAsia="Amiri" w:cs="Amiri"/>
          <w:color w:val="111111"/>
          <w:sz w:val="28"/>
          <w:sz w:val="28"/>
          <w:szCs w:val="28"/>
          <w:rtl w:val="true"/>
          <w:lang w:bidi="ar-SA"/>
        </w:rPr>
        <w:t>لا ظنیّته</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549"/>
      </w:r>
      <w:r>
        <w:rPr>
          <w:rFonts w:ascii="IRNazanin" w:hAnsi="IRNazanin" w:eastAsia="IRNazanin"/>
          <w:color w:val="111111"/>
          <w:sz w:val="28"/>
          <w:sz w:val="28"/>
          <w:szCs w:val="28"/>
          <w:rtl w:val="true"/>
          <w:lang w:bidi="fa-IR"/>
        </w:rPr>
        <w:t>بعد الخطأ فیه جدّا، و ذلک فإنّ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نهایة عدالتهم و فقاهتهم و تبحّرهم</w:t>
      </w:r>
      <w:r>
        <w:rPr>
          <w:rStyle w:val="FootnoteAnchor"/>
          <w:rtl w:val="true"/>
        </w:rPr>
        <w:footnoteReference w:id="1550"/>
      </w:r>
      <w:r>
        <w:rPr>
          <w:rFonts w:ascii="IRNazanin" w:hAnsi="IRNazanin" w:eastAsia="IRNazanin"/>
          <w:color w:val="111111"/>
          <w:sz w:val="28"/>
          <w:sz w:val="28"/>
          <w:szCs w:val="28"/>
          <w:rtl w:val="true"/>
          <w:lang w:bidi="fa-IR"/>
        </w:rPr>
        <w:t>و اختلاف أفهامهم و آرائهم و عدم موافقة بعضهم مع بعض فی کثیر من الأدلّة الاجتهادیّة و المسائل الخلافیّة حتّی أنّ بعضهم ربّما خالف نفسه فی مواقع</w:t>
      </w:r>
      <w:r>
        <w:rPr>
          <w:rStyle w:val="FootnoteAnchor"/>
          <w:rtl w:val="true"/>
        </w:rPr>
        <w:footnoteReference w:id="1551"/>
      </w:r>
      <w:r>
        <w:rPr>
          <w:rFonts w:ascii="IRNazanin" w:hAnsi="IRNazanin" w:eastAsia="IRNazanin"/>
          <w:color w:val="111111"/>
          <w:sz w:val="28"/>
          <w:sz w:val="28"/>
          <w:szCs w:val="28"/>
          <w:rtl w:val="true"/>
          <w:lang w:bidi="fa-IR"/>
        </w:rPr>
        <w:t>عدیدة، و تعدّد</w:t>
      </w:r>
      <w:r>
        <w:rPr>
          <w:rStyle w:val="FootnoteAnchor"/>
          <w:rtl w:val="true"/>
        </w:rPr>
        <w:footnoteReference w:id="1552"/>
      </w:r>
      <w:r>
        <w:rPr>
          <w:rFonts w:ascii="IRNazanin" w:hAnsi="IRNazanin" w:eastAsia="IRNazanin"/>
          <w:color w:val="111111"/>
          <w:sz w:val="28"/>
          <w:sz w:val="28"/>
          <w:szCs w:val="28"/>
          <w:rtl w:val="true"/>
          <w:lang w:bidi="fa-IR"/>
        </w:rPr>
        <w:t>أقواله</w:t>
      </w:r>
      <w:r>
        <w:rPr>
          <w:rStyle w:val="FootnoteAnchor"/>
          <w:rtl w:val="true"/>
        </w:rPr>
        <w:footnoteReference w:id="1553"/>
      </w:r>
      <w:r>
        <w:rPr>
          <w:rFonts w:ascii="Amiri" w:hAnsi="Amiri" w:eastAsia="Amiri" w:cs="Amiri"/>
          <w:color w:val="111111"/>
          <w:sz w:val="28"/>
          <w:sz w:val="28"/>
          <w:szCs w:val="28"/>
          <w:rtl w:val="true"/>
          <w:lang w:bidi="ar-SA"/>
        </w:rPr>
        <w:t>متخالفة متصاعدة</w:t>
      </w:r>
      <w:r>
        <w:rPr>
          <w:rStyle w:val="FootnoteAnchor"/>
          <w:rtl w:val="true"/>
        </w:rPr>
        <w:footnoteReference w:id="1554"/>
      </w:r>
      <w:r>
        <w:rPr>
          <w:rFonts w:ascii="Amiri" w:hAnsi="Amiri" w:eastAsia="Amiri" w:cs="Amiri"/>
          <w:color w:val="111111"/>
          <w:sz w:val="28"/>
          <w:sz w:val="28"/>
          <w:szCs w:val="28"/>
          <w:rtl w:val="true"/>
          <w:lang w:bidi="ar-SA"/>
        </w:rPr>
        <w:t>ربّما</w:t>
      </w:r>
      <w:r>
        <w:rPr>
          <w:rStyle w:val="FootnoteAnchor"/>
          <w:rtl w:val="true"/>
        </w:rPr>
        <w:footnoteReference w:id="1555"/>
      </w:r>
      <w:r>
        <w:rPr>
          <w:rFonts w:ascii="IRNazanin" w:hAnsi="IRNazanin" w:eastAsia="IRNazanin"/>
          <w:color w:val="111111"/>
          <w:sz w:val="28"/>
          <w:sz w:val="28"/>
          <w:szCs w:val="28"/>
          <w:rtl w:val="true"/>
          <w:lang w:bidi="fa-IR"/>
        </w:rPr>
        <w:t>بلغت إلی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رأیناهم توافقوا فی مسألة و اتّفقوا علی الحکم فیها من دون تزلزل و لا شبهة استبعدنا وقوع الخلل و الخطأ فی دلیلهم، و منه</w:t>
      </w:r>
      <w:r>
        <w:rPr>
          <w:rStyle w:val="FootnoteAnchor"/>
          <w:rtl w:val="true"/>
        </w:rPr>
        <w:footnoteReference w:id="1556"/>
      </w:r>
      <w:r>
        <w:rPr>
          <w:rFonts w:ascii="Amiri" w:hAnsi="Amiri" w:eastAsia="Amiri" w:cs="Amiri"/>
          <w:color w:val="111111"/>
          <w:sz w:val="28"/>
          <w:sz w:val="28"/>
          <w:szCs w:val="28"/>
          <w:rtl w:val="true"/>
          <w:lang w:bidi="ar-SA"/>
        </w:rPr>
        <w:t>یلزم الظنّ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لا یخفی علیک أنّ مآل هذا الدلیل علی هذا التقریر یرجع إلی الدلیل الثانی، و إلّا فأصل</w:t>
      </w:r>
      <w:r>
        <w:rPr>
          <w:rStyle w:val="FootnoteAnchor"/>
          <w:rtl w:val="true"/>
        </w:rPr>
        <w:footnoteReference w:id="1557"/>
      </w:r>
      <w:r>
        <w:rPr>
          <w:rFonts w:ascii="IRNazanin" w:hAnsi="IRNazanin" w:eastAsia="IRNazanin"/>
          <w:color w:val="111111"/>
          <w:sz w:val="28"/>
          <w:sz w:val="28"/>
          <w:szCs w:val="28"/>
          <w:rtl w:val="true"/>
          <w:lang w:bidi="fa-IR"/>
        </w:rPr>
        <w:t>الدلیل علی التقریر المسطور فی الذکری ربّما لا یندفع عنه الاعتراض المتقدّم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Style w:val="FootnoteAnchor"/>
          <w:rtl w:val="true"/>
        </w:rPr>
        <w:footnoteReference w:id="1558"/>
      </w:r>
      <w:r>
        <w:rPr>
          <w:rFonts w:ascii="Amiri" w:hAnsi="Amiri" w:eastAsia="Amiri" w:cs="Amiri"/>
          <w:color w:val="111111"/>
          <w:sz w:val="28"/>
          <w:sz w:val="28"/>
          <w:szCs w:val="28"/>
          <w:rtl w:val="true"/>
          <w:lang w:bidi="ar-SA"/>
        </w:rPr>
        <w:t>بما نبّه علیه المحقّقون</w:t>
      </w:r>
      <w:r>
        <w:rPr>
          <w:rStyle w:val="FootnoteAnchor"/>
          <w:rtl w:val="true"/>
        </w:rPr>
        <w:footnoteReference w:id="1559"/>
      </w:r>
      <w:r>
        <w:rPr>
          <w:rFonts w:ascii="Amiri" w:hAnsi="Amiri" w:eastAsia="Amiri" w:cs="Amiri"/>
          <w:color w:val="111111"/>
          <w:sz w:val="28"/>
          <w:sz w:val="28"/>
          <w:szCs w:val="28"/>
          <w:rtl w:val="true"/>
          <w:lang w:bidi="ar-SA"/>
        </w:rPr>
        <w:t>ممّا هو ظاهر لکلّ</w:t>
      </w:r>
      <w:r>
        <w:rPr>
          <w:rStyle w:val="FootnoteAnchor"/>
          <w:rtl w:val="true"/>
        </w:rPr>
        <w:footnoteReference w:id="1560"/>
      </w:r>
      <w:r>
        <w:rPr>
          <w:rFonts w:ascii="IRNazanin" w:hAnsi="IRNazanin" w:eastAsia="IRNazanin"/>
          <w:color w:val="111111"/>
          <w:sz w:val="28"/>
          <w:sz w:val="28"/>
          <w:szCs w:val="28"/>
          <w:rtl w:val="true"/>
          <w:lang w:bidi="fa-IR"/>
        </w:rPr>
        <w:t>ناظر من منع متابعة الفقهاء المتأخّرین عن الشیخ</w:t>
      </w:r>
      <w:r>
        <w:rPr>
          <w:rStyle w:val="FootnoteAnchor"/>
          <w:rtl w:val="true"/>
        </w:rPr>
        <w:footnoteReference w:id="1561"/>
      </w:r>
      <w:r>
        <w:rPr>
          <w:rFonts w:ascii="IRNazanin" w:hAnsi="IRNazanin" w:eastAsia="IRNazanin"/>
          <w:color w:val="111111"/>
          <w:sz w:val="28"/>
          <w:sz w:val="28"/>
          <w:szCs w:val="28"/>
          <w:rtl w:val="true"/>
          <w:lang w:bidi="fa-IR"/>
        </w:rPr>
        <w:t>له فی الفتوی أوّلا؛ إذ لم نجدها بل وجدنا خلافها کثیرا، و لو سلّمت فإنّما هی بالدلیل لا بالتقلید، فإنّ عدالتهم تمنع عنه</w:t>
      </w:r>
      <w:r>
        <w:rPr>
          <w:rStyle w:val="FootnoteAnchor"/>
          <w:rtl w:val="true"/>
        </w:rPr>
        <w:footnoteReference w:id="1562"/>
      </w:r>
      <w:r>
        <w:rPr>
          <w:rFonts w:ascii="IRNazanin" w:hAnsi="IRNazanin" w:eastAsia="IRNazanin"/>
          <w:color w:val="111111"/>
          <w:sz w:val="28"/>
          <w:sz w:val="28"/>
          <w:szCs w:val="28"/>
          <w:rtl w:val="true"/>
          <w:lang w:bidi="fa-IR"/>
        </w:rPr>
        <w:t>مع تصریحهم بحرمة تقلید المجتهد الآخر</w:t>
      </w:r>
      <w:r>
        <w:rPr>
          <w:rStyle w:val="FootnoteAnchor"/>
          <w:rtl w:val="true"/>
        </w:rPr>
        <w:footnoteReference w:id="1563"/>
      </w:r>
      <w:r>
        <w:rPr>
          <w:rFonts w:ascii="Amiri" w:hAnsi="Amiri" w:eastAsia="Amiri" w:cs="Amiri"/>
          <w:color w:val="111111"/>
          <w:sz w:val="28"/>
          <w:sz w:val="28"/>
          <w:szCs w:val="28"/>
          <w:rtl w:val="true"/>
          <w:lang w:bidi="ar-SA"/>
        </w:rPr>
        <w:t>و إن حسن ظنّه</w:t>
      </w:r>
      <w:r>
        <w:rPr>
          <w:rStyle w:val="FootnoteAnchor"/>
          <w:rtl w:val="true"/>
        </w:rPr>
        <w:footnoteReference w:id="1564"/>
      </w:r>
      <w:r>
        <w:rPr>
          <w:rFonts w:ascii="IRNazanin" w:hAnsi="IRNazanin" w:eastAsia="IRNazanin"/>
          <w:color w:val="111111"/>
          <w:sz w:val="28"/>
          <w:sz w:val="28"/>
          <w:szCs w:val="28"/>
          <w:rtl w:val="true"/>
          <w:lang w:bidi="fa-IR"/>
        </w:rPr>
        <w:t>به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بهذا المعنی فوا فضیحتاه؛ لاستلزامه تفسیق</w:t>
      </w:r>
    </w:p>
    <w:p>
      <w:pPr>
        <w:pStyle w:val="BookText"/>
        <w:rPr/>
      </w:pPr>
      <w:r>
        <w:rPr>
          <w:rFonts w:ascii="IRNazanin" w:hAnsi="IRNazanin" w:eastAsia="IRNazanin"/>
          <w:color w:val="111111"/>
          <w:sz w:val="28"/>
          <w:sz w:val="28"/>
          <w:szCs w:val="28"/>
          <w:rtl w:val="true"/>
          <w:lang w:bidi="fa-IR"/>
        </w:rPr>
        <w:t>مجتهدی المتأخّرین عن الشیخ</w:t>
      </w:r>
      <w:r>
        <w:rPr>
          <w:rStyle w:val="FootnoteAnchor"/>
          <w:rtl w:val="true"/>
        </w:rPr>
        <w:footnoteReference w:id="1566"/>
      </w:r>
      <w:r>
        <w:rPr>
          <w:rFonts w:ascii="IRNazanin" w:hAnsi="IRNazanin" w:eastAsia="IRNazanin"/>
          <w:color w:val="111111"/>
          <w:sz w:val="28"/>
          <w:sz w:val="28"/>
          <w:szCs w:val="28"/>
          <w:rtl w:val="true"/>
          <w:lang w:bidi="fa-IR"/>
        </w:rPr>
        <w:t>بتقلیدهم له من غیر دلیل، و ظهور فساده کاف فی بیان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المطابقة له فی القول بالدلیل فمثله جار فی مجتهدی القدماء أیضا، مع أنّه یقول بقوّة الظنّ المستفاد من الشهرة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1567"/>
      </w:r>
      <w:r>
        <w:rPr>
          <w:rFonts w:ascii="IRNazanin" w:hAnsi="IRNazanin" w:eastAsia="IRNazanin"/>
          <w:color w:val="111111"/>
          <w:sz w:val="28"/>
          <w:sz w:val="28"/>
          <w:szCs w:val="28"/>
          <w:rtl w:val="true"/>
          <w:lang w:bidi="fa-IR"/>
        </w:rPr>
        <w:t>، مع أنّ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منع حصول قوّة الظنّ من الشهرة المتأخّرة لا مطلق الشهرة کما تری</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فی الجواب و فساده، و استدلال صاحب المعالم بدلیل الانسداد لحجیّة أخبار الآحاد جریانه فی الشهرة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لو اجیب عنه</w:t>
      </w:r>
      <w:r>
        <w:rPr>
          <w:rStyle w:val="FootnoteAnchor"/>
          <w:rtl w:val="true"/>
        </w:rPr>
        <w:footnoteReference w:id="1569"/>
      </w:r>
      <w:r>
        <w:rPr>
          <w:rFonts w:ascii="Amiri" w:hAnsi="Amiri" w:eastAsia="Amiri" w:cs="Amiri"/>
          <w:color w:val="111111"/>
          <w:sz w:val="28"/>
          <w:sz w:val="28"/>
          <w:szCs w:val="28"/>
          <w:rtl w:val="true"/>
          <w:lang w:bidi="ar-SA"/>
        </w:rPr>
        <w:t>بمنع کلّیّة الکبری و هو</w:t>
      </w:r>
      <w:r>
        <w:rPr>
          <w:rStyle w:val="FootnoteAnchor"/>
          <w:rtl w:val="true"/>
        </w:rPr>
        <w:footnoteReference w:id="1570"/>
      </w:r>
      <w:r>
        <w:rPr>
          <w:rFonts w:ascii="IRNazanin" w:hAnsi="IRNazanin" w:eastAsia="IRNazanin"/>
          <w:color w:val="111111"/>
          <w:sz w:val="28"/>
          <w:sz w:val="28"/>
          <w:szCs w:val="28"/>
          <w:rtl w:val="true"/>
          <w:lang w:bidi="fa-IR"/>
        </w:rPr>
        <w:t>حجّیة کلّ ظنّ للمجتهد، لکان أولی؛ من حیث استلزامه عدم حجّیّة الظنّ الحاصل من الشهرتین کلتیهما،</w:t>
      </w:r>
      <w:r>
        <w:rPr>
          <w:rStyle w:val="FootnoteAnchor"/>
          <w:rtl w:val="true"/>
        </w:rPr>
        <w:footnoteReference w:id="1571"/>
      </w:r>
      <w:r>
        <w:rPr>
          <w:rFonts w:ascii="IRNazanin" w:hAnsi="IRNazanin" w:eastAsia="IRNazanin"/>
          <w:color w:val="111111"/>
          <w:sz w:val="28"/>
          <w:sz w:val="28"/>
          <w:szCs w:val="28"/>
          <w:rtl w:val="true"/>
          <w:lang w:bidi="fa-IR"/>
        </w:rPr>
        <w:t>لکنّه فاسد من جهة اخری، و هی عموم ما استدلّ به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لحجّیّة</w:t>
      </w:r>
      <w:r>
        <w:rPr>
          <w:rStyle w:val="FootnoteAnchor"/>
          <w:rtl w:val="true"/>
        </w:rPr>
        <w:footnoteReference w:id="1572"/>
      </w:r>
      <w:r>
        <w:rPr>
          <w:rFonts w:ascii="IRNazanin" w:hAnsi="IRNazanin" w:eastAsia="IRNazanin"/>
          <w:color w:val="111111"/>
          <w:sz w:val="28"/>
          <w:sz w:val="28"/>
          <w:szCs w:val="28"/>
          <w:rtl w:val="true"/>
          <w:lang w:bidi="fa-IR"/>
        </w:rPr>
        <w:t>أخبار</w:t>
      </w:r>
      <w:r>
        <w:rPr>
          <w:rStyle w:val="FootnoteAnchor"/>
          <w:rtl w:val="true"/>
        </w:rPr>
        <w:footnoteReference w:id="1573"/>
      </w:r>
      <w:r>
        <w:rPr>
          <w:rFonts w:ascii="IRNazanin" w:hAnsi="IRNazanin" w:eastAsia="IRNazanin"/>
          <w:color w:val="111111"/>
          <w:sz w:val="28"/>
          <w:sz w:val="28"/>
          <w:szCs w:val="28"/>
          <w:rtl w:val="true"/>
          <w:lang w:bidi="fa-IR"/>
        </w:rPr>
        <w:t>الآحاد و الظنّ المستفاد منها للظنّ الحاصل منها</w:t>
      </w:r>
      <w:r>
        <w:rPr>
          <w:rStyle w:val="FootnoteAnchor"/>
          <w:rtl w:val="true"/>
        </w:rPr>
        <w:footnoteReference w:id="1574"/>
      </w:r>
      <w:r>
        <w:rPr>
          <w:rFonts w:ascii="IRNazanin" w:hAnsi="IRNazanin" w:eastAsia="IRNazanin"/>
          <w:color w:val="111111"/>
          <w:sz w:val="28"/>
          <w:sz w:val="28"/>
          <w:szCs w:val="28"/>
          <w:rtl w:val="true"/>
          <w:lang w:bidi="fa-IR"/>
        </w:rPr>
        <w:t>و من غیرها من الدلیل الرابع و هو أنّ باب العلم القطعی بالأحکام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تعلم</w:t>
      </w:r>
      <w:r>
        <w:rPr>
          <w:rStyle w:val="FootnoteAnchor"/>
          <w:rtl w:val="true"/>
        </w:rPr>
        <w:footnoteReference w:id="1575"/>
      </w:r>
      <w:r>
        <w:rPr>
          <w:rFonts w:ascii="IRNazanin" w:hAnsi="IRNazanin" w:eastAsia="IRNazanin"/>
          <w:color w:val="111111"/>
          <w:sz w:val="28"/>
          <w:sz w:val="28"/>
          <w:szCs w:val="28"/>
          <w:rtl w:val="true"/>
          <w:lang w:bidi="fa-IR"/>
        </w:rPr>
        <w:t>بالضرورة من الدین أو من مذهب أهل البیت علیهم السّلام</w:t>
      </w:r>
      <w:r>
        <w:rPr>
          <w:rStyle w:val="FootnoteAnchor"/>
          <w:rtl w:val="true"/>
        </w:rPr>
        <w:footnoteReference w:id="1576"/>
      </w:r>
      <w:r>
        <w:rPr>
          <w:rFonts w:ascii="IRNazanin" w:hAnsi="IRNazanin" w:eastAsia="IRNazanin"/>
          <w:color w:val="111111"/>
          <w:sz w:val="28"/>
          <w:sz w:val="28"/>
          <w:szCs w:val="28"/>
          <w:rtl w:val="true"/>
          <w:lang w:bidi="fa-IR"/>
        </w:rPr>
        <w:t>فی نحو زماننا</w:t>
      </w:r>
      <w:r>
        <w:rPr>
          <w:rStyle w:val="FootnoteAnchor"/>
          <w:rtl w:val="true"/>
        </w:rPr>
        <w:footnoteReference w:id="1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منسدّ قطعا؛ إذ الموجود من أدلّتها لا تفید</w:t>
      </w:r>
      <w:r>
        <w:rPr>
          <w:rStyle w:val="FootnoteAnchor"/>
          <w:rtl w:val="true"/>
        </w:rPr>
        <w:footnoteReference w:id="1578"/>
      </w:r>
      <w:r>
        <w:rPr>
          <w:rFonts w:ascii="Amiri" w:hAnsi="Amiri" w:eastAsia="Amiri" w:cs="Amiri"/>
          <w:color w:val="111111"/>
          <w:sz w:val="28"/>
          <w:sz w:val="28"/>
          <w:szCs w:val="28"/>
          <w:rtl w:val="true"/>
          <w:lang w:bidi="ar-SA"/>
        </w:rPr>
        <w:t>غیر الظنّ</w:t>
      </w:r>
      <w:r>
        <w:rPr>
          <w:rStyle w:val="FootnoteAnchor"/>
          <w:rtl w:val="true"/>
        </w:rPr>
        <w:footnoteReference w:id="1579"/>
      </w:r>
      <w:r>
        <w:rPr>
          <w:rFonts w:ascii="IRNazanin" w:hAnsi="IRNazanin" w:eastAsia="IRNazanin"/>
          <w:color w:val="111111"/>
          <w:sz w:val="28"/>
          <w:sz w:val="28"/>
          <w:szCs w:val="28"/>
          <w:rtl w:val="true"/>
          <w:lang w:bidi="fa-IR"/>
        </w:rPr>
        <w:t>لفقد السنّة المتواترة، و انقطاع طریق الاطّلاع علی الإجماع من غیر جهة النقل</w:t>
      </w:r>
      <w:bookmarkStart w:id="512" w:name="pg19819_193822"/>
    </w:p>
    <w:p>
      <w:pPr>
        <w:pStyle w:val="BookText"/>
        <w:rPr/>
      </w:pPr>
      <w:bookmarkEnd w:id="512"/>
      <w:r>
        <w:rPr>
          <w:rFonts w:ascii="IRNazanin" w:hAnsi="IRNazanin" w:eastAsia="IRNazanin"/>
          <w:color w:val="111111"/>
          <w:sz w:val="28"/>
          <w:sz w:val="28"/>
          <w:szCs w:val="28"/>
          <w:rtl w:val="true"/>
          <w:lang w:bidi="fa-IR"/>
        </w:rPr>
        <w:t>بخبر الواحد، و وضوح کون أصالة البراءة لا یفید</w:t>
      </w:r>
      <w:r>
        <w:rPr>
          <w:rStyle w:val="FootnoteAnchor"/>
          <w:rtl w:val="true"/>
        </w:rPr>
        <w:footnoteReference w:id="1580"/>
      </w:r>
      <w:r>
        <w:rPr>
          <w:rFonts w:ascii="IRNazanin" w:hAnsi="IRNazanin" w:eastAsia="IRNazanin"/>
          <w:color w:val="111111"/>
          <w:sz w:val="28"/>
          <w:sz w:val="28"/>
          <w:szCs w:val="28"/>
          <w:rtl w:val="true"/>
          <w:lang w:bidi="fa-IR"/>
        </w:rPr>
        <w:t>غیر</w:t>
      </w:r>
      <w:r>
        <w:rPr>
          <w:rStyle w:val="FootnoteAnchor"/>
          <w:rtl w:val="true"/>
        </w:rPr>
        <w:footnoteReference w:id="1581"/>
      </w:r>
      <w:r>
        <w:rPr>
          <w:rFonts w:ascii="Amiri" w:hAnsi="Amiri" w:eastAsia="Amiri" w:cs="Amiri"/>
          <w:color w:val="111111"/>
          <w:sz w:val="28"/>
          <w:sz w:val="28"/>
          <w:szCs w:val="28"/>
          <w:rtl w:val="true"/>
          <w:lang w:bidi="ar-SA"/>
        </w:rPr>
        <w:t>الظنّ، و کون الکتاب ظنّیّ الدلالة، و إذا تحقّق سدّ</w:t>
      </w:r>
      <w:r>
        <w:rPr>
          <w:rStyle w:val="FootnoteAnchor"/>
          <w:rtl w:val="true"/>
        </w:rPr>
        <w:footnoteReference w:id="1582"/>
      </w:r>
      <w:r>
        <w:rPr>
          <w:rFonts w:ascii="IRNazanin" w:hAnsi="IRNazanin" w:eastAsia="IRNazanin"/>
          <w:color w:val="111111"/>
          <w:sz w:val="28"/>
          <w:sz w:val="28"/>
          <w:szCs w:val="28"/>
          <w:rtl w:val="true"/>
          <w:lang w:bidi="fa-IR"/>
        </w:rPr>
        <w:t>باب العلم فی حکم شرعی</w:t>
      </w:r>
      <w:r>
        <w:rPr>
          <w:rStyle w:val="FootnoteAnchor"/>
          <w:rtl w:val="true"/>
        </w:rPr>
        <w:footnoteReference w:id="1583"/>
      </w:r>
      <w:r>
        <w:rPr>
          <w:rFonts w:ascii="IRNazanin" w:hAnsi="IRNazanin" w:eastAsia="IRNazanin"/>
          <w:color w:val="111111"/>
          <w:sz w:val="28"/>
          <w:sz w:val="28"/>
          <w:szCs w:val="28"/>
          <w:rtl w:val="true"/>
          <w:lang w:bidi="fa-IR"/>
        </w:rPr>
        <w:t>کان التکلیف فیه بالظنّ قطعا، و العقل قاض بأنّ الظنّ إذا</w:t>
      </w:r>
      <w:r>
        <w:rPr>
          <w:rStyle w:val="FootnoteAnchor"/>
          <w:rtl w:val="true"/>
        </w:rPr>
        <w:footnoteReference w:id="1584"/>
      </w:r>
      <w:r>
        <w:rPr>
          <w:rFonts w:ascii="IRNazanin" w:hAnsi="IRNazanin" w:eastAsia="IRNazanin"/>
          <w:color w:val="111111"/>
          <w:sz w:val="28"/>
          <w:sz w:val="28"/>
          <w:szCs w:val="28"/>
          <w:rtl w:val="true"/>
          <w:lang w:bidi="fa-IR"/>
        </w:rPr>
        <w:t>کان</w:t>
      </w:r>
      <w:r>
        <w:rPr>
          <w:rStyle w:val="FootnoteAnchor"/>
          <w:rtl w:val="true"/>
        </w:rPr>
        <w:footnoteReference w:id="1585"/>
      </w:r>
      <w:r>
        <w:rPr>
          <w:rFonts w:ascii="IRNazanin" w:hAnsi="IRNazanin" w:eastAsia="IRNazanin"/>
          <w:color w:val="111111"/>
          <w:sz w:val="28"/>
          <w:sz w:val="28"/>
          <w:szCs w:val="28"/>
          <w:rtl w:val="true"/>
          <w:lang w:bidi="fa-IR"/>
        </w:rPr>
        <w:t>له جهات متعدّدة متفاوتة بالقوّة و الضعف، فالعدول عن القویّ</w:t>
      </w:r>
      <w:r>
        <w:rPr>
          <w:rStyle w:val="FootnoteAnchor"/>
          <w:rtl w:val="true"/>
        </w:rPr>
        <w:footnoteReference w:id="1586"/>
      </w:r>
      <w:r>
        <w:rPr>
          <w:rFonts w:ascii="IRNazanin" w:hAnsi="IRNazanin" w:eastAsia="IRNazanin"/>
          <w:color w:val="111111"/>
          <w:sz w:val="28"/>
          <w:sz w:val="28"/>
          <w:szCs w:val="28"/>
          <w:rtl w:val="true"/>
          <w:lang w:bidi="fa-IR"/>
        </w:rPr>
        <w:t>منها إلی الضعیف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کثیرا من أخبار</w:t>
      </w:r>
      <w:r>
        <w:rPr>
          <w:rStyle w:val="FootnoteAnchor"/>
          <w:rtl w:val="true"/>
        </w:rPr>
        <w:footnoteReference w:id="1587"/>
      </w:r>
      <w:r>
        <w:rPr>
          <w:rFonts w:ascii="IRNazanin" w:hAnsi="IRNazanin" w:eastAsia="IRNazanin"/>
          <w:color w:val="111111"/>
          <w:sz w:val="28"/>
          <w:sz w:val="28"/>
          <w:szCs w:val="28"/>
          <w:rtl w:val="true"/>
          <w:lang w:bidi="fa-IR"/>
        </w:rPr>
        <w:t>الآحاد یحصل بها من الظنّ ما لا یحصل بشی‌ء من سائر الأدلّة، فیجب تقدیم العمل بها</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الدلیل کما تری</w:t>
      </w:r>
      <w:r>
        <w:rPr>
          <w:rStyle w:val="FootnoteAnchor"/>
          <w:rtl w:val="true"/>
        </w:rPr>
        <w:footnoteReference w:id="1589"/>
      </w:r>
      <w:r>
        <w:rPr>
          <w:rFonts w:ascii="IRNazanin" w:hAnsi="IRNazanin" w:eastAsia="IRNazanin"/>
          <w:color w:val="111111"/>
          <w:sz w:val="28"/>
          <w:sz w:val="28"/>
          <w:szCs w:val="28"/>
          <w:rtl w:val="true"/>
          <w:lang w:bidi="fa-IR"/>
        </w:rPr>
        <w:t>جار فی الشهرة جدّا؛ إذ لا ریب فی حصول الظنّ بها ما لا یحصل من سائر الأدلّة، فیجب تقدیم العمل بها، و لعلّه لهذا لم یجب عن الدلیل الثانی بما قدّمناه من منع کلّیّة الکبری، و إنّما أجاب عنه بما أجاب مشعرا بحجّیّة</w:t>
      </w:r>
      <w:r>
        <w:rPr>
          <w:rStyle w:val="FootnoteAnchor"/>
          <w:rtl w:val="true"/>
        </w:rPr>
        <w:footnoteReference w:id="1590"/>
      </w:r>
      <w:r>
        <w:rPr>
          <w:rFonts w:ascii="IRNazanin" w:hAnsi="IRNazanin" w:eastAsia="IRNazanin"/>
          <w:color w:val="111111"/>
          <w:sz w:val="28"/>
          <w:sz w:val="28"/>
          <w:szCs w:val="28"/>
          <w:rtl w:val="true"/>
          <w:lang w:bidi="fa-IR"/>
        </w:rPr>
        <w:t>الشهرة إذا کانت من القدماء</w:t>
      </w:r>
      <w:r>
        <w:rPr>
          <w:rFonts w:eastAsia="IRNazanin" w:cs="IRNazanin"/>
          <w:color w:val="111111"/>
          <w:sz w:val="28"/>
          <w:szCs w:val="28"/>
          <w:rtl w:val="true"/>
          <w:lang w:bidi="fa-IR"/>
        </w:rPr>
        <w:t>.</w:t>
      </w:r>
    </w:p>
    <w:p>
      <w:pPr>
        <w:pStyle w:val="Heading4"/>
        <w:numPr>
          <w:ilvl w:val="3"/>
          <w:numId w:val="1"/>
        </w:numPr>
        <w:rPr/>
      </w:pPr>
      <w:bookmarkStart w:id="513" w:name="__RefHeading___Toc3055779_2314609296"/>
      <w:bookmarkStart w:id="514" w:name="_Toc193"/>
      <w:bookmarkEnd w:id="513"/>
      <w:r>
        <w:rPr>
          <w:rtl w:val="true"/>
        </w:rPr>
        <w:t>[</w:t>
      </w:r>
      <w:r>
        <w:rPr>
          <w:rtl w:val="true"/>
        </w:rPr>
        <w:t>الجواب عن دلیل الانسداد بمنع دلالته علی کلیّة الکبری و المناقشة فیه</w:t>
      </w:r>
      <w:r>
        <w:rPr>
          <w:rtl w:val="true"/>
        </w:rPr>
        <w:t>:]</w:t>
      </w:r>
      <w:bookmarkEnd w:id="51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یجاب عن الدلیل الرابع بمنع دلالته علی کلّیّة الکبری من أنّه إن ارید أنّه کان التکلیف بالظنّ من حیث إنّه ظنّ فالملازمة المذکورة</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استلزام انسداد باب العلم فی حکم شرعی لکون التکلیف فیه بالظنّ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لجواز اعتبار الشارع امورا مخصوصة بخصوصها و إن کانت مفیدة للظنّ لا من حیث إفادتها الظنّ کأصالة البراءة فإنّه ربّما یقال</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حجّیّتها من جهة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ارید أنّه کان التکلیف بما یفید الظنّ و إن لم یکن من حیث إفادة</w:t>
      </w:r>
      <w:r>
        <w:rPr>
          <w:rStyle w:val="FootnoteAnchor"/>
          <w:rtl w:val="true"/>
        </w:rPr>
        <w:footnoteReference w:id="1593"/>
      </w:r>
      <w:r>
        <w:rPr>
          <w:rFonts w:ascii="IRNazanin" w:hAnsi="IRNazanin" w:eastAsia="IRNazanin"/>
          <w:color w:val="111111"/>
          <w:sz w:val="28"/>
          <w:sz w:val="28"/>
          <w:szCs w:val="28"/>
          <w:rtl w:val="true"/>
          <w:lang w:bidi="fa-IR"/>
        </w:rPr>
        <w:t>الظنّ فالملازمة مسلّمة، لکن نمنع</w:t>
      </w:r>
      <w:r>
        <w:rPr>
          <w:rStyle w:val="FootnoteAnchor"/>
          <w:rtl w:val="true"/>
        </w:rPr>
        <w:footnoteReference w:id="159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العقل قاض بأنّ الظنّ إذا کان له </w:t>
      </w:r>
      <w:r>
        <w:rPr>
          <w:rFonts w:eastAsia="IRNazanin" w:cs="IRNazanin"/>
          <w:color w:val="111111"/>
          <w:sz w:val="28"/>
          <w:szCs w:val="28"/>
          <w:rtl w:val="true"/>
          <w:lang w:bidi="fa-IR"/>
        </w:rPr>
        <w:t>...»</w:t>
      </w:r>
      <w:r>
        <w:rPr>
          <w:rStyle w:val="FootnoteAnchor"/>
          <w:rtl w:val="true"/>
        </w:rPr>
        <w:footnoteReference w:id="1595"/>
      </w:r>
      <w:r>
        <w:rPr>
          <w:rFonts w:ascii="IRNazanin" w:hAnsi="IRNazanin" w:eastAsia="IRNazanin"/>
          <w:color w:val="111111"/>
          <w:sz w:val="28"/>
          <w:sz w:val="28"/>
          <w:szCs w:val="28"/>
          <w:rtl w:val="true"/>
          <w:lang w:bidi="fa-IR"/>
        </w:rPr>
        <w:t>اه؛ لأنّه علی هذا التقدیر لا دخل للظنّ حتّی یعتبر ضعفه و قوّته، و یکون الانتقال من القویّ إلی الضعیف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کما تری؛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هو الأوّل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فالملازمة المذکورة ممنوعة؛ لجواز اعتبار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ممنوع؛ إذ جوازه و إن کان ممکنا ظاهرا</w:t>
      </w:r>
      <w:r>
        <w:rPr>
          <w:rStyle w:val="FootnoteAnchor"/>
          <w:rtl w:val="true"/>
        </w:rPr>
        <w:footnoteReference w:id="1596"/>
      </w:r>
      <w:r>
        <w:rPr>
          <w:rFonts w:ascii="IRNazanin" w:hAnsi="IRNazanin" w:eastAsia="IRNazanin"/>
          <w:color w:val="111111"/>
          <w:sz w:val="28"/>
          <w:sz w:val="28"/>
          <w:szCs w:val="28"/>
          <w:rtl w:val="true"/>
          <w:lang w:bidi="fa-IR"/>
        </w:rPr>
        <w:t>فیتوهّم منه منع الملازمة إلّا أنّ ملاحظة الدلیل القاطع من الخارج بعد التأمّل الصادق یمنعه و یثبتها، و هو الضرورة القاطعة بأنّ لزوم</w:t>
      </w:r>
      <w:r>
        <w:rPr>
          <w:rStyle w:val="FootnoteAnchor"/>
          <w:rtl w:val="true"/>
        </w:rPr>
        <w:footnoteReference w:id="1597"/>
      </w:r>
      <w:r>
        <w:rPr>
          <w:rFonts w:ascii="IRNazanin" w:hAnsi="IRNazanin" w:eastAsia="IRNazanin"/>
          <w:color w:val="111111"/>
          <w:sz w:val="28"/>
          <w:sz w:val="28"/>
          <w:szCs w:val="28"/>
          <w:rtl w:val="true"/>
          <w:lang w:bidi="fa-IR"/>
        </w:rPr>
        <w:t>الاقتصار فی الأحکام الشرعیّة علی أمثال تلک الامور المخصوصة یوجب الخروج عن الدین، و عدم</w:t>
      </w:r>
      <w:r>
        <w:rPr>
          <w:rStyle w:val="FootnoteAnchor"/>
          <w:rtl w:val="true"/>
        </w:rPr>
        <w:footnoteReference w:id="1598"/>
      </w:r>
      <w:r>
        <w:rPr>
          <w:rFonts w:ascii="IRNazanin" w:hAnsi="IRNazanin" w:eastAsia="IRNazanin"/>
          <w:color w:val="111111"/>
          <w:sz w:val="28"/>
          <w:sz w:val="28"/>
          <w:szCs w:val="28"/>
          <w:rtl w:val="true"/>
          <w:lang w:bidi="fa-IR"/>
        </w:rPr>
        <w:t>التدیّن بدین خیر</w:t>
      </w:r>
      <w:r>
        <w:rPr>
          <w:rStyle w:val="FootnoteAnchor"/>
          <w:rtl w:val="true"/>
        </w:rPr>
        <w:footnoteReference w:id="1599"/>
      </w:r>
      <w:r>
        <w:rPr>
          <w:rFonts w:ascii="IRNazanin" w:hAnsi="IRNazanin" w:eastAsia="IRNazanin"/>
          <w:color w:val="111111"/>
          <w:sz w:val="28"/>
          <w:sz w:val="28"/>
          <w:szCs w:val="28"/>
          <w:rtl w:val="true"/>
          <w:lang w:bidi="fa-IR"/>
        </w:rPr>
        <w:t>المرسلین صلّی اللّه علیه و آله و ذلک فإنّ</w:t>
      </w:r>
      <w:r>
        <w:rPr>
          <w:rStyle w:val="FootnoteAnchor"/>
          <w:rtl w:val="true"/>
        </w:rPr>
        <w:footnoteReference w:id="1600"/>
      </w:r>
      <w:r>
        <w:rPr>
          <w:rFonts w:ascii="IRNazanin" w:hAnsi="IRNazanin" w:eastAsia="IRNazanin"/>
          <w:color w:val="111111"/>
          <w:sz w:val="28"/>
          <w:sz w:val="28"/>
          <w:szCs w:val="28"/>
          <w:rtl w:val="true"/>
          <w:lang w:bidi="fa-IR"/>
        </w:rPr>
        <w:t>مثل تلک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قطعنا باعتبار الشارع لها و علمنا بها</w:t>
      </w:r>
      <w:r>
        <w:rPr>
          <w:rStyle w:val="FootnoteAnchor"/>
          <w:rtl w:val="true"/>
        </w:rPr>
        <w:footnoteReference w:id="1601"/>
      </w:r>
      <w:r>
        <w:rPr>
          <w:rFonts w:ascii="IRNazanin" w:hAnsi="IRNazanin" w:eastAsia="IRNazanin"/>
          <w:color w:val="111111"/>
          <w:sz w:val="28"/>
          <w:sz w:val="28"/>
          <w:szCs w:val="28"/>
          <w:rtl w:val="true"/>
          <w:lang w:bidi="fa-IR"/>
        </w:rPr>
        <w:t>علما قطعیا من جهة الإجماع و نحوه من الأدلّة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ظواهر الکتاب و السنّة المتواترة و أصالة البراءة، و الاقتصار علیها و عدم التجاوز</w:t>
      </w:r>
      <w:r>
        <w:rPr>
          <w:rStyle w:val="FootnoteAnchor"/>
          <w:rtl w:val="true"/>
        </w:rPr>
        <w:footnoteReference w:id="1602"/>
      </w:r>
      <w:r>
        <w:rPr>
          <w:rFonts w:ascii="IRNazanin" w:hAnsi="IRNazanin" w:eastAsia="IRNazanin"/>
          <w:color w:val="111111"/>
          <w:sz w:val="28"/>
          <w:sz w:val="28"/>
          <w:szCs w:val="28"/>
          <w:rtl w:val="true"/>
          <w:lang w:bidi="fa-IR"/>
        </w:rPr>
        <w:t>إلی غیرها من الظنون الاجتهادیّة المستفادة من أخبار</w:t>
      </w:r>
      <w:r>
        <w:rPr>
          <w:rStyle w:val="FootnoteAnchor"/>
          <w:rtl w:val="true"/>
        </w:rPr>
        <w:footnoteReference w:id="1603"/>
      </w:r>
      <w:r>
        <w:rPr>
          <w:rFonts w:ascii="IRNazanin" w:hAnsi="IRNazanin" w:eastAsia="IRNazanin"/>
          <w:color w:val="111111"/>
          <w:sz w:val="28"/>
          <w:sz w:val="28"/>
          <w:szCs w:val="28"/>
          <w:rtl w:val="true"/>
          <w:lang w:bidi="fa-IR"/>
        </w:rPr>
        <w:t>الآحاد و نحوها فی کلّ مسألة مسألة</w:t>
      </w:r>
      <w:r>
        <w:rPr>
          <w:rStyle w:val="FootnoteAnchor"/>
          <w:rtl w:val="true"/>
        </w:rPr>
        <w:footnoteReference w:id="1604"/>
      </w:r>
      <w:r>
        <w:rPr>
          <w:rFonts w:ascii="IRNazanin" w:hAnsi="IRNazanin" w:eastAsia="IRNazanin"/>
          <w:color w:val="111111"/>
          <w:sz w:val="28"/>
          <w:sz w:val="28"/>
          <w:szCs w:val="28"/>
          <w:rtl w:val="true"/>
          <w:lang w:bidi="fa-IR"/>
        </w:rPr>
        <w:t>من المسائل الخلافیّة من أوّل الفقه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وجوب الرجوع إلیها و طرح الظنون المخالفة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ما ذکرنا</w:t>
      </w:r>
      <w:r>
        <w:rPr>
          <w:rStyle w:val="FootnoteAnchor"/>
          <w:rtl w:val="true"/>
        </w:rPr>
        <w:footnoteReference w:id="1605"/>
      </w:r>
      <w:r>
        <w:rPr>
          <w:rFonts w:ascii="IRNazanin" w:hAnsi="IRNazanin" w:eastAsia="IRNazanin"/>
          <w:color w:val="111111"/>
          <w:sz w:val="28"/>
          <w:sz w:val="28"/>
          <w:szCs w:val="28"/>
          <w:rtl w:val="true"/>
          <w:lang w:bidi="fa-IR"/>
        </w:rPr>
        <w:t>جدّا، و إنکاره مکابرة قطعا، فإنّ أکثر الأحکام الشرعیّة الآن مستفادة ممّا عدا</w:t>
      </w:r>
      <w:r>
        <w:rPr>
          <w:rStyle w:val="FootnoteAnchor"/>
          <w:rtl w:val="true"/>
        </w:rPr>
        <w:footnoteReference w:id="1606"/>
      </w:r>
      <w:r>
        <w:rPr>
          <w:rFonts w:ascii="Amiri" w:hAnsi="Amiri" w:eastAsia="Amiri" w:cs="Amiri"/>
          <w:color w:val="111111"/>
          <w:sz w:val="28"/>
          <w:sz w:val="28"/>
          <w:szCs w:val="28"/>
          <w:rtl w:val="true"/>
          <w:lang w:bidi="ar-SA"/>
        </w:rPr>
        <w:t>الامور المزبورة</w:t>
      </w:r>
      <w:r>
        <w:rPr>
          <w:rStyle w:val="FootnoteAnchor"/>
          <w:rtl w:val="true"/>
        </w:rPr>
        <w:footnoteReference w:id="1607"/>
      </w:r>
      <w:r>
        <w:rPr>
          <w:rFonts w:ascii="IRNazanin" w:hAnsi="IRNazanin" w:eastAsia="IRNazanin"/>
          <w:color w:val="111111"/>
          <w:sz w:val="28"/>
          <w:sz w:val="28"/>
          <w:szCs w:val="28"/>
          <w:rtl w:val="true"/>
          <w:lang w:bidi="fa-IR"/>
        </w:rPr>
        <w:t>من أخبار الآحاد</w:t>
      </w:r>
    </w:p>
    <w:p>
      <w:pPr>
        <w:pStyle w:val="BookText"/>
        <w:rPr/>
      </w:pPr>
      <w:r>
        <w:rPr>
          <w:rFonts w:ascii="IRNazanin" w:hAnsi="IRNazanin" w:eastAsia="IRNazanin"/>
          <w:color w:val="111111"/>
          <w:sz w:val="28"/>
          <w:sz w:val="28"/>
          <w:szCs w:val="28"/>
          <w:rtl w:val="true"/>
          <w:lang w:bidi="fa-IR"/>
        </w:rPr>
        <w:t>و الإجماعات المنقولة و غیرها من أسباب الظنون الاجتهادیّة بالضرورة، و لیس علی اعتبارها دلیل قاطع لو لم نعتبر</w:t>
      </w:r>
      <w:r>
        <w:rPr>
          <w:rStyle w:val="FootnoteAnchor"/>
          <w:rtl w:val="true"/>
        </w:rPr>
        <w:footnoteReference w:id="1608"/>
      </w:r>
      <w:r>
        <w:rPr>
          <w:rFonts w:ascii="IRNazanin" w:hAnsi="IRNazanin" w:eastAsia="IRNazanin"/>
          <w:color w:val="111111"/>
          <w:sz w:val="28"/>
          <w:sz w:val="28"/>
          <w:szCs w:val="28"/>
          <w:rtl w:val="true"/>
          <w:lang w:bidi="fa-IR"/>
        </w:rPr>
        <w:t>هذا الدلیل، أعنی الدلیل الرابع، فإنّ الآیات المستدلّ بها علی حجّیّة الأخبار</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وضوح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العمل بها عدم العمل بمضمونها، و ذلک فإنّها ما دلّت علی حجّیّة خبر دون خبر و أثر دون آخر، بل دلّت علی حجّیّة جمیع أخبار الآحاد، و من جملتها الإجماع علی عدم حجّیّتها مطلقا المحکیّ فی کلام جماعة من القدماء کابن زهرة و الحلّی و المرتضی</w:t>
      </w:r>
      <w:r>
        <w:rPr>
          <w:rFonts w:eastAsia="IRNazanin" w:cs="IRNazanin"/>
          <w:color w:val="111111"/>
          <w:sz w:val="28"/>
          <w:szCs w:val="28"/>
          <w:rtl w:val="true"/>
          <w:lang w:bidi="fa-IR"/>
        </w:rPr>
        <w:t>.</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الإجماع معارض بمثله المحکیّ فی</w:t>
      </w:r>
      <w:r>
        <w:rPr>
          <w:rStyle w:val="FootnoteAnchor"/>
          <w:rtl w:val="true"/>
        </w:rPr>
        <w:footnoteReference w:id="1611"/>
      </w:r>
      <w:r>
        <w:rPr>
          <w:rFonts w:ascii="IRNazanin" w:hAnsi="IRNazanin" w:eastAsia="IRNazanin"/>
          <w:color w:val="111111"/>
          <w:sz w:val="28"/>
          <w:sz w:val="28"/>
          <w:szCs w:val="28"/>
          <w:rtl w:val="true"/>
          <w:lang w:bidi="fa-IR"/>
        </w:rPr>
        <w:t>کلام الشیخ</w:t>
      </w:r>
      <w:r>
        <w:rPr>
          <w:rStyle w:val="FootnoteAnchor"/>
          <w:rtl w:val="true"/>
        </w:rPr>
        <w:footnoteReference w:id="1612"/>
      </w:r>
      <w:r>
        <w:rPr>
          <w:rFonts w:ascii="IRNazanin" w:hAnsi="IRNazanin" w:eastAsia="IRNazanin"/>
          <w:color w:val="111111"/>
          <w:sz w:val="28"/>
          <w:sz w:val="28"/>
          <w:szCs w:val="28"/>
          <w:rtl w:val="true"/>
          <w:lang w:bidi="fa-IR"/>
        </w:rPr>
        <w:t>و غیره و هو أرجح؛ لاشتهاره بالشهرة المتأخّرة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الشهرة</w:t>
      </w:r>
      <w:r>
        <w:rPr>
          <w:rStyle w:val="FootnoteAnchor"/>
          <w:rtl w:val="true"/>
        </w:rPr>
        <w:footnoteReference w:id="1613"/>
      </w:r>
      <w:r>
        <w:rPr>
          <w:rFonts w:ascii="IRNazanin" w:hAnsi="IRNazanin" w:eastAsia="IRNazanin"/>
          <w:color w:val="111111"/>
          <w:sz w:val="28"/>
          <w:sz w:val="28"/>
          <w:szCs w:val="28"/>
          <w:rtl w:val="true"/>
          <w:lang w:bidi="fa-IR"/>
        </w:rPr>
        <w:t>مرجّحا لا دلیل قطعی علیه علی تقدیر منع حجّیّة ظنّ المجتهد مطلقا إلّا إذا کان ظنّا مخصوصا مجمعا علیه، فإنّه لا یتصوّر دلیل قاطع هنا سوی الإجماع، و دعواه فیما نحن فیه کما تری، فإنّ المانع عن حجّیّة أخبار الآحاد مثلا لا یمنع عنها</w:t>
      </w:r>
      <w:r>
        <w:rPr>
          <w:rStyle w:val="FootnoteAnchor"/>
          <w:rtl w:val="true"/>
        </w:rPr>
        <w:footnoteReference w:id="1614"/>
      </w:r>
      <w:r>
        <w:rPr>
          <w:rFonts w:ascii="IRNazanin" w:hAnsi="IRNazanin" w:eastAsia="IRNazanin"/>
          <w:color w:val="111111"/>
          <w:sz w:val="28"/>
          <w:sz w:val="28"/>
          <w:szCs w:val="28"/>
          <w:rtl w:val="true"/>
          <w:lang w:bidi="fa-IR"/>
        </w:rPr>
        <w:t>لکونها أخبار آحاد بل لأنّها لا تفید إلّا ظنّا، و هذه العلّة جاریة فی المقام، فکلماتهم تمنع عن حجیّته أیضا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فساد دعوی الإجماع علی حجّیّة الظنون المحتاج إلیها فی الأخبار و الظنون المتعلّقة بها متنا و سندا و دلالة، و</w:t>
      </w:r>
      <w:r>
        <w:rPr>
          <w:rStyle w:val="FootnoteAnchor"/>
          <w:rtl w:val="true"/>
        </w:rPr>
        <w:footnoteReference w:id="1615"/>
      </w:r>
      <w:r>
        <w:rPr>
          <w:rFonts w:ascii="IRNazanin" w:hAnsi="IRNazanin" w:eastAsia="IRNazanin"/>
          <w:color w:val="111111"/>
          <w:sz w:val="28"/>
          <w:sz w:val="28"/>
          <w:szCs w:val="28"/>
          <w:rtl w:val="true"/>
          <w:lang w:bidi="fa-IR"/>
        </w:rPr>
        <w:t>کیف لا و أصل حجّیّتها مختلف</w:t>
      </w:r>
      <w:r>
        <w:rPr>
          <w:rStyle w:val="FootnoteAnchor"/>
          <w:rtl w:val="true"/>
        </w:rPr>
        <w:footnoteReference w:id="1616"/>
      </w:r>
      <w:r>
        <w:rPr>
          <w:rFonts w:ascii="IRNazanin" w:hAnsi="IRNazanin" w:eastAsia="IRNazanin"/>
          <w:color w:val="111111"/>
          <w:sz w:val="28"/>
          <w:sz w:val="28"/>
          <w:szCs w:val="28"/>
          <w:rtl w:val="true"/>
          <w:lang w:bidi="fa-IR"/>
        </w:rPr>
        <w:t>فیها</w:t>
      </w:r>
      <w:r>
        <w:rPr>
          <w:rStyle w:val="FootnoteAnchor"/>
          <w:rtl w:val="true"/>
        </w:rPr>
        <w:footnoteReference w:id="1617"/>
      </w:r>
      <w:r>
        <w:rPr>
          <w:rFonts w:ascii="IRNazanin" w:hAnsi="IRNazanin" w:eastAsia="IRNazanin"/>
          <w:color w:val="111111"/>
          <w:sz w:val="28"/>
          <w:sz w:val="28"/>
          <w:szCs w:val="28"/>
          <w:rtl w:val="true"/>
          <w:lang w:bidi="fa-IR"/>
        </w:rPr>
        <w:t>لا إجماع فیها</w:t>
      </w:r>
      <w:r>
        <w:rPr>
          <w:rStyle w:val="FootnoteAnchor"/>
          <w:rtl w:val="true"/>
        </w:rPr>
        <w:footnoteReference w:id="1618"/>
      </w:r>
      <w:r>
        <w:rPr>
          <w:rFonts w:ascii="IRNazanin" w:hAnsi="IRNazanin" w:eastAsia="IRNazanin"/>
          <w:color w:val="111111"/>
          <w:sz w:val="28"/>
          <w:sz w:val="28"/>
          <w:szCs w:val="28"/>
          <w:rtl w:val="true"/>
          <w:lang w:bidi="fa-IR"/>
        </w:rPr>
        <w:t>أصلا، فکیف یکون إجماع علی حجّیّة الظنون المتعلّقة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w:t>
      </w:r>
    </w:p>
    <w:p>
      <w:pPr>
        <w:pStyle w:val="BookText"/>
        <w:rPr/>
      </w:pPr>
      <w:r>
        <w:rPr>
          <w:rFonts w:ascii="IRNazanin" w:hAnsi="IRNazanin" w:eastAsia="IRNazanin"/>
          <w:color w:val="111111"/>
          <w:sz w:val="28"/>
          <w:sz w:val="28"/>
          <w:szCs w:val="28"/>
          <w:rtl w:val="true"/>
          <w:lang w:bidi="fa-IR"/>
        </w:rPr>
        <w:t>فساد هذه الدعوی من جهة</w:t>
      </w:r>
      <w:r>
        <w:rPr>
          <w:rStyle w:val="FootnoteAnchor"/>
          <w:rtl w:val="true"/>
        </w:rPr>
        <w:footnoteReference w:id="1619"/>
      </w:r>
      <w:r>
        <w:rPr>
          <w:rFonts w:ascii="IRNazanin" w:hAnsi="IRNazanin" w:eastAsia="IRNazanin"/>
          <w:color w:val="111111"/>
          <w:sz w:val="28"/>
          <w:sz w:val="28"/>
          <w:szCs w:val="28"/>
          <w:rtl w:val="true"/>
          <w:lang w:bidi="fa-IR"/>
        </w:rPr>
        <w:t>اخری ستقف علیها</w:t>
      </w:r>
      <w:r>
        <w:rPr>
          <w:rStyle w:val="FootnoteAnchor"/>
          <w:rtl w:val="true"/>
        </w:rPr>
        <w:footnoteReference w:id="162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الإجماع المدّعی لیس إجماع الکلّ بل إجماع القائلین بحجّیّة أخبار الآحاد، و یعبّر عن مثله بالإجماع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إفادته القطع فی مثل ما نحن فیه، و حجّیّته، و کونه دلیلا قاطعا</w:t>
      </w:r>
      <w:r>
        <w:rPr>
          <w:rStyle w:val="FootnoteAnchor"/>
          <w:rtl w:val="true"/>
        </w:rPr>
        <w:footnoteReference w:id="1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یجدی نفعا لو</w:t>
      </w:r>
      <w:r>
        <w:rPr>
          <w:rStyle w:val="FootnoteAnchor"/>
          <w:rtl w:val="true"/>
        </w:rPr>
        <w:footnoteReference w:id="1622"/>
      </w:r>
      <w:r>
        <w:rPr>
          <w:rFonts w:ascii="IRNazanin" w:hAnsi="IRNazanin" w:eastAsia="IRNazanin"/>
          <w:color w:val="111111"/>
          <w:sz w:val="28"/>
          <w:sz w:val="28"/>
          <w:szCs w:val="28"/>
          <w:rtl w:val="true"/>
          <w:lang w:bidi="fa-IR"/>
        </w:rPr>
        <w:t>أثبت</w:t>
      </w:r>
      <w:r>
        <w:rPr>
          <w:rStyle w:val="FootnoteAnchor"/>
          <w:rtl w:val="true"/>
        </w:rPr>
        <w:footnoteReference w:id="1623"/>
      </w:r>
      <w:r>
        <w:rPr>
          <w:rFonts w:ascii="IRNazanin" w:hAnsi="IRNazanin" w:eastAsia="IRNazanin"/>
          <w:color w:val="111111"/>
          <w:sz w:val="28"/>
          <w:sz w:val="28"/>
          <w:szCs w:val="28"/>
          <w:rtl w:val="true"/>
          <w:lang w:bidi="fa-IR"/>
        </w:rPr>
        <w:t>حجّیّة نفس أخبار الآحاد أوّلا مع أنّها غیر ثابتة، کیف لا</w:t>
      </w:r>
      <w:r>
        <w:rPr>
          <w:rStyle w:val="FootnoteAnchor"/>
          <w:rtl w:val="true"/>
        </w:rPr>
        <w:footnoteReference w:id="1624"/>
      </w:r>
      <w:r>
        <w:rPr>
          <w:rFonts w:ascii="IRNazanin" w:hAnsi="IRNazanin" w:eastAsia="IRNazanin"/>
          <w:color w:val="111111"/>
          <w:sz w:val="28"/>
          <w:sz w:val="28"/>
          <w:szCs w:val="28"/>
          <w:rtl w:val="true"/>
          <w:lang w:bidi="fa-IR"/>
        </w:rPr>
        <w:t>و أنت بعد بصدد</w:t>
      </w:r>
      <w:r>
        <w:rPr>
          <w:rStyle w:val="FootnoteAnchor"/>
          <w:rtl w:val="true"/>
        </w:rPr>
        <w:footnoteReference w:id="1625"/>
      </w:r>
      <w:r>
        <w:rPr>
          <w:rFonts w:ascii="IRNazanin" w:hAnsi="IRNazanin" w:eastAsia="IRNazanin"/>
          <w:color w:val="111111"/>
          <w:sz w:val="28"/>
          <w:sz w:val="28"/>
          <w:szCs w:val="28"/>
          <w:rtl w:val="true"/>
          <w:lang w:bidi="fa-IR"/>
        </w:rPr>
        <w:t>إثباتها بالآیات، و لا دلیل لک غیرها، و قد عرفت أنّه لا یتمّ إلّا باعتبار المرجّح الظنّی، و إثباته بالإجماع المزبور</w:t>
      </w:r>
      <w:r>
        <w:rPr>
          <w:rStyle w:val="FootnoteAnchor"/>
          <w:rtl w:val="true"/>
        </w:rPr>
        <w:footnoteReference w:id="1626"/>
      </w:r>
      <w:r>
        <w:rPr>
          <w:rFonts w:ascii="IRNazanin" w:hAnsi="IRNazanin" w:eastAsia="IRNazanin"/>
          <w:color w:val="111111"/>
          <w:sz w:val="28"/>
          <w:sz w:val="28"/>
          <w:szCs w:val="28"/>
          <w:rtl w:val="true"/>
          <w:lang w:bidi="fa-IR"/>
        </w:rPr>
        <w:t>یدور</w:t>
      </w:r>
      <w:r>
        <w:rPr>
          <w:rStyle w:val="FootnoteAnchor"/>
          <w:rtl w:val="true"/>
        </w:rPr>
        <w:footnoteReference w:id="162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هذه الشهرة معارضة بالشهرة القدیمة المحکیّة بل الظاهرة</w:t>
      </w:r>
      <w:r>
        <w:rPr>
          <w:rStyle w:val="FootnoteAnchor"/>
          <w:rtl w:val="true"/>
        </w:rPr>
        <w:footnoteReference w:id="1628"/>
      </w:r>
      <w:r>
        <w:rPr>
          <w:rFonts w:ascii="IRNazanin" w:hAnsi="IRNazanin" w:eastAsia="IRNazanin"/>
          <w:color w:val="111111"/>
          <w:sz w:val="28"/>
          <w:sz w:val="28"/>
          <w:szCs w:val="28"/>
          <w:rtl w:val="true"/>
          <w:lang w:bidi="fa-IR"/>
        </w:rPr>
        <w:t>، مضافا إلی تعدّد النقلة و الاعتضاد بالاصول القطعیّة، و لو لم تترجّح</w:t>
      </w:r>
      <w:r>
        <w:rPr>
          <w:rStyle w:val="FootnoteAnchor"/>
          <w:rtl w:val="true"/>
        </w:rPr>
        <w:footnoteReference w:id="1629"/>
      </w:r>
      <w:r>
        <w:rPr>
          <w:rFonts w:ascii="IRNazanin" w:hAnsi="IRNazanin" w:eastAsia="IRNazanin"/>
          <w:color w:val="111111"/>
          <w:sz w:val="28"/>
          <w:sz w:val="28"/>
          <w:szCs w:val="28"/>
          <w:rtl w:val="true"/>
          <w:lang w:bidi="fa-IR"/>
        </w:rPr>
        <w:t>هذه المرجّحات</w:t>
      </w:r>
      <w:r>
        <w:rPr>
          <w:rStyle w:val="FootnoteAnchor"/>
          <w:rtl w:val="true"/>
        </w:rPr>
        <w:footnoteReference w:id="1630"/>
      </w:r>
      <w:r>
        <w:rPr>
          <w:rFonts w:ascii="IRNazanin" w:hAnsi="IRNazanin" w:eastAsia="IRNazanin"/>
          <w:color w:val="111111"/>
          <w:sz w:val="28"/>
          <w:sz w:val="28"/>
          <w:szCs w:val="28"/>
          <w:rtl w:val="true"/>
          <w:lang w:bidi="fa-IR"/>
        </w:rPr>
        <w:t>علی تلک، فلا أقلّ من المساواة و المکافاة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هذا</w:t>
      </w:r>
      <w:r>
        <w:rPr>
          <w:rStyle w:val="FootnoteAnchor"/>
          <w:rtl w:val="true"/>
        </w:rPr>
        <w:footnoteReference w:id="1631"/>
      </w:r>
      <w:r>
        <w:rPr>
          <w:rFonts w:ascii="IRNazanin" w:hAnsi="IRNazanin" w:eastAsia="IRNazanin"/>
          <w:color w:val="111111"/>
          <w:sz w:val="28"/>
          <w:sz w:val="28"/>
          <w:szCs w:val="28"/>
          <w:rtl w:val="true"/>
          <w:lang w:bidi="fa-IR"/>
        </w:rPr>
        <w:t>الاعتراض عدم جواز الاعتماد علی مثل هذا المرجّح الظنّی و مقتضاه تکافؤ الإجماعین المنقولین من الطرفین فیتساقطان</w:t>
      </w:r>
      <w:r>
        <w:rPr>
          <w:rStyle w:val="FootnoteAnchor"/>
          <w:rtl w:val="true"/>
        </w:rPr>
        <w:footnoteReference w:id="1632"/>
      </w:r>
      <w:r>
        <w:rPr>
          <w:rFonts w:ascii="IRNazanin" w:hAnsi="IRNazanin" w:eastAsia="IRNazanin"/>
          <w:color w:val="111111"/>
          <w:sz w:val="28"/>
          <w:sz w:val="28"/>
          <w:szCs w:val="28"/>
          <w:rtl w:val="true"/>
          <w:lang w:bidi="fa-IR"/>
        </w:rPr>
        <w:t>فی البین، فیکون وجودهما کعدمهما</w:t>
      </w:r>
      <w:r>
        <w:rPr>
          <w:rStyle w:val="FootnoteAnchor"/>
          <w:rtl w:val="true"/>
        </w:rPr>
        <w:footnoteReference w:id="1633"/>
      </w:r>
      <w:r>
        <w:rPr>
          <w:rFonts w:ascii="IRNazanin" w:hAnsi="IRNazanin" w:eastAsia="IRNazanin"/>
          <w:color w:val="111111"/>
          <w:sz w:val="28"/>
          <w:sz w:val="28"/>
          <w:szCs w:val="28"/>
          <w:rtl w:val="true"/>
          <w:lang w:bidi="fa-IR"/>
        </w:rPr>
        <w:t>، و حینئذ</w:t>
      </w:r>
      <w:r>
        <w:rPr>
          <w:rStyle w:val="FootnoteAnchor"/>
          <w:rtl w:val="true"/>
        </w:rPr>
        <w:footnoteReference w:id="1634"/>
      </w:r>
      <w:r>
        <w:rPr>
          <w:rFonts w:ascii="IRNazanin" w:hAnsi="IRNazanin" w:eastAsia="IRNazanin"/>
          <w:color w:val="111111"/>
          <w:sz w:val="28"/>
          <w:sz w:val="28"/>
          <w:szCs w:val="28"/>
          <w:rtl w:val="true"/>
          <w:lang w:bidi="fa-IR"/>
        </w:rPr>
        <w:t>فیبقی عموم الآیات الدالّة علی حجّیّة أخبار الآحاد سلیمة عن المعارض طرّا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بتساقط المتعارضین عند التکافؤ خلاف التحقیق عند المجتهدین و کذا</w:t>
      </w:r>
    </w:p>
    <w:p>
      <w:pPr>
        <w:pStyle w:val="BookText"/>
        <w:rPr/>
      </w:pPr>
      <w:r>
        <w:rPr>
          <w:rFonts w:ascii="IRNazanin" w:hAnsi="IRNazanin" w:eastAsia="IRNazanin"/>
          <w:color w:val="111111"/>
          <w:sz w:val="28"/>
          <w:sz w:val="28"/>
          <w:szCs w:val="28"/>
          <w:rtl w:val="true"/>
          <w:lang w:bidi="fa-IR"/>
        </w:rPr>
        <w:t>الأخباریین؛ لمصیرهم إلی التخییر کما علیه الأوّلون، أو التوقّف کما علیه الآخرون</w:t>
      </w:r>
      <w:r>
        <w:rPr>
          <w:rStyle w:val="FootnoteAnchor"/>
          <w:rtl w:val="true"/>
        </w:rPr>
        <w:footnoteReference w:id="1635"/>
      </w:r>
      <w:r>
        <w:rPr>
          <w:rFonts w:ascii="IRNazanin" w:hAnsi="IRNazanin" w:eastAsia="IRNazanin"/>
          <w:color w:val="111111"/>
          <w:sz w:val="28"/>
          <w:sz w:val="28"/>
          <w:szCs w:val="28"/>
          <w:rtl w:val="true"/>
          <w:lang w:bidi="fa-IR"/>
        </w:rPr>
        <w:t>، و کلاهما ینافیان المطلوب من وجوب العمل بأخبار الآحاد و تحتّمه قطعا بحیث یکون مخالفتها و طرحها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التقدیر</w:t>
      </w:r>
      <w:r>
        <w:rPr>
          <w:rStyle w:val="FootnoteAnchor"/>
          <w:rtl w:val="true"/>
        </w:rPr>
        <w:footnoteReference w:id="1636"/>
      </w:r>
      <w:r>
        <w:rPr>
          <w:rFonts w:ascii="IRNazanin" w:hAnsi="IRNazanin" w:eastAsia="IRNazanin"/>
          <w:color w:val="111111"/>
          <w:sz w:val="28"/>
          <w:sz w:val="28"/>
          <w:szCs w:val="28"/>
          <w:rtl w:val="true"/>
          <w:lang w:bidi="fa-IR"/>
        </w:rPr>
        <w:t>الآخر</w:t>
      </w:r>
      <w:r>
        <w:rPr>
          <w:rStyle w:val="FootnoteAnchor"/>
          <w:rtl w:val="true"/>
        </w:rPr>
        <w:footnoteReference w:id="1637"/>
      </w:r>
      <w:r>
        <w:rPr>
          <w:rFonts w:ascii="IRNazanin" w:hAnsi="IRNazanin" w:eastAsia="IRNazanin"/>
          <w:color w:val="111111"/>
          <w:sz w:val="28"/>
          <w:sz w:val="28"/>
          <w:szCs w:val="28"/>
          <w:rtl w:val="true"/>
          <w:lang w:bidi="fa-IR"/>
        </w:rPr>
        <w:t>فواضح، و مقتضاه عدم جواز الخروج عن الدلیل القطعی الدالّ علی عدم جواز العمل بالظنّ مطلقا، و خصوص الأدلّة القاطعة النافیة للتکلیف کأصالة البراءة و نحوها فی خصوص المسألة التی وردت أخبار الآحاد بإثبات التکلیف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التقدیر الأوّل فکذلک أیضا و إن کان فیه شائبة الوجوب؛ لأنّ غایته الوجوب التخییری، و هو خلاف المطلوب المجمع علیه بین الفریقین المانعین عن حجّیّة</w:t>
      </w:r>
      <w:r>
        <w:rPr>
          <w:rStyle w:val="FootnoteAnchor"/>
          <w:rtl w:val="true"/>
        </w:rPr>
        <w:footnoteReference w:id="1638"/>
      </w:r>
      <w:r>
        <w:rPr>
          <w:rFonts w:ascii="IRNazanin" w:hAnsi="IRNazanin" w:eastAsia="IRNazanin"/>
          <w:color w:val="111111"/>
          <w:sz w:val="28"/>
          <w:sz w:val="28"/>
          <w:szCs w:val="28"/>
          <w:rtl w:val="true"/>
          <w:lang w:bidi="fa-IR"/>
        </w:rPr>
        <w:t>الآحاد و المثبتین لها؛ فإنّ الأوّلین یحرّمون العمل بها، و الباقین یوجبونه و یحرّمون التخلّف عنها مطلقا، مع أنّ البناء علی التخییر یوجب</w:t>
      </w:r>
      <w:r>
        <w:rPr>
          <w:rStyle w:val="FootnoteAnchor"/>
          <w:rtl w:val="true"/>
        </w:rPr>
        <w:footnoteReference w:id="1639"/>
      </w:r>
      <w:r>
        <w:rPr>
          <w:rFonts w:ascii="IRNazanin" w:hAnsi="IRNazanin" w:eastAsia="IRNazanin"/>
          <w:color w:val="111111"/>
          <w:sz w:val="28"/>
          <w:sz w:val="28"/>
          <w:szCs w:val="28"/>
          <w:rtl w:val="true"/>
          <w:lang w:bidi="fa-IR"/>
        </w:rPr>
        <w:t>المحذور الذی قدّمناه من</w:t>
      </w:r>
      <w:r>
        <w:rPr>
          <w:rStyle w:val="FootnoteAnchor"/>
          <w:rtl w:val="true"/>
        </w:rPr>
        <w:footnoteReference w:id="1640"/>
      </w:r>
      <w:r>
        <w:rPr>
          <w:rFonts w:ascii="IRNazanin" w:hAnsi="IRNazanin" w:eastAsia="IRNazanin"/>
          <w:color w:val="111111"/>
          <w:sz w:val="28"/>
          <w:sz w:val="28"/>
          <w:szCs w:val="28"/>
          <w:rtl w:val="true"/>
          <w:lang w:bidi="fa-IR"/>
        </w:rPr>
        <w:t>استلزام ترک العمل إلّا بالظنون</w:t>
      </w:r>
      <w:r>
        <w:rPr>
          <w:rStyle w:val="FootnoteAnchor"/>
          <w:rtl w:val="true"/>
        </w:rPr>
        <w:footnoteReference w:id="1641"/>
      </w:r>
      <w:r>
        <w:rPr>
          <w:rFonts w:ascii="IRNazanin" w:hAnsi="IRNazanin" w:eastAsia="IRNazanin"/>
          <w:color w:val="111111"/>
          <w:sz w:val="28"/>
          <w:sz w:val="28"/>
          <w:szCs w:val="28"/>
          <w:rtl w:val="true"/>
          <w:lang w:bidi="fa-IR"/>
        </w:rPr>
        <w:t>المخصوصة المجمع علیها مثلا الخروج عن الدین من حیث لا یشعر تارکه، و ذلک فإنّ محصّل التخییر و</w:t>
      </w:r>
      <w:r>
        <w:rPr>
          <w:rStyle w:val="FootnoteAnchor"/>
          <w:rtl w:val="true"/>
        </w:rPr>
        <w:footnoteReference w:id="1642"/>
      </w:r>
      <w:r>
        <w:rPr>
          <w:rFonts w:ascii="IRNazanin" w:hAnsi="IRNazanin" w:eastAsia="IRNazanin"/>
          <w:color w:val="111111"/>
          <w:sz w:val="28"/>
          <w:sz w:val="28"/>
          <w:szCs w:val="28"/>
          <w:rtl w:val="true"/>
          <w:lang w:bidi="fa-IR"/>
        </w:rPr>
        <w:t>مفاده جواز ترک العمل بالآحاد</w:t>
      </w:r>
      <w:r>
        <w:rPr>
          <w:rStyle w:val="FootnoteAnchor"/>
          <w:rtl w:val="true"/>
        </w:rPr>
        <w:footnoteReference w:id="1643"/>
      </w:r>
      <w:r>
        <w:rPr>
          <w:rFonts w:ascii="IRNazanin" w:hAnsi="IRNazanin" w:eastAsia="IRNazanin"/>
          <w:color w:val="111111"/>
          <w:sz w:val="28"/>
          <w:sz w:val="28"/>
          <w:szCs w:val="28"/>
          <w:rtl w:val="true"/>
          <w:lang w:bidi="fa-IR"/>
        </w:rPr>
        <w:t>مطلقا، و</w:t>
      </w:r>
      <w:r>
        <w:rPr>
          <w:rStyle w:val="FootnoteAnchor"/>
          <w:rtl w:val="true"/>
        </w:rPr>
        <w:footnoteReference w:id="1644"/>
      </w:r>
      <w:r>
        <w:rPr>
          <w:rFonts w:ascii="IRNazanin" w:hAnsi="IRNazanin" w:eastAsia="IRNazanin"/>
          <w:color w:val="111111"/>
          <w:sz w:val="28"/>
          <w:sz w:val="28"/>
          <w:szCs w:val="28"/>
          <w:rtl w:val="true"/>
          <w:lang w:bidi="fa-IR"/>
        </w:rPr>
        <w:t>فی المواضع کلّها و الرجوع إلی الأدلّة القطعیّة و الظنون المخصوصة، و لو بنی بان</w:t>
      </w:r>
      <w:r>
        <w:rPr>
          <w:rStyle w:val="FootnoteAnchor"/>
          <w:rtl w:val="true"/>
        </w:rPr>
        <w:footnoteReference w:id="1645"/>
      </w:r>
      <w:r>
        <w:rPr>
          <w:rFonts w:ascii="IRNazanin" w:hAnsi="IRNazanin" w:eastAsia="IRNazanin"/>
          <w:color w:val="111111"/>
          <w:sz w:val="28"/>
          <w:sz w:val="28"/>
          <w:szCs w:val="28"/>
          <w:rtl w:val="true"/>
          <w:lang w:bidi="fa-IR"/>
        </w:rPr>
        <w:t>علی هذا و أخذ فقهه و حصّله کذلک، لم یکن له من الدین إلّا رسمه، و من الإسلام إلّا اسمه</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 ذلک؟ و الحال أنّه فی کلّ مسألة اجتهادیّة وقع الخلاف فیها لو ترک</w:t>
      </w:r>
    </w:p>
    <w:p>
      <w:pPr>
        <w:pStyle w:val="BookText"/>
        <w:rPr/>
      </w:pPr>
      <w:r>
        <w:rPr>
          <w:rFonts w:ascii="IRNazanin" w:hAnsi="IRNazanin" w:eastAsia="IRNazanin"/>
          <w:color w:val="111111"/>
          <w:sz w:val="28"/>
          <w:sz w:val="28"/>
          <w:szCs w:val="28"/>
          <w:rtl w:val="true"/>
          <w:lang w:bidi="fa-IR"/>
        </w:rPr>
        <w:t>العمل بما عدا الظنون المخصوصة و اتّخذها خاصّة حجّة فقد وافق قائلا من العلماء، و لا یکون بذلک خارجا عن الدین، و لا عن طریقة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وافق فی کلّ مسألة قائلا</w:t>
      </w:r>
      <w:r>
        <w:rPr>
          <w:rStyle w:val="FootnoteAnchor"/>
          <w:rtl w:val="true"/>
        </w:rPr>
        <w:footnoteReference w:id="1647"/>
      </w:r>
      <w:r>
        <w:rPr>
          <w:rFonts w:ascii="IRNazanin" w:hAnsi="IRNazanin" w:eastAsia="IRNazanin"/>
          <w:color w:val="111111"/>
          <w:sz w:val="28"/>
          <w:sz w:val="28"/>
          <w:szCs w:val="28"/>
          <w:rtl w:val="true"/>
          <w:lang w:bidi="fa-IR"/>
        </w:rPr>
        <w:t>إلّا أنّه بعد رجوعه فی جمیع المسائل المختلف</w:t>
      </w:r>
      <w:r>
        <w:rPr>
          <w:rStyle w:val="FootnoteAnchor"/>
          <w:rtl w:val="true"/>
        </w:rPr>
        <w:footnoteReference w:id="1648"/>
      </w:r>
      <w:r>
        <w:rPr>
          <w:rFonts w:ascii="IRNazanin" w:hAnsi="IRNazanin" w:eastAsia="IRNazanin"/>
          <w:color w:val="111111"/>
          <w:sz w:val="28"/>
          <w:sz w:val="28"/>
          <w:szCs w:val="28"/>
          <w:rtl w:val="true"/>
          <w:lang w:bidi="fa-IR"/>
        </w:rPr>
        <w:t>فیها</w:t>
      </w:r>
      <w:r>
        <w:rPr>
          <w:rStyle w:val="FootnoteAnchor"/>
          <w:rtl w:val="true"/>
        </w:rPr>
        <w:footnoteReference w:id="1649"/>
      </w:r>
      <w:r>
        <w:rPr>
          <w:rFonts w:ascii="IRNazanin" w:hAnsi="IRNazanin" w:eastAsia="IRNazanin"/>
          <w:color w:val="111111"/>
          <w:sz w:val="28"/>
          <w:sz w:val="28"/>
          <w:szCs w:val="28"/>
          <w:rtl w:val="true"/>
          <w:lang w:bidi="fa-IR"/>
        </w:rPr>
        <w:t>التی هی أکثر الأحکام الشرعیّة جدّا إلی ما عرفته خالف العلماء طرّا؛ إذ لم یوجد منهم من رجع</w:t>
      </w:r>
      <w:r>
        <w:rPr>
          <w:rStyle w:val="FootnoteAnchor"/>
          <w:rtl w:val="true"/>
        </w:rPr>
        <w:footnoteReference w:id="1650"/>
      </w:r>
      <w:r>
        <w:rPr>
          <w:rFonts w:ascii="IRNazanin" w:hAnsi="IRNazanin" w:eastAsia="IRNazanin"/>
          <w:color w:val="111111"/>
          <w:sz w:val="28"/>
          <w:sz w:val="28"/>
          <w:szCs w:val="28"/>
          <w:rtl w:val="true"/>
          <w:lang w:bidi="fa-IR"/>
        </w:rPr>
        <w:t>فی جمیع تلک المسائل إلی الظنون المخصوصة، و یطرح</w:t>
      </w:r>
      <w:r>
        <w:rPr>
          <w:rStyle w:val="FootnoteAnchor"/>
          <w:rtl w:val="true"/>
        </w:rPr>
        <w:footnoteReference w:id="1651"/>
      </w:r>
      <w:r>
        <w:rPr>
          <w:rFonts w:ascii="IRNazanin" w:hAnsi="IRNazanin" w:eastAsia="IRNazanin"/>
          <w:color w:val="111111"/>
          <w:sz w:val="28"/>
          <w:sz w:val="28"/>
          <w:szCs w:val="28"/>
          <w:rtl w:val="true"/>
          <w:lang w:bidi="fa-IR"/>
        </w:rPr>
        <w:t>ما عداها، و یعمل بمقتضاها خاصّة، بل إن عمل</w:t>
      </w:r>
      <w:r>
        <w:rPr>
          <w:rStyle w:val="FootnoteAnchor"/>
          <w:rtl w:val="true"/>
        </w:rPr>
        <w:footnoteReference w:id="1652"/>
      </w:r>
      <w:r>
        <w:rPr>
          <w:rFonts w:ascii="IRNazanin" w:hAnsi="IRNazanin" w:eastAsia="IRNazanin"/>
          <w:color w:val="111111"/>
          <w:sz w:val="28"/>
          <w:sz w:val="28"/>
          <w:szCs w:val="28"/>
          <w:rtl w:val="true"/>
          <w:lang w:bidi="fa-IR"/>
        </w:rPr>
        <w:t>بعضهم فی بعض المسائل کذلک لفقد دلیل خاصّ قطعی أو ظنّی إن عمل</w:t>
      </w:r>
      <w:r>
        <w:rPr>
          <w:rStyle w:val="FootnoteAnchor"/>
          <w:rtl w:val="true"/>
        </w:rPr>
        <w:footnoteReference w:id="1653"/>
      </w:r>
      <w:r>
        <w:rPr>
          <w:rFonts w:ascii="IRNazanin" w:hAnsi="IRNazanin" w:eastAsia="IRNazanin"/>
          <w:color w:val="111111"/>
          <w:sz w:val="28"/>
          <w:sz w:val="28"/>
          <w:szCs w:val="28"/>
          <w:rtl w:val="true"/>
          <w:lang w:bidi="fa-IR"/>
        </w:rPr>
        <w:t>یخصّص به الاصول</w:t>
      </w:r>
      <w:r>
        <w:rPr>
          <w:rStyle w:val="FootnoteAnchor"/>
          <w:rtl w:val="true"/>
        </w:rPr>
        <w:footnoteReference w:id="1654"/>
      </w:r>
      <w:r>
        <w:rPr>
          <w:rFonts w:ascii="IRNazanin" w:hAnsi="IRNazanin" w:eastAsia="IRNazanin"/>
          <w:color w:val="111111"/>
          <w:sz w:val="28"/>
          <w:sz w:val="28"/>
          <w:szCs w:val="28"/>
          <w:rtl w:val="true"/>
          <w:lang w:bidi="fa-IR"/>
        </w:rPr>
        <w:t>المزبورة، لکنّه یعمل فی غیره بخلافها؛ لقیام دلیل قاطع علیه عنده أو ظنّی یخصّصها و لا قاطع لهذا الثالث؛ إذ الذی یدّعیه و یخصّص به الاصول فی جملة من المسائل إنّما هو القدماء المتمکّنون من تحصیله غالبا کما یفهم عن</w:t>
      </w:r>
      <w:r>
        <w:rPr>
          <w:rStyle w:val="FootnoteAnchor"/>
          <w:rtl w:val="true"/>
        </w:rPr>
        <w:footnoteReference w:id="1655"/>
      </w:r>
      <w:r>
        <w:rPr>
          <w:rFonts w:ascii="IRNazanin" w:hAnsi="IRNazanin" w:eastAsia="IRNazanin"/>
          <w:color w:val="111111"/>
          <w:sz w:val="28"/>
          <w:sz w:val="28"/>
          <w:szCs w:val="28"/>
          <w:rtl w:val="true"/>
          <w:lang w:bidi="fa-IR"/>
        </w:rPr>
        <w:t>المرتضی و ابن زهرة و أضرابهما، و هذا لم یتمکّن من ذلک جدّا، و المفروض أیضا أنّه</w:t>
      </w:r>
      <w:r>
        <w:rPr>
          <w:rStyle w:val="FootnoteAnchor"/>
          <w:rtl w:val="true"/>
        </w:rPr>
        <w:footnoteReference w:id="1656"/>
      </w:r>
      <w:r>
        <w:rPr>
          <w:rFonts w:ascii="IRNazanin" w:hAnsi="IRNazanin" w:eastAsia="IRNazanin"/>
          <w:color w:val="111111"/>
          <w:sz w:val="28"/>
          <w:sz w:val="28"/>
          <w:szCs w:val="28"/>
          <w:rtl w:val="true"/>
          <w:lang w:bidi="fa-IR"/>
        </w:rPr>
        <w:t>لم یعتمد ظنّیا</w:t>
      </w:r>
      <w:r>
        <w:rPr>
          <w:rStyle w:val="FootnoteAnchor"/>
          <w:rtl w:val="true"/>
        </w:rPr>
        <w:footnoteReference w:id="1657"/>
      </w:r>
      <w:r>
        <w:rPr>
          <w:rFonts w:ascii="IRNazanin" w:hAnsi="IRNazanin" w:eastAsia="IRNazanin"/>
          <w:color w:val="111111"/>
          <w:sz w:val="28"/>
          <w:sz w:val="28"/>
          <w:szCs w:val="28"/>
          <w:rtl w:val="true"/>
          <w:lang w:bidi="fa-IR"/>
        </w:rPr>
        <w:t>إذا</w:t>
      </w:r>
      <w:r>
        <w:rPr>
          <w:rStyle w:val="FootnoteAnchor"/>
          <w:rtl w:val="true"/>
        </w:rPr>
        <w:footnoteReference w:id="1658"/>
      </w:r>
      <w:r>
        <w:rPr>
          <w:rFonts w:ascii="Amiri" w:hAnsi="Amiri" w:eastAsia="Amiri" w:cs="Amiri"/>
          <w:color w:val="111111"/>
          <w:sz w:val="28"/>
          <w:sz w:val="28"/>
          <w:szCs w:val="28"/>
          <w:rtl w:val="true"/>
          <w:lang w:bidi="ar-SA"/>
        </w:rPr>
        <w:t>لم یکن ظنّه</w:t>
      </w:r>
      <w:r>
        <w:rPr>
          <w:rStyle w:val="FootnoteAnchor"/>
          <w:rtl w:val="true"/>
        </w:rPr>
        <w:footnoteReference w:id="1659"/>
      </w:r>
      <w:r>
        <w:rPr>
          <w:rFonts w:ascii="Amiri" w:hAnsi="Amiri" w:eastAsia="Amiri" w:cs="Amiri"/>
          <w:color w:val="111111"/>
          <w:sz w:val="28"/>
          <w:sz w:val="28"/>
          <w:szCs w:val="28"/>
          <w:rtl w:val="true"/>
          <w:lang w:bidi="ar-SA"/>
        </w:rPr>
        <w:t>ظنّا مخصوصا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لا ریب</w:t>
      </w:r>
      <w:r>
        <w:rPr>
          <w:rStyle w:val="FootnoteAnchor"/>
          <w:rtl w:val="true"/>
        </w:rPr>
        <w:footnoteReference w:id="1660"/>
      </w:r>
      <w:r>
        <w:rPr>
          <w:rFonts w:ascii="IRNazanin" w:hAnsi="IRNazanin" w:eastAsia="IRNazanin"/>
          <w:color w:val="111111"/>
          <w:sz w:val="28"/>
          <w:sz w:val="28"/>
          <w:szCs w:val="28"/>
          <w:rtl w:val="true"/>
          <w:lang w:bidi="fa-IR"/>
        </w:rPr>
        <w:t>و لا شبهة فی أنّ المقتصر علی الظنون المخصوصة فی الأحکام الشرعیّة فی نحو هذه الأزمنة</w:t>
      </w:r>
      <w:r>
        <w:rPr>
          <w:rStyle w:val="FootnoteAnchor"/>
          <w:rtl w:val="true"/>
        </w:rPr>
        <w:footnoteReference w:id="1661"/>
      </w:r>
      <w:r>
        <w:rPr>
          <w:rFonts w:ascii="IRNazanin" w:hAnsi="IRNazanin" w:eastAsia="IRNazanin"/>
          <w:color w:val="111111"/>
          <w:sz w:val="28"/>
          <w:sz w:val="28"/>
          <w:szCs w:val="28"/>
          <w:rtl w:val="true"/>
          <w:lang w:bidi="fa-IR"/>
        </w:rPr>
        <w:t>لم یبق له أثر من الإسلام و الشریعة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بملاحظة هذا یظهر بداهة وجوب اعتبار ظنّ آخر ما عدا الظنون المخصوصة المجمع علیها من نحو أخبار الآحاد و غیرها، و حیث تساوت مراتبها فی کونها ظنونا غیر مخصوصة و لم یمکن</w:t>
      </w:r>
      <w:r>
        <w:rPr>
          <w:rStyle w:val="FootnoteAnchor"/>
          <w:rtl w:val="true"/>
        </w:rPr>
        <w:footnoteReference w:id="1662"/>
      </w:r>
      <w:r>
        <w:rPr>
          <w:rFonts w:ascii="IRNazanin" w:hAnsi="IRNazanin" w:eastAsia="IRNazanin"/>
          <w:color w:val="111111"/>
          <w:sz w:val="28"/>
          <w:sz w:val="28"/>
          <w:szCs w:val="28"/>
          <w:rtl w:val="true"/>
          <w:lang w:bidi="fa-IR"/>
        </w:rPr>
        <w:t>ترجیح بعضها علی بعض من هذه الجهة لا جرم جاز</w:t>
      </w:r>
    </w:p>
    <w:p>
      <w:pPr>
        <w:pStyle w:val="BookText"/>
        <w:rPr/>
      </w:pPr>
      <w:r>
        <w:rPr>
          <w:rFonts w:ascii="IRNazanin" w:hAnsi="IRNazanin" w:eastAsia="IRNazanin"/>
          <w:color w:val="111111"/>
          <w:sz w:val="28"/>
          <w:sz w:val="28"/>
          <w:szCs w:val="28"/>
          <w:rtl w:val="true"/>
          <w:lang w:bidi="fa-IR"/>
        </w:rPr>
        <w:t>العمل بکلّ منها، بل وجب حیث لا یعارضها أقوی منها بحسب القوّة و الضعف، و حیث ثبت جواز العمل بالظنّ مطلقا مخصوصا کان أو غیره ظهر أنّ التکلیف فی أمثال هذه الأزمنة المنسدّ فیها باب العلم القطعی بالأحکام الشرعیّة إنّما هو بالمظنّة من حیث کونها مظنّة، و به ثبت</w:t>
      </w:r>
      <w:r>
        <w:rPr>
          <w:rStyle w:val="FootnoteAnchor"/>
          <w:rtl w:val="true"/>
        </w:rPr>
        <w:footnoteReference w:id="1663"/>
      </w:r>
      <w:r>
        <w:rPr>
          <w:rFonts w:ascii="IRNazanin" w:hAnsi="IRNazanin" w:eastAsia="IRNazanin"/>
          <w:color w:val="111111"/>
          <w:sz w:val="28"/>
          <w:sz w:val="28"/>
          <w:szCs w:val="28"/>
          <w:rtl w:val="true"/>
          <w:lang w:bidi="fa-IR"/>
        </w:rPr>
        <w:t>الملازمة و یتّضح کونها ضروریّة و یتوجّه ما ذکرنا</w:t>
      </w:r>
      <w:r>
        <w:rPr>
          <w:rStyle w:val="FootnoteAnchor"/>
          <w:rtl w:val="true"/>
        </w:rPr>
        <w:footnoteReference w:id="1664"/>
      </w:r>
      <w:r>
        <w:rPr>
          <w:rFonts w:ascii="IRNazanin" w:hAnsi="IRNazanin" w:eastAsia="IRNazanin"/>
          <w:color w:val="111111"/>
          <w:sz w:val="28"/>
          <w:sz w:val="28"/>
          <w:szCs w:val="28"/>
          <w:rtl w:val="true"/>
          <w:lang w:bidi="fa-IR"/>
        </w:rPr>
        <w:t>من حجّیّة الشهرة؛ لأنّ الظنّ المستفاد منها أقوی من الظنّ الحاصل من أصالة البراءة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یذکر صاحب المعالم هذا الدلیل القاطع المتمّم به الملازمة؛ لوضوحه من الخارج غایته، فکأنّه أحاله إلی الظهور الخارجی للبداهة</w:t>
      </w:r>
      <w:r>
        <w:rPr>
          <w:rStyle w:val="FootnoteAnchor"/>
          <w:rtl w:val="true"/>
        </w:rPr>
        <w:footnoteReference w:id="1665"/>
      </w:r>
      <w:r>
        <w:rPr>
          <w:rFonts w:ascii="IRNazanin" w:hAnsi="IRNazanin" w:eastAsia="IRNazanin"/>
          <w:color w:val="111111"/>
          <w:sz w:val="28"/>
          <w:sz w:val="28"/>
          <w:szCs w:val="28"/>
          <w:rtl w:val="true"/>
          <w:lang w:bidi="fa-IR"/>
        </w:rPr>
        <w:t>، و لو سلّم عدم الإحالة فغایته ورود</w:t>
      </w:r>
      <w:r>
        <w:rPr>
          <w:rStyle w:val="FootnoteAnchor"/>
          <w:rtl w:val="true"/>
        </w:rPr>
        <w:footnoteReference w:id="1666"/>
      </w:r>
      <w:r>
        <w:rPr>
          <w:rFonts w:ascii="IRNazanin" w:hAnsi="IRNazanin" w:eastAsia="IRNazanin"/>
          <w:color w:val="111111"/>
          <w:sz w:val="28"/>
          <w:sz w:val="28"/>
          <w:szCs w:val="28"/>
          <w:rtl w:val="true"/>
          <w:lang w:bidi="fa-IR"/>
        </w:rPr>
        <w:t>الاعتراض بمنع الملازمة علیه دون من</w:t>
      </w:r>
      <w:r>
        <w:rPr>
          <w:rStyle w:val="FootnoteAnchor"/>
          <w:rtl w:val="true"/>
        </w:rPr>
        <w:footnoteReference w:id="1667"/>
      </w:r>
      <w:r>
        <w:rPr>
          <w:rFonts w:ascii="IRNazanin" w:hAnsi="IRNazanin" w:eastAsia="IRNazanin"/>
          <w:color w:val="111111"/>
          <w:sz w:val="28"/>
          <w:sz w:val="28"/>
          <w:szCs w:val="28"/>
          <w:rtl w:val="true"/>
          <w:lang w:bidi="fa-IR"/>
        </w:rPr>
        <w:t>یضمّ إلی ما ذکره من المقدّمات هذه المقدّمة، فإنّه لا یرد</w:t>
      </w:r>
      <w:r>
        <w:rPr>
          <w:rStyle w:val="FootnoteAnchor"/>
          <w:rtl w:val="true"/>
        </w:rPr>
        <w:footnoteReference w:id="1668"/>
      </w:r>
      <w:r>
        <w:rPr>
          <w:rFonts w:ascii="IRNazanin" w:hAnsi="IRNazanin" w:eastAsia="IRNazanin"/>
          <w:color w:val="111111"/>
          <w:sz w:val="28"/>
          <w:sz w:val="28"/>
          <w:szCs w:val="28"/>
          <w:rtl w:val="true"/>
          <w:lang w:bidi="fa-IR"/>
        </w:rPr>
        <w:t>علیه هذا الاعتراض بالکلّیّة، و لا ینکر الملازمة و کلّیّة الکبری الثابتة من جهتها من له أدنی فهم و دربة</w:t>
      </w:r>
      <w:r>
        <w:rPr>
          <w:rStyle w:val="FootnoteAnchor"/>
          <w:rtl w:val="true"/>
        </w:rPr>
        <w:footnoteReference w:id="1669"/>
      </w:r>
      <w:r>
        <w:rPr>
          <w:rFonts w:ascii="IRNazanin" w:hAnsi="IRNazanin" w:eastAsia="IRNazanin"/>
          <w:color w:val="111111"/>
          <w:sz w:val="28"/>
          <w:sz w:val="28"/>
          <w:szCs w:val="28"/>
          <w:rtl w:val="true"/>
          <w:lang w:bidi="fa-IR"/>
        </w:rPr>
        <w:t>فضلا عن اولی الأفهام و السلائق المستقیمة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ما ذکرت فی</w:t>
      </w:r>
      <w:r>
        <w:rPr>
          <w:rStyle w:val="FootnoteAnchor"/>
          <w:rtl w:val="true"/>
        </w:rPr>
        <w:footnoteReference w:id="1670"/>
      </w:r>
      <w:r>
        <w:rPr>
          <w:rFonts w:ascii="IRNazanin" w:hAnsi="IRNazanin" w:eastAsia="IRNazanin"/>
          <w:color w:val="111111"/>
          <w:sz w:val="28"/>
          <w:sz w:val="28"/>
          <w:szCs w:val="28"/>
          <w:rtl w:val="true"/>
          <w:lang w:bidi="fa-IR"/>
        </w:rPr>
        <w:t>تصحیح الملازمة إنّما هو دعوی عدم دلیل قاطع</w:t>
      </w:r>
      <w:r>
        <w:rPr>
          <w:rStyle w:val="FootnoteAnchor"/>
          <w:rtl w:val="true"/>
        </w:rPr>
        <w:footnoteReference w:id="1671"/>
      </w:r>
      <w:r>
        <w:rPr>
          <w:rFonts w:ascii="IRNazanin" w:hAnsi="IRNazanin" w:eastAsia="IRNazanin"/>
          <w:color w:val="111111"/>
          <w:sz w:val="28"/>
          <w:sz w:val="28"/>
          <w:szCs w:val="28"/>
          <w:rtl w:val="true"/>
          <w:lang w:bidi="fa-IR"/>
        </w:rPr>
        <w:t>علی حجّیّة أخبار الآحاد و الظنون التی تتعلّق بها متنا و سندا و دلالة، و هی ممنوعة و لو سلّمنا عدم دلالة الآیات علیها، و ذلک لإطباق المتأخّرین علی العمل بها و بالظنون التی یحتاج</w:t>
      </w:r>
      <w:r>
        <w:rPr>
          <w:rStyle w:val="FootnoteAnchor"/>
          <w:rtl w:val="true"/>
        </w:rPr>
        <w:footnoteReference w:id="1672"/>
      </w:r>
      <w:r>
        <w:rPr>
          <w:rFonts w:ascii="IRNazanin" w:hAnsi="IRNazanin" w:eastAsia="IRNazanin"/>
          <w:color w:val="111111"/>
          <w:sz w:val="28"/>
          <w:sz w:val="28"/>
          <w:szCs w:val="28"/>
          <w:rtl w:val="true"/>
          <w:lang w:bidi="fa-IR"/>
        </w:rPr>
        <w:t xml:space="preserve">إلیها فی متعلّقاتها إطباقا لا یشکّ فی کونه منهم إجماعا و إن حصل الخلاف بین العلماء قبلهم سابقا؛ لأنّ الإجماع عندنا هو الاتّفاق الکاشف عن قول المعصوم علیه السّلام و لو 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 من أصحابنا، مضافا إلی جواز أن یکون حکم نظریا</w:t>
      </w:r>
      <w:r>
        <w:rPr>
          <w:rStyle w:val="FootnoteAnchor"/>
          <w:rtl w:val="true"/>
        </w:rPr>
        <w:footnoteReference w:id="1673"/>
      </w:r>
      <w:r>
        <w:rPr>
          <w:rFonts w:ascii="IRNazanin" w:hAnsi="IRNazanin" w:eastAsia="IRNazanin"/>
          <w:color w:val="111111"/>
          <w:sz w:val="28"/>
          <w:sz w:val="28"/>
          <w:szCs w:val="28"/>
          <w:rtl w:val="true"/>
          <w:lang w:bidi="fa-IR"/>
        </w:rPr>
        <w:t>مختلفا</w:t>
      </w:r>
      <w:r>
        <w:rPr>
          <w:rStyle w:val="FootnoteAnchor"/>
          <w:rtl w:val="true"/>
        </w:rPr>
        <w:footnoteReference w:id="1674"/>
      </w:r>
      <w:r>
        <w:rPr>
          <w:rFonts w:ascii="IRNazanin" w:hAnsi="IRNazanin" w:eastAsia="IRNazanin"/>
          <w:color w:val="111111"/>
          <w:sz w:val="28"/>
          <w:sz w:val="28"/>
          <w:szCs w:val="28"/>
          <w:rtl w:val="true"/>
          <w:lang w:bidi="fa-IR"/>
        </w:rPr>
        <w:t>فیه فی زمان مجمعا علیه فی آخر کما برهن علیه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قام</w:t>
      </w:r>
      <w:r>
        <w:rPr>
          <w:rStyle w:val="FootnoteAnchor"/>
          <w:rtl w:val="true"/>
        </w:rPr>
        <w:footnoteReference w:id="1675"/>
      </w:r>
      <w:r>
        <w:rPr>
          <w:rFonts w:ascii="IRNazanin" w:hAnsi="IRNazanin" w:eastAsia="IRNazanin"/>
          <w:color w:val="111111"/>
          <w:sz w:val="28"/>
          <w:sz w:val="28"/>
          <w:szCs w:val="28"/>
          <w:rtl w:val="true"/>
          <w:lang w:bidi="fa-IR"/>
        </w:rPr>
        <w:t>الدلیل القاطع علی حجّیّة أخبار الآحاد و الظنون المتعلّقة بها کانت أیضا ظنونا مخصوصة کأصالة البراءة و نحوها، و حینئذ لم یبق ظنّ غیر مخصوص عدا الشهرة الخالیة عن الدلیل کما هو</w:t>
      </w:r>
      <w:r>
        <w:rPr>
          <w:rStyle w:val="FootnoteAnchor"/>
          <w:rtl w:val="true"/>
        </w:rPr>
        <w:footnoteReference w:id="1676"/>
      </w:r>
      <w:r>
        <w:rPr>
          <w:rFonts w:ascii="IRNazanin" w:hAnsi="IRNazanin" w:eastAsia="IRNazanin"/>
          <w:color w:val="111111"/>
          <w:sz w:val="28"/>
          <w:sz w:val="28"/>
          <w:szCs w:val="28"/>
          <w:rtl w:val="true"/>
          <w:lang w:bidi="fa-IR"/>
        </w:rPr>
        <w:t>مفروض المسألة، و لا یستلزم</w:t>
      </w:r>
      <w:r>
        <w:rPr>
          <w:rStyle w:val="FootnoteAnchor"/>
          <w:rtl w:val="true"/>
        </w:rPr>
        <w:footnoteReference w:id="1677"/>
      </w:r>
      <w:r>
        <w:rPr>
          <w:rFonts w:ascii="IRNazanin" w:hAnsi="IRNazanin" w:eastAsia="IRNazanin"/>
          <w:color w:val="111111"/>
          <w:sz w:val="28"/>
          <w:sz w:val="28"/>
          <w:szCs w:val="28"/>
          <w:rtl w:val="true"/>
          <w:lang w:bidi="fa-IR"/>
        </w:rPr>
        <w:t>من عدم العمل بها المحذور الذی ذکرته، و هو الخروج من الدین من حیث لا یشعر قائله، فإنّ فی العمل بما عداها مغناة</w:t>
      </w:r>
      <w:r>
        <w:rPr>
          <w:rStyle w:val="FootnoteAnchor"/>
          <w:rtl w:val="true"/>
        </w:rPr>
        <w:footnoteReference w:id="1678"/>
      </w:r>
      <w:r>
        <w:rPr>
          <w:rFonts w:ascii="IRNazanin" w:hAnsi="IRNazanin" w:eastAsia="IRNazanin"/>
          <w:color w:val="111111"/>
          <w:sz w:val="28"/>
          <w:sz w:val="28"/>
          <w:szCs w:val="28"/>
          <w:rtl w:val="true"/>
          <w:lang w:bidi="fa-IR"/>
        </w:rPr>
        <w:t>عنها، و تحصل</w:t>
      </w:r>
      <w:r>
        <w:rPr>
          <w:rStyle w:val="FootnoteAnchor"/>
          <w:rtl w:val="true"/>
        </w:rPr>
        <w:footnoteReference w:id="1679"/>
      </w:r>
      <w:r>
        <w:rPr>
          <w:rFonts w:ascii="IRNazanin" w:hAnsi="IRNazanin" w:eastAsia="IRNazanin"/>
          <w:color w:val="111111"/>
          <w:sz w:val="28"/>
          <w:sz w:val="28"/>
          <w:szCs w:val="28"/>
          <w:rtl w:val="true"/>
          <w:lang w:bidi="fa-IR"/>
        </w:rPr>
        <w:t>الأحکام الشرعیّة کلّها بحیث لا یشذّ شی‌ء</w:t>
      </w:r>
      <w:r>
        <w:rPr>
          <w:rStyle w:val="FootnoteAnchor"/>
          <w:rtl w:val="true"/>
        </w:rPr>
        <w:footnoteReference w:id="1680"/>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هذا الکلام علی تقدیر تسلیمه</w:t>
      </w:r>
      <w:r>
        <w:rPr>
          <w:rStyle w:val="FootnoteAnchor"/>
          <w:rtl w:val="true"/>
        </w:rPr>
        <w:footnoteReference w:id="1681"/>
      </w:r>
      <w:r>
        <w:rPr>
          <w:rFonts w:ascii="IRNazanin" w:hAnsi="IRNazanin" w:eastAsia="IRNazanin"/>
          <w:color w:val="111111"/>
          <w:sz w:val="28"/>
          <w:sz w:val="28"/>
          <w:szCs w:val="28"/>
          <w:rtl w:val="true"/>
          <w:lang w:bidi="fa-IR"/>
        </w:rPr>
        <w:t>کون الظنون المستفادة من أخبار الآحاد و ما یتعلّق بها ظنونا مخصوصة کأصالة البراءة و نحوها من الکتاب و السنّة المتواترة من غیر جهة الدلیل الرابع، بل من جهة الإجماع خاصّة</w:t>
      </w:r>
      <w:r>
        <w:rPr>
          <w:rStyle w:val="FootnoteAnchor"/>
          <w:rtl w:val="true"/>
        </w:rPr>
        <w:footnoteReference w:id="1682"/>
      </w:r>
      <w:r>
        <w:rPr>
          <w:rFonts w:ascii="IRNazanin" w:hAnsi="IRNazanin" w:eastAsia="IRNazanin"/>
          <w:color w:val="111111"/>
          <w:sz w:val="28"/>
          <w:sz w:val="28"/>
          <w:szCs w:val="28"/>
          <w:rtl w:val="true"/>
          <w:lang w:bidi="fa-IR"/>
        </w:rPr>
        <w:t>، و شناعته واضحة و خرافته ظاهرة، کیف لا</w:t>
      </w:r>
      <w:r>
        <w:rPr>
          <w:rStyle w:val="FootnoteAnchor"/>
          <w:rtl w:val="true"/>
        </w:rPr>
        <w:footnoteReference w:id="1683"/>
      </w:r>
      <w:r>
        <w:rPr>
          <w:rFonts w:ascii="IRNazanin" w:hAnsi="IRNazanin" w:eastAsia="IRNazanin"/>
          <w:color w:val="111111"/>
          <w:sz w:val="28"/>
          <w:sz w:val="28"/>
          <w:szCs w:val="28"/>
          <w:rtl w:val="true"/>
          <w:lang w:bidi="fa-IR"/>
        </w:rPr>
        <w:t>و لم یشر إلی هذا أحد أصلا، و لم ینبّه</w:t>
      </w:r>
      <w:r>
        <w:rPr>
          <w:rStyle w:val="FootnoteAnchor"/>
          <w:rtl w:val="true"/>
        </w:rPr>
        <w:footnoteReference w:id="1684"/>
      </w:r>
      <w:r>
        <w:rPr>
          <w:rFonts w:ascii="IRNazanin" w:hAnsi="IRNazanin" w:eastAsia="IRNazanin"/>
          <w:color w:val="111111"/>
          <w:sz w:val="28"/>
          <w:sz w:val="28"/>
          <w:szCs w:val="28"/>
          <w:rtl w:val="true"/>
          <w:lang w:bidi="fa-IR"/>
        </w:rPr>
        <w:t>علیه مطلقا، بل یظهر منهم خلافه جدّا سیّما فی بحث تخصیص الکتاب بخبر الواحد کما لا یخفی علی من راجع کلماتهم و تأمّلها تأمّلا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فالإجماع من المتأخّرین علی حجّیّة الآحاد لیس کلّیا بل أجمعوا علیه</w:t>
      </w:r>
      <w:r>
        <w:rPr>
          <w:rStyle w:val="FootnoteAnchor"/>
          <w:rtl w:val="true"/>
        </w:rPr>
        <w:footnoteReference w:id="1685"/>
      </w:r>
      <w:r>
        <w:rPr>
          <w:rFonts w:ascii="IRNazanin" w:hAnsi="IRNazanin" w:eastAsia="IRNazanin"/>
          <w:color w:val="111111"/>
          <w:sz w:val="28"/>
          <w:sz w:val="28"/>
          <w:szCs w:val="28"/>
          <w:rtl w:val="true"/>
          <w:lang w:bidi="fa-IR"/>
        </w:rPr>
        <w:t>فی الجملة کالقدماء عند من یدّعی إجماعهم علیه، و هو حجّیّة أخبار العدل المتّفق علی عدالته، أو الثابت عدالته بالصحبة</w:t>
      </w:r>
      <w:r>
        <w:rPr>
          <w:rStyle w:val="FootnoteAnchor"/>
          <w:rtl w:val="true"/>
        </w:rPr>
        <w:footnoteReference w:id="1686"/>
      </w:r>
      <w:r>
        <w:rPr>
          <w:rFonts w:ascii="IRNazanin" w:hAnsi="IRNazanin" w:eastAsia="IRNazanin"/>
          <w:color w:val="111111"/>
          <w:sz w:val="28"/>
          <w:sz w:val="28"/>
          <w:szCs w:val="28"/>
          <w:rtl w:val="true"/>
          <w:lang w:bidi="fa-IR"/>
        </w:rPr>
        <w:t>المتأکّدة، أو الشیاع المفید</w:t>
      </w:r>
      <w:r>
        <w:rPr>
          <w:rStyle w:val="FootnoteAnchor"/>
          <w:rtl w:val="true"/>
        </w:rPr>
        <w:footnoteReference w:id="1687"/>
      </w:r>
      <w:r>
        <w:rPr>
          <w:rFonts w:ascii="IRNazanin" w:hAnsi="IRNazanin" w:eastAsia="IRNazanin"/>
          <w:color w:val="111111"/>
          <w:sz w:val="28"/>
          <w:sz w:val="28"/>
          <w:szCs w:val="28"/>
          <w:rtl w:val="true"/>
          <w:lang w:bidi="fa-IR"/>
        </w:rPr>
        <w:t>للقطع، أو البیّنة الشرعیّة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أخبار غیر العدول</w:t>
      </w:r>
      <w:r>
        <w:rPr>
          <w:rStyle w:val="FootnoteAnchor"/>
          <w:rtl w:val="true"/>
        </w:rPr>
        <w:footnoteReference w:id="1688"/>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Style w:val="FootnoteAnchor"/>
          <w:rtl w:val="true"/>
        </w:rPr>
        <w:footnoteReference w:id="1689"/>
      </w:r>
      <w:r>
        <w:rPr>
          <w:rFonts w:ascii="IRNazanin" w:hAnsi="IRNazanin" w:eastAsia="IRNazanin"/>
          <w:color w:val="111111"/>
          <w:sz w:val="28"/>
          <w:sz w:val="28"/>
          <w:szCs w:val="28"/>
          <w:rtl w:val="true"/>
          <w:lang w:bidi="fa-IR"/>
        </w:rPr>
        <w:t>کالموثّق و الحسن و القویّ و الضعیف المنجبر بالشهرة و نحوها من القرائن الاجتهادیّة و الصحیح المختلف فی صحّته؛ لعدم</w:t>
      </w:r>
      <w:r>
        <w:rPr>
          <w:rStyle w:val="FootnoteAnchor"/>
          <w:rtl w:val="true"/>
        </w:rPr>
        <w:footnoteReference w:id="1690"/>
      </w:r>
      <w:r>
        <w:rPr>
          <w:rFonts w:ascii="IRNazanin" w:hAnsi="IRNazanin" w:eastAsia="IRNazanin"/>
          <w:color w:val="111111"/>
          <w:sz w:val="28"/>
          <w:sz w:val="28"/>
          <w:szCs w:val="28"/>
          <w:rtl w:val="true"/>
          <w:lang w:bidi="fa-IR"/>
        </w:rPr>
        <w:t>ثبوت</w:t>
      </w:r>
      <w:bookmarkStart w:id="515" w:name="pg19819_193830"/>
    </w:p>
    <w:p>
      <w:pPr>
        <w:pStyle w:val="BookText"/>
        <w:rPr/>
      </w:pPr>
      <w:bookmarkEnd w:id="515"/>
      <w:r>
        <w:rPr>
          <w:rFonts w:ascii="Amiri" w:hAnsi="Amiri" w:eastAsia="Amiri" w:cs="Amiri"/>
          <w:color w:val="111111"/>
          <w:sz w:val="28"/>
          <w:sz w:val="28"/>
          <w:szCs w:val="28"/>
          <w:rtl w:val="true"/>
          <w:lang w:bidi="ar-SA"/>
        </w:rPr>
        <w:t>عدالة رواته أو بعضهم بما</w:t>
      </w:r>
      <w:r>
        <w:rPr>
          <w:rStyle w:val="FootnoteAnchor"/>
          <w:rtl w:val="true"/>
        </w:rPr>
        <w:footnoteReference w:id="1691"/>
      </w:r>
      <w:r>
        <w:rPr>
          <w:rFonts w:ascii="IRNazanin" w:hAnsi="IRNazanin" w:eastAsia="IRNazanin"/>
          <w:color w:val="111111"/>
          <w:sz w:val="28"/>
          <w:sz w:val="28"/>
          <w:szCs w:val="28"/>
          <w:rtl w:val="true"/>
          <w:lang w:bidi="fa-IR"/>
        </w:rPr>
        <w:t>مرّ إلیه الإشارة، بل بنحو من تزکیة الواحد أو شهادة</w:t>
      </w:r>
      <w:r>
        <w:rPr>
          <w:rStyle w:val="FootnoteAnchor"/>
          <w:rtl w:val="true"/>
        </w:rPr>
        <w:footnoteReference w:id="1692"/>
      </w:r>
      <w:r>
        <w:rPr>
          <w:rFonts w:ascii="IRNazanin" w:hAnsi="IRNazanin" w:eastAsia="IRNazanin"/>
          <w:color w:val="111111"/>
          <w:sz w:val="28"/>
          <w:sz w:val="28"/>
          <w:szCs w:val="28"/>
          <w:rtl w:val="true"/>
          <w:lang w:bidi="fa-IR"/>
        </w:rPr>
        <w:t>القرائن و</w:t>
      </w:r>
      <w:r>
        <w:rPr>
          <w:rStyle w:val="FootnoteAnchor"/>
          <w:rtl w:val="true"/>
        </w:rPr>
        <w:footnoteReference w:id="1693"/>
      </w:r>
      <w:r>
        <w:rPr>
          <w:rFonts w:ascii="IRNazanin" w:hAnsi="IRNazanin" w:eastAsia="IRNazanin"/>
          <w:color w:val="111111"/>
          <w:sz w:val="28"/>
          <w:sz w:val="28"/>
          <w:szCs w:val="28"/>
          <w:rtl w:val="true"/>
          <w:lang w:bidi="fa-IR"/>
        </w:rPr>
        <w:t>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اتفاق</w:t>
      </w:r>
      <w:r>
        <w:rPr>
          <w:rStyle w:val="FootnoteAnchor"/>
          <w:rtl w:val="true"/>
        </w:rPr>
        <w:footnoteReference w:id="1694"/>
      </w:r>
      <w:r>
        <w:rPr>
          <w:rFonts w:ascii="IRNazanin" w:hAnsi="IRNazanin" w:eastAsia="IRNazanin"/>
          <w:color w:val="111111"/>
          <w:sz w:val="28"/>
          <w:sz w:val="28"/>
          <w:szCs w:val="28"/>
          <w:rtl w:val="true"/>
          <w:lang w:bidi="fa-IR"/>
        </w:rPr>
        <w:t>علی حجّیّتها، کیف لا و قد أنکر جماعة من الفضلاء</w:t>
      </w:r>
      <w:r>
        <w:rPr>
          <w:rStyle w:val="FootnoteAnchor"/>
          <w:rtl w:val="true"/>
        </w:rPr>
        <w:footnoteReference w:id="1695"/>
      </w:r>
      <w:r>
        <w:rPr>
          <w:rFonts w:ascii="IRNazanin" w:hAnsi="IRNazanin" w:eastAsia="IRNazanin"/>
          <w:color w:val="111111"/>
          <w:sz w:val="28"/>
          <w:sz w:val="28"/>
          <w:szCs w:val="28"/>
          <w:rtl w:val="true"/>
          <w:lang w:bidi="fa-IR"/>
        </w:rPr>
        <w:t>حجّیّة ما عدا الصحیح منها، و بعضهم ألحقوا</w:t>
      </w:r>
      <w:r>
        <w:rPr>
          <w:rStyle w:val="FootnoteAnchor"/>
          <w:rtl w:val="true"/>
        </w:rPr>
        <w:footnoteReference w:id="1696"/>
      </w:r>
      <w:r>
        <w:rPr>
          <w:rFonts w:ascii="IRNazanin" w:hAnsi="IRNazanin" w:eastAsia="IRNazanin"/>
          <w:color w:val="111111"/>
          <w:sz w:val="28"/>
          <w:sz w:val="28"/>
          <w:szCs w:val="28"/>
          <w:rtl w:val="true"/>
          <w:lang w:bidi="fa-IR"/>
        </w:rPr>
        <w:t>به فی الحجّیة الموثّق و الحسن و الخبر المنجبر بالشهرة، و بعضهم نقص، و بعضهم زاد</w:t>
      </w:r>
      <w:r>
        <w:rPr>
          <w:rStyle w:val="FootnoteAnchor"/>
          <w:rtl w:val="true"/>
        </w:rPr>
        <w:footnoteReference w:id="1697"/>
      </w:r>
      <w:r>
        <w:rPr>
          <w:rFonts w:ascii="IRNazanin" w:hAnsi="IRNazanin" w:eastAsia="IRNazanin"/>
          <w:color w:val="111111"/>
          <w:sz w:val="28"/>
          <w:sz w:val="28"/>
          <w:szCs w:val="28"/>
          <w:rtl w:val="true"/>
          <w:lang w:bidi="fa-IR"/>
        </w:rPr>
        <w:t>علیه</w:t>
      </w:r>
      <w:r>
        <w:rPr>
          <w:rStyle w:val="FootnoteAnchor"/>
          <w:rtl w:val="true"/>
        </w:rPr>
        <w:footnoteReference w:id="1698"/>
      </w:r>
      <w:r>
        <w:rPr>
          <w:rFonts w:ascii="IRNazanin" w:hAnsi="IRNazanin" w:eastAsia="IRNazanin"/>
          <w:color w:val="111111"/>
          <w:sz w:val="28"/>
          <w:sz w:val="28"/>
          <w:szCs w:val="28"/>
          <w:rtl w:val="true"/>
          <w:lang w:bidi="fa-IR"/>
        </w:rPr>
        <w:t>فلا دلیل قاطع علی حجّیّة ما عدا الصحیح من أخبار الآحاد، و ینحصر الحجّة</w:t>
      </w:r>
      <w:r>
        <w:rPr>
          <w:rStyle w:val="FootnoteAnchor"/>
          <w:rtl w:val="true"/>
        </w:rPr>
        <w:footnoteReference w:id="1699"/>
      </w:r>
      <w:r>
        <w:rPr>
          <w:rFonts w:ascii="IRNazanin" w:hAnsi="IRNazanin" w:eastAsia="IRNazanin"/>
          <w:color w:val="111111"/>
          <w:sz w:val="28"/>
          <w:sz w:val="28"/>
          <w:szCs w:val="28"/>
          <w:rtl w:val="true"/>
          <w:lang w:bidi="fa-IR"/>
        </w:rPr>
        <w:t>فیه علی تقدیر تسلیم</w:t>
      </w:r>
      <w:r>
        <w:rPr>
          <w:rStyle w:val="FootnoteAnchor"/>
          <w:rtl w:val="true"/>
        </w:rPr>
        <w:footnoteReference w:id="1700"/>
      </w:r>
      <w:r>
        <w:rPr>
          <w:rFonts w:ascii="IRNazanin" w:hAnsi="IRNazanin" w:eastAsia="IRNazanin"/>
          <w:color w:val="111111"/>
          <w:sz w:val="28"/>
          <w:sz w:val="28"/>
          <w:szCs w:val="28"/>
          <w:rtl w:val="true"/>
          <w:lang w:bidi="fa-IR"/>
        </w:rPr>
        <w:t>دلیل قاطع علیه، و یأتی فی الاقتصار علیه دون باقی الأنواع المحذور السابق من الخروج عن</w:t>
      </w:r>
      <w:r>
        <w:rPr>
          <w:rStyle w:val="FootnoteAnchor"/>
          <w:rtl w:val="true"/>
        </w:rPr>
        <w:footnoteReference w:id="1701"/>
      </w:r>
      <w:r>
        <w:rPr>
          <w:rFonts w:ascii="IRNazanin" w:hAnsi="IRNazanin" w:eastAsia="IRNazanin"/>
          <w:color w:val="111111"/>
          <w:sz w:val="28"/>
          <w:sz w:val="28"/>
          <w:szCs w:val="28"/>
          <w:rtl w:val="true"/>
          <w:lang w:bidi="fa-IR"/>
        </w:rPr>
        <w:t>الدین و إن کان أخفّ منه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فإنّ أکثر الأحکام الشرعیة مستفادة من الأخبار الغیر الصحیحة أو</w:t>
      </w:r>
      <w:r>
        <w:rPr>
          <w:rStyle w:val="FootnoteAnchor"/>
          <w:rtl w:val="true"/>
        </w:rPr>
        <w:footnoteReference w:id="1702"/>
      </w:r>
      <w:r>
        <w:rPr>
          <w:rFonts w:ascii="IRNazanin" w:hAnsi="IRNazanin" w:eastAsia="IRNazanin"/>
          <w:color w:val="111111"/>
          <w:sz w:val="28"/>
          <w:sz w:val="28"/>
          <w:szCs w:val="28"/>
          <w:rtl w:val="true"/>
          <w:lang w:bidi="fa-IR"/>
        </w:rPr>
        <w:t>الصحیحة الغیر المتّفق علی صحّتها، أو</w:t>
      </w:r>
      <w:r>
        <w:rPr>
          <w:rStyle w:val="FootnoteAnchor"/>
          <w:rtl w:val="true"/>
        </w:rPr>
        <w:footnoteReference w:id="1703"/>
      </w:r>
      <w:r>
        <w:rPr>
          <w:rFonts w:ascii="Amiri" w:hAnsi="Amiri" w:eastAsia="Amiri" w:cs="Amiri"/>
          <w:color w:val="111111"/>
          <w:sz w:val="28"/>
          <w:sz w:val="28"/>
          <w:szCs w:val="28"/>
          <w:rtl w:val="true"/>
          <w:lang w:bidi="ar-SA"/>
        </w:rPr>
        <w:t>المتّفق علی صحّتها</w:t>
      </w:r>
      <w:r>
        <w:rPr>
          <w:rStyle w:val="FootnoteAnchor"/>
          <w:rtl w:val="true"/>
        </w:rPr>
        <w:footnoteReference w:id="1704"/>
      </w:r>
      <w:r>
        <w:rPr>
          <w:rFonts w:ascii="IRNazanin" w:hAnsi="IRNazanin" w:eastAsia="IRNazanin"/>
          <w:color w:val="111111"/>
          <w:sz w:val="28"/>
          <w:sz w:val="28"/>
          <w:szCs w:val="28"/>
          <w:rtl w:val="true"/>
          <w:lang w:bidi="fa-IR"/>
        </w:rPr>
        <w:t>و</w:t>
      </w:r>
      <w:r>
        <w:rPr>
          <w:rStyle w:val="FootnoteAnchor"/>
          <w:rtl w:val="true"/>
        </w:rPr>
        <w:footnoteReference w:id="1705"/>
      </w:r>
      <w:r>
        <w:rPr>
          <w:rFonts w:ascii="IRNazanin" w:hAnsi="IRNazanin" w:eastAsia="IRNazanin"/>
          <w:color w:val="111111"/>
          <w:sz w:val="28"/>
          <w:sz w:val="28"/>
          <w:szCs w:val="28"/>
          <w:rtl w:val="true"/>
          <w:lang w:bidi="fa-IR"/>
        </w:rPr>
        <w:t>لکن لها معارض من قبیلها</w:t>
      </w:r>
      <w:r>
        <w:rPr>
          <w:rStyle w:val="FootnoteAnchor"/>
          <w:rtl w:val="true"/>
        </w:rPr>
        <w:footnoteReference w:id="1706"/>
      </w:r>
      <w:r>
        <w:rPr>
          <w:rFonts w:ascii="IRNazanin" w:hAnsi="IRNazanin" w:eastAsia="IRNazanin"/>
          <w:color w:val="111111"/>
          <w:sz w:val="28"/>
          <w:sz w:val="28"/>
          <w:szCs w:val="28"/>
          <w:rtl w:val="true"/>
          <w:lang w:bidi="fa-IR"/>
        </w:rPr>
        <w:t>لا یمکن الترجیح بینهما إلّا بالظنون الاجتهادیّة التی لا دلیل</w:t>
      </w:r>
      <w:r>
        <w:rPr>
          <w:rStyle w:val="FootnoteAnchor"/>
          <w:rtl w:val="true"/>
        </w:rPr>
        <w:footnoteReference w:id="1707"/>
      </w:r>
      <w:r>
        <w:rPr>
          <w:rFonts w:ascii="IRNazanin" w:hAnsi="IRNazanin" w:eastAsia="IRNazanin"/>
          <w:color w:val="111111"/>
          <w:sz w:val="28"/>
          <w:sz w:val="28"/>
          <w:szCs w:val="28"/>
          <w:rtl w:val="true"/>
          <w:lang w:bidi="fa-IR"/>
        </w:rPr>
        <w:t>علی</w:t>
      </w:r>
      <w:r>
        <w:rPr>
          <w:rStyle w:val="FootnoteAnchor"/>
          <w:rtl w:val="true"/>
        </w:rPr>
        <w:footnoteReference w:id="1708"/>
      </w:r>
      <w:r>
        <w:rPr>
          <w:rFonts w:ascii="IRNazanin" w:hAnsi="IRNazanin" w:eastAsia="IRNazanin"/>
          <w:color w:val="111111"/>
          <w:sz w:val="28"/>
          <w:sz w:val="28"/>
          <w:szCs w:val="28"/>
          <w:rtl w:val="true"/>
          <w:lang w:bidi="fa-IR"/>
        </w:rPr>
        <w:t>حجّیّة کثیر منها کما لا یخفی</w:t>
      </w:r>
      <w:r>
        <w:rPr>
          <w:rFonts w:eastAsia="IRNazanin" w:cs="IRNazanin"/>
          <w:color w:val="111111"/>
          <w:sz w:val="28"/>
          <w:szCs w:val="28"/>
          <w:rtl w:val="true"/>
          <w:lang w:bidi="fa-IR"/>
        </w:rPr>
        <w:t>.</w:t>
      </w:r>
    </w:p>
    <w:p>
      <w:pPr>
        <w:pStyle w:val="Heading4"/>
        <w:numPr>
          <w:ilvl w:val="3"/>
          <w:numId w:val="1"/>
        </w:numPr>
        <w:rPr/>
      </w:pPr>
      <w:bookmarkStart w:id="516" w:name="__RefHeading___Toc3055781_2314609296"/>
      <w:bookmarkStart w:id="517" w:name="_Toc194"/>
      <w:bookmarkEnd w:id="516"/>
      <w:r>
        <w:rPr>
          <w:rtl w:val="true"/>
        </w:rPr>
        <w:t>[</w:t>
      </w:r>
      <w:r>
        <w:rPr>
          <w:rtl w:val="true"/>
        </w:rPr>
        <w:t>اختلال فقه صاحب المدارک</w:t>
      </w:r>
      <w:r>
        <w:rPr>
          <w:rtl w:val="true"/>
        </w:rPr>
        <w:t>:]</w:t>
      </w:r>
      <w:bookmarkEnd w:id="517"/>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نری</w:t>
      </w:r>
      <w:r>
        <w:rPr>
          <w:rStyle w:val="FootnoteAnchor"/>
          <w:rtl w:val="true"/>
        </w:rPr>
        <w:footnoteReference w:id="1709"/>
      </w:r>
      <w:r>
        <w:rPr>
          <w:rFonts w:ascii="IRNazanin" w:hAnsi="IRNazanin" w:eastAsia="IRNazanin"/>
          <w:color w:val="111111"/>
          <w:sz w:val="28"/>
          <w:sz w:val="28"/>
          <w:szCs w:val="28"/>
          <w:rtl w:val="true"/>
          <w:lang w:bidi="fa-IR"/>
        </w:rPr>
        <w:t>أنّ مثل صاحب المدارک و غیره ممّن یقتصر</w:t>
      </w:r>
      <w:r>
        <w:rPr>
          <w:rStyle w:val="FootnoteAnchor"/>
          <w:rtl w:val="true"/>
        </w:rPr>
        <w:footnoteReference w:id="1710"/>
      </w:r>
      <w:r>
        <w:rPr>
          <w:rFonts w:ascii="IRNazanin" w:hAnsi="IRNazanin" w:eastAsia="IRNazanin"/>
          <w:color w:val="111111"/>
          <w:sz w:val="28"/>
          <w:sz w:val="28"/>
          <w:szCs w:val="28"/>
          <w:rtl w:val="true"/>
          <w:lang w:bidi="fa-IR"/>
        </w:rPr>
        <w:t>فی الأخبار</w:t>
      </w:r>
      <w:r>
        <w:rPr>
          <w:rStyle w:val="FootnoteAnchor"/>
          <w:rtl w:val="true"/>
        </w:rPr>
        <w:footnoteReference w:id="1711"/>
      </w:r>
      <w:r>
        <w:rPr>
          <w:rFonts w:ascii="Amiri" w:hAnsi="Amiri" w:eastAsia="Amiri" w:cs="Amiri"/>
          <w:color w:val="111111"/>
          <w:sz w:val="28"/>
          <w:sz w:val="28"/>
          <w:szCs w:val="28"/>
          <w:rtl w:val="true"/>
          <w:lang w:bidi="ar-SA"/>
        </w:rPr>
        <w:t>علی ما صحّ</w:t>
      </w:r>
    </w:p>
    <w:p>
      <w:pPr>
        <w:pStyle w:val="BookText"/>
        <w:rPr/>
      </w:pPr>
      <w:r>
        <w:rPr>
          <w:rFonts w:ascii="Amiri" w:hAnsi="Amiri" w:eastAsia="Amiri" w:cs="Amiri"/>
          <w:color w:val="111111"/>
          <w:sz w:val="28"/>
          <w:sz w:val="28"/>
          <w:szCs w:val="28"/>
          <w:rtl w:val="true"/>
          <w:lang w:bidi="ar-SA"/>
        </w:rPr>
        <w:t>عدالة رواته بالعلم أو نحو</w:t>
      </w:r>
      <w:r>
        <w:rPr>
          <w:rStyle w:val="FootnoteAnchor"/>
          <w:rtl w:val="true"/>
        </w:rPr>
        <w:footnoteReference w:id="1712"/>
      </w:r>
      <w:r>
        <w:rPr>
          <w:rFonts w:ascii="IRNazanin" w:hAnsi="IRNazanin" w:eastAsia="IRNazanin"/>
          <w:color w:val="111111"/>
          <w:sz w:val="28"/>
          <w:sz w:val="28"/>
          <w:szCs w:val="28"/>
          <w:rtl w:val="true"/>
          <w:lang w:bidi="fa-IR"/>
        </w:rPr>
        <w:t>البیّنة الشرعیّة القائمة مقامه شرعا یختلّ نظام أحکامه، و لا یتمکّن من إثباتها علی طریقته غالبا، فتارة</w:t>
      </w:r>
      <w:r>
        <w:rPr>
          <w:rStyle w:val="FootnoteAnchor"/>
          <w:rtl w:val="true"/>
        </w:rPr>
        <w:footnoteReference w:id="1713"/>
      </w:r>
      <w:r>
        <w:rPr>
          <w:rFonts w:ascii="IRNazanin" w:hAnsi="IRNazanin" w:eastAsia="IRNazanin"/>
          <w:color w:val="111111"/>
          <w:sz w:val="28"/>
          <w:sz w:val="28"/>
          <w:szCs w:val="28"/>
          <w:rtl w:val="true"/>
          <w:lang w:bidi="fa-IR"/>
        </w:rPr>
        <w:t>یستشکل و یبقی علی الإشکال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موافقة الأصحاب من دون دلیل مشکل، و مخالفتهم و التخلّف عنهم</w:t>
      </w:r>
      <w:r>
        <w:rPr>
          <w:rStyle w:val="FootnoteAnchor"/>
          <w:rtl w:val="true"/>
        </w:rPr>
        <w:footnoteReference w:id="1714"/>
      </w:r>
      <w:r>
        <w:rPr>
          <w:rFonts w:ascii="IRNazanin" w:hAnsi="IRNazanin" w:eastAsia="IRNazanin"/>
          <w:color w:val="111111"/>
          <w:sz w:val="28"/>
          <w:sz w:val="28"/>
          <w:szCs w:val="28"/>
          <w:rtl w:val="true"/>
          <w:lang w:bidi="fa-IR"/>
        </w:rPr>
        <w:t>أشکل</w:t>
      </w:r>
      <w:r>
        <w:rPr>
          <w:rStyle w:val="FootnoteAnchor"/>
          <w:rtl w:val="true"/>
        </w:rPr>
        <w:footnoteReference w:id="1715"/>
      </w:r>
      <w:r>
        <w:rPr>
          <w:rFonts w:ascii="IRNazanin" w:hAnsi="IRNazanin" w:eastAsia="IRNazanin"/>
          <w:color w:val="111111"/>
          <w:sz w:val="28"/>
          <w:sz w:val="28"/>
          <w:szCs w:val="28"/>
          <w:rtl w:val="true"/>
          <w:lang w:bidi="fa-IR"/>
        </w:rPr>
        <w:t>أو بالعکس، و اخری یخالف طریقته و یوافقهم، و لیس ذلک إلّا من حیث إنّ الجری علی تلک الطریقة یستلزم اختلال کثیر من الأحکام الشرعیّة کما لا یخفی علی من له أدنی فهم و بصیرة</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و علی هذا فلا معدل عن</w:t>
      </w:r>
      <w:r>
        <w:rPr>
          <w:rStyle w:val="FootnoteAnchor"/>
          <w:rtl w:val="true"/>
        </w:rPr>
        <w:footnoteReference w:id="1718"/>
      </w:r>
      <w:r>
        <w:rPr>
          <w:rFonts w:ascii="IRNazanin" w:hAnsi="IRNazanin" w:eastAsia="IRNazanin"/>
          <w:color w:val="111111"/>
          <w:sz w:val="28"/>
          <w:sz w:val="28"/>
          <w:szCs w:val="28"/>
          <w:rtl w:val="true"/>
          <w:lang w:bidi="fa-IR"/>
        </w:rPr>
        <w:t>اعتبار المظنّة من حیث هی فی الأحکام الشرعیّة و لا مندوحة، و قد عرفت أنّ جهات الظنّ إذا کانت مختلفة ضعفا و قوّة لزم الرجوع إلی أقواها بالضرورة؛ لتقبیح العقل ترجیح المرجوح علی الراجح، و سبق أیضا أنّ الشهرة ربّما یستفاد منها ما لا یستفاد من سائر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بنحو هذا یجاب عن الآیات المستدلّ بها علی حجّیّة الآحاد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719"/>
      </w:r>
      <w:r>
        <w:rPr>
          <w:rFonts w:ascii="IRNazanin" w:hAnsi="IRNazanin" w:eastAsia="IRNazanin"/>
          <w:color w:val="111111"/>
          <w:sz w:val="28"/>
          <w:sz w:val="28"/>
          <w:szCs w:val="28"/>
          <w:rtl w:val="true"/>
          <w:lang w:bidi="fa-IR"/>
        </w:rPr>
        <w:t>بعد تصحیح الاستدلال بها بالذبّ عمّا اورد علیه سابقا من الإجماع المنقول علی عدم حجّیّتها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خبر واحد مخالف للکتاب فیطرح اتّفاقا نصّا و فتوی و اعتبارا، و ذلک فإنّها ما دلّت إلّا علی حجّیّة الخبر</w:t>
      </w:r>
      <w:r>
        <w:rPr>
          <w:rStyle w:val="FootnoteAnchor"/>
          <w:rtl w:val="true"/>
        </w:rPr>
        <w:footnoteReference w:id="1720"/>
      </w:r>
      <w:r>
        <w:rPr>
          <w:rFonts w:ascii="IRNazanin" w:hAnsi="IRNazanin" w:eastAsia="IRNazanin"/>
          <w:color w:val="111111"/>
          <w:sz w:val="28"/>
          <w:sz w:val="28"/>
          <w:szCs w:val="28"/>
          <w:rtl w:val="true"/>
          <w:lang w:bidi="fa-IR"/>
        </w:rPr>
        <w:t>الصحیح المتّفق علی صحّته أو</w:t>
      </w:r>
      <w:r>
        <w:rPr>
          <w:rStyle w:val="FootnoteAnchor"/>
          <w:rtl w:val="true"/>
        </w:rPr>
        <w:footnoteReference w:id="1721"/>
      </w:r>
      <w:bookmarkStart w:id="518" w:name="pg19819_193832"/>
    </w:p>
    <w:p>
      <w:pPr>
        <w:pStyle w:val="BookText"/>
        <w:rPr/>
      </w:pPr>
      <w:bookmarkEnd w:id="518"/>
      <w:r>
        <w:rPr>
          <w:rFonts w:ascii="IRNazanin" w:hAnsi="IRNazanin" w:eastAsia="IRNazanin"/>
          <w:color w:val="111111"/>
          <w:sz w:val="28"/>
          <w:sz w:val="28"/>
          <w:szCs w:val="28"/>
          <w:rtl w:val="true"/>
          <w:lang w:bidi="fa-IR"/>
        </w:rPr>
        <w:t>الضعیف المستظهر صدقه المثبت</w:t>
      </w:r>
      <w:r>
        <w:rPr>
          <w:rStyle w:val="FootnoteAnchor"/>
          <w:rtl w:val="true"/>
        </w:rPr>
        <w:footnoteReference w:id="1722"/>
      </w:r>
      <w:r>
        <w:rPr>
          <w:rFonts w:ascii="IRNazanin" w:hAnsi="IRNazanin" w:eastAsia="IRNazanin"/>
          <w:color w:val="111111"/>
          <w:sz w:val="28"/>
          <w:sz w:val="28"/>
          <w:szCs w:val="28"/>
          <w:rtl w:val="true"/>
          <w:lang w:bidi="fa-IR"/>
        </w:rPr>
        <w:t>بالبیّن القطعی من إجماع أو غیره من الأدلّة القاطعة دون الظنّی لما یأتی، و یأتی فی الاقتصار علیها ما مضی کما لا یخفی</w:t>
      </w:r>
      <w:r>
        <w:rPr>
          <w:rFonts w:eastAsia="IRNazanin" w:cs="IRNazanin"/>
          <w:color w:val="111111"/>
          <w:sz w:val="28"/>
          <w:szCs w:val="28"/>
          <w:rtl w:val="true"/>
          <w:lang w:bidi="fa-IR"/>
        </w:rPr>
        <w:t>.</w:t>
      </w:r>
    </w:p>
    <w:p>
      <w:pPr>
        <w:pStyle w:val="Heading4"/>
        <w:numPr>
          <w:ilvl w:val="3"/>
          <w:numId w:val="1"/>
        </w:numPr>
        <w:rPr/>
      </w:pPr>
      <w:bookmarkStart w:id="519" w:name="__RefHeading___Toc3055783_2314609296"/>
      <w:bookmarkStart w:id="520" w:name="_Toc195"/>
      <w:bookmarkEnd w:id="519"/>
      <w:r>
        <w:rPr>
          <w:rtl w:val="true"/>
        </w:rPr>
        <w:t>[</w:t>
      </w:r>
      <w:r>
        <w:rPr>
          <w:rtl w:val="true"/>
        </w:rPr>
        <w:t>وجه آخر للمؤلّف علی إثبات الملازمة و کلیّة الکبری</w:t>
      </w:r>
      <w:r>
        <w:rPr>
          <w:rtl w:val="true"/>
        </w:rPr>
        <w:t>:]</w:t>
      </w:r>
      <w:bookmarkEnd w:id="520"/>
    </w:p>
    <w:p>
      <w:pPr>
        <w:pStyle w:val="BookText"/>
        <w:rPr/>
      </w:pPr>
      <w:r>
        <w:rPr>
          <w:rFonts w:ascii="IRNazanin" w:hAnsi="IRNazanin" w:eastAsia="IRNazanin"/>
          <w:color w:val="111111"/>
          <w:sz w:val="28"/>
          <w:sz w:val="28"/>
          <w:szCs w:val="28"/>
          <w:rtl w:val="true"/>
          <w:lang w:bidi="fa-IR"/>
        </w:rPr>
        <w:t>هذا، و لنا</w:t>
      </w:r>
      <w:r>
        <w:rPr>
          <w:rStyle w:val="FootnoteAnchor"/>
          <w:rtl w:val="true"/>
        </w:rPr>
        <w:footnoteReference w:id="1723"/>
      </w:r>
      <w:r>
        <w:rPr>
          <w:rFonts w:ascii="IRNazanin" w:hAnsi="IRNazanin" w:eastAsia="IRNazanin"/>
          <w:color w:val="111111"/>
          <w:sz w:val="28"/>
          <w:sz w:val="28"/>
          <w:szCs w:val="28"/>
          <w:rtl w:val="true"/>
          <w:lang w:bidi="fa-IR"/>
        </w:rPr>
        <w:t>علی إثبات الملازمة و کلّیّة الکبری المستفادة</w:t>
      </w:r>
      <w:r>
        <w:rPr>
          <w:rStyle w:val="FootnoteAnchor"/>
          <w:rtl w:val="true"/>
        </w:rPr>
        <w:footnoteReference w:id="1724"/>
      </w:r>
      <w:r>
        <w:rPr>
          <w:rFonts w:ascii="IRNazanin" w:hAnsi="IRNazanin" w:eastAsia="IRNazanin"/>
          <w:color w:val="111111"/>
          <w:sz w:val="28"/>
          <w:sz w:val="28"/>
          <w:szCs w:val="28"/>
          <w:rtl w:val="true"/>
          <w:lang w:bidi="fa-IR"/>
        </w:rPr>
        <w:t>منها فی الدلیل الرابع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ریب فی أنّه دلّ علی حجّیّة الظنّ، و لا یخلو إمّا أن یکون من حیث المظنّة فهو المطلوب، أو من حیث الخصوصیّة، فلا سبیل</w:t>
      </w:r>
      <w:r>
        <w:rPr>
          <w:rStyle w:val="FootnoteAnchor"/>
          <w:rtl w:val="true"/>
        </w:rPr>
        <w:footnoteReference w:id="1725"/>
      </w:r>
      <w:r>
        <w:rPr>
          <w:rFonts w:ascii="IRNazanin" w:hAnsi="IRNazanin" w:eastAsia="IRNazanin"/>
          <w:color w:val="111111"/>
          <w:sz w:val="28"/>
          <w:sz w:val="28"/>
          <w:szCs w:val="28"/>
          <w:rtl w:val="true"/>
          <w:lang w:bidi="fa-IR"/>
        </w:rPr>
        <w:t>إلیه بعد ما تقرّر سابقا و تمهّد من أنّ الظنّ المستفاد من نحو أخبار الآحاد و الشهرة أقوی ممّا یستفاد من غیرها</w:t>
      </w:r>
      <w:r>
        <w:rPr>
          <w:rStyle w:val="FootnoteAnchor"/>
          <w:rtl w:val="true"/>
        </w:rPr>
        <w:footnoteReference w:id="1726"/>
      </w:r>
      <w:r>
        <w:rPr>
          <w:rFonts w:ascii="IRNazanin" w:hAnsi="IRNazanin" w:eastAsia="IRNazanin"/>
          <w:color w:val="111111"/>
          <w:sz w:val="28"/>
          <w:sz w:val="28"/>
          <w:szCs w:val="28"/>
          <w:rtl w:val="true"/>
          <w:lang w:bidi="fa-IR"/>
        </w:rPr>
        <w:t>من الظنون المخصوصة کأصالة البراءة، و</w:t>
      </w:r>
      <w:r>
        <w:rPr>
          <w:rStyle w:val="FootnoteAnchor"/>
          <w:rtl w:val="true"/>
        </w:rPr>
        <w:footnoteReference w:id="1727"/>
      </w:r>
      <w:r>
        <w:rPr>
          <w:rFonts w:ascii="Amiri" w:hAnsi="Amiri" w:eastAsia="Amiri" w:cs="Amiri"/>
          <w:color w:val="111111"/>
          <w:sz w:val="28"/>
          <w:sz w:val="28"/>
          <w:szCs w:val="28"/>
          <w:rtl w:val="true"/>
          <w:lang w:bidi="ar-SA"/>
        </w:rPr>
        <w:t>أنّه</w:t>
      </w:r>
      <w:r>
        <w:rPr>
          <w:rStyle w:val="FootnoteAnchor"/>
          <w:rtl w:val="true"/>
        </w:rPr>
        <w:footnoteReference w:id="1728"/>
      </w:r>
      <w:r>
        <w:rPr>
          <w:rFonts w:ascii="IRNazanin" w:hAnsi="IRNazanin" w:eastAsia="IRNazanin"/>
          <w:color w:val="111111"/>
          <w:sz w:val="28"/>
          <w:sz w:val="28"/>
          <w:szCs w:val="28"/>
          <w:rtl w:val="true"/>
          <w:lang w:bidi="fa-IR"/>
        </w:rPr>
        <w:t>حیثما تعارضا لزم العمل بأقواهما؛</w:t>
      </w:r>
      <w:r>
        <w:rPr>
          <w:rStyle w:val="FootnoteAnchor"/>
          <w:rtl w:val="true"/>
        </w:rPr>
        <w:footnoteReference w:id="1729"/>
      </w:r>
      <w:r>
        <w:rPr>
          <w:rFonts w:ascii="IRNazanin" w:hAnsi="IRNazanin" w:eastAsia="IRNazanin"/>
          <w:color w:val="111111"/>
          <w:sz w:val="28"/>
          <w:sz w:val="28"/>
          <w:szCs w:val="28"/>
          <w:rtl w:val="true"/>
          <w:lang w:bidi="fa-IR"/>
        </w:rPr>
        <w:t>لکونه</w:t>
      </w:r>
      <w:r>
        <w:rPr>
          <w:rStyle w:val="FootnoteAnchor"/>
          <w:rtl w:val="true"/>
        </w:rPr>
        <w:footnoteReference w:id="1730"/>
      </w:r>
      <w:r>
        <w:rPr>
          <w:rFonts w:ascii="IRNazanin" w:hAnsi="IRNazanin" w:eastAsia="IRNazanin"/>
          <w:color w:val="111111"/>
          <w:sz w:val="28"/>
          <w:sz w:val="28"/>
          <w:szCs w:val="28"/>
          <w:rtl w:val="true"/>
          <w:lang w:bidi="fa-IR"/>
        </w:rPr>
        <w:t>راجحا و الضعیف مرجوحا، و ترجیح المرجوح علی الراجح قبیح عقلا فکذا شرعا، و حینئذ فاحتمال الخصوصیّة یستلزم ترجیح الشارع المرجوح بتخصیصه له</w:t>
      </w:r>
      <w:r>
        <w:rPr>
          <w:rStyle w:val="FootnoteAnchor"/>
          <w:rtl w:val="true"/>
        </w:rPr>
        <w:footnoteReference w:id="1731"/>
      </w:r>
      <w:r>
        <w:rPr>
          <w:rFonts w:ascii="IRNazanin" w:hAnsi="IRNazanin" w:eastAsia="IRNazanin"/>
          <w:color w:val="111111"/>
          <w:sz w:val="28"/>
          <w:sz w:val="28"/>
          <w:szCs w:val="28"/>
          <w:rtl w:val="true"/>
          <w:lang w:bidi="fa-IR"/>
        </w:rPr>
        <w:t>لفضیلة</w:t>
      </w:r>
      <w:r>
        <w:rPr>
          <w:rStyle w:val="FootnoteAnchor"/>
          <w:rtl w:val="true"/>
        </w:rPr>
        <w:footnoteReference w:id="1732"/>
      </w:r>
      <w:r>
        <w:rPr>
          <w:rFonts w:ascii="IRNazanin" w:hAnsi="IRNazanin" w:eastAsia="IRNazanin"/>
          <w:color w:val="111111"/>
          <w:sz w:val="28"/>
          <w:sz w:val="28"/>
          <w:szCs w:val="28"/>
          <w:rtl w:val="true"/>
          <w:lang w:bidi="fa-IR"/>
        </w:rPr>
        <w:t>الخصوصیّة دون ما هو أرجح</w:t>
      </w:r>
      <w:r>
        <w:rPr>
          <w:rStyle w:val="FootnoteAnchor"/>
          <w:rtl w:val="true"/>
        </w:rPr>
        <w:footnoteReference w:id="1733"/>
      </w:r>
      <w:r>
        <w:rPr>
          <w:rFonts w:ascii="IRNazanin" w:hAnsi="IRNazanin" w:eastAsia="IRNazanin"/>
          <w:color w:val="111111"/>
          <w:sz w:val="28"/>
          <w:sz w:val="28"/>
          <w:szCs w:val="28"/>
          <w:rtl w:val="true"/>
          <w:lang w:bidi="fa-IR"/>
        </w:rPr>
        <w:t>منه بمراتب عدیدة، و هو باطل بالضرورة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هذا لوجب فیما إذا حصل للحاکم من شهادة العدل الواحد أو</w:t>
      </w:r>
      <w:r>
        <w:rPr>
          <w:rStyle w:val="FootnoteAnchor"/>
          <w:rtl w:val="true"/>
        </w:rPr>
        <w:footnoteReference w:id="1734"/>
      </w:r>
      <w:r>
        <w:rPr>
          <w:rFonts w:ascii="IRNazanin" w:hAnsi="IRNazanin" w:eastAsia="IRNazanin"/>
          <w:color w:val="111111"/>
          <w:sz w:val="28"/>
          <w:sz w:val="28"/>
          <w:szCs w:val="28"/>
          <w:rtl w:val="true"/>
          <w:lang w:bidi="fa-IR"/>
        </w:rPr>
        <w:t>دعواه ظنّ أقوی</w:t>
      </w:r>
      <w:r>
        <w:rPr>
          <w:rStyle w:val="FootnoteAnchor"/>
          <w:rtl w:val="true"/>
        </w:rPr>
        <w:footnoteReference w:id="1735"/>
      </w:r>
      <w:r>
        <w:rPr>
          <w:rFonts w:ascii="IRNazanin" w:hAnsi="IRNazanin" w:eastAsia="IRNazanin"/>
          <w:color w:val="111111"/>
          <w:sz w:val="28"/>
          <w:sz w:val="28"/>
          <w:szCs w:val="28"/>
          <w:rtl w:val="true"/>
          <w:lang w:bidi="fa-IR"/>
        </w:rPr>
        <w:t>من الظنّ الحاصل بشهادة العدلین أن یحکم بالواحد أو</w:t>
      </w:r>
      <w:r>
        <w:rPr>
          <w:rStyle w:val="FootnoteAnchor"/>
          <w:rtl w:val="true"/>
        </w:rPr>
        <w:footnoteReference w:id="1736"/>
      </w:r>
      <w:r>
        <w:rPr>
          <w:rFonts w:ascii="IRNazanin" w:hAnsi="IRNazanin" w:eastAsia="IRNazanin"/>
          <w:color w:val="111111"/>
          <w:sz w:val="28"/>
          <w:sz w:val="28"/>
          <w:szCs w:val="28"/>
          <w:rtl w:val="true"/>
          <w:lang w:bidi="fa-IR"/>
        </w:rPr>
        <w:t>بالدعوی، و هو</w:t>
      </w:r>
      <w:r>
        <w:rPr>
          <w:rStyle w:val="FootnoteAnchor"/>
          <w:rtl w:val="true"/>
        </w:rPr>
        <w:footnoteReference w:id="1737"/>
      </w:r>
      <w:r>
        <w:rPr>
          <w:rFonts w:ascii="IRNazanin" w:hAnsi="IRNazanin" w:eastAsia="IRNazanin"/>
          <w:color w:val="111111"/>
          <w:sz w:val="28"/>
          <w:sz w:val="28"/>
          <w:szCs w:val="28"/>
          <w:rtl w:val="true"/>
          <w:lang w:bidi="fa-IR"/>
        </w:rPr>
        <w:t>خلاف الإجماع</w:t>
      </w:r>
      <w:r>
        <w:rPr>
          <w:rFonts w:eastAsia="IRNazanin" w:cs="IRNazanin"/>
          <w:color w:val="111111"/>
          <w:sz w:val="28"/>
          <w:szCs w:val="28"/>
          <w:rtl w:val="true"/>
          <w:lang w:bidi="fa-IR"/>
        </w:rPr>
        <w:t>.</w:t>
      </w:r>
      <w:bookmarkStart w:id="521" w:name="pg19819_193833"/>
    </w:p>
    <w:p>
      <w:pPr>
        <w:pStyle w:val="BookText"/>
        <w:rPr/>
      </w:pPr>
      <w:bookmarkEnd w:id="52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الإجماع المدّعی هو الفارق، و لو لاه لقیل</w:t>
      </w:r>
      <w:r>
        <w:rPr>
          <w:rStyle w:val="FootnoteAnchor"/>
          <w:rtl w:val="true"/>
        </w:rPr>
        <w:footnoteReference w:id="1738"/>
      </w:r>
      <w:r>
        <w:rPr>
          <w:rFonts w:ascii="IRNazanin" w:hAnsi="IRNazanin" w:eastAsia="IRNazanin"/>
          <w:color w:val="111111"/>
          <w:sz w:val="28"/>
          <w:sz w:val="28"/>
          <w:szCs w:val="28"/>
          <w:rtl w:val="true"/>
          <w:lang w:bidi="fa-IR"/>
        </w:rPr>
        <w:t>فیه بما قلناه فی المقام، لکنّه المانع، و مثله فیما نحن فیه غیر حاصل، و علیه فیکون الأصل فی الظنون المختلفة ضعفا و قوّة لزوم الأخذ بالراجح</w:t>
      </w:r>
      <w:r>
        <w:rPr>
          <w:rStyle w:val="FootnoteAnchor"/>
          <w:rtl w:val="true"/>
        </w:rPr>
        <w:footnoteReference w:id="1739"/>
      </w:r>
      <w:r>
        <w:rPr>
          <w:rFonts w:ascii="IRNazanin" w:hAnsi="IRNazanin" w:eastAsia="IRNazanin"/>
          <w:color w:val="111111"/>
          <w:sz w:val="28"/>
          <w:sz w:val="28"/>
          <w:szCs w:val="28"/>
          <w:rtl w:val="true"/>
          <w:lang w:bidi="fa-IR"/>
        </w:rPr>
        <w:t>منها حتّی یقوم دلیل قاطع علی خلافه من إجماع</w:t>
      </w:r>
      <w:r>
        <w:rPr>
          <w:rStyle w:val="FootnoteAnchor"/>
          <w:rtl w:val="true"/>
        </w:rPr>
        <w:footnoteReference w:id="1740"/>
      </w:r>
      <w:r>
        <w:rPr>
          <w:rFonts w:ascii="IRNazanin" w:hAnsi="IRNazanin" w:eastAsia="IRNazanin"/>
          <w:color w:val="111111"/>
          <w:sz w:val="28"/>
          <w:sz w:val="28"/>
          <w:szCs w:val="28"/>
          <w:rtl w:val="true"/>
          <w:lang w:bidi="fa-IR"/>
        </w:rPr>
        <w:t>أو غیره، فیؤخذ</w:t>
      </w:r>
      <w:r>
        <w:rPr>
          <w:rStyle w:val="FootnoteAnchor"/>
          <w:rtl w:val="true"/>
        </w:rPr>
        <w:footnoteReference w:id="1741"/>
      </w:r>
      <w:r>
        <w:rPr>
          <w:rFonts w:ascii="IRNazanin" w:hAnsi="IRNazanin" w:eastAsia="IRNazanin"/>
          <w:color w:val="111111"/>
          <w:sz w:val="28"/>
          <w:sz w:val="28"/>
          <w:szCs w:val="28"/>
          <w:rtl w:val="true"/>
          <w:lang w:bidi="fa-IR"/>
        </w:rPr>
        <w:t>به کما فی مثل</w:t>
      </w:r>
      <w:r>
        <w:rPr>
          <w:rStyle w:val="FootnoteAnchor"/>
          <w:rtl w:val="true"/>
        </w:rPr>
        <w:footnoteReference w:id="1742"/>
      </w:r>
      <w:r>
        <w:rPr>
          <w:rFonts w:ascii="IRNazanin" w:hAnsi="IRNazanin" w:eastAsia="IRNazanin"/>
          <w:color w:val="111111"/>
          <w:sz w:val="28"/>
          <w:sz w:val="28"/>
          <w:szCs w:val="28"/>
          <w:rtl w:val="true"/>
          <w:lang w:bidi="fa-IR"/>
        </w:rPr>
        <w:t>النقض و غیره، لکن للتأمّل فی هذا الوجه مجال</w:t>
      </w:r>
      <w:r>
        <w:rPr>
          <w:rFonts w:eastAsia="IRNazanin" w:cs="IRNazanin"/>
          <w:color w:val="111111"/>
          <w:sz w:val="28"/>
          <w:szCs w:val="28"/>
          <w:rtl w:val="true"/>
          <w:lang w:bidi="fa-IR"/>
        </w:rPr>
        <w:t>.</w:t>
      </w:r>
    </w:p>
    <w:p>
      <w:pPr>
        <w:pStyle w:val="Heading4"/>
        <w:numPr>
          <w:ilvl w:val="3"/>
          <w:numId w:val="1"/>
        </w:numPr>
        <w:rPr/>
      </w:pPr>
      <w:bookmarkStart w:id="522" w:name="__RefHeading___Toc3055785_2314609296"/>
      <w:bookmarkStart w:id="523" w:name="_Toc196"/>
      <w:bookmarkEnd w:id="522"/>
      <w:r>
        <w:rPr>
          <w:rtl w:val="true"/>
        </w:rPr>
        <w:t>[</w:t>
      </w:r>
      <w:r>
        <w:rPr>
          <w:rtl w:val="true"/>
        </w:rPr>
        <w:t>إثبات الملازمة بوجه آخر أوضح من الوجه المتقدّم</w:t>
      </w:r>
      <w:r>
        <w:rPr>
          <w:rtl w:val="true"/>
        </w:rPr>
        <w:t>]</w:t>
      </w:r>
      <w:bookmarkEnd w:id="523"/>
    </w:p>
    <w:p>
      <w:pPr>
        <w:pStyle w:val="BookText"/>
        <w:rPr/>
      </w:pPr>
      <w:r>
        <w:rPr>
          <w:rFonts w:ascii="IRNazanin" w:hAnsi="IRNazanin" w:eastAsia="IRNazanin"/>
          <w:color w:val="111111"/>
          <w:sz w:val="28"/>
          <w:sz w:val="28"/>
          <w:szCs w:val="28"/>
          <w:rtl w:val="true"/>
          <w:lang w:bidi="fa-IR"/>
        </w:rPr>
        <w:t>و یمکن إثبات الملازمة بوجه آخر أوضح من هذا الوجه و قریب منه بل نفسه، إلّا أنّه</w:t>
      </w:r>
      <w:r>
        <w:rPr>
          <w:rStyle w:val="FootnoteAnchor"/>
          <w:rtl w:val="true"/>
        </w:rPr>
        <w:footnoteReference w:id="1743"/>
      </w:r>
      <w:r>
        <w:rPr>
          <w:rFonts w:ascii="IRNazanin" w:hAnsi="IRNazanin" w:eastAsia="IRNazanin"/>
          <w:color w:val="111111"/>
          <w:sz w:val="28"/>
          <w:sz w:val="28"/>
          <w:szCs w:val="28"/>
          <w:rtl w:val="true"/>
          <w:lang w:bidi="fa-IR"/>
        </w:rPr>
        <w:t>یقال علی التقدیر</w:t>
      </w:r>
      <w:r>
        <w:rPr>
          <w:rStyle w:val="FootnoteAnchor"/>
          <w:rtl w:val="true"/>
        </w:rPr>
        <w:footnoteReference w:id="1744"/>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مثله إذا کان ضعیفا مستلزم</w:t>
      </w:r>
      <w:r>
        <w:rPr>
          <w:rStyle w:val="FootnoteAnchor"/>
          <w:rtl w:val="true"/>
        </w:rPr>
        <w:footnoteReference w:id="1745"/>
      </w:r>
      <w:r>
        <w:rPr>
          <w:rFonts w:ascii="IRNazanin" w:hAnsi="IRNazanin" w:eastAsia="IRNazanin"/>
          <w:color w:val="111111"/>
          <w:sz w:val="28"/>
          <w:sz w:val="28"/>
          <w:szCs w:val="28"/>
          <w:rtl w:val="true"/>
          <w:lang w:bidi="fa-IR"/>
        </w:rPr>
        <w:t>لحجّیّة ما هو أقوی منها بطریق أولی، و الأولویّة ظنّ مخصوص قطعا؛ لکونها مجمعا علیها، و النقض علی هذا بما نقض به فی الوجه السابق مدفوع</w:t>
      </w:r>
      <w:r>
        <w:rPr>
          <w:rStyle w:val="FootnoteAnchor"/>
          <w:rtl w:val="true"/>
        </w:rPr>
        <w:footnoteReference w:id="1746"/>
      </w:r>
      <w:r>
        <w:rPr>
          <w:rFonts w:ascii="IRNazanin" w:hAnsi="IRNazanin" w:eastAsia="IRNazanin"/>
          <w:color w:val="111111"/>
          <w:sz w:val="28"/>
          <w:sz w:val="28"/>
          <w:szCs w:val="28"/>
          <w:rtl w:val="true"/>
          <w:lang w:bidi="fa-IR"/>
        </w:rPr>
        <w:t>بما ذکرنا، و لا مجال للتأمّل فیه هنا بناء علی أنّ الأولویّة دلالة ظاهریّة یمکن تخصیصها بأقوی منها حیثما تعارضا، و لا یقدح ذلک فی حجّیّتها کما هو الحال فی سائر الظنون التی هی من قبیلها، فثبت</w:t>
      </w:r>
      <w:r>
        <w:rPr>
          <w:rStyle w:val="FootnoteAnchor"/>
          <w:rtl w:val="true"/>
        </w:rPr>
        <w:footnoteReference w:id="1747"/>
      </w:r>
      <w:r>
        <w:rPr>
          <w:rFonts w:ascii="IRNazanin" w:hAnsi="IRNazanin" w:eastAsia="IRNazanin"/>
          <w:color w:val="111111"/>
          <w:sz w:val="28"/>
          <w:sz w:val="28"/>
          <w:szCs w:val="28"/>
          <w:rtl w:val="true"/>
          <w:lang w:bidi="fa-IR"/>
        </w:rPr>
        <w:t>ظنّیّتها و إفادتها الظهور کما لا یخفی، فتأمّل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ذلک؛ إذ ربّما یتمکّن المجتهد من إثبات بعض</w:t>
      </w:r>
      <w:r>
        <w:rPr>
          <w:rStyle w:val="FootnoteAnchor"/>
          <w:rtl w:val="true"/>
        </w:rPr>
        <w:footnoteReference w:id="1748"/>
      </w:r>
      <w:r>
        <w:rPr>
          <w:rFonts w:ascii="IRNazanin" w:hAnsi="IRNazanin" w:eastAsia="IRNazanin"/>
          <w:color w:val="111111"/>
          <w:sz w:val="28"/>
          <w:sz w:val="28"/>
          <w:szCs w:val="28"/>
          <w:rtl w:val="true"/>
          <w:lang w:bidi="fa-IR"/>
        </w:rPr>
        <w:t>ما لیس بضروری بالتواتر سیّما</w:t>
      </w:r>
      <w:r>
        <w:rPr>
          <w:rStyle w:val="FootnoteAnchor"/>
          <w:rtl w:val="true"/>
        </w:rPr>
        <w:footnoteReference w:id="1749"/>
      </w:r>
      <w:r>
        <w:rPr>
          <w:rFonts w:ascii="IRNazanin" w:hAnsi="IRNazanin" w:eastAsia="IRNazanin"/>
          <w:color w:val="111111"/>
          <w:sz w:val="28"/>
          <w:sz w:val="28"/>
          <w:szCs w:val="28"/>
          <w:rtl w:val="true"/>
          <w:lang w:bidi="fa-IR"/>
        </w:rPr>
        <w:t>بالتواتر المعنوی الحاصل له من تتبّع النصوص کما یتّفق أحیانا، و بالإجماع أیضا بناء</w:t>
      </w:r>
      <w:r>
        <w:rPr>
          <w:rStyle w:val="FootnoteAnchor"/>
          <w:rtl w:val="true"/>
        </w:rPr>
        <w:footnoteReference w:id="1750"/>
      </w:r>
      <w:r>
        <w:rPr>
          <w:rFonts w:ascii="IRNazanin" w:hAnsi="IRNazanin" w:eastAsia="IRNazanin"/>
          <w:color w:val="111111"/>
          <w:sz w:val="28"/>
          <w:sz w:val="28"/>
          <w:szCs w:val="28"/>
          <w:rtl w:val="true"/>
          <w:lang w:bidi="fa-IR"/>
        </w:rPr>
        <w:t>علی إمکان تحقّق العلم به فی مثل زماننا هذا أیضا علی الأقوی، فإنّ فی</w:t>
      </w:r>
      <w:r>
        <w:rPr>
          <w:rStyle w:val="FootnoteAnchor"/>
          <w:rtl w:val="true"/>
        </w:rPr>
        <w:footnoteReference w:id="1751"/>
      </w:r>
      <w:r>
        <w:rPr>
          <w:rFonts w:ascii="IRNazanin" w:hAnsi="IRNazanin" w:eastAsia="IRNazanin"/>
          <w:color w:val="111111"/>
          <w:sz w:val="28"/>
          <w:sz w:val="28"/>
          <w:szCs w:val="28"/>
          <w:rtl w:val="true"/>
          <w:lang w:bidi="fa-IR"/>
        </w:rPr>
        <w:t>کثیر من المواضع ثبت</w:t>
      </w:r>
      <w:r>
        <w:rPr>
          <w:rStyle w:val="FootnoteAnchor"/>
          <w:rtl w:val="true"/>
        </w:rPr>
        <w:footnoteReference w:id="1752"/>
      </w:r>
      <w:r>
        <w:rPr>
          <w:rFonts w:ascii="IRNazanin" w:hAnsi="IRNazanin" w:eastAsia="IRNazanin"/>
          <w:color w:val="111111"/>
          <w:sz w:val="28"/>
          <w:sz w:val="28"/>
          <w:szCs w:val="28"/>
          <w:rtl w:val="true"/>
          <w:lang w:bidi="fa-IR"/>
        </w:rPr>
        <w:t>من التتبّع و التطلّع و التظافر و التسامع</w:t>
      </w:r>
      <w:r>
        <w:rPr>
          <w:rStyle w:val="FootnoteAnchor"/>
          <w:rtl w:val="true"/>
        </w:rPr>
        <w:footnoteReference w:id="1753"/>
      </w:r>
      <w:r>
        <w:rPr>
          <w:rFonts w:ascii="IRNazanin" w:hAnsi="IRNazanin" w:eastAsia="IRNazanin"/>
          <w:color w:val="111111"/>
          <w:sz w:val="28"/>
          <w:sz w:val="28"/>
          <w:szCs w:val="28"/>
          <w:rtl w:val="true"/>
          <w:lang w:bidi="fa-IR"/>
        </w:rPr>
        <w:t>من</w:t>
      </w:r>
      <w:r>
        <w:rPr>
          <w:rStyle w:val="FootnoteAnchor"/>
          <w:rtl w:val="true"/>
        </w:rPr>
        <w:footnoteReference w:id="1754"/>
      </w:r>
      <w:r>
        <w:rPr>
          <w:rFonts w:ascii="IRNazanin" w:hAnsi="IRNazanin" w:eastAsia="IRNazanin"/>
          <w:color w:val="111111"/>
          <w:sz w:val="28"/>
          <w:sz w:val="28"/>
          <w:szCs w:val="28"/>
          <w:rtl w:val="true"/>
          <w:lang w:bidi="fa-IR"/>
        </w:rPr>
        <w:t>القدماء و المتأخّرین، و ربّما</w:t>
      </w:r>
    </w:p>
    <w:p>
      <w:pPr>
        <w:pStyle w:val="BookText"/>
        <w:rPr/>
      </w:pPr>
      <w:r>
        <w:rPr>
          <w:rFonts w:ascii="Amiri" w:hAnsi="Amiri" w:eastAsia="Amiri" w:cs="Amiri"/>
          <w:color w:val="111111"/>
          <w:sz w:val="28"/>
          <w:sz w:val="28"/>
          <w:szCs w:val="28"/>
          <w:rtl w:val="true"/>
          <w:lang w:bidi="ar-SA"/>
        </w:rPr>
        <w:t>انضمّ إلیه</w:t>
      </w:r>
      <w:r>
        <w:rPr>
          <w:rStyle w:val="FootnoteAnchor"/>
          <w:rtl w:val="true"/>
        </w:rPr>
        <w:footnoteReference w:id="1755"/>
      </w:r>
      <w:r>
        <w:rPr>
          <w:rFonts w:ascii="IRNazanin" w:hAnsi="IRNazanin" w:eastAsia="IRNazanin"/>
          <w:color w:val="111111"/>
          <w:sz w:val="28"/>
          <w:sz w:val="28"/>
          <w:szCs w:val="28"/>
          <w:rtl w:val="true"/>
          <w:lang w:bidi="fa-IR"/>
        </w:rPr>
        <w:t>بالقرائن</w:t>
      </w:r>
      <w:r>
        <w:rPr>
          <w:rStyle w:val="FootnoteAnchor"/>
          <w:rtl w:val="true"/>
        </w:rPr>
        <w:footnoteReference w:id="1756"/>
      </w:r>
      <w:r>
        <w:rPr>
          <w:rFonts w:ascii="IRNazanin" w:hAnsi="IRNazanin" w:eastAsia="IRNazanin"/>
          <w:color w:val="111111"/>
          <w:sz w:val="28"/>
          <w:sz w:val="28"/>
          <w:szCs w:val="28"/>
          <w:rtl w:val="true"/>
          <w:lang w:bidi="fa-IR"/>
        </w:rPr>
        <w:t>من الأخبار و القرآن و العقل و غیرها، بل ربّما نقل الإجماع بحدّ التواتر مثل الإجماع علی اشتراط الإذن الخاصّ فی وجوب صلاة الجمعة، و ربّما انضمّ إلی الإجماع المنقول المذکور قرائن أخر مفیدة للعلم، بل و ربّما انضمّ إلی الإجماع المنقول</w:t>
      </w:r>
      <w:r>
        <w:rPr>
          <w:rStyle w:val="FootnoteAnchor"/>
          <w:rtl w:val="true"/>
        </w:rPr>
        <w:footnoteReference w:id="1757"/>
      </w:r>
      <w:r>
        <w:rPr>
          <w:rFonts w:ascii="IRNazanin" w:hAnsi="IRNazanin" w:eastAsia="IRNazanin"/>
          <w:color w:val="111111"/>
          <w:sz w:val="28"/>
          <w:sz w:val="28"/>
          <w:szCs w:val="28"/>
          <w:rtl w:val="true"/>
          <w:lang w:bidi="fa-IR"/>
        </w:rPr>
        <w:t>بخبر الواحد أمثال ما ذکر إلی حدّ یحصل الیقین، و ربّما یحصل العلم من الخبر المحفوف بالقرائن سیّما إذا استفاض و بلغ حدّ الکثرة فی</w:t>
      </w:r>
      <w:r>
        <w:rPr>
          <w:rStyle w:val="FootnoteAnchor"/>
          <w:rtl w:val="true"/>
        </w:rPr>
        <w:footnoteReference w:id="1758"/>
      </w:r>
      <w:r>
        <w:rPr>
          <w:rFonts w:ascii="IRNazanin" w:hAnsi="IRNazanin" w:eastAsia="IRNazanin"/>
          <w:color w:val="111111"/>
          <w:sz w:val="28"/>
          <w:sz w:val="28"/>
          <w:szCs w:val="28"/>
          <w:rtl w:val="true"/>
          <w:lang w:bidi="fa-IR"/>
        </w:rPr>
        <w:t>الاستفاضة، و أصالة البراءة فی الموضع الذی لا یکون فیه دلیل علی التکلیف من الیقینیات؛ للآیات الکثیرة لکنّها</w:t>
      </w:r>
      <w:r>
        <w:rPr>
          <w:rStyle w:val="FootnoteAnchor"/>
          <w:rtl w:val="true"/>
        </w:rPr>
        <w:footnoteReference w:id="1759"/>
      </w:r>
      <w:r>
        <w:rPr>
          <w:rFonts w:ascii="IRNazanin" w:hAnsi="IRNazanin" w:eastAsia="IRNazanin"/>
          <w:color w:val="111111"/>
          <w:sz w:val="28"/>
          <w:sz w:val="28"/>
          <w:szCs w:val="28"/>
          <w:rtl w:val="true"/>
          <w:lang w:bidi="fa-IR"/>
        </w:rPr>
        <w:t>من السنّة و الإجماعات المنقولة و اتّفاق فتاویهم علیها، بل و حصول القطع</w:t>
      </w:r>
      <w:r>
        <w:rPr>
          <w:rStyle w:val="FootnoteAnchor"/>
          <w:rtl w:val="true"/>
        </w:rPr>
        <w:footnoteReference w:id="1760"/>
      </w:r>
      <w:r>
        <w:rPr>
          <w:rFonts w:ascii="IRNazanin" w:hAnsi="IRNazanin" w:eastAsia="IRNazanin"/>
          <w:color w:val="111111"/>
          <w:sz w:val="28"/>
          <w:sz w:val="28"/>
          <w:szCs w:val="28"/>
          <w:rtl w:val="true"/>
          <w:lang w:bidi="fa-IR"/>
        </w:rPr>
        <w:t>من ملاحظة طریقة الرسول</w:t>
      </w:r>
      <w:r>
        <w:rPr>
          <w:rStyle w:val="FootnoteAnchor"/>
          <w:rtl w:val="true"/>
        </w:rPr>
        <w:footnoteReference w:id="1761"/>
      </w:r>
      <w:r>
        <w:rPr>
          <w:rFonts w:ascii="IRNazanin" w:hAnsi="IRNazanin" w:eastAsia="IRNazanin"/>
          <w:color w:val="111111"/>
          <w:sz w:val="28"/>
          <w:sz w:val="28"/>
          <w:szCs w:val="28"/>
          <w:rtl w:val="true"/>
          <w:lang w:bidi="fa-IR"/>
        </w:rPr>
        <w:t>صلّی اللّه علیه و آله و الأئمّة علیهم السّلام بالنسبة إلی المکلّفین فی تکالیفهم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دعوی انسداد</w:t>
      </w:r>
      <w:r>
        <w:rPr>
          <w:rStyle w:val="FootnoteAnchor"/>
          <w:rtl w:val="true"/>
        </w:rPr>
        <w:footnoteReference w:id="1762"/>
      </w:r>
      <w:r>
        <w:rPr>
          <w:rFonts w:ascii="IRNazanin" w:hAnsi="IRNazanin" w:eastAsia="IRNazanin"/>
          <w:color w:val="111111"/>
          <w:sz w:val="28"/>
          <w:sz w:val="28"/>
          <w:szCs w:val="28"/>
          <w:rtl w:val="true"/>
          <w:lang w:bidi="fa-IR"/>
        </w:rPr>
        <w:t>باب العلم فی المسائل الاجتهادیّة کلّها و</w:t>
      </w:r>
      <w:r>
        <w:rPr>
          <w:rStyle w:val="FootnoteAnchor"/>
          <w:rtl w:val="true"/>
        </w:rPr>
        <w:footnoteReference w:id="1763"/>
      </w:r>
      <w:r>
        <w:rPr>
          <w:rFonts w:ascii="IRNazanin" w:hAnsi="IRNazanin" w:eastAsia="IRNazanin"/>
          <w:color w:val="111111"/>
          <w:sz w:val="28"/>
          <w:sz w:val="28"/>
          <w:szCs w:val="28"/>
          <w:rtl w:val="true"/>
          <w:lang w:bidi="fa-IR"/>
        </w:rPr>
        <w:t>استلزام طرح الظنون الاجتهادیّة فیها ما مضی مخالف للوجدان فی کثیر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المواضع المدّعی فیها إمکان تحصیل العلم لا تبلغ عشر معشار الفقه قطعا، و مع ذلک فحیثما یحصل</w:t>
      </w:r>
      <w:r>
        <w:rPr>
          <w:rStyle w:val="FootnoteAnchor"/>
          <w:rtl w:val="true"/>
        </w:rPr>
        <w:footnoteReference w:id="1764"/>
      </w:r>
      <w:r>
        <w:rPr>
          <w:rFonts w:ascii="IRNazanin" w:hAnsi="IRNazanin" w:eastAsia="IRNazanin"/>
          <w:color w:val="111111"/>
          <w:sz w:val="28"/>
          <w:sz w:val="28"/>
          <w:szCs w:val="28"/>
          <w:rtl w:val="true"/>
          <w:lang w:bidi="fa-IR"/>
        </w:rPr>
        <w:t>لا یحصل غالبا إلّا علوما</w:t>
      </w:r>
      <w:r>
        <w:rPr>
          <w:rStyle w:val="FootnoteAnchor"/>
          <w:rtl w:val="true"/>
        </w:rPr>
        <w:footnoteReference w:id="1765"/>
      </w:r>
      <w:r>
        <w:rPr>
          <w:rFonts w:ascii="IRNazanin" w:hAnsi="IRNazanin" w:eastAsia="IRNazanin"/>
          <w:color w:val="111111"/>
          <w:sz w:val="28"/>
          <w:sz w:val="28"/>
          <w:szCs w:val="28"/>
          <w:rtl w:val="true"/>
          <w:lang w:bidi="fa-IR"/>
        </w:rPr>
        <w:t>إجمالیّة بحیث یحتاج فی تشخیص معلوماتها إلی الظنون الاجتهادیّة یقینا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فهذا القدر من العلم حیث یحصل لا یکفی لإثبات التکالیف کما هی فی الأحکام</w:t>
      </w:r>
      <w:r>
        <w:rPr>
          <w:rStyle w:val="FootnoteAnchor"/>
          <w:rtl w:val="true"/>
        </w:rPr>
        <w:footnoteReference w:id="1766"/>
      </w:r>
      <w:r>
        <w:rPr>
          <w:rFonts w:ascii="IRNazanin" w:hAnsi="IRNazanin" w:eastAsia="IRNazanin"/>
          <w:color w:val="111111"/>
          <w:sz w:val="28"/>
          <w:sz w:val="28"/>
          <w:szCs w:val="28"/>
          <w:rtl w:val="true"/>
          <w:lang w:bidi="fa-IR"/>
        </w:rPr>
        <w:t>الشرعیّة المقطوعة</w:t>
      </w:r>
      <w:r>
        <w:rPr>
          <w:rStyle w:val="FootnoteAnchor"/>
          <w:rtl w:val="true"/>
        </w:rPr>
        <w:footnoteReference w:id="1767"/>
      </w:r>
      <w:r>
        <w:rPr>
          <w:rFonts w:ascii="IRNazanin" w:hAnsi="IRNazanin" w:eastAsia="IRNazanin"/>
          <w:color w:val="111111"/>
          <w:sz w:val="28"/>
          <w:sz w:val="28"/>
          <w:szCs w:val="28"/>
          <w:rtl w:val="true"/>
          <w:lang w:bidi="fa-IR"/>
        </w:rPr>
        <w:t>بثبوتها</w:t>
      </w:r>
      <w:r>
        <w:rPr>
          <w:rStyle w:val="FootnoteAnchor"/>
          <w:rtl w:val="true"/>
        </w:rPr>
        <w:footnoteReference w:id="1768"/>
      </w:r>
      <w:r>
        <w:rPr>
          <w:rFonts w:ascii="Amiri" w:hAnsi="Amiri" w:eastAsia="Amiri" w:cs="Amiri"/>
          <w:color w:val="111111"/>
          <w:sz w:val="28"/>
          <w:sz w:val="28"/>
          <w:szCs w:val="28"/>
          <w:rtl w:val="true"/>
          <w:lang w:bidi="ar-SA"/>
        </w:rPr>
        <w:t>و بقائها ضرورة</w:t>
      </w:r>
      <w:r>
        <w:rPr>
          <w:rStyle w:val="FootnoteAnchor"/>
          <w:rtl w:val="true"/>
        </w:rPr>
        <w:footnoteReference w:id="1769"/>
      </w:r>
      <w:r>
        <w:rPr>
          <w:rFonts w:ascii="IRNazanin" w:hAnsi="IRNazanin" w:eastAsia="IRNazanin"/>
          <w:color w:val="111111"/>
          <w:sz w:val="28"/>
          <w:sz w:val="28"/>
          <w:szCs w:val="28"/>
          <w:rtl w:val="true"/>
          <w:lang w:bidi="fa-IR"/>
        </w:rPr>
        <w:t>إلی یوم القیامة کما أنّ</w:t>
      </w:r>
      <w:bookmarkStart w:id="524" w:name="pg19819_193835"/>
    </w:p>
    <w:p>
      <w:pPr>
        <w:pStyle w:val="BookText"/>
        <w:rPr/>
      </w:pPr>
      <w:bookmarkEnd w:id="524"/>
      <w:r>
        <w:rPr>
          <w:rFonts w:ascii="IRNazanin" w:hAnsi="IRNazanin" w:eastAsia="IRNazanin"/>
          <w:color w:val="111111"/>
          <w:sz w:val="28"/>
          <w:sz w:val="28"/>
          <w:szCs w:val="28"/>
          <w:rtl w:val="true"/>
          <w:lang w:bidi="fa-IR"/>
        </w:rPr>
        <w:t>القدر</w:t>
      </w:r>
      <w:r>
        <w:rPr>
          <w:rStyle w:val="FootnoteAnchor"/>
          <w:rtl w:val="true"/>
        </w:rPr>
        <w:footnoteReference w:id="1770"/>
      </w:r>
      <w:r>
        <w:rPr>
          <w:rFonts w:ascii="IRNazanin" w:hAnsi="IRNazanin" w:eastAsia="IRNazanin"/>
          <w:color w:val="111111"/>
          <w:sz w:val="28"/>
          <w:sz w:val="28"/>
          <w:szCs w:val="28"/>
          <w:rtl w:val="true"/>
          <w:lang w:bidi="fa-IR"/>
        </w:rPr>
        <w:t>الضروری من الدین أو</w:t>
      </w:r>
      <w:r>
        <w:rPr>
          <w:rStyle w:val="FootnoteAnchor"/>
          <w:rtl w:val="true"/>
        </w:rPr>
        <w:footnoteReference w:id="1771"/>
      </w:r>
      <w:r>
        <w:rPr>
          <w:rFonts w:ascii="IRNazanin" w:hAnsi="IRNazanin" w:eastAsia="IRNazanin"/>
          <w:color w:val="111111"/>
          <w:sz w:val="28"/>
          <w:sz w:val="28"/>
          <w:szCs w:val="28"/>
          <w:rtl w:val="true"/>
          <w:lang w:bidi="fa-IR"/>
        </w:rPr>
        <w:t>المذهب لا یکفی لسائر الأحکام الشرعیّة، فلا بدّ من اعتبار الظنّ من حیث هو هو</w:t>
      </w:r>
      <w:r>
        <w:rPr>
          <w:rStyle w:val="FootnoteAnchor"/>
          <w:rtl w:val="true"/>
        </w:rPr>
        <w:footnoteReference w:id="1772"/>
      </w:r>
      <w:r>
        <w:rPr>
          <w:rFonts w:ascii="IRNazanin" w:hAnsi="IRNazanin" w:eastAsia="IRNazanin"/>
          <w:color w:val="111111"/>
          <w:sz w:val="28"/>
          <w:sz w:val="28"/>
          <w:szCs w:val="28"/>
          <w:rtl w:val="true"/>
          <w:lang w:bidi="fa-IR"/>
        </w:rPr>
        <w:t>لعدم التکلیف بما لا یطاق، و عدم إمکان الخروج عن العهدة بعنوان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ظهر أنّ القرآن لو کان قطعی الدلالة أیضا لا یکفی و لا یفی</w:t>
      </w:r>
      <w:r>
        <w:rPr>
          <w:rStyle w:val="FootnoteAnchor"/>
          <w:rtl w:val="true"/>
        </w:rPr>
        <w:footnoteReference w:id="1773"/>
      </w:r>
      <w:r>
        <w:rPr>
          <w:rFonts w:ascii="IRNazanin" w:hAnsi="IRNazanin" w:eastAsia="IRNazanin"/>
          <w:color w:val="111111"/>
          <w:sz w:val="28"/>
          <w:sz w:val="28"/>
          <w:szCs w:val="28"/>
          <w:rtl w:val="true"/>
          <w:lang w:bidi="fa-IR"/>
        </w:rPr>
        <w:t>بذلک، و کذلک أصالة البراءة</w:t>
      </w:r>
      <w:r>
        <w:rPr>
          <w:rFonts w:eastAsia="IRNazanin" w:cs="IRNazanin"/>
          <w:color w:val="111111"/>
          <w:sz w:val="28"/>
          <w:szCs w:val="28"/>
          <w:rtl w:val="true"/>
          <w:lang w:bidi="fa-IR"/>
        </w:rPr>
        <w:t>.</w:t>
      </w:r>
    </w:p>
    <w:p>
      <w:pPr>
        <w:pStyle w:val="Heading4"/>
        <w:numPr>
          <w:ilvl w:val="3"/>
          <w:numId w:val="1"/>
        </w:numPr>
        <w:rPr/>
      </w:pPr>
      <w:bookmarkStart w:id="525" w:name="__RefHeading___Toc3055787_2314609296"/>
      <w:bookmarkStart w:id="526" w:name="_Toc197"/>
      <w:bookmarkEnd w:id="525"/>
      <w:r>
        <w:rPr>
          <w:rtl w:val="true"/>
        </w:rPr>
        <w:t>[</w:t>
      </w:r>
      <w:r>
        <w:rPr>
          <w:rtl w:val="true"/>
        </w:rPr>
        <w:t>طریق آخر للمؤلّف لإثبات حجّیّة الشهرة</w:t>
      </w:r>
      <w:r>
        <w:rPr>
          <w:rtl w:val="true"/>
        </w:rPr>
        <w:t>:]</w:t>
      </w:r>
      <w:bookmarkEnd w:id="526"/>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774"/>
      </w:r>
      <w:r>
        <w:rPr>
          <w:rFonts w:ascii="IRNazanin" w:hAnsi="IRNazanin" w:eastAsia="IRNazanin"/>
          <w:color w:val="111111"/>
          <w:sz w:val="28"/>
          <w:sz w:val="28"/>
          <w:szCs w:val="28"/>
          <w:rtl w:val="true"/>
          <w:lang w:bidi="fa-IR"/>
        </w:rPr>
        <w:t>لنا علی إثبات حجّیّة الشهرة طریق آخر من غیر جهة الدلیل الرابع، و هو أنّا نری العلماء العاملین بأخبار الآحاد</w:t>
      </w:r>
      <w:r>
        <w:rPr>
          <w:rStyle w:val="FootnoteAnchor"/>
          <w:rtl w:val="true"/>
        </w:rPr>
        <w:footnoteReference w:id="1775"/>
      </w:r>
      <w:r>
        <w:rPr>
          <w:rFonts w:ascii="IRNazanin" w:hAnsi="IRNazanin" w:eastAsia="IRNazanin"/>
          <w:color w:val="111111"/>
          <w:sz w:val="28"/>
          <w:sz w:val="28"/>
          <w:szCs w:val="28"/>
          <w:rtl w:val="true"/>
          <w:lang w:bidi="fa-IR"/>
        </w:rPr>
        <w:t>یعتمدون فی تعدیل رواتها و تصحیحهم و تسقیمهم</w:t>
      </w:r>
      <w:r>
        <w:rPr>
          <w:rStyle w:val="FootnoteAnchor"/>
          <w:rtl w:val="true"/>
        </w:rPr>
        <w:footnoteReference w:id="1776"/>
      </w:r>
      <w:r>
        <w:rPr>
          <w:rFonts w:ascii="IRNazanin" w:hAnsi="IRNazanin" w:eastAsia="IRNazanin"/>
          <w:color w:val="111111"/>
          <w:sz w:val="28"/>
          <w:sz w:val="28"/>
          <w:szCs w:val="28"/>
          <w:rtl w:val="true"/>
          <w:lang w:bidi="fa-IR"/>
        </w:rPr>
        <w:t>و غیرهما</w:t>
      </w:r>
      <w:r>
        <w:rPr>
          <w:rStyle w:val="FootnoteAnchor"/>
          <w:rtl w:val="true"/>
        </w:rPr>
        <w:footnoteReference w:id="1777"/>
      </w:r>
      <w:r>
        <w:rPr>
          <w:rFonts w:ascii="IRNazanin" w:hAnsi="IRNazanin" w:eastAsia="IRNazanin"/>
          <w:color w:val="111111"/>
          <w:sz w:val="28"/>
          <w:sz w:val="28"/>
          <w:szCs w:val="28"/>
          <w:rtl w:val="true"/>
          <w:lang w:bidi="fa-IR"/>
        </w:rPr>
        <w:t>علی الظنون الضعیفة غایة الضعف حتّی أنّ الذی یقتصر منها علی الصحیح الثابت عدالة رواته</w:t>
      </w:r>
      <w:r>
        <w:rPr>
          <w:rStyle w:val="FootnoteAnchor"/>
          <w:rtl w:val="true"/>
        </w:rPr>
        <w:footnoteReference w:id="1778"/>
      </w:r>
      <w:r>
        <w:rPr>
          <w:rFonts w:ascii="IRNazanin" w:hAnsi="IRNazanin" w:eastAsia="IRNazanin"/>
          <w:color w:val="111111"/>
          <w:sz w:val="28"/>
          <w:sz w:val="28"/>
          <w:szCs w:val="28"/>
          <w:rtl w:val="true"/>
          <w:lang w:bidi="fa-IR"/>
        </w:rPr>
        <w:t>بشهادة العدلین مثلا و لا یتعدّی عنه أصلا تراه</w:t>
      </w:r>
      <w:r>
        <w:rPr>
          <w:rStyle w:val="FootnoteAnchor"/>
          <w:rtl w:val="true"/>
        </w:rPr>
        <w:footnoteReference w:id="1779"/>
      </w:r>
      <w:r>
        <w:rPr>
          <w:rFonts w:ascii="IRNazanin" w:hAnsi="IRNazanin" w:eastAsia="IRNazanin"/>
          <w:color w:val="111111"/>
          <w:sz w:val="28"/>
          <w:sz w:val="28"/>
          <w:szCs w:val="28"/>
          <w:rtl w:val="true"/>
          <w:lang w:bidi="fa-IR"/>
        </w:rPr>
        <w:t>یعتمد</w:t>
      </w:r>
      <w:r>
        <w:rPr>
          <w:rStyle w:val="FootnoteAnchor"/>
          <w:rtl w:val="true"/>
        </w:rPr>
        <w:footnoteReference w:id="1780"/>
      </w:r>
      <w:r>
        <w:rPr>
          <w:rFonts w:ascii="IRNazanin" w:hAnsi="IRNazanin" w:eastAsia="IRNazanin"/>
          <w:color w:val="111111"/>
          <w:sz w:val="28"/>
          <w:sz w:val="28"/>
          <w:szCs w:val="28"/>
          <w:rtl w:val="true"/>
          <w:lang w:bidi="fa-IR"/>
        </w:rPr>
        <w:t>فی تمییز الرواة المشترکین بین العدول</w:t>
      </w:r>
      <w:r>
        <w:rPr>
          <w:rStyle w:val="FootnoteAnchor"/>
          <w:rtl w:val="true"/>
        </w:rPr>
        <w:footnoteReference w:id="178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یقدح</w:t>
      </w:r>
      <w:r>
        <w:rPr>
          <w:rStyle w:val="FootnoteAnchor"/>
          <w:rtl w:val="true"/>
        </w:rPr>
        <w:footnoteReference w:id="1782"/>
      </w:r>
      <w:r>
        <w:rPr>
          <w:rFonts w:ascii="IRNazanin" w:hAnsi="IRNazanin" w:eastAsia="IRNazanin"/>
          <w:color w:val="111111"/>
          <w:sz w:val="28"/>
          <w:sz w:val="28"/>
          <w:szCs w:val="28"/>
          <w:rtl w:val="true"/>
          <w:lang w:bidi="fa-IR"/>
        </w:rPr>
        <w:t>وجوده عنده أو عند الکلّ</w:t>
      </w:r>
      <w:r>
        <w:rPr>
          <w:rStyle w:val="FootnoteAnchor"/>
          <w:rtl w:val="true"/>
        </w:rPr>
        <w:footnoteReference w:id="1783"/>
      </w:r>
      <w:r>
        <w:rPr>
          <w:rFonts w:ascii="Amiri" w:hAnsi="Amiri" w:eastAsia="Amiri" w:cs="Amiri"/>
          <w:color w:val="111111"/>
          <w:sz w:val="28"/>
          <w:sz w:val="28"/>
          <w:szCs w:val="28"/>
          <w:rtl w:val="true"/>
          <w:lang w:bidi="ar-SA"/>
        </w:rPr>
        <w:t>فی حجّیّته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w:t>
      </w:r>
      <w:r>
        <w:rPr>
          <w:rStyle w:val="FootnoteAnchor"/>
          <w:rtl w:val="true"/>
        </w:rPr>
        <w:footnoteReference w:id="1784"/>
      </w:r>
      <w:r>
        <w:rPr>
          <w:rFonts w:ascii="IRNazanin" w:hAnsi="IRNazanin" w:eastAsia="IRNazanin"/>
          <w:color w:val="111111"/>
          <w:sz w:val="28"/>
          <w:sz w:val="28"/>
          <w:szCs w:val="28"/>
          <w:rtl w:val="true"/>
          <w:lang w:bidi="fa-IR"/>
        </w:rPr>
        <w:t>القرائن الرجالیة التی هی</w:t>
      </w:r>
      <w:r>
        <w:rPr>
          <w:rStyle w:val="FootnoteAnchor"/>
          <w:rtl w:val="true"/>
        </w:rPr>
        <w:footnoteReference w:id="1785"/>
      </w:r>
      <w:r>
        <w:rPr>
          <w:rFonts w:ascii="IRNazanin" w:hAnsi="IRNazanin" w:eastAsia="IRNazanin"/>
          <w:color w:val="111111"/>
          <w:sz w:val="28"/>
          <w:sz w:val="28"/>
          <w:szCs w:val="28"/>
          <w:rtl w:val="true"/>
          <w:lang w:bidi="fa-IR"/>
        </w:rPr>
        <w:t>فی غایة من</w:t>
      </w:r>
      <w:r>
        <w:rPr>
          <w:rStyle w:val="FootnoteAnchor"/>
          <w:rtl w:val="true"/>
        </w:rPr>
        <w:footnoteReference w:id="1786"/>
      </w:r>
      <w:r>
        <w:rPr>
          <w:rFonts w:ascii="IRNazanin" w:hAnsi="IRNazanin" w:eastAsia="IRNazanin"/>
          <w:color w:val="111111"/>
          <w:sz w:val="28"/>
          <w:sz w:val="28"/>
          <w:szCs w:val="28"/>
          <w:rtl w:val="true"/>
          <w:lang w:bidi="fa-IR"/>
        </w:rPr>
        <w:t>الضعف، مثل أنّ علیّ، بن الحکم هو الکوفی الثقة</w:t>
      </w:r>
      <w:r>
        <w:rPr>
          <w:rStyle w:val="FootnoteAnchor"/>
          <w:rtl w:val="true"/>
        </w:rPr>
        <w:footnoteReference w:id="1787"/>
      </w:r>
      <w:r>
        <w:rPr>
          <w:rFonts w:ascii="IRNazanin" w:hAnsi="IRNazanin" w:eastAsia="IRNazanin"/>
          <w:color w:val="111111"/>
          <w:sz w:val="28"/>
          <w:sz w:val="28"/>
          <w:szCs w:val="28"/>
          <w:rtl w:val="true"/>
          <w:lang w:bidi="fa-IR"/>
        </w:rPr>
        <w:t>بقرینة أنّ أحمد بن محمّد یروی عنه، و أمثال ذلک من الظنون الضعیفة التی هی فی غایة من</w:t>
      </w:r>
      <w:r>
        <w:rPr>
          <w:rStyle w:val="FootnoteAnchor"/>
          <w:rtl w:val="true"/>
        </w:rPr>
        <w:footnoteReference w:id="1788"/>
      </w:r>
      <w:r>
        <w:rPr>
          <w:rFonts w:ascii="IRNazanin" w:hAnsi="IRNazanin" w:eastAsia="IRNazanin"/>
          <w:color w:val="111111"/>
          <w:sz w:val="28"/>
          <w:sz w:val="28"/>
          <w:szCs w:val="28"/>
          <w:rtl w:val="true"/>
          <w:lang w:bidi="fa-IR"/>
        </w:rPr>
        <w:t>الکثرة بحیث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یعتمدون فی الترجیحات بین الأخبار المتعارضة و القرائن الرجالیّة و غیرهما علی المرجّحات الاجتهادیّة التی لم یقم علی أکثرها بل کلّها دلیل قاطع یجعلها ظنونا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عملهم هذا إن</w:t>
      </w:r>
      <w:r>
        <w:rPr>
          <w:rStyle w:val="FootnoteAnchor"/>
          <w:rtl w:val="true"/>
        </w:rPr>
        <w:footnoteReference w:id="1789"/>
      </w:r>
      <w:r>
        <w:rPr>
          <w:rFonts w:ascii="IRNazanin" w:hAnsi="IRNazanin" w:eastAsia="IRNazanin"/>
          <w:color w:val="111111"/>
          <w:sz w:val="28"/>
          <w:sz w:val="28"/>
          <w:szCs w:val="28"/>
          <w:rtl w:val="true"/>
          <w:lang w:bidi="fa-IR"/>
        </w:rPr>
        <w:t>بلغ حدّ الإجماع علی حجّیة الظنون المحتاج إلیها فی</w:t>
      </w:r>
      <w:r>
        <w:rPr>
          <w:rStyle w:val="FootnoteAnchor"/>
          <w:rtl w:val="true"/>
        </w:rPr>
        <w:footnoteReference w:id="1790"/>
      </w:r>
      <w:r>
        <w:rPr>
          <w:rFonts w:ascii="IRNazanin" w:hAnsi="IRNazanin" w:eastAsia="IRNazanin"/>
          <w:color w:val="111111"/>
          <w:sz w:val="28"/>
          <w:sz w:val="28"/>
          <w:szCs w:val="28"/>
          <w:rtl w:val="true"/>
          <w:lang w:bidi="fa-IR"/>
        </w:rPr>
        <w:t>أخبار الآحاد و ما یتعلّق بها و إن اختلفوا فی آحادها مطلقا و لو کانت ضعیفة جدّا مثل ما مضی، لزم</w:t>
      </w:r>
      <w:r>
        <w:rPr>
          <w:rStyle w:val="FootnoteAnchor"/>
          <w:rtl w:val="true"/>
        </w:rPr>
        <w:footnoteReference w:id="1791"/>
      </w:r>
      <w:r>
        <w:rPr>
          <w:rFonts w:ascii="IRNazanin" w:hAnsi="IRNazanin" w:eastAsia="IRNazanin"/>
          <w:color w:val="111111"/>
          <w:sz w:val="28"/>
          <w:sz w:val="28"/>
          <w:szCs w:val="28"/>
          <w:rtl w:val="true"/>
          <w:lang w:bidi="fa-IR"/>
        </w:rPr>
        <w:t>منه</w:t>
      </w:r>
      <w:r>
        <w:rPr>
          <w:rStyle w:val="FootnoteAnchor"/>
          <w:rtl w:val="true"/>
        </w:rPr>
        <w:footnoteReference w:id="1792"/>
      </w:r>
      <w:r>
        <w:rPr>
          <w:rFonts w:ascii="Amiri" w:hAnsi="Amiri" w:eastAsia="Amiri" w:cs="Amiri"/>
          <w:color w:val="111111"/>
          <w:sz w:val="28"/>
          <w:sz w:val="28"/>
          <w:szCs w:val="28"/>
          <w:rtl w:val="true"/>
          <w:lang w:bidi="ar-SA"/>
        </w:rPr>
        <w:t>حجّیّة مثل الظنّ</w:t>
      </w:r>
      <w:r>
        <w:rPr>
          <w:rStyle w:val="FootnoteAnchor"/>
          <w:rtl w:val="true"/>
        </w:rPr>
        <w:footnoteReference w:id="1793"/>
      </w:r>
      <w:r>
        <w:rPr>
          <w:rFonts w:ascii="IRNazanin" w:hAnsi="IRNazanin" w:eastAsia="IRNazanin"/>
          <w:color w:val="111111"/>
          <w:sz w:val="28"/>
          <w:sz w:val="28"/>
          <w:szCs w:val="28"/>
          <w:rtl w:val="true"/>
          <w:lang w:bidi="fa-IR"/>
        </w:rPr>
        <w:t>المستفاد من الشهرة بطریق أولی؛ لکونه أقوی من تلک الظنون بمراتب شتّی بحیث لا یکاد ینکره أحد من العقلاء، و یفهم الأولویة</w:t>
      </w:r>
      <w:r>
        <w:rPr>
          <w:rStyle w:val="FootnoteAnchor"/>
          <w:rtl w:val="true"/>
        </w:rPr>
        <w:footnoteReference w:id="1794"/>
      </w:r>
      <w:r>
        <w:rPr>
          <w:rFonts w:ascii="IRNazanin" w:hAnsi="IRNazanin" w:eastAsia="IRNazanin"/>
          <w:color w:val="111111"/>
          <w:sz w:val="28"/>
          <w:sz w:val="28"/>
          <w:szCs w:val="28"/>
          <w:rtl w:val="true"/>
          <w:lang w:bidi="fa-IR"/>
        </w:rPr>
        <w:t>کلّ من سمع موجبها</w:t>
      </w:r>
      <w:r>
        <w:rPr>
          <w:rStyle w:val="FootnoteAnchor"/>
          <w:rtl w:val="true"/>
        </w:rPr>
        <w:footnoteReference w:id="1795"/>
      </w:r>
      <w:r>
        <w:rPr>
          <w:rFonts w:ascii="Amiri" w:hAnsi="Amiri" w:eastAsia="Amiri" w:cs="Amiri"/>
          <w:color w:val="111111"/>
          <w:sz w:val="28"/>
          <w:sz w:val="28"/>
          <w:szCs w:val="28"/>
          <w:rtl w:val="true"/>
          <w:lang w:bidi="ar-SA"/>
        </w:rPr>
        <w:t>من أهل العرف و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منفردة</w:t>
      </w:r>
      <w:r>
        <w:rPr>
          <w:rStyle w:val="FootnoteAnchor"/>
          <w:rtl w:val="true"/>
        </w:rPr>
        <w:footnoteReference w:id="1796"/>
      </w:r>
      <w:r>
        <w:rPr>
          <w:rFonts w:ascii="IRNazanin" w:hAnsi="IRNazanin" w:eastAsia="IRNazanin"/>
          <w:color w:val="111111"/>
          <w:sz w:val="28"/>
          <w:sz w:val="28"/>
          <w:szCs w:val="28"/>
          <w:rtl w:val="true"/>
          <w:lang w:bidi="fa-IR"/>
        </w:rPr>
        <w:t>مقدوحة لا داعی له</w:t>
      </w:r>
      <w:r>
        <w:rPr>
          <w:rStyle w:val="FootnoteAnchor"/>
          <w:rtl w:val="true"/>
        </w:rPr>
        <w:footnoteReference w:id="1797"/>
      </w:r>
      <w:r>
        <w:rPr>
          <w:rFonts w:ascii="Amiri" w:hAnsi="Amiri" w:eastAsia="Amiri" w:cs="Amiri"/>
          <w:color w:val="111111"/>
          <w:sz w:val="28"/>
          <w:sz w:val="28"/>
          <w:szCs w:val="28"/>
          <w:rtl w:val="true"/>
          <w:lang w:bidi="ar-SA"/>
        </w:rPr>
        <w:t>و لا جهة،</w:t>
      </w:r>
      <w:r>
        <w:rPr>
          <w:rStyle w:val="FootnoteAnchor"/>
          <w:rtl w:val="true"/>
        </w:rPr>
        <w:footnoteReference w:id="1798"/>
      </w:r>
      <w:r>
        <w:rPr>
          <w:rFonts w:ascii="IRNazanin" w:hAnsi="IRNazanin" w:eastAsia="IRNazanin"/>
          <w:color w:val="111111"/>
          <w:sz w:val="28"/>
          <w:sz w:val="28"/>
          <w:szCs w:val="28"/>
          <w:rtl w:val="true"/>
          <w:lang w:bidi="fa-IR"/>
        </w:rPr>
        <w:t>فإنّ المقدوح من الأولویّة لیس إلّا ما إذا کان متردّدا فیها غیر واضحة فی العرف و العادة، و لیس منها هذه الأولویّة لما عرفته، فلیس</w:t>
      </w:r>
      <w:r>
        <w:rPr>
          <w:rStyle w:val="FootnoteAnchor"/>
          <w:rtl w:val="true"/>
        </w:rPr>
        <w:footnoteReference w:id="1799"/>
      </w:r>
      <w:r>
        <w:rPr>
          <w:rFonts w:ascii="IRNazanin" w:hAnsi="IRNazanin" w:eastAsia="IRNazanin"/>
          <w:color w:val="111111"/>
          <w:sz w:val="28"/>
          <w:sz w:val="28"/>
          <w:szCs w:val="28"/>
          <w:rtl w:val="true"/>
          <w:lang w:bidi="fa-IR"/>
        </w:rPr>
        <w:t>منکرها هنا</w:t>
      </w:r>
      <w:r>
        <w:rPr>
          <w:rStyle w:val="FootnoteAnchor"/>
          <w:rtl w:val="true"/>
        </w:rPr>
        <w:footnoteReference w:id="1800"/>
      </w:r>
      <w:r>
        <w:rPr>
          <w:rFonts w:ascii="IRNazanin" w:hAnsi="IRNazanin" w:eastAsia="IRNazanin"/>
          <w:color w:val="111111"/>
          <w:sz w:val="28"/>
          <w:sz w:val="28"/>
          <w:szCs w:val="28"/>
          <w:rtl w:val="true"/>
          <w:lang w:bidi="fa-IR"/>
        </w:rPr>
        <w:t>بهذا الطریق إلّا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منه ما یقال فی دفعها بأنّها من أقسام دلالة الألفاظ، لکونها دلالة التزامیّة عرفیّة علی ما هو التحقیق فیها</w:t>
      </w:r>
      <w:r>
        <w:rPr>
          <w:rStyle w:val="FootnoteAnchor"/>
          <w:rtl w:val="true"/>
        </w:rPr>
        <w:footnoteReference w:id="1801"/>
      </w:r>
      <w:r>
        <w:rPr>
          <w:rFonts w:ascii="IRNazanin" w:hAnsi="IRNazanin" w:eastAsia="IRNazanin"/>
          <w:color w:val="111111"/>
          <w:sz w:val="28"/>
          <w:sz w:val="28"/>
          <w:szCs w:val="28"/>
          <w:rtl w:val="true"/>
          <w:lang w:bidi="fa-IR"/>
        </w:rPr>
        <w:t>، و لا لفظ</w:t>
      </w:r>
      <w:r>
        <w:rPr>
          <w:rStyle w:val="FootnoteAnchor"/>
          <w:rtl w:val="true"/>
        </w:rPr>
        <w:footnoteReference w:id="1802"/>
      </w:r>
      <w:r>
        <w:rPr>
          <w:rFonts w:ascii="IRNazanin" w:hAnsi="IRNazanin" w:eastAsia="IRNazanin"/>
          <w:color w:val="111111"/>
          <w:sz w:val="28"/>
          <w:sz w:val="28"/>
          <w:szCs w:val="28"/>
          <w:rtl w:val="true"/>
          <w:lang w:bidi="fa-IR"/>
        </w:rPr>
        <w:t>هنا یدلّ علی حکم الأصل حتّی یتفرّع منه انسحابه و جریانه فی الفرع بطریق أولی؛ إذ لیس إلّا المقدّمات العقلیّة المرتّبة</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803"/>
      </w:r>
      <w:r>
        <w:rPr>
          <w:rFonts w:ascii="IRNazanin" w:hAnsi="IRNazanin" w:eastAsia="IRNazanin"/>
          <w:color w:val="111111"/>
          <w:sz w:val="28"/>
          <w:sz w:val="28"/>
          <w:szCs w:val="28"/>
          <w:rtl w:val="true"/>
          <w:lang w:bidi="fa-IR"/>
        </w:rPr>
        <w:t>الإجماع المتقدّم إلیهما</w:t>
      </w:r>
      <w:r>
        <w:rPr>
          <w:rStyle w:val="FootnoteAnchor"/>
          <w:rtl w:val="true"/>
        </w:rPr>
        <w:footnoteReference w:id="1804"/>
      </w:r>
      <w:r>
        <w:rPr>
          <w:rStyle w:val="FootnoteAnchor"/>
          <w:rtl w:val="true"/>
        </w:rPr>
        <w:footnoteReference w:id="1805"/>
      </w:r>
      <w:r>
        <w:rPr>
          <w:rFonts w:ascii="IRNazanin" w:hAnsi="IRNazanin" w:eastAsia="IRNazanin"/>
          <w:color w:val="111111"/>
          <w:sz w:val="28"/>
          <w:sz w:val="28"/>
          <w:szCs w:val="28"/>
          <w:rtl w:val="true"/>
          <w:lang w:bidi="fa-IR"/>
        </w:rPr>
        <w:t>الإشارة، و هما لیسا من الأدلّة اللفظیّة حتّی یترتّب علیهما الأولویّة، و ذلک لأنّ الإجماع و نحوه و إن لم یتضمّنا لفظ الحکم عن</w:t>
      </w:r>
      <w:r>
        <w:rPr>
          <w:rStyle w:val="FootnoteAnchor"/>
          <w:rtl w:val="true"/>
        </w:rPr>
        <w:footnoteReference w:id="1806"/>
      </w:r>
      <w:r>
        <w:rPr>
          <w:rFonts w:ascii="IRNazanin" w:hAnsi="IRNazanin" w:eastAsia="IRNazanin"/>
          <w:color w:val="111111"/>
          <w:sz w:val="28"/>
          <w:sz w:val="28"/>
          <w:szCs w:val="28"/>
          <w:rtl w:val="true"/>
          <w:lang w:bidi="fa-IR"/>
        </w:rPr>
        <w:t>الشارع صریحا إلّا أنّهما کاشفان عنه قطعا بناء علی أنّ حجّیّتهما</w:t>
      </w:r>
      <w:r>
        <w:rPr>
          <w:rStyle w:val="FootnoteAnchor"/>
          <w:rtl w:val="true"/>
        </w:rPr>
        <w:footnoteReference w:id="1807"/>
      </w:r>
      <w:r>
        <w:rPr>
          <w:rFonts w:ascii="IRNazanin" w:hAnsi="IRNazanin" w:eastAsia="IRNazanin"/>
          <w:color w:val="111111"/>
          <w:sz w:val="28"/>
          <w:sz w:val="28"/>
          <w:szCs w:val="28"/>
          <w:rtl w:val="true"/>
          <w:lang w:bidi="fa-IR"/>
        </w:rPr>
        <w:t>عندنا لیست لخصوصیّتهما، بل لکونهما کاشفین عن قول الشارع، و هی</w:t>
      </w:r>
      <w:r>
        <w:rPr>
          <w:rStyle w:val="FootnoteAnchor"/>
          <w:rtl w:val="true"/>
        </w:rPr>
        <w:footnoteReference w:id="1808"/>
      </w:r>
      <w:r>
        <w:rPr>
          <w:rFonts w:ascii="Amiri" w:hAnsi="Amiri" w:eastAsia="Amiri" w:cs="Amiri"/>
          <w:color w:val="111111"/>
          <w:sz w:val="28"/>
          <w:sz w:val="28"/>
          <w:szCs w:val="28"/>
          <w:rtl w:val="true"/>
          <w:lang w:bidi="ar-SA"/>
        </w:rPr>
        <w:t>الحجّة لا هما</w:t>
      </w:r>
      <w:r>
        <w:rPr>
          <w:rStyle w:val="FootnoteAnchor"/>
          <w:rtl w:val="true"/>
        </w:rPr>
        <w:footnoteReference w:id="1809"/>
      </w:r>
      <w:r>
        <w:rPr>
          <w:rFonts w:ascii="IRNazanin" w:hAnsi="IRNazanin" w:eastAsia="IRNazanin"/>
          <w:color w:val="111111"/>
          <w:sz w:val="28"/>
          <w:sz w:val="28"/>
          <w:szCs w:val="28"/>
          <w:rtl w:val="true"/>
          <w:lang w:bidi="fa-IR"/>
        </w:rPr>
        <w:t>، و علیه فمآلهما إلی اللفظ جدّا، فیترتّب علیه الأولویّة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منهما القدح فیها</w:t>
      </w:r>
      <w:r>
        <w:rPr>
          <w:rStyle w:val="FootnoteAnchor"/>
          <w:rtl w:val="true"/>
        </w:rPr>
        <w:footnoteReference w:id="1810"/>
      </w:r>
      <w:r>
        <w:rPr>
          <w:rFonts w:ascii="IRNazanin" w:hAnsi="IRNazanin" w:eastAsia="IRNazanin"/>
          <w:color w:val="111111"/>
          <w:sz w:val="28"/>
          <w:sz w:val="28"/>
          <w:szCs w:val="28"/>
          <w:rtl w:val="true"/>
          <w:lang w:bidi="fa-IR"/>
        </w:rPr>
        <w:t>باحتمال أن یکون للأصل فی الحکم مدخلیّة؛ لجریانه فی کلّ أولویّة، أ لا تری أنّه لا فرق بین قولک</w:t>
      </w:r>
      <w:r>
        <w:rPr>
          <w:rStyle w:val="FootnoteAnchor"/>
          <w:rtl w:val="true"/>
        </w:rPr>
        <w:footnoteReference w:id="1811"/>
      </w:r>
      <w:r>
        <w:rPr>
          <w:rFonts w:ascii="IRNazanin" w:hAnsi="IRNazanin" w:eastAsia="IRNazanin"/>
          <w:color w:val="111111"/>
          <w:sz w:val="28"/>
          <w:sz w:val="28"/>
          <w:szCs w:val="28"/>
          <w:rtl w:val="true"/>
          <w:lang w:bidi="fa-IR"/>
        </w:rPr>
        <w:t>هنا و بین قول القائل</w:t>
      </w:r>
      <w:r>
        <w:rPr>
          <w:rStyle w:val="FootnoteAnchor"/>
          <w:rtl w:val="true"/>
        </w:rPr>
        <w:footnoteReference w:id="1812"/>
      </w:r>
      <w:r>
        <w:rPr>
          <w:rFonts w:ascii="IRNazanin" w:hAnsi="IRNazanin" w:eastAsia="IRNazanin"/>
          <w:color w:val="111111"/>
          <w:sz w:val="28"/>
          <w:sz w:val="28"/>
          <w:szCs w:val="28"/>
          <w:rtl w:val="true"/>
          <w:lang w:bidi="fa-IR"/>
        </w:rPr>
        <w:t>فی آیة التأفیف</w:t>
      </w:r>
      <w:r>
        <w:rPr>
          <w:rStyle w:val="FootnoteAnchor"/>
          <w:rtl w:val="true"/>
        </w:rPr>
        <w:footnoteReference w:id="1813"/>
      </w:r>
      <w:r>
        <w:rPr>
          <w:rFonts w:ascii="IRNazanin" w:hAnsi="IRNazanin" w:eastAsia="IRNazanin"/>
          <w:color w:val="111111"/>
          <w:sz w:val="28"/>
          <w:sz w:val="28"/>
          <w:szCs w:val="28"/>
          <w:rtl w:val="true"/>
          <w:lang w:bidi="fa-IR"/>
        </w:rPr>
        <w:t>بأنّه قد یکون للخصوصیّة مدخل فی التحریم، فلا یتعدّی إلی أنواع الأذی من الضرب و الشتم و نحوهما، و قوله هذا مخالف للضرورة قطعا، فکذلک قولک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عنهما واحد، و هو أنّ احتمال الخصوصیّة لا ینظر إلیها بعد إطباق العرف علی فهم الأولویّة و عدم احتمالهم لها</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الأولویة من الأدلّة الظاهریّة لا یقدح فی حجّیّتها الاحتمالات الضعیفة و لو کانت بحسب نفس الأمر محتملة، و حالها کحال</w:t>
      </w:r>
      <w:r>
        <w:rPr>
          <w:rStyle w:val="FootnoteAnchor"/>
          <w:rtl w:val="true"/>
        </w:rPr>
        <w:footnoteReference w:id="1815"/>
      </w:r>
      <w:r>
        <w:rPr>
          <w:rFonts w:ascii="IRNazanin" w:hAnsi="IRNazanin" w:eastAsia="IRNazanin"/>
          <w:color w:val="111111"/>
          <w:sz w:val="28"/>
          <w:sz w:val="28"/>
          <w:szCs w:val="28"/>
          <w:rtl w:val="true"/>
          <w:lang w:bidi="fa-IR"/>
        </w:rPr>
        <w:t>سائر الألفاظ مثل الأمر و النهی، فإنّهما و إن احتملا الاستحباب و الکراهة إلّا أنّهما ظاهران فی الوجوب و الحرمة فی العرف و اللغة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بلغ عملهم بتلک الظنون الضعیفة المحتاج إلیها فی أخبار الآحاد و ما یتعلّق</w:t>
      </w:r>
      <w:bookmarkStart w:id="527" w:name="pg19819_193838"/>
    </w:p>
    <w:p>
      <w:pPr>
        <w:pStyle w:val="BookText"/>
        <w:rPr/>
      </w:pPr>
      <w:bookmarkEnd w:id="527"/>
      <w:r>
        <w:rPr>
          <w:rFonts w:ascii="IRNazanin" w:hAnsi="IRNazanin" w:eastAsia="IRNazanin"/>
          <w:color w:val="111111"/>
          <w:sz w:val="28"/>
          <w:sz w:val="28"/>
          <w:szCs w:val="28"/>
          <w:rtl w:val="true"/>
          <w:lang w:bidi="fa-IR"/>
        </w:rPr>
        <w:t>بها حدّ الإجماع، و إن لم یبلغ حدّ الإجماع فإمّا أن یقتصر عن</w:t>
      </w:r>
      <w:r>
        <w:rPr>
          <w:rStyle w:val="FootnoteAnchor"/>
          <w:rtl w:val="true"/>
        </w:rPr>
        <w:footnoteReference w:id="1816"/>
      </w:r>
      <w:r>
        <w:rPr>
          <w:rFonts w:ascii="IRNazanin" w:hAnsi="IRNazanin" w:eastAsia="IRNazanin"/>
          <w:color w:val="111111"/>
          <w:sz w:val="28"/>
          <w:sz w:val="28"/>
          <w:szCs w:val="28"/>
          <w:rtl w:val="true"/>
          <w:lang w:bidi="fa-IR"/>
        </w:rPr>
        <w:t>تلک</w:t>
      </w:r>
      <w:r>
        <w:rPr>
          <w:rStyle w:val="FootnoteAnchor"/>
          <w:rtl w:val="true"/>
        </w:rPr>
        <w:footnoteReference w:id="1817"/>
      </w:r>
      <w:r>
        <w:rPr>
          <w:rFonts w:ascii="IRNazanin" w:hAnsi="IRNazanin" w:eastAsia="IRNazanin"/>
          <w:color w:val="111111"/>
          <w:sz w:val="28"/>
          <w:sz w:val="28"/>
          <w:szCs w:val="28"/>
          <w:rtl w:val="true"/>
          <w:lang w:bidi="fa-IR"/>
        </w:rPr>
        <w:t>الظنون علی ما قام الدلیل القاطع</w:t>
      </w:r>
      <w:r>
        <w:rPr>
          <w:rStyle w:val="FootnoteAnchor"/>
          <w:rtl w:val="true"/>
        </w:rPr>
        <w:footnoteReference w:id="1818"/>
      </w:r>
      <w:r>
        <w:rPr>
          <w:rFonts w:ascii="IRNazanin" w:hAnsi="IRNazanin" w:eastAsia="IRNazanin"/>
          <w:color w:val="111111"/>
          <w:sz w:val="28"/>
          <w:sz w:val="28"/>
          <w:szCs w:val="28"/>
          <w:rtl w:val="true"/>
          <w:lang w:bidi="fa-IR"/>
        </w:rPr>
        <w:t>علی حجّیّته، و یمنع حجّیّة کلّ ظنّ للمجتهد عداه بمنع کلّیّة الکبری، أو لا یقتصر بل یعمل بالکلّیّة، و یستثنی منها ما قام الدلیل علی خلافه کظنّ القیاس و الرأی و الاستحسان و نحوها</w:t>
      </w:r>
      <w:r>
        <w:rPr>
          <w:rStyle w:val="FootnoteAnchor"/>
          <w:rtl w:val="true"/>
        </w:rPr>
        <w:footnoteReference w:id="1819"/>
      </w:r>
      <w:r>
        <w:rPr>
          <w:rFonts w:ascii="IRNazanin" w:hAnsi="IRNazanin" w:eastAsia="IRNazanin"/>
          <w:color w:val="111111"/>
          <w:sz w:val="28"/>
          <w:sz w:val="28"/>
          <w:szCs w:val="28"/>
          <w:rtl w:val="true"/>
          <w:lang w:bidi="fa-IR"/>
        </w:rPr>
        <w:t>،</w:t>
      </w:r>
      <w:r>
        <w:rPr>
          <w:rStyle w:val="FootnoteAnchor"/>
          <w:rtl w:val="true"/>
        </w:rPr>
        <w:footnoteReference w:id="1820"/>
      </w:r>
      <w:r>
        <w:rPr>
          <w:rFonts w:ascii="IRNazanin" w:hAnsi="IRNazanin" w:eastAsia="IRNazanin"/>
          <w:color w:val="111111"/>
          <w:sz w:val="28"/>
          <w:sz w:val="28"/>
          <w:szCs w:val="28"/>
          <w:rtl w:val="true"/>
          <w:lang w:bidi="fa-IR"/>
        </w:rPr>
        <w:t>لا سبیل إلی الأوّل؛ لما مرّ من استلزامه الخروج عن</w:t>
      </w:r>
      <w:r>
        <w:rPr>
          <w:rStyle w:val="FootnoteAnchor"/>
          <w:rtl w:val="true"/>
        </w:rPr>
        <w:footnoteReference w:id="1821"/>
      </w:r>
      <w:r>
        <w:rPr>
          <w:rFonts w:ascii="IRNazanin" w:hAnsi="IRNazanin" w:eastAsia="IRNazanin"/>
          <w:color w:val="111111"/>
          <w:sz w:val="28"/>
          <w:sz w:val="28"/>
          <w:szCs w:val="28"/>
          <w:rtl w:val="true"/>
          <w:lang w:bidi="fa-IR"/>
        </w:rPr>
        <w:t>الدین و عدم التدیّن بدین خیر المرسلین</w:t>
      </w:r>
      <w:r>
        <w:rPr>
          <w:rStyle w:val="FootnoteAnchor"/>
          <w:rtl w:val="true"/>
        </w:rPr>
        <w:footnoteReference w:id="1822"/>
      </w:r>
      <w:r>
        <w:rPr>
          <w:rFonts w:ascii="IRNazanin" w:hAnsi="IRNazanin" w:eastAsia="IRNazanin"/>
          <w:color w:val="111111"/>
          <w:sz w:val="28"/>
          <w:sz w:val="28"/>
          <w:szCs w:val="28"/>
          <w:rtl w:val="true"/>
          <w:lang w:bidi="fa-IR"/>
        </w:rPr>
        <w:t>صلّی اللّه علیه و آله، فتعیّن المصیر إلی الثانی</w:t>
      </w:r>
      <w:r>
        <w:rPr>
          <w:rFonts w:eastAsia="IRNazanin" w:cs="IRNazanin"/>
          <w:color w:val="111111"/>
          <w:sz w:val="28"/>
          <w:szCs w:val="28"/>
          <w:rtl w:val="true"/>
          <w:lang w:bidi="fa-IR"/>
        </w:rPr>
        <w:t>.</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لکن لا یخفی علیک أنّ مآل الاستدلال علی هذا التقدیر</w:t>
      </w:r>
      <w:r>
        <w:rPr>
          <w:rStyle w:val="FootnoteAnchor"/>
          <w:rtl w:val="true"/>
        </w:rPr>
        <w:footnoteReference w:id="1824"/>
      </w:r>
      <w:r>
        <w:rPr>
          <w:rFonts w:ascii="IRNazanin" w:hAnsi="IRNazanin" w:eastAsia="IRNazanin"/>
          <w:color w:val="111111"/>
          <w:sz w:val="28"/>
          <w:sz w:val="28"/>
          <w:szCs w:val="28"/>
          <w:rtl w:val="true"/>
          <w:lang w:bidi="fa-IR"/>
        </w:rPr>
        <w:t>راجع إلی الدلیل الرابع، و لکنّ المقصود من هذا الدلیل إنّما هو التقدیر</w:t>
      </w:r>
      <w:r>
        <w:rPr>
          <w:rStyle w:val="FootnoteAnchor"/>
          <w:rtl w:val="true"/>
        </w:rPr>
        <w:footnoteReference w:id="1825"/>
      </w:r>
      <w:r>
        <w:rPr>
          <w:rFonts w:ascii="IRNazanin" w:hAnsi="IRNazanin" w:eastAsia="IRNazanin"/>
          <w:color w:val="111111"/>
          <w:sz w:val="28"/>
          <w:sz w:val="28"/>
          <w:szCs w:val="28"/>
          <w:rtl w:val="true"/>
          <w:lang w:bidi="fa-IR"/>
        </w:rPr>
        <w:t>الأوّل، و إنّما رددنا بینه و بین هذا التقدیر</w:t>
      </w:r>
      <w:r>
        <w:rPr>
          <w:rStyle w:val="FootnoteAnchor"/>
          <w:rtl w:val="true"/>
        </w:rPr>
        <w:footnoteReference w:id="1826"/>
      </w:r>
      <w:r>
        <w:rPr>
          <w:rFonts w:ascii="IRNazanin" w:hAnsi="IRNazanin" w:eastAsia="IRNazanin"/>
          <w:color w:val="111111"/>
          <w:sz w:val="28"/>
          <w:sz w:val="28"/>
          <w:szCs w:val="28"/>
          <w:rtl w:val="true"/>
          <w:lang w:bidi="fa-IR"/>
        </w:rPr>
        <w:t>تضییقا علی الخصم و سدّ</w:t>
      </w:r>
      <w:r>
        <w:rPr>
          <w:rStyle w:val="FootnoteAnchor"/>
          <w:rtl w:val="true"/>
        </w:rPr>
        <w:footnoteReference w:id="1827"/>
      </w:r>
      <w:r>
        <w:rPr>
          <w:rFonts w:ascii="IRNazanin" w:hAnsi="IRNazanin" w:eastAsia="IRNazanin"/>
          <w:color w:val="111111"/>
          <w:sz w:val="28"/>
          <w:sz w:val="28"/>
          <w:szCs w:val="28"/>
          <w:rtl w:val="true"/>
          <w:lang w:bidi="fa-IR"/>
        </w:rPr>
        <w:t>أبواب</w:t>
      </w:r>
      <w:r>
        <w:rPr>
          <w:rStyle w:val="FootnoteAnchor"/>
          <w:rtl w:val="true"/>
        </w:rPr>
        <w:footnoteReference w:id="1828"/>
      </w:r>
      <w:r>
        <w:rPr>
          <w:rFonts w:ascii="IRNazanin" w:hAnsi="IRNazanin" w:eastAsia="IRNazanin"/>
          <w:color w:val="111111"/>
          <w:sz w:val="28"/>
          <w:sz w:val="28"/>
          <w:szCs w:val="28"/>
          <w:rtl w:val="true"/>
          <w:lang w:bidi="fa-IR"/>
        </w:rPr>
        <w:t>محتملات کلامه بحیث لا یمکنه الذبّ و الفرار تحصیلا لمقصوده و مرامه</w:t>
      </w:r>
      <w:r>
        <w:rPr>
          <w:rFonts w:eastAsia="IRNazanin" w:cs="IRNazanin"/>
          <w:color w:val="111111"/>
          <w:sz w:val="28"/>
          <w:szCs w:val="28"/>
          <w:rtl w:val="true"/>
          <w:lang w:bidi="fa-IR"/>
        </w:rPr>
        <w:t>.</w:t>
      </w:r>
    </w:p>
    <w:p>
      <w:pPr>
        <w:pStyle w:val="Heading4"/>
        <w:numPr>
          <w:ilvl w:val="3"/>
          <w:numId w:val="1"/>
        </w:numPr>
        <w:rPr/>
      </w:pPr>
      <w:bookmarkStart w:id="528" w:name="__RefHeading___Toc3055789_2314609296"/>
      <w:bookmarkStart w:id="529" w:name="_Toc198"/>
      <w:bookmarkEnd w:id="528"/>
      <w:r>
        <w:rPr>
          <w:rtl w:val="true"/>
        </w:rPr>
        <w:t>[</w:t>
      </w:r>
      <w:r>
        <w:rPr>
          <w:rtl w:val="true"/>
        </w:rPr>
        <w:t>حصیلة البحث</w:t>
      </w:r>
      <w:r>
        <w:rPr>
          <w:rtl w:val="true"/>
        </w:rPr>
        <w:t>:]</w:t>
      </w:r>
      <w:bookmarkEnd w:id="52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ظهر ممّا ذکرنا من أوّل الرسالة إلی هنا من وجوه شتّی حجّیّة الشهرة مطلقا، کان معها</w:t>
      </w:r>
      <w:r>
        <w:rPr>
          <w:rStyle w:val="FootnoteAnchor"/>
          <w:rtl w:val="true"/>
        </w:rPr>
        <w:footnoteReference w:id="1829"/>
      </w:r>
      <w:r>
        <w:rPr>
          <w:rFonts w:ascii="IRNazanin" w:hAnsi="IRNazanin" w:eastAsia="IRNazanin"/>
          <w:color w:val="111111"/>
          <w:sz w:val="28"/>
          <w:sz w:val="28"/>
          <w:szCs w:val="28"/>
          <w:rtl w:val="true"/>
          <w:lang w:bidi="fa-IR"/>
        </w:rPr>
        <w:t>روایة ضعیفة</w:t>
      </w:r>
      <w:r>
        <w:rPr>
          <w:rStyle w:val="FootnoteAnchor"/>
          <w:rtl w:val="true"/>
        </w:rPr>
        <w:footnoteReference w:id="1830"/>
      </w:r>
      <w:r>
        <w:rPr>
          <w:rFonts w:ascii="IRNazanin" w:hAnsi="IRNazanin" w:eastAsia="IRNazanin"/>
          <w:color w:val="111111"/>
          <w:sz w:val="28"/>
          <w:sz w:val="28"/>
          <w:szCs w:val="28"/>
          <w:rtl w:val="true"/>
          <w:lang w:bidi="fa-IR"/>
        </w:rPr>
        <w:t>أم</w:t>
      </w:r>
      <w:r>
        <w:rPr>
          <w:rStyle w:val="FootnoteAnchor"/>
          <w:rtl w:val="true"/>
        </w:rPr>
        <w:footnoteReference w:id="1831"/>
      </w:r>
      <w:r>
        <w:rPr>
          <w:rFonts w:ascii="IRNazanin" w:hAnsi="IRNazanin" w:eastAsia="IRNazanin"/>
          <w:color w:val="111111"/>
          <w:sz w:val="28"/>
          <w:sz w:val="28"/>
          <w:szCs w:val="28"/>
          <w:rtl w:val="true"/>
          <w:lang w:bidi="fa-IR"/>
        </w:rPr>
        <w:t>لا،</w:t>
      </w:r>
      <w:r>
        <w:rPr>
          <w:rStyle w:val="FootnoteAnchor"/>
          <w:rtl w:val="true"/>
        </w:rPr>
        <w:footnoteReference w:id="1832"/>
      </w:r>
      <w:r>
        <w:rPr>
          <w:rFonts w:ascii="IRNazanin" w:hAnsi="IRNazanin" w:eastAsia="IRNazanin"/>
          <w:color w:val="111111"/>
          <w:sz w:val="28"/>
          <w:sz w:val="28"/>
          <w:szCs w:val="28"/>
          <w:rtl w:val="true"/>
          <w:lang w:bidi="fa-IR"/>
        </w:rPr>
        <w:t>اتّضح دلیلها أم لا،</w:t>
      </w:r>
      <w:r>
        <w:rPr>
          <w:rStyle w:val="FootnoteAnchor"/>
          <w:rtl w:val="true"/>
        </w:rPr>
        <w:footnoteReference w:id="1833"/>
      </w:r>
      <w:r>
        <w:rPr>
          <w:rFonts w:ascii="IRNazanin" w:hAnsi="IRNazanin" w:eastAsia="IRNazanin"/>
          <w:color w:val="111111"/>
          <w:sz w:val="28"/>
          <w:sz w:val="28"/>
          <w:szCs w:val="28"/>
          <w:rtl w:val="true"/>
          <w:lang w:bidi="fa-IR"/>
        </w:rPr>
        <w:t>لکن خرج منها الشهرة التی لا یتّضح دلیلها، و لا وجد</w:t>
      </w:r>
      <w:r>
        <w:rPr>
          <w:rStyle w:val="FootnoteAnchor"/>
          <w:rtl w:val="true"/>
        </w:rPr>
        <w:footnoteReference w:id="1834"/>
      </w:r>
      <w:r>
        <w:rPr>
          <w:rFonts w:ascii="IRNazanin" w:hAnsi="IRNazanin" w:eastAsia="IRNazanin"/>
          <w:color w:val="111111"/>
          <w:sz w:val="28"/>
          <w:sz w:val="28"/>
          <w:szCs w:val="28"/>
          <w:rtl w:val="true"/>
          <w:lang w:bidi="fa-IR"/>
        </w:rPr>
        <w:t>معها</w:t>
      </w:r>
      <w:r>
        <w:rPr>
          <w:rStyle w:val="FootnoteAnchor"/>
          <w:rtl w:val="true"/>
        </w:rPr>
        <w:footnoteReference w:id="1835"/>
      </w:r>
      <w:r>
        <w:rPr>
          <w:rFonts w:ascii="IRNazanin" w:hAnsi="IRNazanin" w:eastAsia="IRNazanin"/>
          <w:color w:val="111111"/>
          <w:sz w:val="28"/>
          <w:sz w:val="28"/>
          <w:szCs w:val="28"/>
          <w:rtl w:val="true"/>
          <w:lang w:bidi="fa-IR"/>
        </w:rPr>
        <w:t>روایة و غیرها من الاصول مطلقا باشتهار عدم</w:t>
      </w:r>
    </w:p>
    <w:p>
      <w:pPr>
        <w:pStyle w:val="BookText"/>
        <w:rPr/>
      </w:pPr>
      <w:r>
        <w:rPr>
          <w:rFonts w:ascii="IRNazanin" w:hAnsi="IRNazanin" w:eastAsia="IRNazanin"/>
          <w:color w:val="111111"/>
          <w:sz w:val="28"/>
          <w:sz w:val="28"/>
          <w:szCs w:val="28"/>
          <w:rtl w:val="true"/>
          <w:lang w:bidi="fa-IR"/>
        </w:rPr>
        <w:t>حجّیّة مثلها کما ذکره الخال</w:t>
      </w:r>
      <w:r>
        <w:rPr>
          <w:rStyle w:val="FootnoteAnchor"/>
          <w:rtl w:val="true"/>
        </w:rPr>
        <w:footnoteReference w:id="1836"/>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ما عداها من نحو الشهرة التی معها روایة ضعیفة مثلا باقیة بحالها فی حجّیّتها؛ لعدم مانع عنها</w:t>
      </w:r>
      <w:r>
        <w:rPr>
          <w:rStyle w:val="FootnoteAnchor"/>
          <w:rtl w:val="true"/>
        </w:rPr>
        <w:footnoteReference w:id="1837"/>
      </w:r>
      <w:r>
        <w:rPr>
          <w:rFonts w:ascii="IRNazanin" w:hAnsi="IRNazanin" w:eastAsia="IRNazanin"/>
          <w:color w:val="111111"/>
          <w:sz w:val="28"/>
          <w:sz w:val="28"/>
          <w:szCs w:val="28"/>
          <w:rtl w:val="true"/>
          <w:lang w:bidi="fa-IR"/>
        </w:rPr>
        <w:t>أصلا؛ لاختصاص الشهرة المانعة عن حجّیّة الشهرة بغیر مثل هذه الشهرة ممّا لم ینضمّ</w:t>
      </w:r>
      <w:r>
        <w:rPr>
          <w:rStyle w:val="FootnoteAnchor"/>
          <w:rtl w:val="true"/>
        </w:rPr>
        <w:footnoteReference w:id="1838"/>
      </w:r>
      <w:r>
        <w:rPr>
          <w:rFonts w:ascii="IRNazanin" w:hAnsi="IRNazanin" w:eastAsia="IRNazanin"/>
          <w:color w:val="111111"/>
          <w:sz w:val="28"/>
          <w:sz w:val="28"/>
          <w:szCs w:val="28"/>
          <w:rtl w:val="true"/>
          <w:lang w:bidi="fa-IR"/>
        </w:rPr>
        <w:t>إلیه نحو روایة ضعیفة؛ إذ</w:t>
      </w:r>
      <w:r>
        <w:rPr>
          <w:rStyle w:val="FootnoteAnchor"/>
          <w:rtl w:val="true"/>
        </w:rPr>
        <w:footnoteReference w:id="1839"/>
      </w:r>
      <w:r>
        <w:rPr>
          <w:rFonts w:ascii="IRNazanin" w:hAnsi="IRNazanin" w:eastAsia="IRNazanin"/>
          <w:color w:val="111111"/>
          <w:sz w:val="28"/>
          <w:sz w:val="28"/>
          <w:szCs w:val="28"/>
          <w:rtl w:val="true"/>
          <w:lang w:bidi="fa-IR"/>
        </w:rPr>
        <w:t>لا مانع آخر یتصوّر</w:t>
      </w:r>
      <w:r>
        <w:rPr>
          <w:rStyle w:val="FootnoteAnchor"/>
          <w:rtl w:val="true"/>
        </w:rPr>
        <w:footnoteReference w:id="1840"/>
      </w:r>
      <w:r>
        <w:rPr>
          <w:rFonts w:ascii="IRNazanin" w:hAnsi="IRNazanin" w:eastAsia="IRNazanin"/>
          <w:color w:val="111111"/>
          <w:sz w:val="28"/>
          <w:sz w:val="28"/>
          <w:szCs w:val="28"/>
          <w:rtl w:val="true"/>
          <w:lang w:bidi="fa-IR"/>
        </w:rPr>
        <w:t>عنها عدا الأدلّة الدالّة علی عدم حجّیّة الظنّ مطلقا، لکن ما قدّمناه من الأدلّة القاطعة علی حجّیّة الظنون الاجتهادیّة فی الأحکام الشرعیّة و ما یتعلّق بها من نحو الشهرة و غیرها تخصّصها</w:t>
      </w:r>
      <w:r>
        <w:rPr>
          <w:rStyle w:val="FootnoteAnchor"/>
          <w:rtl w:val="true"/>
        </w:rPr>
        <w:footnoteReference w:id="1841"/>
      </w:r>
      <w:r>
        <w:rPr>
          <w:rFonts w:ascii="Amiri" w:hAnsi="Amiri" w:eastAsia="Amiri" w:cs="Amiri"/>
          <w:color w:val="111111"/>
          <w:sz w:val="28"/>
          <w:sz w:val="28"/>
          <w:szCs w:val="28"/>
          <w:rtl w:val="true"/>
          <w:lang w:bidi="ar-SA"/>
        </w:rPr>
        <w:t>لأنّها خاصّة، و الخاصّ مقدّم علی العامّ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یسهل الخروج عمّا یورد علی الاستناد إلی الأخبار الضعیفة و القول بحجّیّتها بدعوی انجبارها</w:t>
      </w:r>
      <w:r>
        <w:rPr>
          <w:rStyle w:val="FootnoteAnchor"/>
          <w:rtl w:val="true"/>
        </w:rPr>
        <w:footnoteReference w:id="1842"/>
      </w:r>
      <w:r>
        <w:rPr>
          <w:rFonts w:ascii="IRNazanin" w:hAnsi="IRNazanin" w:eastAsia="IRNazanin"/>
          <w:color w:val="111111"/>
          <w:sz w:val="28"/>
          <w:sz w:val="28"/>
          <w:szCs w:val="28"/>
          <w:rtl w:val="true"/>
          <w:lang w:bidi="fa-IR"/>
        </w:rPr>
        <w:t>بالشهرة من أنّ کلّا منهما</w:t>
      </w:r>
      <w:r>
        <w:rPr>
          <w:rStyle w:val="FootnoteAnchor"/>
          <w:rtl w:val="true"/>
        </w:rPr>
        <w:footnoteReference w:id="1843"/>
      </w:r>
      <w:r>
        <w:rPr>
          <w:rFonts w:ascii="IRNazanin" w:hAnsi="IRNazanin" w:eastAsia="IRNazanin"/>
          <w:color w:val="111111"/>
          <w:sz w:val="28"/>
          <w:sz w:val="28"/>
          <w:szCs w:val="28"/>
          <w:rtl w:val="true"/>
          <w:lang w:bidi="fa-IR"/>
        </w:rPr>
        <w:t>بانفراده لیس بحجّة</w:t>
      </w:r>
      <w:r>
        <w:rPr>
          <w:rStyle w:val="FootnoteAnchor"/>
          <w:rtl w:val="true"/>
        </w:rPr>
        <w:footnoteReference w:id="1844"/>
      </w:r>
      <w:r>
        <w:rPr>
          <w:rFonts w:ascii="IRNazanin" w:hAnsi="IRNazanin" w:eastAsia="IRNazanin"/>
          <w:color w:val="111111"/>
          <w:sz w:val="28"/>
          <w:sz w:val="28"/>
          <w:szCs w:val="28"/>
          <w:rtl w:val="true"/>
          <w:lang w:bidi="fa-IR"/>
        </w:rPr>
        <w:t>شرعیّة، فکیف باجتماعهما</w:t>
      </w:r>
      <w:r>
        <w:rPr>
          <w:rStyle w:val="FootnoteAnchor"/>
          <w:rtl w:val="true"/>
        </w:rPr>
        <w:footnoteReference w:id="1845"/>
      </w:r>
      <w:r>
        <w:rPr>
          <w:rFonts w:ascii="IRNazanin" w:hAnsi="IRNazanin" w:eastAsia="IRNazanin"/>
          <w:color w:val="111111"/>
          <w:sz w:val="28"/>
          <w:sz w:val="28"/>
          <w:szCs w:val="28"/>
          <w:rtl w:val="true"/>
          <w:lang w:bidi="fa-IR"/>
        </w:rPr>
        <w:t>یحصل حجّة شرعیّة أقوی من الحجج الشرعیّة من نحو الصحاح المستفیضة التی کلّ منها حجّة</w:t>
      </w:r>
      <w:r>
        <w:rPr>
          <w:rStyle w:val="FootnoteAnchor"/>
          <w:rtl w:val="true"/>
        </w:rPr>
        <w:footnoteReference w:id="1846"/>
      </w:r>
      <w:r>
        <w:rPr>
          <w:rFonts w:ascii="IRNazanin" w:hAnsi="IRNazanin" w:eastAsia="IRNazanin"/>
          <w:color w:val="111111"/>
          <w:sz w:val="28"/>
          <w:sz w:val="28"/>
          <w:szCs w:val="28"/>
          <w:rtl w:val="true"/>
          <w:lang w:bidi="fa-IR"/>
        </w:rPr>
        <w:t>مستقلّة، فضلا عن أن یکون کلّها مجتمعة و بعضها إلی بعض منضمّة؟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فإنّ الحجّة فی الحقیقة إنّما هی نفس الشهرة لا الروایة، و إنّما ذکرت حجّة و نسب</w:t>
      </w:r>
      <w:r>
        <w:rPr>
          <w:rStyle w:val="FootnoteAnchor"/>
          <w:rtl w:val="true"/>
        </w:rPr>
        <w:footnoteReference w:id="1847"/>
      </w:r>
      <w:r>
        <w:rPr>
          <w:rFonts w:ascii="IRNazanin" w:hAnsi="IRNazanin" w:eastAsia="IRNazanin"/>
          <w:color w:val="111111"/>
          <w:sz w:val="28"/>
          <w:sz w:val="28"/>
          <w:szCs w:val="28"/>
          <w:rtl w:val="true"/>
          <w:lang w:bidi="fa-IR"/>
        </w:rPr>
        <w:t>إلیها</w:t>
      </w:r>
      <w:r>
        <w:rPr>
          <w:rStyle w:val="FootnoteAnchor"/>
          <w:rtl w:val="true"/>
        </w:rPr>
        <w:footnoteReference w:id="1848"/>
      </w:r>
      <w:r>
        <w:rPr>
          <w:rFonts w:ascii="Amiri" w:hAnsi="Amiri" w:eastAsia="Amiri" w:cs="Amiri"/>
          <w:color w:val="111111"/>
          <w:sz w:val="28"/>
          <w:sz w:val="28"/>
          <w:szCs w:val="28"/>
          <w:rtl w:val="true"/>
          <w:lang w:bidi="ar-SA"/>
        </w:rPr>
        <w:t>الحجّة</w:t>
      </w:r>
      <w:r>
        <w:rPr>
          <w:rStyle w:val="FootnoteAnchor"/>
          <w:rtl w:val="true"/>
        </w:rPr>
        <w:footnoteReference w:id="1849"/>
      </w:r>
      <w:r>
        <w:rPr>
          <w:rFonts w:ascii="IRNazanin" w:hAnsi="IRNazanin" w:eastAsia="IRNazanin"/>
          <w:color w:val="111111"/>
          <w:sz w:val="28"/>
          <w:sz w:val="28"/>
          <w:szCs w:val="28"/>
          <w:rtl w:val="true"/>
          <w:lang w:bidi="fa-IR"/>
        </w:rPr>
        <w:t>مسامحة، تعویلا علی الوضوح الخارجی</w:t>
      </w:r>
      <w:r>
        <w:rPr>
          <w:rStyle w:val="FootnoteAnchor"/>
          <w:rtl w:val="true"/>
        </w:rPr>
        <w:footnoteReference w:id="1850"/>
      </w:r>
      <w:r>
        <w:rPr>
          <w:rFonts w:ascii="IRNazanin" w:hAnsi="IRNazanin" w:eastAsia="IRNazanin"/>
          <w:color w:val="111111"/>
          <w:sz w:val="28"/>
          <w:sz w:val="28"/>
          <w:szCs w:val="28"/>
          <w:rtl w:val="true"/>
          <w:lang w:bidi="fa-IR"/>
        </w:rPr>
        <w:t>المستفاد ممّا قدّمناه، و المقصود</w:t>
      </w:r>
      <w:r>
        <w:rPr>
          <w:rStyle w:val="FootnoteAnchor"/>
          <w:rtl w:val="true"/>
        </w:rPr>
        <w:footnoteReference w:id="1851"/>
      </w:r>
      <w:r>
        <w:rPr>
          <w:rFonts w:ascii="IRNazanin" w:hAnsi="IRNazanin" w:eastAsia="IRNazanin"/>
          <w:color w:val="111111"/>
          <w:sz w:val="28"/>
          <w:sz w:val="28"/>
          <w:szCs w:val="28"/>
          <w:rtl w:val="true"/>
          <w:lang w:bidi="fa-IR"/>
        </w:rPr>
        <w:t>من ذکر الروایة حقیقة إنّما هو جعلها طریقة</w:t>
      </w:r>
      <w:r>
        <w:rPr>
          <w:rStyle w:val="FootnoteAnchor"/>
          <w:rtl w:val="true"/>
        </w:rPr>
        <w:footnoteReference w:id="1852"/>
      </w:r>
      <w:r>
        <w:rPr>
          <w:rFonts w:ascii="IRNazanin" w:hAnsi="IRNazanin" w:eastAsia="IRNazanin"/>
          <w:color w:val="111111"/>
          <w:sz w:val="28"/>
          <w:sz w:val="28"/>
          <w:szCs w:val="28"/>
          <w:rtl w:val="true"/>
          <w:lang w:bidi="fa-IR"/>
        </w:rPr>
        <w:t>و وسیلة إلی</w:t>
      </w:r>
    </w:p>
    <w:p>
      <w:pPr>
        <w:pStyle w:val="BookText"/>
        <w:rPr/>
      </w:pPr>
      <w:r>
        <w:rPr>
          <w:rFonts w:ascii="IRNazanin" w:hAnsi="IRNazanin" w:eastAsia="IRNazanin"/>
          <w:color w:val="111111"/>
          <w:sz w:val="28"/>
          <w:sz w:val="28"/>
          <w:szCs w:val="28"/>
          <w:rtl w:val="true"/>
          <w:lang w:bidi="fa-IR"/>
        </w:rPr>
        <w:t>التخلّص من الشهرة المانعة عن حجّیّة الشهرة؛ لعدم دخولها</w:t>
      </w:r>
      <w:r>
        <w:rPr>
          <w:rStyle w:val="FootnoteAnchor"/>
          <w:rtl w:val="true"/>
        </w:rPr>
        <w:footnoteReference w:id="1853"/>
      </w:r>
      <w:r>
        <w:rPr>
          <w:rFonts w:ascii="IRNazanin" w:hAnsi="IRNazanin" w:eastAsia="IRNazanin"/>
          <w:color w:val="111111"/>
          <w:sz w:val="28"/>
          <w:sz w:val="28"/>
          <w:szCs w:val="28"/>
          <w:rtl w:val="true"/>
          <w:lang w:bidi="fa-IR"/>
        </w:rPr>
        <w:t>فیها کما عرفته، و إلّا فلیس</w:t>
      </w:r>
      <w:r>
        <w:rPr>
          <w:rStyle w:val="FootnoteAnchor"/>
          <w:rtl w:val="true"/>
        </w:rPr>
        <w:footnoteReference w:id="1854"/>
      </w:r>
      <w:r>
        <w:rPr>
          <w:rFonts w:ascii="IRNazanin" w:hAnsi="IRNazanin" w:eastAsia="IRNazanin"/>
          <w:color w:val="111111"/>
          <w:sz w:val="28"/>
          <w:sz w:val="28"/>
          <w:szCs w:val="28"/>
          <w:rtl w:val="true"/>
          <w:lang w:bidi="fa-IR"/>
        </w:rPr>
        <w:t>الروایة هی الحجّة بل إنّما الحجّة هی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Style w:val="FootnoteAnchor"/>
          <w:rtl w:val="true"/>
        </w:rPr>
        <w:footnoteReference w:id="1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التوجیه لم یظهر من کلمات الأصحاب القائلین بحجّیّة الروایة المنجبرة بالشهرة بل ظاهرهم أنّ الروایة هی الحجّة، فیکون توجیها بما لا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یظهر من الأصحاب عذرهم</w:t>
      </w:r>
      <w:r>
        <w:rPr>
          <w:rStyle w:val="FootnoteAnchor"/>
          <w:rtl w:val="true"/>
        </w:rPr>
        <w:footnoteReference w:id="1856"/>
      </w:r>
      <w:r>
        <w:rPr>
          <w:rFonts w:ascii="IRNazanin" w:hAnsi="IRNazanin" w:eastAsia="IRNazanin"/>
          <w:color w:val="111111"/>
          <w:sz w:val="28"/>
          <w:sz w:val="28"/>
          <w:szCs w:val="28"/>
          <w:rtl w:val="true"/>
          <w:lang w:bidi="fa-IR"/>
        </w:rPr>
        <w:t>فی حجّیّة مثل هذه الروایة نفیا و لا إثباتا لا بما ذکرنا، و لا بما سیذکر من الوجوه أصلا، فکما یمکن جعل تلک الوجوه عذرا لهم فی ذلک کذا</w:t>
      </w:r>
      <w:r>
        <w:rPr>
          <w:rStyle w:val="FootnoteAnchor"/>
          <w:rtl w:val="true"/>
        </w:rPr>
        <w:footnoteReference w:id="1857"/>
      </w:r>
      <w:r>
        <w:rPr>
          <w:rFonts w:ascii="IRNazanin" w:hAnsi="IRNazanin" w:eastAsia="IRNazanin"/>
          <w:color w:val="111111"/>
          <w:sz w:val="28"/>
          <w:sz w:val="28"/>
          <w:szCs w:val="28"/>
          <w:rtl w:val="true"/>
          <w:lang w:bidi="fa-IR"/>
        </w:rPr>
        <w:t>یمکن ما ذکرناه، و لا ترجیح أصلا لو لم نقل بترجیح ما ذکرناه، فالاعتراض مشترک الورود جدّا، فما هو الجواب</w:t>
      </w:r>
      <w:r>
        <w:rPr>
          <w:rStyle w:val="FootnoteAnchor"/>
          <w:rtl w:val="true"/>
        </w:rPr>
        <w:footnoteReference w:id="1858"/>
      </w:r>
      <w:r>
        <w:rPr>
          <w:rFonts w:ascii="IRNazanin" w:hAnsi="IRNazanin" w:eastAsia="IRNazanin"/>
          <w:color w:val="111111"/>
          <w:sz w:val="28"/>
          <w:sz w:val="28"/>
          <w:szCs w:val="28"/>
          <w:rtl w:val="true"/>
          <w:lang w:bidi="fa-IR"/>
        </w:rPr>
        <w:t>من طرفکم فهو بعینه الجواب من طرفنا</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إطلاق عدم حجّیّة الشهرة بینهم یکشف عن عدم کون العذر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الإطلاق؛ إذ لم یظهر منهم إلّا عدم حجّیّة الشهرة الخالیة عن الدلیل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نسبتهم الحجّیّة إلی الروایة کاشفة عن فساد هذا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یمکن أن یجعل هذا قرینة علی ذلک، کذلک یمکن توجّه</w:t>
      </w:r>
      <w:r>
        <w:rPr>
          <w:rStyle w:val="FootnoteAnchor"/>
          <w:rtl w:val="true"/>
        </w:rPr>
        <w:footnoteReference w:id="1860"/>
      </w:r>
      <w:r>
        <w:rPr>
          <w:rFonts w:ascii="IRNazanin" w:hAnsi="IRNazanin" w:eastAsia="IRNazanin"/>
          <w:color w:val="111111"/>
          <w:sz w:val="28"/>
          <w:sz w:val="28"/>
          <w:szCs w:val="28"/>
          <w:rtl w:val="true"/>
          <w:lang w:bidi="fa-IR"/>
        </w:rPr>
        <w:t>الاعتراض المتقدّم لو لا</w:t>
      </w:r>
      <w:r>
        <w:rPr>
          <w:rStyle w:val="FootnoteAnchor"/>
          <w:rtl w:val="true"/>
        </w:rPr>
        <w:footnoteReference w:id="1861"/>
      </w:r>
      <w:r>
        <w:rPr>
          <w:rFonts w:ascii="IRNazanin" w:hAnsi="IRNazanin" w:eastAsia="IRNazanin"/>
          <w:color w:val="111111"/>
          <w:sz w:val="28"/>
          <w:sz w:val="28"/>
          <w:szCs w:val="28"/>
          <w:rtl w:val="true"/>
          <w:lang w:bidi="fa-IR"/>
        </w:rPr>
        <w:t>ما ذکرنا قرینة علی خلافه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عذر الأصحاب غیر واضح، فلا یتوجّه دعوی کون ما ذکرنا توجیها بما لا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التوجیه لم أذکره مصحّحا لطریقتهم بل تحصیلا للعذر لنفسی</w:t>
      </w:r>
      <w:r>
        <w:rPr>
          <w:rStyle w:val="FootnoteAnchor"/>
          <w:rtl w:val="true"/>
        </w:rPr>
        <w:footnoteReference w:id="1862"/>
      </w:r>
      <w:r>
        <w:rPr>
          <w:rFonts w:ascii="IRNazanin" w:hAnsi="IRNazanin" w:eastAsia="IRNazanin"/>
          <w:color w:val="111111"/>
          <w:sz w:val="28"/>
          <w:sz w:val="28"/>
          <w:szCs w:val="28"/>
          <w:rtl w:val="true"/>
          <w:lang w:bidi="fa-IR"/>
        </w:rPr>
        <w:t>فی العمل بالأخبار المنجبرة بالشهرة بینی و بین اللّه تعالی، و تخلیصا</w:t>
      </w:r>
      <w:r>
        <w:rPr>
          <w:rStyle w:val="FootnoteAnchor"/>
          <w:rtl w:val="true"/>
        </w:rPr>
        <w:footnoteReference w:id="1863"/>
      </w:r>
      <w:r>
        <w:rPr>
          <w:rFonts w:ascii="IRNazanin" w:hAnsi="IRNazanin" w:eastAsia="IRNazanin"/>
          <w:color w:val="111111"/>
          <w:sz w:val="28"/>
          <w:sz w:val="28"/>
          <w:szCs w:val="28"/>
          <w:rtl w:val="true"/>
          <w:lang w:bidi="fa-IR"/>
        </w:rPr>
        <w:t>لها</w:t>
      </w:r>
      <w:r>
        <w:rPr>
          <w:rStyle w:val="FootnoteAnchor"/>
          <w:rtl w:val="true"/>
        </w:rPr>
        <w:footnoteReference w:id="1864"/>
      </w:r>
      <w:r>
        <w:rPr>
          <w:rFonts w:ascii="IRNazanin" w:hAnsi="IRNazanin" w:eastAsia="IRNazanin"/>
          <w:color w:val="111111"/>
          <w:sz w:val="28"/>
          <w:sz w:val="28"/>
          <w:szCs w:val="28"/>
          <w:rtl w:val="true"/>
          <w:lang w:bidi="fa-IR"/>
        </w:rPr>
        <w:t>من الاعتراض المتقدّم سابقا بناء علی قوّته و نهایة متانته لو لا ما وجّهنا، لعدم محیص عنه بعد ذلک عدا الاعتراض</w:t>
      </w:r>
      <w:r>
        <w:rPr>
          <w:rStyle w:val="FootnoteAnchor"/>
          <w:rtl w:val="true"/>
        </w:rPr>
        <w:footnoteReference w:id="1865"/>
      </w:r>
      <w:r>
        <w:rPr>
          <w:rFonts w:ascii="IRNazanin" w:hAnsi="IRNazanin" w:eastAsia="IRNazanin"/>
          <w:color w:val="111111"/>
          <w:sz w:val="28"/>
          <w:sz w:val="28"/>
          <w:szCs w:val="28"/>
          <w:rtl w:val="true"/>
          <w:lang w:bidi="fa-IR"/>
        </w:rPr>
        <w:t>بعدم حجّیّة الروایة المنجبرة بالشهرة، و هو یستلزم اختلال</w:t>
      </w:r>
      <w:r>
        <w:rPr>
          <w:rStyle w:val="FootnoteAnchor"/>
          <w:rtl w:val="true"/>
        </w:rPr>
        <w:footnoteReference w:id="1866"/>
      </w:r>
      <w:r>
        <w:rPr>
          <w:rFonts w:ascii="IRNazanin" w:hAnsi="IRNazanin" w:eastAsia="IRNazanin"/>
          <w:color w:val="111111"/>
          <w:sz w:val="28"/>
          <w:sz w:val="28"/>
          <w:szCs w:val="28"/>
          <w:rtl w:val="true"/>
          <w:lang w:bidi="fa-IR"/>
        </w:rPr>
        <w:t>أکثر الأحکام</w:t>
      </w:r>
      <w:r>
        <w:rPr>
          <w:rStyle w:val="FootnoteAnchor"/>
          <w:rtl w:val="true"/>
        </w:rPr>
        <w:footnoteReference w:id="1867"/>
      </w:r>
      <w:r>
        <w:rPr>
          <w:rFonts w:ascii="IRNazanin" w:hAnsi="IRNazanin" w:eastAsia="IRNazanin"/>
          <w:color w:val="111111"/>
          <w:sz w:val="28"/>
          <w:sz w:val="28"/>
          <w:szCs w:val="28"/>
          <w:rtl w:val="true"/>
          <w:lang w:bidi="fa-IR"/>
        </w:rPr>
        <w:t>الشرعیّة کما مضی، و هذه هی الثمرة العظمی فی القول بحجّیّة الشهرة کما هو واضح لمن تدبّرها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یقال فی الذبّ عن الاعتراض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حجّیّة الروایة إنّما هو حیث لم یحصل التثبّت</w:t>
      </w:r>
      <w:r>
        <w:rPr>
          <w:rStyle w:val="FootnoteAnchor"/>
          <w:rtl w:val="true"/>
        </w:rPr>
        <w:footnoteReference w:id="1868"/>
      </w:r>
      <w:r>
        <w:rPr>
          <w:rFonts w:ascii="IRNazanin" w:hAnsi="IRNazanin" w:eastAsia="IRNazanin"/>
          <w:color w:val="111111"/>
          <w:sz w:val="28"/>
          <w:sz w:val="28"/>
          <w:szCs w:val="28"/>
          <w:rtl w:val="true"/>
          <w:lang w:bidi="fa-IR"/>
        </w:rPr>
        <w:t>و التبیّن الکاشف</w:t>
      </w:r>
      <w:r>
        <w:rPr>
          <w:rStyle w:val="FootnoteAnchor"/>
          <w:rtl w:val="true"/>
        </w:rPr>
        <w:footnoteReference w:id="1869"/>
      </w:r>
      <w:r>
        <w:rPr>
          <w:rFonts w:ascii="Amiri" w:hAnsi="Amiri" w:eastAsia="Amiri" w:cs="Amiri"/>
          <w:color w:val="111111"/>
          <w:sz w:val="28"/>
          <w:sz w:val="28"/>
          <w:szCs w:val="28"/>
          <w:rtl w:val="true"/>
          <w:lang w:bidi="ar-SA"/>
        </w:rPr>
        <w:t>عن صدقها و صحّتها، و أمّا معه فهی حجّة جدّا؛ لأنّ اللّه تعالی</w:t>
      </w:r>
      <w:r>
        <w:rPr>
          <w:rStyle w:val="FootnoteAnchor"/>
          <w:rtl w:val="true"/>
        </w:rPr>
        <w:footnoteReference w:id="1870"/>
      </w:r>
      <w:r>
        <w:rPr>
          <w:rFonts w:ascii="IRNazanin" w:hAnsi="IRNazanin" w:eastAsia="IRNazanin"/>
          <w:color w:val="111111"/>
          <w:sz w:val="28"/>
          <w:sz w:val="28"/>
          <w:szCs w:val="28"/>
          <w:rtl w:val="true"/>
          <w:lang w:bidi="fa-IR"/>
        </w:rPr>
        <w:t>لم یأمر بطرح الروایة الضعیفة بل أمر فیها بالتثبّت و استظهار الصدق، فإن</w:t>
      </w:r>
      <w:r>
        <w:rPr>
          <w:rStyle w:val="FootnoteAnchor"/>
          <w:rtl w:val="true"/>
        </w:rPr>
        <w:footnoteReference w:id="1871"/>
      </w:r>
      <w:r>
        <w:rPr>
          <w:rFonts w:ascii="IRNazanin" w:hAnsi="IRNazanin" w:eastAsia="IRNazanin"/>
          <w:color w:val="111111"/>
          <w:sz w:val="28"/>
          <w:sz w:val="28"/>
          <w:szCs w:val="28"/>
          <w:rtl w:val="true"/>
          <w:lang w:bidi="fa-IR"/>
        </w:rPr>
        <w:t>ظهر عمل بها و إلّا طرحت، و لا ریب أنّ الشهرة یحصل بها التثبّت، و یستظهر بها صدق الخبر، فتعیّن علیه العمل</w:t>
      </w:r>
      <w:r>
        <w:rPr>
          <w:rStyle w:val="FootnoteAnchor"/>
          <w:rtl w:val="true"/>
        </w:rPr>
        <w:footnoteReference w:id="1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فمنظور فیه</w:t>
      </w:r>
      <w:r>
        <w:rPr>
          <w:rStyle w:val="FootnoteAnchor"/>
          <w:rtl w:val="true"/>
        </w:rPr>
        <w:footnoteReference w:id="1873"/>
      </w:r>
      <w:r>
        <w:rPr>
          <w:rFonts w:ascii="IRNazanin" w:hAnsi="IRNazanin" w:eastAsia="IRNazanin"/>
          <w:color w:val="111111"/>
          <w:sz w:val="28"/>
          <w:sz w:val="28"/>
          <w:szCs w:val="28"/>
          <w:rtl w:val="true"/>
          <w:lang w:bidi="fa-IR"/>
        </w:rPr>
        <w:t>لتوقّفه علی تعمیم التثبّت للتثبّت الظنّی، و هو مشکل، فإنّ معناه لغة لیس إلّا انکشاف</w:t>
      </w:r>
      <w:r>
        <w:rPr>
          <w:rStyle w:val="FootnoteAnchor"/>
          <w:rtl w:val="true"/>
        </w:rPr>
        <w:footnoteReference w:id="1874"/>
      </w:r>
      <w:r>
        <w:rPr>
          <w:rFonts w:ascii="IRNazanin" w:hAnsi="IRNazanin" w:eastAsia="IRNazanin"/>
          <w:color w:val="111111"/>
          <w:sz w:val="28"/>
          <w:sz w:val="28"/>
          <w:szCs w:val="28"/>
          <w:rtl w:val="true"/>
          <w:lang w:bidi="fa-IR"/>
        </w:rPr>
        <w:t>حقیقة الخبر و صدقه فی نفس الأمر، و لا یکون ذلک إلّا بتحصیل العلم به واقعا، و الأصل بقاء هذا المعنی إلی أن یظهر من أهل العرف خلافه و لم یظهر؛ لعدم ثبوت فهمهم عنه</w:t>
      </w:r>
      <w:r>
        <w:rPr>
          <w:rStyle w:val="FootnoteAnchor"/>
          <w:rtl w:val="true"/>
        </w:rPr>
        <w:footnoteReference w:id="1875"/>
      </w:r>
      <w:r>
        <w:rPr>
          <w:rFonts w:ascii="IRNazanin" w:hAnsi="IRNazanin" w:eastAsia="IRNazanin"/>
          <w:color w:val="111111"/>
          <w:sz w:val="28"/>
          <w:sz w:val="28"/>
          <w:szCs w:val="28"/>
          <w:rtl w:val="true"/>
          <w:lang w:bidi="fa-IR"/>
        </w:rPr>
        <w:t>خلافه بحیث یشمل</w:t>
      </w:r>
      <w:r>
        <w:rPr>
          <w:rStyle w:val="FootnoteAnchor"/>
          <w:rtl w:val="true"/>
        </w:rPr>
        <w:footnoteReference w:id="1876"/>
      </w:r>
      <w:r>
        <w:rPr>
          <w:rFonts w:ascii="IRNazanin" w:hAnsi="IRNazanin" w:eastAsia="IRNazanin"/>
          <w:color w:val="111111"/>
          <w:sz w:val="28"/>
          <w:sz w:val="28"/>
          <w:szCs w:val="28"/>
          <w:rtl w:val="true"/>
          <w:lang w:bidi="fa-IR"/>
        </w:rPr>
        <w:t>التثبّت الظنّی الحاصل من نحو الشهرة بل الظاهر منهم خلافه</w:t>
      </w:r>
    </w:p>
    <w:p>
      <w:pPr>
        <w:pStyle w:val="BookText"/>
        <w:rPr/>
      </w:pPr>
      <w:r>
        <w:rPr>
          <w:rFonts w:ascii="Amiri" w:hAnsi="Amiri" w:eastAsia="Amiri" w:cs="Amiri"/>
          <w:color w:val="111111"/>
          <w:sz w:val="28"/>
          <w:sz w:val="28"/>
          <w:szCs w:val="28"/>
          <w:rtl w:val="true"/>
          <w:lang w:bidi="ar-SA"/>
        </w:rPr>
        <w:t>و الموافقة</w:t>
      </w:r>
      <w:r>
        <w:rPr>
          <w:rStyle w:val="FootnoteAnchor"/>
          <w:rtl w:val="true"/>
        </w:rPr>
        <w:footnoteReference w:id="1877"/>
      </w:r>
      <w:r>
        <w:rPr>
          <w:rFonts w:ascii="IRNazanin" w:hAnsi="IRNazanin" w:eastAsia="IRNazanin"/>
          <w:color w:val="111111"/>
          <w:sz w:val="28"/>
          <w:sz w:val="28"/>
          <w:szCs w:val="28"/>
          <w:rtl w:val="true"/>
          <w:lang w:bidi="fa-IR"/>
        </w:rPr>
        <w:t xml:space="preserve">للّغة، فإنّ المتبادر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لیس إلّا ما هو معناه حقیقة فی اللغة، فإذا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w:t>
      </w:r>
      <w:r>
        <w:rPr>
          <w:rStyle w:val="FootnoteAnchor"/>
          <w:rtl w:val="true"/>
        </w:rPr>
        <w:footnoteReference w:id="1878"/>
      </w:r>
      <w:r>
        <w:rPr>
          <w:rFonts w:ascii="IRNazanin" w:hAnsi="IRNazanin" w:eastAsia="IRNazanin"/>
          <w:color w:val="111111"/>
          <w:sz w:val="28"/>
          <w:sz w:val="28"/>
          <w:szCs w:val="28"/>
          <w:rtl w:val="true"/>
          <w:lang w:bidi="fa-IR"/>
        </w:rPr>
        <w:t>الحساب و الدفتر، فبان لفلان علیّ کذا، فلا شکّ أنّ أهل العرف یفهمون منه حصول العلم و القطع للرجل بالدین، و قد شهد</w:t>
      </w:r>
      <w:r>
        <w:rPr>
          <w:rStyle w:val="FootnoteAnchor"/>
          <w:rtl w:val="true"/>
        </w:rPr>
        <w:footnoteReference w:id="1879"/>
      </w:r>
      <w:r>
        <w:rPr>
          <w:rFonts w:ascii="Amiri" w:hAnsi="Amiri" w:eastAsia="Amiri" w:cs="Amiri"/>
          <w:color w:val="111111"/>
          <w:sz w:val="28"/>
          <w:sz w:val="28"/>
          <w:szCs w:val="28"/>
          <w:rtl w:val="true"/>
          <w:lang w:bidi="ar-SA"/>
        </w:rPr>
        <w:t>بعضهم بل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r>
        <w:rPr>
          <w:rStyle w:val="FootnoteAnchor"/>
          <w:rtl w:val="true"/>
        </w:rPr>
        <w:footnoteReference w:id="1880"/>
      </w:r>
      <w:r>
        <w:rPr>
          <w:rFonts w:ascii="IRNazanin" w:hAnsi="IRNazanin" w:eastAsia="IRNazanin"/>
          <w:color w:val="111111"/>
          <w:sz w:val="28"/>
          <w:sz w:val="28"/>
          <w:szCs w:val="28"/>
          <w:rtl w:val="true"/>
          <w:lang w:bidi="fa-IR"/>
        </w:rPr>
        <w:t>خال ذهنه عن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بعد عرض المثال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تعلیل وجوب التثبّت بخوف الوقوع فی الندم أوضح شاهد علی لزوم کون التثبّت قطعیا؛ إذ مع ظنّیّته یخاف معه الوقوع فی الندم قطعا؛ إذ الخطأ غیر مأمون علی الظنون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الکلام جار فی خبر العدل أیضا، و لهذا یتأمّل فی دلالة الآیة علی حجّیّة أخبار الآحاد مطلقا، و هو متین و إن أمکن الجواب عنه لکن بصعوبة کما لا یخفی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Style w:val="FootnoteAnchor"/>
          <w:rtl w:val="true"/>
        </w:rPr>
        <w:footnoteReference w:id="1881"/>
      </w:r>
      <w:r>
        <w:rPr>
          <w:rFonts w:ascii="Amiri" w:hAnsi="Amiri" w:eastAsia="Amiri" w:cs="Amiri"/>
          <w:color w:val="111111"/>
          <w:sz w:val="28"/>
          <w:sz w:val="28"/>
          <w:szCs w:val="28"/>
          <w:rtl w:val="true"/>
          <w:lang w:bidi="ar-SA"/>
        </w:rPr>
        <w:t>لو سلّم مخالفة العرف للّغة</w:t>
      </w:r>
      <w:r>
        <w:rPr>
          <w:rStyle w:val="FootnoteAnchor"/>
          <w:rtl w:val="true"/>
        </w:rPr>
        <w:footnoteReference w:id="1882"/>
      </w:r>
      <w:r>
        <w:rPr>
          <w:rFonts w:ascii="IRNazanin" w:hAnsi="IRNazanin" w:eastAsia="IRNazanin"/>
          <w:color w:val="111111"/>
          <w:sz w:val="28"/>
          <w:sz w:val="28"/>
          <w:szCs w:val="28"/>
          <w:rtl w:val="true"/>
          <w:lang w:bidi="fa-IR"/>
        </w:rPr>
        <w:t>و فهمهم من</w:t>
      </w:r>
      <w:r>
        <w:rPr>
          <w:rStyle w:val="FootnoteAnchor"/>
          <w:rtl w:val="true"/>
        </w:rPr>
        <w:footnoteReference w:id="1883"/>
      </w:r>
      <w:r>
        <w:rPr>
          <w:rFonts w:ascii="IRNazanin" w:hAnsi="IRNazanin" w:eastAsia="IRNazanin"/>
          <w:color w:val="111111"/>
          <w:sz w:val="28"/>
          <w:sz w:val="28"/>
          <w:szCs w:val="28"/>
          <w:rtl w:val="true"/>
          <w:lang w:bidi="fa-IR"/>
        </w:rPr>
        <w:t>التثبّت ما یعمّ العلمی و الظنّی الحاصل من نحو الشهرة، و أنّه مقدّم علیها حیث حصل معارضة بینهما کما هو الأقوی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سیاق الآیة علی هذا ظاهر فی حجّیّة الشهرة</w:t>
      </w:r>
      <w:r>
        <w:rPr>
          <w:rStyle w:val="FootnoteAnchor"/>
          <w:rtl w:val="true"/>
        </w:rPr>
        <w:footnoteReference w:id="1884"/>
      </w:r>
      <w:r>
        <w:rPr>
          <w:rFonts w:ascii="IRNazanin" w:hAnsi="IRNazanin" w:eastAsia="IRNazanin"/>
          <w:color w:val="111111"/>
          <w:sz w:val="28"/>
          <w:sz w:val="28"/>
          <w:szCs w:val="28"/>
          <w:rtl w:val="true"/>
          <w:lang w:bidi="fa-IR"/>
        </w:rPr>
        <w:t xml:space="preserve">بنفسها مطلقا، کان معها روایة أم لا؛ لظهورها فی أنّ الاعتماد فی الخبر حقیقة إنّما هو علی المبیّن؛ إذ لیس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حصّلوا البیان و المبیّن، و رخصة</w:t>
      </w:r>
      <w:r>
        <w:rPr>
          <w:rStyle w:val="FootnoteAnchor"/>
          <w:rtl w:val="true"/>
        </w:rPr>
        <w:footnoteReference w:id="1885"/>
      </w:r>
      <w:r>
        <w:rPr>
          <w:rFonts w:ascii="IRNazanin" w:hAnsi="IRNazanin" w:eastAsia="IRNazanin"/>
          <w:color w:val="111111"/>
          <w:sz w:val="28"/>
          <w:sz w:val="28"/>
          <w:szCs w:val="28"/>
          <w:rtl w:val="true"/>
          <w:lang w:bidi="fa-IR"/>
        </w:rPr>
        <w:t>العمل بمضمونه بعده</w:t>
      </w:r>
      <w:r>
        <w:rPr>
          <w:rStyle w:val="FootnoteAnchor"/>
          <w:rtl w:val="true"/>
        </w:rPr>
        <w:footnoteReference w:id="1886"/>
      </w:r>
      <w:r>
        <w:rPr>
          <w:rFonts w:ascii="IRNazanin" w:hAnsi="IRNazanin" w:eastAsia="IRNazanin"/>
          <w:color w:val="111111"/>
          <w:sz w:val="28"/>
          <w:sz w:val="28"/>
          <w:szCs w:val="28"/>
          <w:rtl w:val="true"/>
          <w:lang w:bidi="fa-IR"/>
        </w:rPr>
        <w:t>لیست إلّا من حیث کونه هو الکاشف و المصدّق، و صدق الحکم إنّما ینتهی</w:t>
      </w:r>
      <w:r>
        <w:rPr>
          <w:rStyle w:val="FootnoteAnchor"/>
          <w:rtl w:val="true"/>
        </w:rPr>
        <w:footnoteReference w:id="1887"/>
      </w:r>
      <w:r>
        <w:rPr>
          <w:rFonts w:ascii="IRNazanin" w:hAnsi="IRNazanin" w:eastAsia="IRNazanin"/>
          <w:color w:val="111111"/>
          <w:sz w:val="28"/>
          <w:sz w:val="28"/>
          <w:szCs w:val="28"/>
          <w:rtl w:val="true"/>
          <w:lang w:bidi="fa-IR"/>
        </w:rPr>
        <w:t>إلیه</w:t>
      </w:r>
      <w:r>
        <w:rPr>
          <w:rStyle w:val="FootnoteAnchor"/>
          <w:rtl w:val="true"/>
        </w:rPr>
        <w:footnoteReference w:id="1888"/>
      </w:r>
      <w:r>
        <w:rPr>
          <w:rFonts w:ascii="IRNazanin" w:hAnsi="IRNazanin" w:eastAsia="IRNazanin"/>
          <w:color w:val="111111"/>
          <w:sz w:val="28"/>
          <w:sz w:val="28"/>
          <w:szCs w:val="28"/>
          <w:rtl w:val="true"/>
          <w:lang w:bidi="fa-IR"/>
        </w:rPr>
        <w:t>، فیکون</w:t>
      </w:r>
      <w:r>
        <w:rPr>
          <w:rStyle w:val="FootnoteAnchor"/>
          <w:rtl w:val="true"/>
        </w:rPr>
        <w:footnoteReference w:id="1889"/>
      </w:r>
      <w:r>
        <w:rPr>
          <w:rFonts w:ascii="IRNazanin" w:hAnsi="IRNazanin" w:eastAsia="IRNazanin"/>
          <w:color w:val="111111"/>
          <w:sz w:val="28"/>
          <w:sz w:val="28"/>
          <w:szCs w:val="28"/>
          <w:rtl w:val="true"/>
          <w:lang w:bidi="fa-IR"/>
        </w:rPr>
        <w:t>هو الحجّة علی إثباته، و هو مستلزم لحجّیّة الشهرة؛ لحصول البیان الذی هو المناط فی</w:t>
      </w:r>
      <w:r>
        <w:rPr>
          <w:rStyle w:val="FootnoteAnchor"/>
          <w:rtl w:val="true"/>
        </w:rPr>
        <w:footnoteReference w:id="1890"/>
      </w:r>
      <w:r>
        <w:rPr>
          <w:rFonts w:ascii="IRNazanin" w:hAnsi="IRNazanin" w:eastAsia="IRNazanin"/>
          <w:color w:val="111111"/>
          <w:sz w:val="28"/>
          <w:sz w:val="28"/>
          <w:szCs w:val="28"/>
          <w:rtl w:val="true"/>
          <w:lang w:bidi="fa-IR"/>
        </w:rPr>
        <w:t>العمل بالروایة</w:t>
      </w:r>
    </w:p>
    <w:p>
      <w:pPr>
        <w:pStyle w:val="BookText"/>
        <w:rPr/>
      </w:pPr>
      <w:r>
        <w:rPr>
          <w:rFonts w:ascii="IRNazanin" w:hAnsi="IRNazanin" w:eastAsia="IRNazanin"/>
          <w:color w:val="111111"/>
          <w:sz w:val="28"/>
          <w:sz w:val="28"/>
          <w:szCs w:val="28"/>
          <w:rtl w:val="true"/>
          <w:lang w:bidi="fa-IR"/>
        </w:rPr>
        <w:t>فیها</w:t>
      </w:r>
      <w:r>
        <w:rPr>
          <w:rStyle w:val="FootnoteAnchor"/>
          <w:rtl w:val="true"/>
        </w:rPr>
        <w:footnoteReference w:id="1891"/>
      </w:r>
      <w:r>
        <w:rPr>
          <w:rFonts w:ascii="IRNazanin" w:hAnsi="IRNazanin" w:eastAsia="IRNazanin"/>
          <w:color w:val="111111"/>
          <w:sz w:val="28"/>
          <w:sz w:val="28"/>
          <w:szCs w:val="28"/>
          <w:rtl w:val="true"/>
          <w:lang w:bidi="fa-IR"/>
        </w:rPr>
        <w:t>مطلقا و لو مجرّدة عنها؛ إذ الاعتبار القاطع شاهد علی أنّ الروایة لا مدخلیّة لها فی وصف کون الشهرة مبیّنة، و لا فی رخصة العمل بها بعد حصول وصف البیان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الروایة الضعیفة بنفسها لا محصّل لها إلّا التردّد بین احتمالی الصدق و الکذب فیها، و إن ترجّح الأوّل رجحانا ضعیفا لا یکون معتبرا</w:t>
      </w:r>
      <w:r>
        <w:rPr>
          <w:rStyle w:val="FootnoteAnchor"/>
          <w:rtl w:val="true"/>
        </w:rPr>
        <w:footnoteReference w:id="1892"/>
      </w:r>
      <w:r>
        <w:rPr>
          <w:rFonts w:ascii="IRNazanin" w:hAnsi="IRNazanin" w:eastAsia="IRNazanin"/>
          <w:color w:val="111111"/>
          <w:sz w:val="28"/>
          <w:sz w:val="28"/>
          <w:szCs w:val="28"/>
          <w:rtl w:val="true"/>
          <w:lang w:bidi="fa-IR"/>
        </w:rPr>
        <w:t>، فهی بالإضافة إلیهما متساویة النسبة فکما یحتمل صدقها و</w:t>
      </w:r>
      <w:r>
        <w:rPr>
          <w:rStyle w:val="FootnoteAnchor"/>
          <w:rtl w:val="true"/>
        </w:rPr>
        <w:footnoteReference w:id="1893"/>
      </w:r>
      <w:r>
        <w:rPr>
          <w:rFonts w:ascii="IRNazanin" w:hAnsi="IRNazanin" w:eastAsia="IRNazanin"/>
          <w:color w:val="111111"/>
          <w:sz w:val="28"/>
          <w:sz w:val="28"/>
          <w:szCs w:val="28"/>
          <w:rtl w:val="true"/>
          <w:lang w:bidi="fa-IR"/>
        </w:rPr>
        <w:t>کذا یحتمل کذبها</w:t>
      </w:r>
      <w:r>
        <w:rPr>
          <w:rStyle w:val="FootnoteAnchor"/>
          <w:rtl w:val="true"/>
        </w:rPr>
        <w:footnoteReference w:id="1894"/>
      </w:r>
      <w:r>
        <w:rPr>
          <w:rFonts w:ascii="IRNazanin" w:hAnsi="IRNazanin" w:eastAsia="IRNazanin"/>
          <w:color w:val="111111"/>
          <w:sz w:val="28"/>
          <w:sz w:val="28"/>
          <w:szCs w:val="28"/>
          <w:rtl w:val="true"/>
          <w:lang w:bidi="fa-IR"/>
        </w:rPr>
        <w:t>، و هذان الاحتمالان یأتیان</w:t>
      </w:r>
      <w:r>
        <w:rPr>
          <w:rStyle w:val="FootnoteAnchor"/>
          <w:rtl w:val="true"/>
        </w:rPr>
        <w:footnoteReference w:id="1895"/>
      </w:r>
      <w:r>
        <w:rPr>
          <w:rFonts w:ascii="IRNazanin" w:hAnsi="IRNazanin" w:eastAsia="IRNazanin"/>
          <w:color w:val="111111"/>
          <w:sz w:val="28"/>
          <w:sz w:val="28"/>
          <w:szCs w:val="28"/>
          <w:rtl w:val="true"/>
          <w:lang w:bidi="fa-IR"/>
        </w:rPr>
        <w:t>فی کلّ مسألة یدور الأمر فی الحکم الشرعی فیما</w:t>
      </w:r>
      <w:r>
        <w:rPr>
          <w:rStyle w:val="FootnoteAnchor"/>
          <w:rtl w:val="true"/>
        </w:rPr>
        <w:footnoteReference w:id="1896"/>
      </w:r>
      <w:r>
        <w:rPr>
          <w:rFonts w:ascii="IRNazanin" w:hAnsi="IRNazanin" w:eastAsia="IRNazanin"/>
          <w:color w:val="111111"/>
          <w:sz w:val="28"/>
          <w:sz w:val="28"/>
          <w:szCs w:val="28"/>
          <w:rtl w:val="true"/>
          <w:lang w:bidi="fa-IR"/>
        </w:rPr>
        <w:t>بینهما، فإذا جاءت الشهرة تشخّصت إحداهما</w:t>
      </w:r>
      <w:r>
        <w:rPr>
          <w:rStyle w:val="FootnoteAnchor"/>
          <w:rtl w:val="true"/>
        </w:rPr>
        <w:footnoteReference w:id="1897"/>
      </w:r>
      <w:r>
        <w:rPr>
          <w:rFonts w:ascii="IRNazanin" w:hAnsi="IRNazanin" w:eastAsia="IRNazanin"/>
          <w:color w:val="111111"/>
          <w:sz w:val="28"/>
          <w:sz w:val="28"/>
          <w:szCs w:val="28"/>
          <w:rtl w:val="true"/>
          <w:lang w:bidi="fa-IR"/>
        </w:rPr>
        <w:t>بوصفها</w:t>
      </w:r>
      <w:r>
        <w:rPr>
          <w:rStyle w:val="FootnoteAnchor"/>
          <w:rtl w:val="true"/>
        </w:rPr>
        <w:footnoteReference w:id="1898"/>
      </w:r>
      <w:r>
        <w:rPr>
          <w:rFonts w:ascii="IRNazanin" w:hAnsi="IRNazanin" w:eastAsia="IRNazanin"/>
          <w:color w:val="111111"/>
          <w:sz w:val="28"/>
          <w:sz w:val="28"/>
          <w:szCs w:val="28"/>
          <w:rtl w:val="true"/>
          <w:lang w:bidi="fa-IR"/>
        </w:rPr>
        <w:t>البیانی</w:t>
      </w:r>
      <w:r>
        <w:rPr>
          <w:rStyle w:val="FootnoteAnchor"/>
          <w:rtl w:val="true"/>
        </w:rPr>
        <w:footnoteReference w:id="1899"/>
      </w:r>
      <w:r>
        <w:rPr>
          <w:rFonts w:ascii="IRNazanin" w:hAnsi="IRNazanin" w:eastAsia="IRNazanin"/>
          <w:color w:val="111111"/>
          <w:sz w:val="28"/>
          <w:sz w:val="28"/>
          <w:szCs w:val="28"/>
          <w:rtl w:val="true"/>
          <w:lang w:bidi="fa-IR"/>
        </w:rPr>
        <w:t>الذاتی عن الآخر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فحال الاحتمالین المتساویین فی الروایة</w:t>
      </w:r>
      <w:r>
        <w:rPr>
          <w:rStyle w:val="FootnoteAnchor"/>
          <w:rtl w:val="true"/>
        </w:rPr>
        <w:footnoteReference w:id="1900"/>
      </w:r>
      <w:r>
        <w:rPr>
          <w:rFonts w:ascii="IRNazanin" w:hAnsi="IRNazanin" w:eastAsia="IRNazanin"/>
          <w:color w:val="111111"/>
          <w:sz w:val="28"/>
          <w:sz w:val="28"/>
          <w:szCs w:val="28"/>
          <w:rtl w:val="true"/>
          <w:lang w:bidi="fa-IR"/>
        </w:rPr>
        <w:t>الضعیفة لیس إلّا کحالهما فی کلّ مسألة لم توجد</w:t>
      </w:r>
      <w:r>
        <w:rPr>
          <w:rStyle w:val="FootnoteAnchor"/>
          <w:rtl w:val="true"/>
        </w:rPr>
        <w:footnoteReference w:id="1901"/>
      </w:r>
      <w:r>
        <w:rPr>
          <w:rFonts w:ascii="IRNazanin" w:hAnsi="IRNazanin" w:eastAsia="IRNazanin"/>
          <w:color w:val="111111"/>
          <w:sz w:val="28"/>
          <w:sz w:val="28"/>
          <w:szCs w:val="28"/>
          <w:rtl w:val="true"/>
          <w:lang w:bidi="fa-IR"/>
        </w:rPr>
        <w:t>روایة فیها أصلا، فإذا صلحت الشهرة مبیّنة مشخّصة لأحدهما عن الآخر بنفسها بمقتضی الآیة الشریفة، صلحت لذلک مطلقا، کان معها نحو روایة أم لا، فلهذا اعترف بعض الأفاضل حرسه اللّه تعالی</w:t>
      </w:r>
      <w:r>
        <w:rPr>
          <w:rStyle w:val="FootnoteAnchor"/>
          <w:rtl w:val="true"/>
        </w:rPr>
        <w:footnoteReference w:id="1902"/>
      </w:r>
      <w:r>
        <w:rPr>
          <w:rFonts w:ascii="Amiri" w:hAnsi="Amiri" w:eastAsia="Amiri" w:cs="Amiri"/>
          <w:color w:val="111111"/>
          <w:sz w:val="28"/>
          <w:sz w:val="28"/>
          <w:szCs w:val="28"/>
          <w:rtl w:val="true"/>
          <w:lang w:bidi="ar-SA"/>
        </w:rPr>
        <w:t>بصعوبة الاستناد</w:t>
      </w:r>
      <w:r>
        <w:rPr>
          <w:rStyle w:val="FootnoteAnchor"/>
          <w:rtl w:val="true"/>
        </w:rPr>
        <w:footnoteReference w:id="1903"/>
      </w:r>
      <w:r>
        <w:rPr>
          <w:rFonts w:ascii="IRNazanin" w:hAnsi="IRNazanin" w:eastAsia="IRNazanin"/>
          <w:color w:val="111111"/>
          <w:sz w:val="28"/>
          <w:sz w:val="28"/>
          <w:szCs w:val="28"/>
          <w:rtl w:val="true"/>
          <w:lang w:bidi="fa-IR"/>
        </w:rPr>
        <w:t>إلی الآیة فی دفع الاعتراض المتقدّم إلیه الإشارة، مشیرا</w:t>
      </w:r>
      <w:r>
        <w:rPr>
          <w:rStyle w:val="FootnoteAnchor"/>
          <w:rtl w:val="true"/>
        </w:rPr>
        <w:footnoteReference w:id="1904"/>
      </w:r>
      <w:r>
        <w:rPr>
          <w:rFonts w:ascii="IRNazanin" w:hAnsi="IRNazanin" w:eastAsia="IRNazanin"/>
          <w:color w:val="111111"/>
          <w:sz w:val="28"/>
          <w:sz w:val="28"/>
          <w:szCs w:val="28"/>
          <w:rtl w:val="true"/>
          <w:lang w:bidi="fa-IR"/>
        </w:rPr>
        <w:t>فی وجه الصعوبة إلی ما عرفته من ظهور الآیة فی أنّ العبرة إنّما هی بالتبیّن لا نفس الروایة</w:t>
      </w:r>
      <w:r>
        <w:rPr>
          <w:rStyle w:val="FootnoteAnchor"/>
          <w:rtl w:val="true"/>
        </w:rPr>
        <w:footnoteReference w:id="1905"/>
      </w:r>
      <w:r>
        <w:rPr>
          <w:rFonts w:ascii="IRNazanin" w:hAnsi="IRNazanin" w:eastAsia="IRNazanin"/>
          <w:color w:val="111111"/>
          <w:sz w:val="28"/>
          <w:sz w:val="28"/>
          <w:szCs w:val="28"/>
          <w:rtl w:val="true"/>
          <w:lang w:bidi="fa-IR"/>
        </w:rPr>
        <w:t>لکن</w:t>
      </w:r>
      <w:r>
        <w:rPr>
          <w:rStyle w:val="FootnoteAnchor"/>
          <w:rtl w:val="true"/>
        </w:rPr>
        <w:footnoteReference w:id="1906"/>
      </w:r>
      <w:r>
        <w:rPr>
          <w:rFonts w:ascii="IRNazanin" w:hAnsi="IRNazanin" w:eastAsia="IRNazanin"/>
          <w:color w:val="111111"/>
          <w:sz w:val="28"/>
          <w:sz w:val="28"/>
          <w:szCs w:val="28"/>
          <w:rtl w:val="true"/>
          <w:lang w:bidi="fa-IR"/>
        </w:rPr>
        <w:t>لیت شعری کیف غفل عن دلالة الآیة علی هذا علی حجّیّة الشهرة بنفسها من غیر مدخلیّة روایة، و مع ذلک فقد دفع</w:t>
      </w:r>
      <w:r>
        <w:rPr>
          <w:rStyle w:val="FootnoteAnchor"/>
          <w:rtl w:val="true"/>
        </w:rPr>
        <w:footnoteReference w:id="1907"/>
      </w:r>
      <w:r>
        <w:rPr>
          <w:rFonts w:ascii="IRNazanin" w:hAnsi="IRNazanin" w:eastAsia="IRNazanin"/>
          <w:color w:val="111111"/>
          <w:sz w:val="28"/>
          <w:sz w:val="28"/>
          <w:szCs w:val="28"/>
          <w:rtl w:val="true"/>
          <w:lang w:bidi="fa-IR"/>
        </w:rPr>
        <w:t>الاعتراض المتقدّم بما هو أعرف به، و هو دعواه الإجماع علی حجّیّة الروایة المنجبرة</w:t>
      </w:r>
      <w:bookmarkStart w:id="530" w:name="pg19819_193844"/>
    </w:p>
    <w:p>
      <w:pPr>
        <w:pStyle w:val="BookText"/>
        <w:rPr/>
      </w:pPr>
      <w:bookmarkEnd w:id="530"/>
      <w:r>
        <w:rPr>
          <w:rFonts w:ascii="IRNazanin" w:hAnsi="IRNazanin" w:eastAsia="IRNazanin"/>
          <w:color w:val="111111"/>
          <w:sz w:val="28"/>
          <w:sz w:val="28"/>
          <w:szCs w:val="28"/>
          <w:rtl w:val="true"/>
          <w:lang w:bidi="fa-IR"/>
        </w:rPr>
        <w:t>بالشهرة، و لم أعرف وجهها و لم أتحقّقه أصلا بعد شهرة الخلاف العظیم فی حجّیّتها فقد أنکرها من محقّقی متأخّری</w:t>
      </w:r>
      <w:r>
        <w:rPr>
          <w:rStyle w:val="FootnoteAnchor"/>
          <w:rtl w:val="true"/>
        </w:rPr>
        <w:footnoteReference w:id="1908"/>
      </w:r>
      <w:r>
        <w:rPr>
          <w:rFonts w:ascii="IRNazanin" w:hAnsi="IRNazanin" w:eastAsia="IRNazanin"/>
          <w:color w:val="111111"/>
          <w:sz w:val="28"/>
          <w:sz w:val="28"/>
          <w:szCs w:val="28"/>
          <w:rtl w:val="true"/>
          <w:lang w:bidi="fa-IR"/>
        </w:rPr>
        <w:t>المتأخّرین جماعة، و لا یمکن الاطّلاع فیها بالإجماع غالبا سیّما فی أمثال زماننا، و لکنّه غیر مستحیل و إن بعد؛ لکونه حدسیا،</w:t>
      </w:r>
      <w:r>
        <w:rPr>
          <w:rStyle w:val="FootnoteAnchor"/>
          <w:rtl w:val="true"/>
        </w:rPr>
        <w:footnoteReference w:id="1909"/>
      </w:r>
      <w:r>
        <w:rPr>
          <w:rFonts w:ascii="IRNazanin" w:hAnsi="IRNazanin" w:eastAsia="IRNazanin"/>
          <w:color w:val="111111"/>
          <w:sz w:val="28"/>
          <w:sz w:val="28"/>
          <w:szCs w:val="28"/>
          <w:rtl w:val="true"/>
          <w:lang w:bidi="fa-IR"/>
        </w:rPr>
        <w:t>فلعلّ العلم من جهته قد حصل</w:t>
      </w:r>
      <w:r>
        <w:rPr>
          <w:rStyle w:val="FootnoteAnchor"/>
          <w:rtl w:val="true"/>
        </w:rPr>
        <w:footnoteReference w:id="1910"/>
      </w:r>
      <w:r>
        <w:rPr>
          <w:rFonts w:ascii="IRNazanin" w:hAnsi="IRNazanin" w:eastAsia="IRNazanin"/>
          <w:color w:val="111111"/>
          <w:sz w:val="28"/>
          <w:sz w:val="28"/>
          <w:szCs w:val="28"/>
          <w:rtl w:val="true"/>
          <w:lang w:bidi="fa-IR"/>
        </w:rPr>
        <w:t>له</w:t>
      </w:r>
      <w:r>
        <w:rPr>
          <w:rStyle w:val="FootnoteAnchor"/>
          <w:rtl w:val="true"/>
        </w:rPr>
        <w:footnoteReference w:id="1911"/>
      </w:r>
      <w:r>
        <w:rPr>
          <w:rFonts w:ascii="IRNazanin" w:hAnsi="IRNazanin" w:eastAsia="IRNazanin"/>
          <w:color w:val="111111"/>
          <w:sz w:val="28"/>
          <w:sz w:val="28"/>
          <w:szCs w:val="28"/>
          <w:rtl w:val="true"/>
          <w:lang w:bidi="fa-IR"/>
        </w:rPr>
        <w:t>و لم یحصل للعبد</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3055791_2314609296"/>
      <w:bookmarkStart w:id="532" w:name="_Toc199"/>
      <w:bookmarkEnd w:id="531"/>
      <w:r>
        <w:rPr>
          <w:rtl w:val="true"/>
        </w:rPr>
        <w:t>[</w:t>
      </w:r>
      <w:r>
        <w:rPr>
          <w:rtl w:val="true"/>
        </w:rPr>
        <w:t>المقصود الأهمّ من وضع الرسالة</w:t>
      </w:r>
      <w:r>
        <w:rPr>
          <w:rtl w:val="true"/>
        </w:rPr>
        <w:t>:]</w:t>
      </w:r>
      <w:bookmarkEnd w:id="53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913"/>
      </w:r>
      <w:r>
        <w:rPr>
          <w:rFonts w:ascii="Amiri" w:hAnsi="Amiri" w:eastAsia="Amiri" w:cs="Amiri"/>
          <w:color w:val="111111"/>
          <w:sz w:val="28"/>
          <w:sz w:val="28"/>
          <w:szCs w:val="28"/>
          <w:rtl w:val="true"/>
          <w:lang w:bidi="ar-SA"/>
        </w:rPr>
        <w:t>اعلم أنّ أصل</w:t>
      </w:r>
      <w:r>
        <w:rPr>
          <w:rStyle w:val="FootnoteAnchor"/>
          <w:rtl w:val="true"/>
        </w:rPr>
        <w:footnoteReference w:id="1914"/>
      </w:r>
      <w:r>
        <w:rPr>
          <w:rFonts w:ascii="IRNazanin" w:hAnsi="IRNazanin" w:eastAsia="IRNazanin"/>
          <w:color w:val="111111"/>
          <w:sz w:val="28"/>
          <w:sz w:val="28"/>
          <w:szCs w:val="28"/>
          <w:rtl w:val="true"/>
          <w:lang w:bidi="fa-IR"/>
        </w:rPr>
        <w:t>وضع الرسالة و إن کان لبیان حجّیّة الشهرة إلّا أنّ المقصود الأهمّ منها إنّما هو إثبات کلّیّة الکبری المستفادة</w:t>
      </w:r>
      <w:r>
        <w:rPr>
          <w:rStyle w:val="FootnoteAnchor"/>
          <w:rtl w:val="true"/>
        </w:rPr>
        <w:footnoteReference w:id="1915"/>
      </w:r>
      <w:r>
        <w:rPr>
          <w:rFonts w:ascii="IRNazanin" w:hAnsi="IRNazanin" w:eastAsia="IRNazanin"/>
          <w:color w:val="111111"/>
          <w:sz w:val="28"/>
          <w:sz w:val="28"/>
          <w:szCs w:val="28"/>
          <w:rtl w:val="true"/>
          <w:lang w:bidi="fa-IR"/>
        </w:rPr>
        <w:t>من الدلیل الرابع بالتقریب الذی ذکرنا</w:t>
      </w:r>
      <w:r>
        <w:rPr>
          <w:rStyle w:val="FootnoteAnchor"/>
          <w:rtl w:val="true"/>
        </w:rPr>
        <w:footnoteReference w:id="1916"/>
      </w:r>
      <w:r>
        <w:rPr>
          <w:rFonts w:ascii="Amiri" w:hAnsi="Amiri" w:eastAsia="Amiri" w:cs="Amiri"/>
          <w:color w:val="111111"/>
          <w:sz w:val="28"/>
          <w:sz w:val="28"/>
          <w:szCs w:val="28"/>
          <w:rtl w:val="true"/>
          <w:lang w:bidi="ar-SA"/>
        </w:rPr>
        <w:t>، فإنّ منعها یترتّب علیه</w:t>
      </w:r>
      <w:r>
        <w:rPr>
          <w:rStyle w:val="FootnoteAnchor"/>
          <w:rtl w:val="true"/>
        </w:rPr>
        <w:footnoteReference w:id="1917"/>
      </w:r>
      <w:r>
        <w:rPr>
          <w:rFonts w:ascii="IRNazanin" w:hAnsi="IRNazanin" w:eastAsia="IRNazanin"/>
          <w:color w:val="111111"/>
          <w:sz w:val="28"/>
          <w:sz w:val="28"/>
          <w:szCs w:val="28"/>
          <w:rtl w:val="true"/>
          <w:lang w:bidi="fa-IR"/>
        </w:rPr>
        <w:t>مفاسد عظیمة و</w:t>
      </w:r>
      <w:r>
        <w:rPr>
          <w:rStyle w:val="FootnoteAnchor"/>
          <w:rtl w:val="true"/>
        </w:rPr>
        <w:footnoteReference w:id="1918"/>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 المجتهد من</w:t>
      </w:r>
      <w:r>
        <w:rPr>
          <w:rStyle w:val="FootnoteAnchor"/>
          <w:rtl w:val="true"/>
        </w:rPr>
        <w:footnoteReference w:id="1919"/>
      </w:r>
      <w:r>
        <w:rPr>
          <w:rFonts w:ascii="IRNazanin" w:hAnsi="IRNazanin" w:eastAsia="IRNazanin"/>
          <w:color w:val="111111"/>
          <w:sz w:val="28"/>
          <w:sz w:val="28"/>
          <w:szCs w:val="28"/>
          <w:rtl w:val="true"/>
          <w:lang w:bidi="fa-IR"/>
        </w:rPr>
        <w:t>التمسّک بشی‌ء</w:t>
      </w:r>
      <w:r>
        <w:rPr>
          <w:rStyle w:val="FootnoteAnchor"/>
          <w:rtl w:val="true"/>
        </w:rPr>
        <w:footnoteReference w:id="1920"/>
      </w:r>
      <w:r>
        <w:rPr>
          <w:rFonts w:ascii="IRNazanin" w:hAnsi="IRNazanin" w:eastAsia="IRNazanin"/>
          <w:color w:val="111111"/>
          <w:sz w:val="28"/>
          <w:sz w:val="28"/>
          <w:szCs w:val="28"/>
          <w:rtl w:val="true"/>
          <w:lang w:bidi="fa-IR"/>
        </w:rPr>
        <w:t>من الظنون المختلف فیها بل مطلقا حیث لم یقم دلیل قاطع علی حجّیّته ما عدا الدلیل الرابع، و رفع الید عنها کلّیا</w:t>
      </w:r>
      <w:r>
        <w:rPr>
          <w:rStyle w:val="FootnoteAnchor"/>
          <w:rtl w:val="true"/>
        </w:rPr>
        <w:footnoteReference w:id="1921"/>
      </w:r>
      <w:r>
        <w:rPr>
          <w:rFonts w:ascii="IRNazanin" w:hAnsi="IRNazanin" w:eastAsia="IRNazanin"/>
          <w:color w:val="111111"/>
          <w:sz w:val="28"/>
          <w:sz w:val="28"/>
          <w:szCs w:val="28"/>
          <w:rtl w:val="true"/>
          <w:lang w:bidi="fa-IR"/>
        </w:rPr>
        <w:t>و الاقتصار علی القطعیّات و الظنون المخصوصة</w:t>
      </w:r>
      <w:r>
        <w:rPr>
          <w:rStyle w:val="FootnoteAnchor"/>
          <w:rtl w:val="true"/>
        </w:rPr>
        <w:footnoteReference w:id="1922"/>
      </w:r>
      <w:r>
        <w:rPr>
          <w:rFonts w:ascii="IRNazanin" w:hAnsi="IRNazanin" w:eastAsia="IRNazanin"/>
          <w:color w:val="111111"/>
          <w:sz w:val="28"/>
          <w:sz w:val="28"/>
          <w:szCs w:val="28"/>
          <w:rtl w:val="true"/>
          <w:lang w:bidi="fa-IR"/>
        </w:rPr>
        <w:t>توجب ما ذکرنا من الخروج من</w:t>
      </w:r>
      <w:r>
        <w:rPr>
          <w:rStyle w:val="FootnoteAnchor"/>
          <w:rtl w:val="true"/>
        </w:rPr>
        <w:footnoteReference w:id="1923"/>
      </w:r>
      <w:r>
        <w:rPr>
          <w:rFonts w:ascii="IRNazanin" w:hAnsi="IRNazanin" w:eastAsia="IRNazanin"/>
          <w:color w:val="111111"/>
          <w:sz w:val="28"/>
          <w:sz w:val="28"/>
          <w:szCs w:val="28"/>
          <w:rtl w:val="true"/>
          <w:lang w:bidi="fa-IR"/>
        </w:rPr>
        <w:t>الدین، فإنّ المستفاد منها لیس إلّا أحکاما قلیلة، و مع ذلک فهی غالبا</w:t>
      </w:r>
      <w:r>
        <w:rPr>
          <w:rStyle w:val="FootnoteAnchor"/>
          <w:rtl w:val="true"/>
        </w:rPr>
        <w:footnoteReference w:id="1924"/>
      </w:r>
      <w:r>
        <w:rPr>
          <w:rFonts w:ascii="Amiri" w:hAnsi="Amiri" w:eastAsia="Amiri" w:cs="Amiri"/>
          <w:color w:val="111111"/>
          <w:sz w:val="28"/>
          <w:sz w:val="28"/>
          <w:szCs w:val="28"/>
          <w:rtl w:val="true"/>
          <w:lang w:bidi="ar-SA"/>
        </w:rPr>
        <w:t>امور إجمالیّة لا تتشخّص</w:t>
      </w:r>
      <w:r>
        <w:rPr>
          <w:rStyle w:val="FootnoteAnchor"/>
          <w:rtl w:val="true"/>
        </w:rPr>
        <w:footnoteReference w:id="1925"/>
      </w:r>
      <w:r>
        <w:rPr>
          <w:rFonts w:ascii="IRNazanin" w:hAnsi="IRNazanin" w:eastAsia="IRNazanin"/>
          <w:color w:val="111111"/>
          <w:sz w:val="28"/>
          <w:sz w:val="28"/>
          <w:szCs w:val="28"/>
          <w:rtl w:val="true"/>
          <w:lang w:bidi="fa-IR"/>
        </w:rPr>
        <w:t>إلّا بالظنون الاجتهادیّة، مثلا الإجماع واقع علی أنّ الرکوع واجب، أمّا أنّه إلی أیّ حدّ یجب، و أیّ شی‌ء یعتبر</w:t>
      </w:r>
      <w:r>
        <w:rPr>
          <w:rStyle w:val="FootnoteAnchor"/>
          <w:rtl w:val="true"/>
        </w:rPr>
        <w:footnoteReference w:id="1926"/>
      </w:r>
      <w:r>
        <w:rPr>
          <w:rFonts w:ascii="IRNazanin" w:hAnsi="IRNazanin" w:eastAsia="IRNazanin"/>
          <w:color w:val="111111"/>
          <w:sz w:val="28"/>
          <w:sz w:val="28"/>
          <w:szCs w:val="28"/>
          <w:rtl w:val="true"/>
          <w:lang w:bidi="fa-IR"/>
        </w:rPr>
        <w:t>، هل هو مطلق الذکر أو التسبیح؟ و علیه أیّ قدر یجب منه؟ و غیر ذلک فلیس بمقطوع</w:t>
      </w:r>
      <w:r>
        <w:rPr>
          <w:rStyle w:val="FootnoteAnchor"/>
          <w:rtl w:val="true"/>
        </w:rPr>
        <w:footnoteReference w:id="1927"/>
      </w:r>
      <w:r>
        <w:rPr>
          <w:rFonts w:ascii="IRNazanin" w:hAnsi="IRNazanin" w:eastAsia="IRNazanin"/>
          <w:color w:val="111111"/>
          <w:sz w:val="28"/>
          <w:sz w:val="28"/>
          <w:szCs w:val="28"/>
          <w:rtl w:val="true"/>
          <w:lang w:bidi="fa-IR"/>
        </w:rPr>
        <w:t>بل لا بدّ فیه من</w:t>
      </w:r>
    </w:p>
    <w:p>
      <w:pPr>
        <w:pStyle w:val="BookText"/>
        <w:rPr/>
      </w:pPr>
      <w:r>
        <w:rPr>
          <w:rFonts w:ascii="IRNazanin" w:hAnsi="IRNazanin" w:eastAsia="IRNazanin"/>
          <w:color w:val="111111"/>
          <w:sz w:val="28"/>
          <w:sz w:val="28"/>
          <w:szCs w:val="28"/>
          <w:rtl w:val="true"/>
          <w:lang w:bidi="fa-IR"/>
        </w:rPr>
        <w:t>الرجوع إلی أخبار الآحاد و غیرها، و یحتاج کلّ منها إلی ظنون اجتهادیّة لا تکاد تحصی سندا و متنا و دلالة و تعارضا، و دعوی الإجماع علی حجّیّة أمثال</w:t>
      </w:r>
      <w:r>
        <w:rPr>
          <w:rStyle w:val="FootnoteAnchor"/>
          <w:rtl w:val="true"/>
        </w:rPr>
        <w:footnoteReference w:id="1928"/>
      </w:r>
      <w:r>
        <w:rPr>
          <w:rFonts w:ascii="IRNazanin" w:hAnsi="IRNazanin" w:eastAsia="IRNazanin"/>
          <w:color w:val="111111"/>
          <w:sz w:val="28"/>
          <w:sz w:val="28"/>
          <w:szCs w:val="28"/>
          <w:rtl w:val="true"/>
          <w:lang w:bidi="fa-IR"/>
        </w:rPr>
        <w:t>هذه الظنون لا من حیث کونها ظنّا مع وقوع الخلاف فی کثیر من جزئیاتها</w:t>
      </w:r>
      <w:r>
        <w:rPr>
          <w:rStyle w:val="FootnoteAnchor"/>
          <w:rtl w:val="true"/>
        </w:rPr>
        <w:footnoteReference w:id="1929"/>
      </w:r>
      <w:r>
        <w:rPr>
          <w:rFonts w:ascii="IRNazanin" w:hAnsi="IRNazanin" w:eastAsia="IRNazanin"/>
          <w:color w:val="111111"/>
          <w:sz w:val="28"/>
          <w:sz w:val="28"/>
          <w:szCs w:val="28"/>
          <w:rtl w:val="true"/>
          <w:lang w:bidi="fa-IR"/>
        </w:rPr>
        <w:t>لم أر لها وجها بل یکاد یقطع بفسادها، فإنّ مع الخلاف کیف یمکن دعوی الوفاق</w:t>
      </w:r>
      <w:r>
        <w:rPr>
          <w:rStyle w:val="FootnoteAnchor"/>
          <w:rtl w:val="true"/>
        </w:rPr>
        <w:footnoteReference w:id="1930"/>
      </w:r>
      <w:r>
        <w:rPr>
          <w:rFonts w:ascii="IRNazanin" w:hAnsi="IRNazanin" w:eastAsia="IRNazanin"/>
          <w:color w:val="111111"/>
          <w:sz w:val="28"/>
          <w:sz w:val="28"/>
          <w:szCs w:val="28"/>
          <w:rtl w:val="true"/>
          <w:lang w:bidi="fa-IR"/>
        </w:rPr>
        <w:t>لعسر</w:t>
      </w:r>
      <w:r>
        <w:rPr>
          <w:rStyle w:val="FootnoteAnchor"/>
          <w:rtl w:val="true"/>
        </w:rPr>
        <w:footnoteReference w:id="1931"/>
      </w:r>
      <w:r>
        <w:rPr>
          <w:rFonts w:ascii="IRNazanin" w:hAnsi="IRNazanin" w:eastAsia="IRNazanin"/>
          <w:color w:val="111111"/>
          <w:sz w:val="28"/>
          <w:sz w:val="28"/>
          <w:szCs w:val="28"/>
          <w:rtl w:val="true"/>
          <w:lang w:bidi="fa-IR"/>
        </w:rPr>
        <w:t>العلم به معه فی أمثال هذه الأزمنة غالبا و إن کان ممکنا کما مضی</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 الخلاف فی بعض الجزئیات لیس لإنکار المخالف حجّیّة الظنّ المختلف فیه، بل لمنعه حصول الظنّ من السبب الخاصّ الذی ندّعی</w:t>
      </w:r>
      <w:r>
        <w:rPr>
          <w:rStyle w:val="FootnoteAnchor"/>
          <w:rtl w:val="true"/>
        </w:rPr>
        <w:footnoteReference w:id="1933"/>
      </w:r>
      <w:r>
        <w:rPr>
          <w:rFonts w:ascii="IRNazanin" w:hAnsi="IRNazanin" w:eastAsia="IRNazanin"/>
          <w:color w:val="111111"/>
          <w:sz w:val="28"/>
          <w:sz w:val="28"/>
          <w:szCs w:val="28"/>
          <w:rtl w:val="true"/>
          <w:lang w:bidi="fa-IR"/>
        </w:rPr>
        <w:t>إفادته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فإنّا نری کثیرا من الظنون المختلف فیها لا یمکن أن یختلف فی کونها ظنونا، مثل تزکیة العدل الواحد فی اعتبار العدالة؛ إذ لا ریب فی إفادتها الظنّ بها، و مع ذلک نری الخلاف فی حجّیّتها، و المنکر لها لا یعتذر إلّا بأنّ مقتضی اشتراط العدالة اعتبار حصول العلم بها</w:t>
      </w:r>
      <w:r>
        <w:rPr>
          <w:rStyle w:val="FootnoteAnchor"/>
          <w:rtl w:val="true"/>
        </w:rPr>
        <w:footnoteReference w:id="1934"/>
      </w:r>
      <w:r>
        <w:rPr>
          <w:rFonts w:ascii="IRNazanin" w:hAnsi="IRNazanin" w:eastAsia="IRNazanin"/>
          <w:color w:val="111111"/>
          <w:sz w:val="28"/>
          <w:sz w:val="28"/>
          <w:szCs w:val="28"/>
          <w:rtl w:val="true"/>
          <w:lang w:bidi="fa-IR"/>
        </w:rPr>
        <w:t>أو ما یقوم مقامه شرعا و مثل ذلک کثیر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Style w:val="FootnoteAnchor"/>
          <w:rtl w:val="true"/>
        </w:rPr>
        <w:footnoteReference w:id="1935"/>
      </w:r>
      <w:r>
        <w:rPr>
          <w:rFonts w:ascii="IRNazanin" w:hAnsi="IRNazanin" w:eastAsia="IRNazanin"/>
          <w:color w:val="111111"/>
          <w:sz w:val="28"/>
          <w:sz w:val="28"/>
          <w:szCs w:val="28"/>
          <w:rtl w:val="true"/>
          <w:lang w:bidi="fa-IR"/>
        </w:rPr>
        <w:t>فکیف یمکن دعوی الإجماع علی حجّیّة الظنون المتعلّقة بأخبار الآحاد و غیرها من الأدلّة الشرعیّة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کثیرا من أخبار</w:t>
      </w:r>
      <w:r>
        <w:rPr>
          <w:rStyle w:val="FootnoteAnchor"/>
          <w:rtl w:val="true"/>
        </w:rPr>
        <w:footnoteReference w:id="1936"/>
      </w:r>
      <w:r>
        <w:rPr>
          <w:rFonts w:ascii="IRNazanin" w:hAnsi="IRNazanin" w:eastAsia="IRNazanin"/>
          <w:color w:val="111111"/>
          <w:sz w:val="28"/>
          <w:sz w:val="28"/>
          <w:szCs w:val="28"/>
          <w:rtl w:val="true"/>
          <w:lang w:bidi="fa-IR"/>
        </w:rPr>
        <w:t>الآحاد و غیرها لا تصیر</w:t>
      </w:r>
      <w:r>
        <w:rPr>
          <w:rStyle w:val="FootnoteAnchor"/>
          <w:rtl w:val="true"/>
        </w:rPr>
        <w:footnoteReference w:id="1937"/>
      </w:r>
      <w:r>
        <w:rPr>
          <w:rFonts w:ascii="Amiri" w:hAnsi="Amiri" w:eastAsia="Amiri" w:cs="Amiri"/>
          <w:color w:val="111111"/>
          <w:sz w:val="28"/>
          <w:sz w:val="28"/>
          <w:szCs w:val="28"/>
          <w:rtl w:val="true"/>
          <w:lang w:bidi="ar-SA"/>
        </w:rPr>
        <w:t>أدلّة إلّا بعد</w:t>
      </w:r>
      <w:r>
        <w:rPr>
          <w:rStyle w:val="FootnoteAnchor"/>
          <w:rtl w:val="true"/>
        </w:rPr>
        <w:footnoteReference w:id="1938"/>
      </w:r>
      <w:r>
        <w:rPr>
          <w:rFonts w:ascii="IRNazanin" w:hAnsi="IRNazanin" w:eastAsia="IRNazanin"/>
          <w:color w:val="111111"/>
          <w:sz w:val="28"/>
          <w:sz w:val="28"/>
          <w:szCs w:val="28"/>
          <w:rtl w:val="true"/>
          <w:lang w:bidi="fa-IR"/>
        </w:rPr>
        <w:t>مراعاة تلک الظنون المختلف فیها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الإجماع علی حجّیّة الظنون المتعلّقة بالأدلّة من حیث کونها ظنونا متعلّقة بها فإنّما غایته إثبات حجّیّة الظنّ المتعلّق بما علم أو ثبت</w:t>
      </w:r>
      <w:r>
        <w:rPr>
          <w:rStyle w:val="FootnoteAnchor"/>
          <w:rtl w:val="true"/>
        </w:rPr>
        <w:footnoteReference w:id="1939"/>
      </w:r>
      <w:r>
        <w:rPr>
          <w:rFonts w:ascii="IRNazanin" w:hAnsi="IRNazanin" w:eastAsia="IRNazanin"/>
          <w:color w:val="111111"/>
          <w:sz w:val="28"/>
          <w:sz w:val="28"/>
          <w:szCs w:val="28"/>
          <w:rtl w:val="true"/>
          <w:lang w:bidi="fa-IR"/>
        </w:rPr>
        <w:t>کونه دلیلا و أمّا الظنّ الذی یصیر به</w:t>
      </w:r>
      <w:r>
        <w:rPr>
          <w:rStyle w:val="FootnoteAnchor"/>
          <w:rtl w:val="true"/>
        </w:rPr>
        <w:footnoteReference w:id="1940"/>
      </w:r>
      <w:r>
        <w:rPr>
          <w:rFonts w:ascii="IRNazanin" w:hAnsi="IRNazanin" w:eastAsia="IRNazanin"/>
          <w:color w:val="111111"/>
          <w:sz w:val="28"/>
          <w:sz w:val="28"/>
          <w:szCs w:val="28"/>
          <w:rtl w:val="true"/>
          <w:lang w:bidi="fa-IR"/>
        </w:rPr>
        <w:t>الشی‌ء دلیلا، فلم یستفد منه حجّیّته إلّا أن یدّعی الإجماع علی مثل هذا أیضا بدعوی</w:t>
      </w:r>
      <w:bookmarkStart w:id="533" w:name="pg19819_193846"/>
    </w:p>
    <w:p>
      <w:pPr>
        <w:pStyle w:val="BookText"/>
        <w:rPr/>
      </w:pPr>
      <w:bookmarkEnd w:id="533"/>
      <w:r>
        <w:rPr>
          <w:rFonts w:ascii="IRNazanin" w:hAnsi="IRNazanin" w:eastAsia="IRNazanin"/>
          <w:color w:val="111111"/>
          <w:sz w:val="28"/>
          <w:sz w:val="28"/>
          <w:szCs w:val="28"/>
          <w:rtl w:val="true"/>
          <w:lang w:bidi="fa-IR"/>
        </w:rPr>
        <w:t>الاستقراء و تتبّع موارد کلماتهم، و هو تعسّف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بینها</w:t>
      </w:r>
      <w:r>
        <w:rPr>
          <w:rStyle w:val="FootnoteAnchor"/>
          <w:rtl w:val="true"/>
        </w:rPr>
        <w:footnoteReference w:id="1941"/>
      </w:r>
      <w:r>
        <w:rPr>
          <w:rFonts w:ascii="IRNazanin" w:hAnsi="IRNazanin" w:eastAsia="IRNazanin"/>
          <w:color w:val="111111"/>
          <w:sz w:val="28"/>
          <w:sz w:val="28"/>
          <w:szCs w:val="28"/>
          <w:rtl w:val="true"/>
          <w:lang w:bidi="fa-IR"/>
        </w:rPr>
        <w:t>و بین أن یدّعی مدع</w:t>
      </w:r>
      <w:r>
        <w:rPr>
          <w:rStyle w:val="FootnoteAnchor"/>
          <w:rtl w:val="true"/>
        </w:rPr>
        <w:footnoteReference w:id="1942"/>
      </w:r>
      <w:r>
        <w:rPr>
          <w:rFonts w:ascii="IRNazanin" w:hAnsi="IRNazanin" w:eastAsia="IRNazanin"/>
          <w:color w:val="111111"/>
          <w:sz w:val="28"/>
          <w:sz w:val="28"/>
          <w:szCs w:val="28"/>
          <w:rtl w:val="true"/>
          <w:lang w:bidi="fa-IR"/>
        </w:rPr>
        <w:t>الإجماع علی حجّیّة ظنّ المجتهد مطلقا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تتبّع موارد استدلالاتهم فی الأحکام الشرعیّة بالظنون الاجتهادیّة یحصّل القطع بأنّ اعتمادهم علی الظنون و رکونهم إلیها لیس إلّا من حیث کون ظنّ المجتهد حجّة عندهم مطلقا من حیث کونه</w:t>
      </w:r>
      <w:r>
        <w:rPr>
          <w:rStyle w:val="FootnoteAnchor"/>
          <w:rtl w:val="true"/>
        </w:rPr>
        <w:footnoteReference w:id="1943"/>
      </w:r>
      <w:r>
        <w:rPr>
          <w:rFonts w:ascii="IRNazanin" w:hAnsi="IRNazanin" w:eastAsia="IRNazanin"/>
          <w:color w:val="111111"/>
          <w:sz w:val="28"/>
          <w:sz w:val="28"/>
          <w:szCs w:val="28"/>
          <w:rtl w:val="true"/>
          <w:lang w:bidi="fa-IR"/>
        </w:rPr>
        <w:t>ظنّا من دون أن یکون لخصوصیّة مورد دون آخر مدخلیّة فیه أصلا، و لذا لو تعارضت ظنونهم یأخذون منها بما هو أقوی، و لا یعکفون</w:t>
      </w:r>
      <w:r>
        <w:rPr>
          <w:rStyle w:val="FootnoteAnchor"/>
          <w:rtl w:val="true"/>
        </w:rPr>
        <w:footnoteReference w:id="1944"/>
      </w:r>
      <w:r>
        <w:rPr>
          <w:rFonts w:ascii="IRNazanin" w:hAnsi="IRNazanin" w:eastAsia="IRNazanin"/>
          <w:color w:val="111111"/>
          <w:sz w:val="28"/>
          <w:sz w:val="28"/>
          <w:szCs w:val="28"/>
          <w:rtl w:val="true"/>
          <w:lang w:bidi="fa-IR"/>
        </w:rPr>
        <w:t>منها علی ما انعقد الإجماع علیه و کان مقطوعا، فتأمّل جدّا</w:t>
      </w:r>
      <w:r>
        <w:rPr>
          <w:rFonts w:eastAsia="IRNazanin" w:cs="IRNazanin"/>
          <w:color w:val="111111"/>
          <w:sz w:val="28"/>
          <w:szCs w:val="28"/>
          <w:rtl w:val="true"/>
          <w:lang w:bidi="fa-IR"/>
        </w:rPr>
        <w:t>.</w:t>
      </w:r>
    </w:p>
    <w:p>
      <w:pPr>
        <w:pStyle w:val="Heading4"/>
        <w:numPr>
          <w:ilvl w:val="3"/>
          <w:numId w:val="1"/>
        </w:numPr>
        <w:rPr/>
      </w:pPr>
      <w:bookmarkStart w:id="534" w:name="__RefHeading___Toc3055793_2314609296"/>
      <w:bookmarkStart w:id="535" w:name="_Toc200"/>
      <w:bookmarkEnd w:id="534"/>
      <w:r>
        <w:rPr>
          <w:rtl w:val="true"/>
        </w:rPr>
        <w:t>[</w:t>
      </w:r>
      <w:r>
        <w:rPr>
          <w:rtl w:val="true"/>
        </w:rPr>
        <w:t>کلام الوحید البهبهانی فی إثبات کلّیة الکبری</w:t>
      </w:r>
      <w:r>
        <w:rPr>
          <w:rtl w:val="true"/>
        </w:rPr>
        <w:t>:]</w:t>
      </w:r>
      <w:bookmarkEnd w:id="535"/>
    </w:p>
    <w:p>
      <w:pPr>
        <w:pStyle w:val="BookText"/>
        <w:rPr/>
      </w:pPr>
      <w:r>
        <w:rPr>
          <w:rFonts w:ascii="IRNazanin" w:hAnsi="IRNazanin" w:eastAsia="IRNazanin"/>
          <w:color w:val="111111"/>
          <w:sz w:val="28"/>
          <w:sz w:val="28"/>
          <w:szCs w:val="28"/>
          <w:rtl w:val="true"/>
          <w:lang w:bidi="fa-IR"/>
        </w:rPr>
        <w:t>و للخال</w:t>
      </w:r>
      <w:r>
        <w:rPr>
          <w:rStyle w:val="FootnoteAnchor"/>
          <w:rtl w:val="true"/>
        </w:rPr>
        <w:footnoteReference w:id="1945"/>
      </w:r>
      <w:r>
        <w:rPr>
          <w:rFonts w:ascii="Amiri" w:hAnsi="Amiri" w:eastAsia="Amiri" w:cs="Amiri"/>
          <w:color w:val="111111"/>
          <w:sz w:val="28"/>
          <w:sz w:val="28"/>
          <w:szCs w:val="28"/>
          <w:rtl w:val="true"/>
          <w:lang w:bidi="ar-SA"/>
        </w:rPr>
        <w:t>العلّامة</w:t>
      </w:r>
      <w:r>
        <w:rPr>
          <w:rStyle w:val="FootnoteAnchor"/>
          <w:rtl w:val="true"/>
        </w:rPr>
        <w:footnoteReference w:id="1946"/>
      </w:r>
      <w:r>
        <w:rPr>
          <w:rFonts w:ascii="IRNazanin" w:hAnsi="IRNazanin" w:eastAsia="IRNazanin"/>
          <w:color w:val="111111"/>
          <w:sz w:val="28"/>
          <w:sz w:val="28"/>
          <w:szCs w:val="28"/>
          <w:rtl w:val="true"/>
          <w:lang w:bidi="fa-IR"/>
        </w:rPr>
        <w:t>فی إثبات هذه الکلّیّة کلام لا بأس بذکره و ختم الرسالة به</w:t>
      </w:r>
      <w:r>
        <w:rPr>
          <w:rStyle w:val="FootnoteAnchor"/>
          <w:rtl w:val="true"/>
        </w:rPr>
        <w:footnoteReference w:id="19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صاحب المعالم</w:t>
      </w:r>
      <w:r>
        <w:rPr>
          <w:rStyle w:val="FootnoteAnchor"/>
          <w:rtl w:val="true"/>
        </w:rPr>
        <w:footnoteReference w:id="1948"/>
      </w:r>
      <w:r>
        <w:rPr>
          <w:rFonts w:ascii="Amiri" w:hAnsi="Amiri" w:eastAsia="Amiri" w:cs="Amiri"/>
          <w:color w:val="111111"/>
          <w:sz w:val="28"/>
          <w:sz w:val="28"/>
          <w:szCs w:val="28"/>
          <w:rtl w:val="true"/>
          <w:lang w:bidi="ar-SA"/>
        </w:rPr>
        <w:t>و غیره علی حجّیّة أخبار الآحاد بأنّ</w:t>
      </w:r>
      <w:r>
        <w:rPr>
          <w:rStyle w:val="FootnoteAnchor"/>
          <w:rtl w:val="true"/>
        </w:rPr>
        <w:footnoteReference w:id="1949"/>
      </w:r>
      <w:r>
        <w:rPr>
          <w:rFonts w:ascii="IRNazanin" w:hAnsi="IRNazanin" w:eastAsia="IRNazanin"/>
          <w:color w:val="111111"/>
          <w:sz w:val="28"/>
          <w:sz w:val="28"/>
          <w:szCs w:val="28"/>
          <w:rtl w:val="true"/>
          <w:lang w:bidi="fa-IR"/>
        </w:rPr>
        <w:t>باب العلم</w:t>
      </w:r>
      <w:r>
        <w:rPr>
          <w:rStyle w:val="FootnoteAnchor"/>
          <w:rtl w:val="true"/>
        </w:rPr>
        <w:footnoteReference w:id="1950"/>
      </w:r>
      <w:r>
        <w:rPr>
          <w:rFonts w:ascii="IRNazanin" w:hAnsi="IRNazanin" w:eastAsia="IRNazanin"/>
          <w:color w:val="111111"/>
          <w:sz w:val="28"/>
          <w:sz w:val="28"/>
          <w:szCs w:val="28"/>
          <w:rtl w:val="true"/>
          <w:lang w:bidi="fa-IR"/>
        </w:rPr>
        <w:t>فی غیر الضروریّات منسدّ، و الطریق منحصر فی الظنّ، فلا بدّ من کونه حجّة، إلی آخر ما ذکره</w:t>
      </w:r>
      <w:r>
        <w:rPr>
          <w:rStyle w:val="FootnoteAnchor"/>
          <w:rtl w:val="true"/>
        </w:rPr>
        <w:footnoteReference w:id="1951"/>
      </w:r>
      <w:r>
        <w:rPr>
          <w:rFonts w:ascii="IRNazanin" w:hAnsi="IRNazanin" w:eastAsia="IRNazanin"/>
          <w:color w:val="111111"/>
          <w:sz w:val="28"/>
          <w:sz w:val="28"/>
          <w:szCs w:val="28"/>
          <w:rtl w:val="true"/>
          <w:lang w:bidi="fa-IR"/>
        </w:rPr>
        <w:t>، و حاصله أنّ الإجماع واقع علی مشارکتنا مع الحاضرین فی الأحکام الشرعیّة بل بقاء الشرع الأنور إلی یوم المحشر</w:t>
      </w:r>
      <w:r>
        <w:rPr>
          <w:rStyle w:val="FootnoteAnchor"/>
          <w:rtl w:val="true"/>
        </w:rPr>
        <w:footnoteReference w:id="1952"/>
      </w:r>
      <w:r>
        <w:rPr>
          <w:rFonts w:ascii="IRNazanin" w:hAnsi="IRNazanin" w:eastAsia="IRNazanin"/>
          <w:color w:val="111111"/>
          <w:sz w:val="28"/>
          <w:sz w:val="28"/>
          <w:szCs w:val="28"/>
          <w:rtl w:val="true"/>
          <w:lang w:bidi="fa-IR"/>
        </w:rPr>
        <w:t>، و کوننا متشرّعین</w:t>
      </w:r>
      <w:r>
        <w:rPr>
          <w:rStyle w:val="FootnoteAnchor"/>
          <w:rtl w:val="true"/>
        </w:rPr>
        <w:footnoteReference w:id="1953"/>
      </w:r>
      <w:r>
        <w:rPr>
          <w:rFonts w:ascii="Amiri" w:hAnsi="Amiri" w:eastAsia="Amiri" w:cs="Amiri"/>
          <w:color w:val="111111"/>
          <w:sz w:val="28"/>
          <w:sz w:val="28"/>
          <w:szCs w:val="28"/>
          <w:rtl w:val="true"/>
          <w:lang w:bidi="ar-SA"/>
        </w:rPr>
        <w:t>به و من امّته صلّی اللّه علیه و آله من</w:t>
      </w:r>
      <w:r>
        <w:rPr>
          <w:rStyle w:val="FootnoteAnchor"/>
          <w:rtl w:val="true"/>
        </w:rPr>
        <w:footnoteReference w:id="1954"/>
      </w:r>
      <w:r>
        <w:rPr>
          <w:rFonts w:ascii="IRNazanin" w:hAnsi="IRNazanin" w:eastAsia="IRNazanin"/>
          <w:color w:val="111111"/>
          <w:sz w:val="28"/>
          <w:sz w:val="28"/>
          <w:szCs w:val="28"/>
          <w:rtl w:val="true"/>
          <w:lang w:bidi="fa-IR"/>
        </w:rPr>
        <w:t>بدیهیات الدین و ما</w:t>
      </w:r>
      <w:r>
        <w:rPr>
          <w:rStyle w:val="FootnoteAnchor"/>
          <w:rtl w:val="true"/>
        </w:rPr>
        <w:footnoteReference w:id="1955"/>
      </w:r>
      <w:r>
        <w:rPr>
          <w:rFonts w:ascii="IRNazanin" w:hAnsi="IRNazanin" w:eastAsia="IRNazanin"/>
          <w:color w:val="111111"/>
          <w:sz w:val="28"/>
          <w:sz w:val="28"/>
          <w:szCs w:val="28"/>
          <w:rtl w:val="true"/>
          <w:lang w:bidi="fa-IR"/>
        </w:rPr>
        <w:t>أجمع علیه المسلمون و ظهر من الأخبار المتواترة، و سدّ باب</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الیقین بتفاصیل تلک</w:t>
      </w:r>
      <w:r>
        <w:rPr>
          <w:rStyle w:val="FootnoteAnchor"/>
          <w:rtl w:val="true"/>
        </w:rPr>
        <w:footnoteReference w:id="1957"/>
      </w:r>
      <w:r>
        <w:rPr>
          <w:rFonts w:ascii="IRNazanin" w:hAnsi="IRNazanin" w:eastAsia="IRNazanin"/>
          <w:color w:val="111111"/>
          <w:sz w:val="28"/>
          <w:sz w:val="28"/>
          <w:szCs w:val="28"/>
          <w:rtl w:val="true"/>
          <w:lang w:bidi="fa-IR"/>
        </w:rPr>
        <w:t>الأحکام قطعی</w:t>
      </w:r>
      <w:r>
        <w:rPr>
          <w:rStyle w:val="FootnoteAnchor"/>
          <w:rtl w:val="true"/>
        </w:rPr>
        <w:footnoteReference w:id="1958"/>
      </w:r>
      <w:r>
        <w:rPr>
          <w:rFonts w:ascii="IRNazanin" w:hAnsi="IRNazanin" w:eastAsia="IRNazanin"/>
          <w:color w:val="111111"/>
          <w:sz w:val="28"/>
          <w:sz w:val="28"/>
          <w:szCs w:val="28"/>
          <w:rtl w:val="true"/>
          <w:lang w:bidi="fa-IR"/>
        </w:rPr>
        <w:t>وجدانی؛ لأنّ المعلوم بالضرورة أو الإجماع لیس إلّا أمرا إجمالیا قدر مشترک بین خصوصیات لا بدّ من اعتبارها حتّی ینفع</w:t>
      </w:r>
      <w:r>
        <w:rPr>
          <w:rStyle w:val="FootnoteAnchor"/>
          <w:rtl w:val="true"/>
        </w:rPr>
        <w:footnoteReference w:id="1959"/>
      </w:r>
      <w:r>
        <w:rPr>
          <w:rFonts w:ascii="IRNazanin" w:hAnsi="IRNazanin" w:eastAsia="IRNazanin"/>
          <w:color w:val="111111"/>
          <w:sz w:val="28"/>
          <w:sz w:val="28"/>
          <w:szCs w:val="28"/>
          <w:rtl w:val="true"/>
          <w:lang w:bidi="fa-IR"/>
        </w:rPr>
        <w:t>ذلک الإجمالی و یتعیّن ذلک</w:t>
      </w:r>
      <w:r>
        <w:rPr>
          <w:rStyle w:val="FootnoteAnchor"/>
          <w:rtl w:val="true"/>
        </w:rPr>
        <w:footnoteReference w:id="1960"/>
      </w:r>
      <w:r>
        <w:rPr>
          <w:rFonts w:ascii="IRNazanin" w:hAnsi="IRNazanin" w:eastAsia="IRNazanin"/>
          <w:color w:val="111111"/>
          <w:sz w:val="28"/>
          <w:sz w:val="28"/>
          <w:szCs w:val="28"/>
          <w:rtl w:val="true"/>
          <w:lang w:bidi="fa-IR"/>
        </w:rPr>
        <w:t>المشترک بصیرورته حکم الشرع بالنسبة إلی أفعالنا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سلّمه اللّه</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تأیید لما ذکرنا و تقویة لما سطرنا و إن کان فی مواضع</w:t>
      </w:r>
      <w:r>
        <w:rPr>
          <w:rStyle w:val="FootnoteAnchor"/>
          <w:rtl w:val="true"/>
        </w:rPr>
        <w:footnoteReference w:id="1962"/>
      </w:r>
      <w:r>
        <w:rPr>
          <w:rFonts w:ascii="Amiri" w:hAnsi="Amiri" w:eastAsia="Amiri" w:cs="Amiri"/>
          <w:color w:val="111111"/>
          <w:sz w:val="28"/>
          <w:sz w:val="28"/>
          <w:szCs w:val="28"/>
          <w:rtl w:val="true"/>
          <w:lang w:bidi="ar-SA"/>
        </w:rPr>
        <w:t>ممّا</w:t>
      </w:r>
      <w:r>
        <w:rPr>
          <w:rStyle w:val="FootnoteAnchor"/>
          <w:rtl w:val="true"/>
        </w:rPr>
        <w:footnoteReference w:id="1963"/>
      </w:r>
      <w:r>
        <w:rPr>
          <w:rFonts w:ascii="IRNazanin" w:hAnsi="IRNazanin" w:eastAsia="IRNazanin"/>
          <w:color w:val="111111"/>
          <w:sz w:val="28"/>
          <w:sz w:val="28"/>
          <w:szCs w:val="28"/>
          <w:rtl w:val="true"/>
          <w:lang w:bidi="fa-IR"/>
        </w:rPr>
        <w:t>ذکره اشتباهات لیس</w:t>
      </w:r>
      <w:r>
        <w:rPr>
          <w:rStyle w:val="FootnoteAnchor"/>
          <w:rtl w:val="true"/>
        </w:rPr>
        <w:footnoteReference w:id="1964"/>
      </w:r>
      <w:r>
        <w:rPr>
          <w:rFonts w:ascii="Amiri" w:hAnsi="Amiri" w:eastAsia="Amiri" w:cs="Amiri"/>
          <w:color w:val="111111"/>
          <w:sz w:val="28"/>
          <w:sz w:val="28"/>
          <w:szCs w:val="28"/>
          <w:rtl w:val="true"/>
          <w:lang w:bidi="ar-SA"/>
        </w:rPr>
        <w:t>محلّ نشرها</w:t>
      </w:r>
      <w:r>
        <w:rPr>
          <w:rStyle w:val="FootnoteAnchor"/>
          <w:rtl w:val="true"/>
        </w:rPr>
        <w:footnoteReference w:id="1965"/>
      </w:r>
      <w:r>
        <w:rPr>
          <w:rFonts w:ascii="IRNazanin" w:hAnsi="IRNazanin" w:eastAsia="IRNazanin"/>
          <w:color w:val="111111"/>
          <w:sz w:val="28"/>
          <w:sz w:val="28"/>
          <w:szCs w:val="28"/>
          <w:rtl w:val="true"/>
          <w:lang w:bidi="fa-IR"/>
        </w:rPr>
        <w:t>هذا آخر ما انتهی إلیه</w:t>
      </w:r>
      <w:r>
        <w:rPr>
          <w:rStyle w:val="FootnoteAnchor"/>
          <w:rtl w:val="true"/>
        </w:rPr>
        <w:footnoteReference w:id="1966"/>
      </w:r>
    </w:p>
    <w:p>
      <w:pPr>
        <w:pStyle w:val="BookText"/>
        <w:rPr/>
      </w:pPr>
      <w:r>
        <w:rPr>
          <w:rFonts w:ascii="IRNazanin" w:hAnsi="IRNazanin" w:eastAsia="IRNazanin"/>
          <w:color w:val="111111"/>
          <w:sz w:val="28"/>
          <w:sz w:val="28"/>
          <w:szCs w:val="28"/>
          <w:rtl w:val="true"/>
          <w:lang w:bidi="fa-IR"/>
        </w:rPr>
        <w:t>نهایة نسخة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و الصلاة علی خاتم الرسالة، و الحمد للّه علی إتمامه، و صلّی اللّه علی محمّد و آله، و قد وقع الإتمام فی یوم الأربعاء الثالث و العشر من شهر الشعبان المنتظم فی شهور سنة أربع و أربعین و مائتین بعد الألف من الهجرة النبویّة المصطفویّة علی هاجرها ألف ألف صلاة و تحیّة بید العبد الفقیر إلی اللّه الغنیّ محمّد رضا بن علیّ الکوکدی بلغ اللّه تعالی من النقصان إلی الکمال بحقّ محمّد صلّی اللّه علیه و آله خیر آل، و اغفرهما و تجاوز عن سیّئاتهما و استر عیوبهما و اجعلهما من أهل الجنّة و احرم شیبتهما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 یبقی زمانا بعد صاحبه‌و صاحب الخطّ تحت الأرض مدفون و افعل به ما أنت أهله و لا تفعل به ما هو أهله، إنّک جواد کریم ذو الفضل العظیم بمحمّد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نسخة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من تحقیقات المحقّق العلّامة آقا سیّد علیّ أدام اللّه ظلاله علی رءوسنا معشر الشیعة بحقّ محمّد و آله خیر البریّة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نسخه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فی شهر شعبان المعظّم فی یوم الجمعة سنة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نسخه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سنة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نسخه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حرّرته للأخ العزیز دام عمره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9819_193848"/>
    </w:p>
    <w:p>
      <w:pPr>
        <w:pStyle w:val="Heading2"/>
        <w:numPr>
          <w:ilvl w:val="1"/>
          <w:numId w:val="1"/>
        </w:numPr>
        <w:rPr/>
      </w:pPr>
      <w:bookmarkStart w:id="537" w:name="__RefHeading___Toc3055795_2314609296"/>
      <w:bookmarkStart w:id="538" w:name="_Toc201"/>
      <w:bookmarkEnd w:id="536"/>
      <w:bookmarkEnd w:id="537"/>
      <w:r>
        <w:rPr/>
        <w:t>7</w:t>
      </w:r>
      <w:r>
        <w:rPr>
          <w:rtl w:val="true"/>
        </w:rPr>
        <w:t xml:space="preserve"> </w:t>
      </w:r>
      <w:r>
        <w:rPr>
          <w:rtl w:val="true"/>
        </w:rPr>
        <w:t>التسامح فی أدلّة السنن</w:t>
      </w:r>
      <w:bookmarkEnd w:id="538"/>
    </w:p>
    <w:p>
      <w:pPr>
        <w:pStyle w:val="Heading3"/>
        <w:numPr>
          <w:ilvl w:val="2"/>
          <w:numId w:val="1"/>
        </w:numPr>
        <w:rPr/>
      </w:pPr>
      <w:bookmarkStart w:id="539" w:name="__RefHeading___Toc3055797_2314609296"/>
      <w:bookmarkStart w:id="540" w:name="_Toc202"/>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محمّد باقر بن محمّد جعفر البهاری الهمدانی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حمید الأحمدی الجلفائی</w:t>
      </w:r>
      <w:bookmarkStart w:id="541" w:name="pg19819_193850"/>
    </w:p>
    <w:p>
      <w:pPr>
        <w:pStyle w:val="Heading3"/>
        <w:numPr>
          <w:ilvl w:val="2"/>
          <w:numId w:val="1"/>
        </w:numPr>
        <w:rPr/>
      </w:pPr>
      <w:bookmarkStart w:id="542" w:name="__RefHeading___Toc3055799_2314609296"/>
      <w:bookmarkStart w:id="543" w:name="_Toc203"/>
      <w:bookmarkEnd w:id="541"/>
      <w:bookmarkEnd w:id="542"/>
      <w:r>
        <w:rPr>
          <w:rtl w:val="true"/>
        </w:rPr>
        <w:t>مقدّمة التحقیق</w:t>
      </w:r>
      <w:bookmarkEnd w:id="543"/>
    </w:p>
    <w:p>
      <w:pPr>
        <w:pStyle w:val="Heading4"/>
        <w:numPr>
          <w:ilvl w:val="3"/>
          <w:numId w:val="1"/>
        </w:numPr>
        <w:rPr/>
      </w:pPr>
      <w:bookmarkStart w:id="544" w:name="__RefHeading___Toc3055801_2314609296"/>
      <w:bookmarkStart w:id="545" w:name="_Toc204"/>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 xml:space="preserve">لقد وقع البحث بین الفقهاء و الاصولیّین من الأصحاب و العامّة حول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أدلّة السنن و 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زمان الصدوقین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Style w:val="FootnoteAnchor"/>
          <w:rtl w:val="true"/>
        </w:rPr>
        <w:footnoteReference w:id="1967"/>
      </w:r>
      <w:r>
        <w:rPr>
          <w:rFonts w:ascii="IRNazanin" w:hAnsi="IRNazanin" w:eastAsia="IRNazanin"/>
          <w:color w:val="111111"/>
          <w:sz w:val="28"/>
          <w:sz w:val="28"/>
          <w:szCs w:val="28"/>
          <w:rtl w:val="true"/>
          <w:lang w:bidi="fa-IR"/>
        </w:rPr>
        <w:t>و لا زال یدور إلی یومنا هذا، و هی من أهمّ القواعد الاصولیّة علی رأی الأکثر من الباحثین، و منهم المحقّق الأعظم استاد المجتهدین الشیخ مرتضی الأنصاری رحمه اللّه و غالب من تبعه بعده،</w:t>
      </w:r>
      <w:r>
        <w:rPr>
          <w:rStyle w:val="FootnoteAnchor"/>
          <w:rtl w:val="true"/>
        </w:rPr>
        <w:footnoteReference w:id="1968"/>
      </w:r>
      <w:r>
        <w:rPr>
          <w:rFonts w:ascii="IRNazanin" w:hAnsi="IRNazanin" w:eastAsia="IRNazanin"/>
          <w:color w:val="111111"/>
          <w:sz w:val="28"/>
          <w:sz w:val="28"/>
          <w:szCs w:val="28"/>
          <w:rtl w:val="true"/>
          <w:lang w:bidi="fa-IR"/>
        </w:rPr>
        <w:t>أو من القواعد الفقهیّة کما هو الظاهر من عمل بعض المحقّقین أو صرّح به البعض الأندر</w:t>
      </w:r>
      <w:r>
        <w:rPr>
          <w:rFonts w:eastAsia="IRNazanin" w:cs="IRNazanin"/>
          <w:color w:val="111111"/>
          <w:sz w:val="28"/>
          <w:szCs w:val="28"/>
          <w:rtl w:val="true"/>
          <w:lang w:bidi="fa-IR"/>
        </w:rPr>
        <w:t>.</w:t>
      </w:r>
      <w:r>
        <w:rPr>
          <w:rStyle w:val="FootnoteAnchor"/>
          <w:rtl w:val="true"/>
        </w:rPr>
        <w:footnoteReference w:id="1969"/>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أصل هذه القاعدة فمقبول عند الجمهور من الفریقین إلّا من شذّ و ندر، کالظاهر من عمل الصدوقین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البحرانی و غیرهما،</w:t>
      </w:r>
      <w:r>
        <w:rPr>
          <w:rStyle w:val="FootnoteAnchor"/>
          <w:rtl w:val="true"/>
        </w:rPr>
        <w:footnoteReference w:id="1970"/>
      </w:r>
      <w:r>
        <w:rPr>
          <w:rFonts w:ascii="IRNazanin" w:hAnsi="IRNazanin" w:eastAsia="IRNazanin"/>
          <w:color w:val="111111"/>
          <w:sz w:val="28"/>
          <w:sz w:val="28"/>
          <w:szCs w:val="28"/>
          <w:rtl w:val="true"/>
          <w:lang w:bidi="fa-IR"/>
        </w:rPr>
        <w:t>أو صریح قول السیّد الخوانساری فی مواضع من کتابه جامع المدارک،</w:t>
      </w:r>
      <w:r>
        <w:rPr>
          <w:rStyle w:val="FootnoteAnchor"/>
          <w:rtl w:val="true"/>
        </w:rPr>
        <w:footnoteReference w:id="1971"/>
      </w:r>
      <w:r>
        <w:rPr>
          <w:rFonts w:ascii="IRNazanin" w:hAnsi="IRNazanin" w:eastAsia="IRNazanin"/>
          <w:color w:val="111111"/>
          <w:sz w:val="28"/>
          <w:sz w:val="28"/>
          <w:szCs w:val="28"/>
          <w:rtl w:val="true"/>
          <w:lang w:bidi="fa-IR"/>
        </w:rPr>
        <w:t>أو السیّد محسن الحکیم من المعاصرین، حیث قال فی مستمسک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قاعدة التسامح فی أدلّة السنن فغیر ثابتة، بل الظاهر من أخبارها أن ترتّب الثواب علی مجرّد الانقیاد، فلا طریق</w:t>
      </w:r>
    </w:p>
    <w:p>
      <w:pPr>
        <w:pStyle w:val="BookText"/>
        <w:rPr/>
      </w:pPr>
      <w:r>
        <w:rPr>
          <w:rFonts w:ascii="IRNazanin" w:hAnsi="IRNazanin" w:eastAsia="IRNazanin"/>
          <w:color w:val="111111"/>
          <w:sz w:val="28"/>
          <w:sz w:val="28"/>
          <w:szCs w:val="28"/>
          <w:rtl w:val="true"/>
          <w:lang w:bidi="fa-IR"/>
        </w:rPr>
        <w:t xml:space="preserve">لإثبات المشروعیّة </w:t>
      </w:r>
      <w:r>
        <w:rPr>
          <w:rFonts w:eastAsia="IRNazanin" w:cs="IRNazanin"/>
          <w:color w:val="111111"/>
          <w:sz w:val="28"/>
          <w:szCs w:val="28"/>
          <w:rtl w:val="true"/>
          <w:lang w:bidi="fa-IR"/>
        </w:rPr>
        <w:t>...».</w:t>
      </w:r>
      <w:r>
        <w:rPr>
          <w:rStyle w:val="FootnoteAnchor"/>
          <w:rtl w:val="true"/>
        </w:rPr>
        <w:footnoteReference w:id="1972"/>
      </w:r>
    </w:p>
    <w:p>
      <w:pPr>
        <w:pStyle w:val="BookText"/>
        <w:rPr/>
      </w:pPr>
      <w:r>
        <w:rPr>
          <w:rFonts w:ascii="IRNazanin" w:hAnsi="IRNazanin" w:eastAsia="IRNazanin"/>
          <w:color w:val="111111"/>
          <w:sz w:val="28"/>
          <w:sz w:val="28"/>
          <w:szCs w:val="28"/>
          <w:rtl w:val="true"/>
          <w:lang w:bidi="fa-IR"/>
        </w:rPr>
        <w:t>هذا، و قد نسبها بعض الأعاظم و المشاهیر من الأصحاب إلی المشهور أو الجمهور، و نحن نکتفی فی هذا المقام بنقل کلام الشیخ الأنصاری رحمه اللّه فی طلیعة رسالته فی هذا المضمار، حیث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أصحابنا و العامّة التسامح فی أدلّة السنن، بمعنی عدم اعتبار ما ذکروه من الشروط للعمل بأخبار الآحاد من الإسلام و العدالة و الضبط فی الروایات الدالّة علی السنن فعلا أو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نقل کلمات الأعلام حول الموضوع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الفضائل یتسامح فیها عند أهل العلم</w:t>
      </w:r>
      <w:r>
        <w:rPr>
          <w:rFonts w:eastAsia="IRNazanin" w:cs="IRNazanin"/>
          <w:color w:val="111111"/>
          <w:sz w:val="28"/>
          <w:szCs w:val="28"/>
          <w:rtl w:val="true"/>
          <w:lang w:bidi="fa-IR"/>
        </w:rPr>
        <w:t>.</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و فی عدّة الداعی بعد نقل الروایات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هذا المعنی مجمعا علیه بین الفریقین</w:t>
      </w:r>
      <w:r>
        <w:rPr>
          <w:rFonts w:eastAsia="IRNazanin" w:cs="IRNazanin"/>
          <w:color w:val="111111"/>
          <w:sz w:val="28"/>
          <w:szCs w:val="28"/>
          <w:rtl w:val="true"/>
          <w:lang w:bidi="fa-IR"/>
        </w:rPr>
        <w:t>.</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و عن الأربعین لشیخنا البهائی رحمه اللّه نسبته إلی فقهائنا</w:t>
      </w:r>
      <w:r>
        <w:rPr>
          <w:rFonts w:eastAsia="IRNazanin" w:cs="IRNazanin"/>
          <w:color w:val="111111"/>
          <w:sz w:val="28"/>
          <w:szCs w:val="28"/>
          <w:rtl w:val="true"/>
          <w:lang w:bidi="fa-IR"/>
        </w:rPr>
        <w:t>.</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و عن الوسائل نسبته إلی الأصحاب مصرّحا بشمول المسألة لأدلّة المکروهات أیضا</w:t>
      </w:r>
      <w:r>
        <w:rPr>
          <w:rFonts w:eastAsia="IRNazanin" w:cs="IRNazanin"/>
          <w:color w:val="111111"/>
          <w:sz w:val="28"/>
          <w:szCs w:val="28"/>
          <w:rtl w:val="true"/>
          <w:lang w:bidi="fa-IR"/>
        </w:rPr>
        <w:t>.</w:t>
      </w:r>
      <w:r>
        <w:rPr>
          <w:rStyle w:val="FootnoteAnchor"/>
          <w:rtl w:val="true"/>
        </w:rPr>
        <w:footnoteReference w:id="1976"/>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بعض الأجلّة نسبته إلی العلماء المحقّقین،</w:t>
      </w:r>
      <w:r>
        <w:rPr>
          <w:rStyle w:val="FootnoteAnchor"/>
          <w:rtl w:val="true"/>
        </w:rPr>
        <w:footnoteReference w:id="1977"/>
      </w:r>
      <w:r>
        <w:rPr>
          <w:rFonts w:ascii="IRNazanin" w:hAnsi="IRNazanin" w:eastAsia="IRNazanin"/>
          <w:color w:val="111111"/>
          <w:sz w:val="28"/>
          <w:sz w:val="28"/>
          <w:szCs w:val="28"/>
          <w:rtl w:val="true"/>
          <w:lang w:bidi="fa-IR"/>
        </w:rPr>
        <w:t>خلافا للمحکیّ عن موضعین من المنتهی،</w:t>
      </w:r>
      <w:r>
        <w:rPr>
          <w:rStyle w:val="FootnoteAnchor"/>
          <w:rtl w:val="true"/>
        </w:rPr>
        <w:footnoteReference w:id="1978"/>
      </w:r>
      <w:r>
        <w:rPr>
          <w:rFonts w:ascii="IRNazanin" w:hAnsi="IRNazanin" w:eastAsia="IRNazanin"/>
          <w:color w:val="111111"/>
          <w:sz w:val="28"/>
          <w:sz w:val="28"/>
          <w:szCs w:val="28"/>
          <w:rtl w:val="true"/>
          <w:lang w:bidi="fa-IR"/>
        </w:rPr>
        <w:t>و صاحب المدارک فی أوائل کتابه، قال بعد ذکر جملة من الوضوءات المستحبّة و ذکر ضعف مستندها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یقال من أنّ أدلّة السنن یتسامح فیها بما لا یتسامح فی غیرها منظور فیه؛ لأنّ الاستحباب حکم شرعی یتوقّف علی دلیل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یرجع إلی التمسّک بأصالة العدم إلی أن یثبت الدلیل المعتبر شرعا، و یؤکّدها ما دلّ علی حرمة العمل بما وراء العلم</w:t>
      </w:r>
      <w:r>
        <w:rPr>
          <w:rFonts w:eastAsia="IRNazanin" w:cs="IRNazanin"/>
          <w:color w:val="111111"/>
          <w:sz w:val="28"/>
          <w:szCs w:val="28"/>
          <w:rtl w:val="true"/>
          <w:lang w:bidi="fa-IR"/>
        </w:rPr>
        <w:t>.</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و قد صنّفت فی هذا المجال رسالات مستقلّة مختصّة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ورد فی ضمن الکتب الاصولیّة أو الفقهیّة المفصّلة</w:t>
      </w:r>
      <w:r>
        <w:rPr>
          <w:rStyle w:val="FootnoteAnchor"/>
          <w:rtl w:val="true"/>
        </w:rPr>
        <w:footnoteReference w:id="1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المحقّق الطهرانی رحمه اللّه ثلاث عشرة منها فی کتابه الذریعة إلی تصانیف الشیعة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التسامح فی أدلّة السنن؛ للشیخ سلیمان بن عبد اللّه بن الحسن بن أحمد بن یوسف ابن عمّار البحرانی الماحوزی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التسامح فی أدلّة السنن؛ للمحقّق القمّی میرزا أبی القاسم بن المولی حسن الشفتی الجیلانی القمّی، صاحب کتاب القوانین فی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مرتضی بن الموسی محمّد أمین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مکرّرا</w:t>
      </w:r>
      <w:r>
        <w:rPr>
          <w:rFonts w:eastAsia="IRNazanin" w:cs="IRNazanin"/>
          <w:color w:val="111111"/>
          <w:sz w:val="28"/>
          <w:szCs w:val="28"/>
          <w:rtl w:val="true"/>
          <w:lang w:bidi="fa-IR"/>
        </w:rPr>
        <w:t>.</w:t>
      </w:r>
      <w:r>
        <w:rPr>
          <w:rStyle w:val="FootnoteAnchor"/>
          <w:rtl w:val="true"/>
        </w:rPr>
        <w:footnoteReference w:id="19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التسامح فی أدلّة السنن؛ للمولی محمّد حسن بن محمّد باقر القره‌باغی، تلمیذ العلّامة الشیخ الأنصاری، فرغ عنه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توجد نسخة منه فی مکتبة المرعشی بقمّ</w:t>
      </w:r>
      <w:r>
        <w:rPr>
          <w:rFonts w:eastAsia="IRNazanin" w:cs="IRNazanin"/>
          <w:color w:val="111111"/>
          <w:sz w:val="28"/>
          <w:szCs w:val="28"/>
          <w:rtl w:val="true"/>
          <w:lang w:bidi="fa-IR"/>
        </w:rPr>
        <w:t>.</w:t>
      </w:r>
      <w:r>
        <w:rPr>
          <w:rStyle w:val="FootnoteAnchor"/>
          <w:rtl w:val="true"/>
        </w:rPr>
        <w:footnoteReference w:id="19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التسامح فی أدلّة السنن؛ للسیّد الحاجّ میرزا أبی طالب بن الحاجّ میرزا أبی القاسم</w:t>
      </w:r>
    </w:p>
    <w:p>
      <w:pPr>
        <w:pStyle w:val="BookText"/>
        <w:rPr/>
      </w:pPr>
      <w:r>
        <w:rPr>
          <w:rFonts w:ascii="IRNazanin" w:hAnsi="IRNazanin" w:eastAsia="IRNazanin"/>
          <w:color w:val="111111"/>
          <w:sz w:val="28"/>
          <w:sz w:val="28"/>
          <w:szCs w:val="28"/>
          <w:rtl w:val="true"/>
          <w:lang w:bidi="fa-IR"/>
        </w:rPr>
        <w:t xml:space="preserve">الموسوی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الطهرانی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فی آخر إیضاح السبل له المطبوع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التسامح فی أدلّة السنن؛ للحاجّ میرزا أبی القاسم بن الحاجّ میرزا زین العابدین الأصفهانی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إمام الجمعة بطهران، و طبع هذا الأثر فی ضمن مجموعة من تصانیفه 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التسامح فی أدلّة السنن؛ للشیخ محمّد رفیع بن عبد الحمید بن محمّد رفیع بن أحمد بن صیفی الکزازی النجفی، تلمیذ العلّامة الحاجّ میرزا حبیب اللّه الرشتی و کان معتمده و توفّی قبله</w:t>
      </w:r>
      <w:r>
        <w:rPr>
          <w:rFonts w:eastAsia="IRNazanin" w:cs="IRNazanin"/>
          <w:color w:val="111111"/>
          <w:sz w:val="28"/>
          <w:szCs w:val="28"/>
          <w:rtl w:val="true"/>
          <w:lang w:bidi="fa-IR"/>
        </w:rPr>
        <w:t>.</w:t>
      </w:r>
      <w:r>
        <w:rPr>
          <w:rStyle w:val="FootnoteAnchor"/>
          <w:rtl w:val="true"/>
        </w:rPr>
        <w:footnoteReference w:id="19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التسامح فی أدلّة السنن؛ للشیخ محمود اللواسانی الطهرانی، من تلامیذ الشیخ الأنصاری، توجد نسخة خطّ المؤلّف فی مکتبة الحاجّ علی محمّد النجف‌آبادی فی النجف الأشرف</w:t>
      </w:r>
      <w:r>
        <w:rPr>
          <w:rFonts w:eastAsia="IRNazanin" w:cs="IRNazanin"/>
          <w:color w:val="111111"/>
          <w:sz w:val="28"/>
          <w:szCs w:val="28"/>
          <w:rtl w:val="true"/>
          <w:lang w:bidi="fa-IR"/>
        </w:rPr>
        <w:t>.</w:t>
      </w:r>
      <w:r>
        <w:rPr>
          <w:rStyle w:val="FootnoteAnchor"/>
          <w:rtl w:val="true"/>
        </w:rPr>
        <w:footnoteReference w:id="19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التسامح فی أدلّة السنن؛ للشیخ نصر اللّه المازندرانی، من تلامیذ الشیخ لطف اللّه الأسکی اللاریجانی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الطهرانی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نسخة خطّ یده فی کتب المرحوم السیّد محمّد اللواسانی فی النجف الأشرف</w:t>
      </w:r>
      <w:r>
        <w:rPr>
          <w:rFonts w:eastAsia="IRNazanin" w:cs="IRNazanin"/>
          <w:color w:val="111111"/>
          <w:sz w:val="28"/>
          <w:szCs w:val="28"/>
          <w:rtl w:val="true"/>
          <w:lang w:bidi="fa-IR"/>
        </w:rPr>
        <w:t>».</w:t>
      </w:r>
      <w:r>
        <w:rPr>
          <w:rStyle w:val="FootnoteAnchor"/>
          <w:rtl w:val="true"/>
        </w:rPr>
        <w:footnoteReference w:id="199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الحسن فی التسامح فی أدلّة السنن؛ للسیّد محمّد حسین بن السیّد بنده حسین بن السیّد محمّد بن السیّد دلدار علی النقوی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باللغة الاردویة، مطبوع بالهند</w:t>
      </w:r>
      <w:r>
        <w:rPr>
          <w:rFonts w:eastAsia="IRNazanin" w:cs="IRNazanin"/>
          <w:color w:val="111111"/>
          <w:sz w:val="28"/>
          <w:szCs w:val="28"/>
          <w:rtl w:val="true"/>
          <w:lang w:bidi="fa-IR"/>
        </w:rPr>
        <w:t>.</w:t>
      </w:r>
      <w:r>
        <w:rPr>
          <w:rStyle w:val="FootnoteAnchor"/>
          <w:rtl w:val="true"/>
        </w:rPr>
        <w:footnoteReference w:id="199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الخلسة من الزمن فی معنی التسامح فی أدلّة السنن؛ للشیخ علیّ بن الحاجّ حسن الخنیزی القطیفی، من تلامیذ الشیخ الخراسانی صاحب الکفایة</w:t>
      </w:r>
      <w:r>
        <w:rPr>
          <w:rFonts w:eastAsia="IRNazanin" w:cs="IRNazanin"/>
          <w:color w:val="111111"/>
          <w:sz w:val="28"/>
          <w:szCs w:val="28"/>
          <w:rtl w:val="true"/>
          <w:lang w:bidi="fa-IR"/>
        </w:rPr>
        <w:t>.</w:t>
      </w:r>
      <w:r>
        <w:rPr>
          <w:rStyle w:val="FootnoteAnchor"/>
          <w:rtl w:val="true"/>
        </w:rPr>
        <w:footnoteReference w:id="1992"/>
      </w:r>
      <w:bookmarkStart w:id="546" w:name="pg19819_193854"/>
    </w:p>
    <w:p>
      <w:pPr>
        <w:pStyle w:val="BookText"/>
        <w:rPr/>
      </w:pPr>
      <w:bookmarkEnd w:id="54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التسامح فی أدلّة السنن؛ للشیخ محمّد بن محمّد صادق، و هی ملحقة بآخر مجلّد القضاء من کتابه معتمد الأنام فی شرح شرائع الإسلام</w:t>
      </w:r>
      <w:r>
        <w:rPr>
          <w:rFonts w:eastAsia="IRNazanin" w:cs="IRNazanin"/>
          <w:color w:val="111111"/>
          <w:sz w:val="28"/>
          <w:szCs w:val="28"/>
          <w:rtl w:val="true"/>
          <w:lang w:bidi="fa-IR"/>
        </w:rPr>
        <w:t>.</w:t>
      </w:r>
      <w:r>
        <w:rPr>
          <w:rStyle w:val="FootnoteAnchor"/>
          <w:rtl w:val="true"/>
        </w:rPr>
        <w:footnoteReference w:id="199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التسامح فی أدلّة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للعلّامة الحاجّ الشیخ محمّد باقر بن الحاجّ محمّد جعفر البهاری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ستأتی ترجمة المؤلّف و توضیح رسالته إن شاء اللّه تعالی</w:t>
      </w:r>
      <w:r>
        <w:rPr>
          <w:rFonts w:eastAsia="IRNazanin" w:cs="IRNazanin"/>
          <w:color w:val="111111"/>
          <w:sz w:val="28"/>
          <w:szCs w:val="28"/>
          <w:rtl w:val="true"/>
          <w:lang w:bidi="fa-IR"/>
        </w:rPr>
        <w:t>.</w:t>
      </w:r>
    </w:p>
    <w:p>
      <w:pPr>
        <w:pStyle w:val="Heading4"/>
        <w:numPr>
          <w:ilvl w:val="3"/>
          <w:numId w:val="1"/>
        </w:numPr>
        <w:rPr/>
      </w:pPr>
      <w:bookmarkStart w:id="547" w:name="__RefHeading___Toc3055803_2314609296"/>
      <w:bookmarkStart w:id="548" w:name="_Toc205"/>
      <w:bookmarkEnd w:id="547"/>
      <w:r>
        <w:rPr>
          <w:rtl w:val="true"/>
        </w:rPr>
        <w:t>الرسالة التی بین یدیک</w:t>
      </w:r>
      <w:bookmarkEnd w:id="548"/>
    </w:p>
    <w:p>
      <w:pPr>
        <w:pStyle w:val="BookText"/>
        <w:rPr/>
      </w:pPr>
      <w:r>
        <w:rPr>
          <w:rFonts w:ascii="IRNazanin" w:hAnsi="IRNazanin" w:eastAsia="IRNazanin"/>
          <w:color w:val="111111"/>
          <w:sz w:val="28"/>
          <w:sz w:val="28"/>
          <w:szCs w:val="28"/>
          <w:rtl w:val="true"/>
          <w:lang w:bidi="fa-IR"/>
        </w:rPr>
        <w:t xml:space="preserve">و هذه رسالة و زینة ثمینة حول قاعدة التسامح فی أدلّة السنن، للمحقّق الفاضل و العلّامة الکامل، آیة اللّه الشیخ الحاجّ محمّد باقر بن محمّد جعفر البهاری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سیأتی ذکر حاله و ترجمته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الإنصاف أنّه قد أجاد البحث فی الموضوع کما فی سائر آثاره التی سیأتی ذکرها، و لیس من المبالغة إن قلنا بأنّ رسالته أجود الرسالات و أدقّها و أکملها وجوها فی هذا المجال بعد ما ألّفه الشیخ الأعظم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القول بالمساواة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بحث فیها فی مجالات شتّی من حیث هل هی مسألة اصولیّة أم فقهیّة؟ و فی بیان مفهوم القاعدة و حدودها و وجوه القول بها أو الشبهات و الإیرادات حولها بوجه أحسن کما سترون إن شاء اللّه تعالی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إنّ هذه الامتیازات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کانت الباعثة لتحقیق آثاره الفقهیّة و الاصولیّة، رغم الصعوبة التی واجهناها، حیث لم تتوفّر النسخ التی تساعد إحیاءها سوی نسخة واحدة فی أغلب الآثار، و کانت بخطّه الشریف مع أنّها لم تکن واضحة، و هی غیر مقروءة جدّا</w:t>
      </w:r>
      <w:r>
        <w:rPr>
          <w:rFonts w:eastAsia="IRNazanin" w:cs="IRNazanin"/>
          <w:color w:val="111111"/>
          <w:sz w:val="28"/>
          <w:szCs w:val="28"/>
          <w:rtl w:val="true"/>
          <w:lang w:bidi="fa-IR"/>
        </w:rPr>
        <w:t>.</w:t>
      </w:r>
      <w:bookmarkStart w:id="549" w:name="pg19819_193855"/>
    </w:p>
    <w:p>
      <w:pPr>
        <w:pStyle w:val="BookText"/>
        <w:rPr/>
      </w:pPr>
      <w:bookmarkEnd w:id="549"/>
      <w:r>
        <w:rPr>
          <w:rFonts w:ascii="IRNazanin" w:hAnsi="IRNazanin" w:eastAsia="IRNazanin"/>
          <w:color w:val="111111"/>
          <w:sz w:val="28"/>
          <w:sz w:val="28"/>
          <w:szCs w:val="28"/>
          <w:rtl w:val="true"/>
          <w:lang w:bidi="fa-IR"/>
        </w:rPr>
        <w:t xml:space="preserve">و أمّا نسخة هذه الرسالة فهی موجودة فی مکتبة المرعشی رحمه اللّه بقمّ، و هی الرسالة الاولی من مجموعة </w:t>
      </w:r>
      <w:r>
        <w:rPr>
          <w:rFonts w:eastAsia="IRNazanin" w:cs="IRNazanin"/>
          <w:color w:val="111111"/>
          <w:sz w:val="28"/>
          <w:szCs w:val="28"/>
          <w:lang w:bidi="fa-IR"/>
        </w:rPr>
        <w:t>12312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4"/>
        <w:numPr>
          <w:ilvl w:val="3"/>
          <w:numId w:val="1"/>
        </w:numPr>
        <w:rPr/>
      </w:pPr>
      <w:bookmarkStart w:id="550" w:name="__RefHeading___Toc3055805_2314609296"/>
      <w:bookmarkStart w:id="551" w:name="_Toc206"/>
      <w:bookmarkEnd w:id="550"/>
      <w:r>
        <w:rPr>
          <w:rtl w:val="true"/>
        </w:rPr>
        <w:t>نبذة فی ترجمة المؤلّف</w:t>
      </w:r>
      <w:bookmarkEnd w:id="551"/>
    </w:p>
    <w:p>
      <w:pPr>
        <w:pStyle w:val="BookText"/>
        <w:rPr/>
      </w:pPr>
      <w:r>
        <w:rPr>
          <w:rFonts w:ascii="IRNazanin" w:hAnsi="IRNazanin" w:eastAsia="IRNazanin"/>
          <w:color w:val="111111"/>
          <w:sz w:val="28"/>
          <w:sz w:val="28"/>
          <w:szCs w:val="28"/>
          <w:rtl w:val="true"/>
          <w:lang w:bidi="fa-IR"/>
        </w:rPr>
        <w:t>هو آیة اللّه الشیخ الحاجّ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 عنه بمحمّد، أو الباقر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الحاجّ ملّا محمّد جعفر بن محمّد الکافی بن محمّد یوسف البهاری الهمدانی</w:t>
      </w:r>
      <w:r>
        <w:rPr>
          <w:rFonts w:eastAsia="IRNazanin" w:cs="IRNazanin"/>
          <w:color w:val="111111"/>
          <w:sz w:val="28"/>
          <w:szCs w:val="28"/>
          <w:rtl w:val="true"/>
          <w:lang w:bidi="fa-IR"/>
        </w:rPr>
        <w:t>.</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ولد فی قریة بهار من قری مدینة همدان، فی اسرة العلم و الدین، و فی تاریخ ولادته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فی التراجم و الفهارس أنّه ولد فی الیوم الآخر من شهر ذی الحجّة من شهور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95"/>
      </w:r>
      <w:r>
        <w:rPr>
          <w:rFonts w:ascii="IRNazanin" w:hAnsi="IRNazanin" w:eastAsia="IRNazanin"/>
          <w:color w:val="111111"/>
          <w:sz w:val="28"/>
          <w:sz w:val="28"/>
          <w:szCs w:val="28"/>
          <w:rtl w:val="true"/>
          <w:lang w:bidi="fa-IR"/>
        </w:rPr>
        <w:t>و نقل عن ابن المصنّف، الشیخ محمّد حسین البهاری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بحجّة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فی الثلاثین من شهر ذی الحجّة،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96"/>
      </w:r>
      <w:r>
        <w:rPr>
          <w:rFonts w:ascii="IRNazanin" w:hAnsi="IRNazanin" w:eastAsia="IRNazanin"/>
          <w:color w:val="111111"/>
          <w:sz w:val="28"/>
          <w:sz w:val="28"/>
          <w:szCs w:val="28"/>
          <w:rtl w:val="true"/>
          <w:lang w:bidi="fa-IR"/>
        </w:rPr>
        <w:t xml:space="preserve">و المنقول عن البعض أنّه ولد فی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9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احتمل بعض المحقّقین أنّ منشأ هذا الاختلاف معلول الخلط بین هذا المصنّف و شخص آخر معاصر له و متّحد اسمه و اسم أبیه معه و مع أبیه، و هو من الشیخیّة، یسمّی بالشیخ میرزا باقر بن محمّد جعفر الجندقی الهمدانی الشیخی،</w:t>
      </w:r>
      <w:r>
        <w:rPr>
          <w:rStyle w:val="FootnoteAnchor"/>
          <w:rtl w:val="true"/>
        </w:rPr>
        <w:footnoteReference w:id="1998"/>
      </w:r>
      <w:r>
        <w:rPr>
          <w:rFonts w:ascii="Amiri" w:hAnsi="Amiri" w:eastAsia="Amiri" w:cs="Amiri"/>
          <w:color w:val="111111"/>
          <w:sz w:val="28"/>
          <w:sz w:val="28"/>
          <w:szCs w:val="28"/>
          <w:rtl w:val="true"/>
          <w:lang w:bidi="ar-SA"/>
        </w:rPr>
        <w:t>حتّی</w:t>
      </w:r>
    </w:p>
    <w:p>
      <w:pPr>
        <w:pStyle w:val="BookText"/>
        <w:rPr/>
      </w:pPr>
      <w:r>
        <w:rPr>
          <w:rFonts w:ascii="IRNazanin" w:hAnsi="IRNazanin" w:eastAsia="IRNazanin"/>
          <w:color w:val="111111"/>
          <w:sz w:val="28"/>
          <w:sz w:val="28"/>
          <w:szCs w:val="28"/>
          <w:rtl w:val="true"/>
          <w:lang w:bidi="fa-IR"/>
        </w:rPr>
        <w:t>یتّحد بعض آثارهما فی الاسم کالدرّة النجفیّة أو الدرّة الغرویّة</w:t>
      </w:r>
      <w:r>
        <w:rPr>
          <w:rFonts w:eastAsia="IRNazanin" w:cs="IRNazanin"/>
          <w:color w:val="111111"/>
          <w:sz w:val="28"/>
          <w:szCs w:val="28"/>
          <w:rtl w:val="true"/>
          <w:lang w:bidi="fa-IR"/>
        </w:rPr>
        <w:t>.</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و أمّا المصنّف فکان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الفقهاء العظام کما هو الظاهر من کتاب دائرة المعارف تشیّع،</w:t>
      </w:r>
      <w:r>
        <w:rPr>
          <w:rStyle w:val="FootnoteAnchor"/>
          <w:rtl w:val="true"/>
        </w:rPr>
        <w:footnoteReference w:id="2000"/>
      </w:r>
      <w:r>
        <w:rPr>
          <w:rFonts w:ascii="IRNazanin" w:hAnsi="IRNazanin" w:eastAsia="IRNazanin"/>
          <w:color w:val="111111"/>
          <w:sz w:val="28"/>
          <w:sz w:val="28"/>
          <w:szCs w:val="28"/>
          <w:rtl w:val="true"/>
          <w:lang w:bidi="fa-IR"/>
        </w:rPr>
        <w:t>و کان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أهل العلم، و المصنّف قرأ بعض المقدّمات عنده،</w:t>
      </w:r>
      <w:r>
        <w:rPr>
          <w:rStyle w:val="FootnoteAnchor"/>
          <w:rtl w:val="true"/>
        </w:rPr>
        <w:footnoteReference w:id="2001"/>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قد هاجر إلی النجف فی سنة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لزیارة العتبات العالیات و ملاقاة ابنه محمّد باقر، و أقام فیه سبعة أشهر، و کتب فی هذا المجال نسخة عن کتاب کامل الزیارات لابن قولویه رحمه اللّه</w:t>
      </w:r>
      <w:r>
        <w:rPr>
          <w:rFonts w:eastAsia="IRNazanin" w:cs="IRNazanin"/>
          <w:color w:val="111111"/>
          <w:sz w:val="28"/>
          <w:szCs w:val="28"/>
          <w:rtl w:val="true"/>
          <w:lang w:bidi="fa-IR"/>
        </w:rPr>
        <w:t>.</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و کان أخوه الشیخ محمّد رضا البهاری أیضا من فحول علماء عصره و مجتهدا بالنجف الأشرف</w:t>
      </w:r>
      <w:r>
        <w:rPr>
          <w:rFonts w:eastAsia="IRNazanin" w:cs="IRNazanin"/>
          <w:color w:val="111111"/>
          <w:sz w:val="28"/>
          <w:szCs w:val="28"/>
          <w:rtl w:val="true"/>
          <w:lang w:bidi="fa-IR"/>
        </w:rPr>
        <w:t>.</w:t>
      </w:r>
      <w:r>
        <w:rPr>
          <w:rStyle w:val="FootnoteAnchor"/>
          <w:rtl w:val="true"/>
        </w:rPr>
        <w:footnoteReference w:id="2003"/>
      </w:r>
      <w:r>
        <w:rPr>
          <w:rFonts w:ascii="IRNazanin" w:hAnsi="IRNazanin" w:eastAsia="IRNazanin"/>
          <w:color w:val="111111"/>
          <w:sz w:val="28"/>
          <w:sz w:val="28"/>
          <w:szCs w:val="28"/>
          <w:rtl w:val="true"/>
          <w:lang w:bidi="fa-IR"/>
        </w:rPr>
        <w:t>و من ولده میرزا محمّد حسن، و آیة اللّه الشیخ محمّد حسین البهاری الحجّة الإسلامی، و الشیخ أبو الحسن، و الشیخ علی</w:t>
      </w:r>
      <w:r>
        <w:rPr>
          <w:rFonts w:eastAsia="IRNazanin" w:cs="IRNazanin"/>
          <w:color w:val="111111"/>
          <w:sz w:val="28"/>
          <w:szCs w:val="28"/>
          <w:rtl w:val="true"/>
          <w:lang w:bidi="fa-IR"/>
        </w:rPr>
        <w:t>.</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و عن السیّد الأمین فی أعیان الشیعة فی مدح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عالما فاضلا، محدّثا متبحّرا، رجالیّا أخلاقیّا، آمرا بالمعروف، ناهیا عن المنکر، و کان من خواصّ تلامذة ملّا حسین قلی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عنه أخذ علم الأخلاق و تهذیب النفس</w:t>
      </w:r>
      <w:r>
        <w:rPr>
          <w:rFonts w:eastAsia="IRNazanin" w:cs="IRNazanin"/>
          <w:color w:val="111111"/>
          <w:sz w:val="28"/>
          <w:szCs w:val="28"/>
          <w:rtl w:val="true"/>
          <w:lang w:bidi="fa-IR"/>
        </w:rPr>
        <w:t>.</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و فی الأعلام للزرکلی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 من الإمامیّة، من أهل همدان فی قریة بهار، أقام فی النجف، و صنّف نحو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منها </w:t>
      </w:r>
      <w:r>
        <w:rPr>
          <w:rFonts w:eastAsia="IRNazanin" w:cs="IRNazanin"/>
          <w:color w:val="111111"/>
          <w:sz w:val="28"/>
          <w:szCs w:val="28"/>
          <w:rtl w:val="true"/>
          <w:lang w:bidi="fa-IR"/>
        </w:rPr>
        <w:t>...».</w:t>
      </w:r>
      <w:r>
        <w:rPr>
          <w:rStyle w:val="FootnoteAnchor"/>
          <w:rtl w:val="true"/>
        </w:rPr>
        <w:footnoteReference w:id="2006"/>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معجم المؤلّفین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محدّث، عارف بالرجال</w:t>
      </w:r>
      <w:r>
        <w:rPr>
          <w:rFonts w:eastAsia="IRNazanin" w:cs="IRNazanin"/>
          <w:color w:val="111111"/>
          <w:sz w:val="28"/>
          <w:szCs w:val="28"/>
          <w:rtl w:val="true"/>
          <w:lang w:bidi="fa-IR"/>
        </w:rPr>
        <w:t>».</w:t>
      </w:r>
      <w:r>
        <w:rPr>
          <w:rStyle w:val="FootnoteAnchor"/>
          <w:rtl w:val="true"/>
        </w:rPr>
        <w:footnoteReference w:id="2007"/>
      </w:r>
      <w:r>
        <w:rPr>
          <w:rFonts w:ascii="IRNazanin" w:hAnsi="IRNazanin" w:eastAsia="IRNazanin"/>
          <w:color w:val="111111"/>
          <w:sz w:val="28"/>
          <w:sz w:val="28"/>
          <w:szCs w:val="28"/>
          <w:rtl w:val="true"/>
          <w:lang w:bidi="fa-IR"/>
        </w:rPr>
        <w:t>و فی موضع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w:t>
      </w:r>
      <w:bookmarkStart w:id="552" w:name="pg19819_193857"/>
    </w:p>
    <w:p>
      <w:pPr>
        <w:pStyle w:val="BookText"/>
        <w:rPr/>
      </w:pPr>
      <w:bookmarkEnd w:id="552"/>
      <w:r>
        <w:rPr>
          <w:rFonts w:ascii="IRNazanin" w:hAnsi="IRNazanin" w:eastAsia="IRNazanin"/>
          <w:color w:val="111111"/>
          <w:sz w:val="28"/>
          <w:sz w:val="28"/>
          <w:szCs w:val="28"/>
          <w:rtl w:val="true"/>
          <w:lang w:bidi="fa-IR"/>
        </w:rPr>
        <w:t>مشارک فی علوم</w:t>
      </w:r>
      <w:r>
        <w:rPr>
          <w:rFonts w:eastAsia="IRNazanin" w:cs="IRNazanin"/>
          <w:color w:val="111111"/>
          <w:sz w:val="28"/>
          <w:szCs w:val="28"/>
          <w:rtl w:val="true"/>
          <w:lang w:bidi="fa-IR"/>
        </w:rPr>
        <w:t>».</w:t>
      </w:r>
      <w:r>
        <w:rPr>
          <w:rStyle w:val="FootnoteAnchor"/>
          <w:rtl w:val="true"/>
        </w:rPr>
        <w:footnoteReference w:id="2008"/>
      </w:r>
    </w:p>
    <w:p>
      <w:pPr>
        <w:pStyle w:val="Heading4"/>
        <w:numPr>
          <w:ilvl w:val="3"/>
          <w:numId w:val="1"/>
        </w:numPr>
        <w:rPr/>
      </w:pPr>
      <w:bookmarkStart w:id="553" w:name="__RefHeading___Toc3055807_2314609296"/>
      <w:bookmarkStart w:id="554" w:name="_Toc207"/>
      <w:bookmarkEnd w:id="553"/>
      <w:r>
        <w:rPr>
          <w:rtl w:val="true"/>
        </w:rPr>
        <w:t>نبذة من حیاته العلمیّة</w:t>
      </w:r>
      <w:bookmarkEnd w:id="554"/>
    </w:p>
    <w:p>
      <w:pPr>
        <w:pStyle w:val="BookText"/>
        <w:rPr/>
      </w:pPr>
      <w:r>
        <w:rPr>
          <w:rFonts w:ascii="IRNazanin" w:hAnsi="IRNazanin" w:eastAsia="IRNazanin"/>
          <w:color w:val="111111"/>
          <w:sz w:val="28"/>
          <w:sz w:val="28"/>
          <w:szCs w:val="28"/>
          <w:rtl w:val="true"/>
          <w:lang w:bidi="fa-IR"/>
        </w:rPr>
        <w:t>قرأ أوّلا فی قریة بهار فی المکتب، و قد نقل أنّ صاحب المکتب أخرجه منه بزعم إنّه غیر مستعدّ للتحصیل،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بعد إخراجه عن المکتب فی منامه سیّد الشهداء حسین بن علی علیهما السّلام، و بشّره الإمام علیه السّلام بحصول الفهم و الحفظ له، و صادف رؤیاه الواقع</w:t>
      </w:r>
      <w:r>
        <w:rPr>
          <w:rFonts w:eastAsia="IRNazanin" w:cs="IRNazanin"/>
          <w:color w:val="111111"/>
          <w:sz w:val="28"/>
          <w:szCs w:val="28"/>
          <w:rtl w:val="true"/>
          <w:lang w:bidi="fa-IR"/>
        </w:rPr>
        <w:t>.</w:t>
      </w: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ثمّ قرأ فی قریته عند والده الحاجّ ملّا محمّد جعفر البهاری رحمه اللّه، ثمّ انتقل إلی همدان، فقرأ المقدّمات فی مدرسة الآخوند ملّا حسین الهمدانی عند الشیخ محمّد إسماعیل الهمدانی، ثمّ هاجر إلی مدینة بروجرد، فقرأ فیها مدّة علی المیرزا محمود الطباطبائی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المواهب فی شرح منظومة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أتمّ السطوح، و قرأ خارجا فنال مرتبة عالیة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هاجر إلی النجف الأشرف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 أبیه رحمه اللّه،</w:t>
      </w:r>
      <w:r>
        <w:rPr>
          <w:rStyle w:val="FootnoteAnchor"/>
          <w:rtl w:val="true"/>
        </w:rPr>
        <w:footnoteReference w:id="2010"/>
      </w:r>
      <w:r>
        <w:rPr>
          <w:rFonts w:ascii="IRNazanin" w:hAnsi="IRNazanin" w:eastAsia="IRNazanin"/>
          <w:color w:val="111111"/>
          <w:sz w:val="28"/>
          <w:sz w:val="28"/>
          <w:szCs w:val="28"/>
          <w:rtl w:val="true"/>
          <w:lang w:bidi="fa-IR"/>
        </w:rPr>
        <w:t xml:space="preserve">و استقی العلم من مصدره، و أقام بها عشرین سنة، و تتلمّذ عند فحول العلماء و الفقهاء العظام بها کالشیخ محمّد حسین الکاظمی، و المیرزا السیّد محمّد حسن الشیرازی، و ملّا محمّد الإیروانی، و ملّا محمّد الشرابیانی، و المیرزا حسین بن المیرزا خلیل الرازی النجفی، و الشیخ حسن المامقانی، و ملّا محمّد کاظم الخراسانی، و ملّا حسینقلی الهمدانی، و الشیخ محمّد طه نجف، و الشیخ میرزا حبیب اللّه الرشتی، و ملّا لطف اللّه المازندرانی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أکثر ما تتلمّذ فی الأخلاق و العرفان عند العارف الشهیر ملّا حسینقلی الهمدانی، و یروی عن أکثر مشایخه بالإجازة بتاریخ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55" w:name="pg19819_193858"/>
    </w:p>
    <w:p>
      <w:pPr>
        <w:pStyle w:val="BookText"/>
        <w:rPr/>
      </w:pPr>
      <w:bookmarkEnd w:id="555"/>
      <w:r>
        <w:rPr>
          <w:rFonts w:ascii="IRNazanin" w:hAnsi="IRNazanin" w:eastAsia="IRNazanin"/>
          <w:color w:val="111111"/>
          <w:sz w:val="28"/>
          <w:sz w:val="28"/>
          <w:szCs w:val="28"/>
          <w:rtl w:val="true"/>
          <w:lang w:bidi="fa-IR"/>
        </w:rPr>
        <w:t xml:space="preserve">ثمّ عاد إلی مدینة همدان فی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بدعوة الناس، و اجتهد باقی عمره فی الأمر بالمعروف و النهی عن المنکر، و سعی فی تبلیغ الشریعة و عظة الناس بالحسنة، و جرت منه خیرات کثیرة إلی الناس إلی أن توفّی بهمدان فی شهر شعبان المعظّم من شهور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دفن بها عند قبر المولی عبد اللّه الهمدانی، و هو من المقابر المعروفة و یزار بها</w:t>
      </w:r>
      <w:r>
        <w:rPr>
          <w:rFonts w:eastAsia="IRNazanin" w:cs="IRNazanin"/>
          <w:color w:val="111111"/>
          <w:sz w:val="28"/>
          <w:szCs w:val="28"/>
          <w:rtl w:val="true"/>
          <w:lang w:bidi="fa-IR"/>
        </w:rPr>
        <w:t>.</w:t>
      </w:r>
    </w:p>
    <w:p>
      <w:pPr>
        <w:pStyle w:val="Heading4"/>
        <w:numPr>
          <w:ilvl w:val="3"/>
          <w:numId w:val="1"/>
        </w:numPr>
        <w:rPr/>
      </w:pPr>
      <w:bookmarkStart w:id="556" w:name="__RefHeading___Toc3055809_2314609296"/>
      <w:bookmarkStart w:id="557" w:name="_Toc208"/>
      <w:bookmarkEnd w:id="556"/>
      <w:r>
        <w:rPr>
          <w:rtl w:val="true"/>
        </w:rPr>
        <w:t>فی ذکر مشایخه و من أخذ عنهم الإجازة</w:t>
      </w:r>
      <w:bookmarkEnd w:id="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والده الشیخ محمّد جعفر البهاری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 إسماعیل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محمود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العارف الشهیر مولی حسین قلی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حسین الکاظمی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السیّد محمّد حسن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 الإیروانی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 الشرابیانی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حسین بن المیرزا خلیل الرازی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حسن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کاظم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طه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میرزا حبیب اللّه الرشتی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لطف اللّه المازندرانی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الحاج المیرزا حسین بن محمّد تقیّ النوری، یروی عنه بتاریخ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58" w:name="pg19819_193859"/>
    </w:p>
    <w:p>
      <w:pPr>
        <w:pStyle w:val="Heading4"/>
        <w:numPr>
          <w:ilvl w:val="3"/>
          <w:numId w:val="1"/>
        </w:numPr>
        <w:rPr/>
      </w:pPr>
      <w:bookmarkStart w:id="559" w:name="__RefHeading___Toc3055811_2314609296"/>
      <w:bookmarkStart w:id="560" w:name="_Toc209"/>
      <w:bookmarkEnd w:id="558"/>
      <w:bookmarkEnd w:id="559"/>
      <w:r>
        <w:rPr>
          <w:rtl w:val="true"/>
        </w:rPr>
        <w:t>ذکری بعض خدماته الشریفة</w:t>
      </w:r>
      <w:bookmarkEnd w:id="560"/>
    </w:p>
    <w:p>
      <w:pPr>
        <w:pStyle w:val="BookText"/>
        <w:rPr/>
      </w:pPr>
      <w:r>
        <w:rPr>
          <w:rFonts w:ascii="IRNazanin" w:hAnsi="IRNazanin" w:eastAsia="IRNazanin"/>
          <w:color w:val="111111"/>
          <w:sz w:val="28"/>
          <w:sz w:val="28"/>
          <w:szCs w:val="28"/>
          <w:rtl w:val="true"/>
          <w:lang w:bidi="fa-IR"/>
        </w:rPr>
        <w:t>لقد صرف المصنّف رحمه اللّه عمره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إلی مدینة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الخدمة لدین اللّه و خلقه من جهات مختلفة، فلمّا نزل بها توجّه أهلها إلیه، و کانوا یدعوه لإقامة الجماعة بمسجد الجامع بعد وفاة إمام جماعته العالم المجتهد المیرزا السیّد عبد المجید الکروسی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أقام الجماعة، و تولّی موقوفاته، ثمّ أخذ بعمران المسجد و تجدید بنائه بإعانة المؤمنین، و أحدث علیه قبّة مع منارتین، و صنع فی حیاطه حوضا، و نقل أنّه بعد تولیة المسجد أحیا بعض موقوفاته کماء القناة، فأعادها بعد ما تصرّفه بعض عدوانا</w:t>
      </w:r>
      <w:r>
        <w:rPr>
          <w:rFonts w:eastAsia="IRNazanin" w:cs="IRNazanin"/>
          <w:color w:val="111111"/>
          <w:sz w:val="28"/>
          <w:szCs w:val="28"/>
          <w:rtl w:val="true"/>
          <w:lang w:bidi="fa-IR"/>
        </w:rPr>
        <w:t>.</w:t>
      </w:r>
      <w:r>
        <w:rPr>
          <w:rStyle w:val="FootnoteAnchor"/>
          <w:rtl w:val="true"/>
        </w:rPr>
        <w:footnoteReference w:id="2011"/>
      </w:r>
    </w:p>
    <w:p>
      <w:pPr>
        <w:pStyle w:val="BookText"/>
        <w:rPr/>
      </w:pPr>
      <w:r>
        <w:rPr>
          <w:rFonts w:ascii="IRNazanin" w:hAnsi="IRNazanin" w:eastAsia="IRNazanin"/>
          <w:color w:val="111111"/>
          <w:sz w:val="28"/>
          <w:sz w:val="28"/>
          <w:szCs w:val="28"/>
          <w:rtl w:val="true"/>
          <w:lang w:bidi="fa-IR"/>
        </w:rPr>
        <w:t>و کان رحمه اللّه یهتمّ بإحیاء الحدود الإلهیّة و إجرائها فی همدان، و قد نقل أنّه حکم بقتل رجل فاجر فاسق فی مقبرة المیرزا تقی، و تولّی بنفسه لإجراء هذا الحکم فی اجتماع الناس، فانتزع رداءه رافعا لکمّیه و ضرب مرّة فانقطع الرأس</w:t>
      </w:r>
      <w:r>
        <w:rPr>
          <w:rFonts w:eastAsia="IRNazanin" w:cs="IRNazanin"/>
          <w:color w:val="111111"/>
          <w:sz w:val="28"/>
          <w:szCs w:val="28"/>
          <w:rtl w:val="true"/>
          <w:lang w:bidi="fa-IR"/>
        </w:rPr>
        <w:t>.</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و من المعروف أنّه کان من رجال المشروطة بهمدان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شهرته کانت من جهة دوره فی نهضة المشروطة و کونه من دعاتها، و له مبارزات سیاسیّة مستمرّة فیها، و صنّف أیضا فی ذلک کتابا سیأتی ذکره، و حکی أنّ بیته بهمدان کان مرکز الاجتماعات للمبارزین فی قیام المشروطة</w:t>
      </w:r>
      <w:r>
        <w:rPr>
          <w:rFonts w:eastAsia="IRNazanin" w:cs="IRNazanin"/>
          <w:color w:val="111111"/>
          <w:sz w:val="28"/>
          <w:szCs w:val="28"/>
          <w:rtl w:val="true"/>
          <w:lang w:bidi="fa-IR"/>
        </w:rPr>
        <w:t>.</w:t>
      </w:r>
      <w:r>
        <w:rPr>
          <w:rStyle w:val="FootnoteAnchor"/>
          <w:rtl w:val="true"/>
        </w:rPr>
        <w:footnoteReference w:id="2013"/>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أیضا أنّ بعض حکّام الهمدان کان یظلم و یجور علی الناس، فالتجأ الناس بإرسال تلغراف إلی طهران عاصمة الحکومة، و مع ذلک لم یهتمّ به أحد و لم یؤثّر ذلک، فاجتمعوا و تحصّنوا عند الاستخبارات، و مضی مدّة و لم یحصلوا علی مأمولهم؛ لمساعدة أرکان الحکومة للحاکم و کونه من أیادیهم، و هدّدهم بأن یتفرّقوا منه</w:t>
      </w:r>
    </w:p>
    <w:p>
      <w:pPr>
        <w:pStyle w:val="BookText"/>
        <w:rPr/>
      </w:pPr>
      <w:r>
        <w:rPr>
          <w:rFonts w:ascii="IRNazanin" w:hAnsi="IRNazanin" w:eastAsia="IRNazanin"/>
          <w:color w:val="111111"/>
          <w:sz w:val="28"/>
          <w:sz w:val="28"/>
          <w:szCs w:val="28"/>
          <w:rtl w:val="true"/>
          <w:lang w:bidi="fa-IR"/>
        </w:rPr>
        <w:t>و إلّا فالجنود یجبرونهم، و حیث بلغ ذلک إلی الشیخ محمّد باقر البهاری رحمه اللّه کتب تلغرافا بإمضائه، و أرسله إلی عاصمة الحکومة، و جاء فی نهایة تلغرافه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اجماعِ امّت در عزلِ حاکِم‌یا قتلِ امّت یا عَزلِ حاکِم</w:t>
      </w:r>
    </w:p>
    <w:p>
      <w:pPr>
        <w:pStyle w:val="BookText"/>
        <w:rPr/>
      </w:pPr>
      <w:r>
        <w:rPr>
          <w:rFonts w:ascii="IRNazanin" w:hAnsi="IRNazanin" w:eastAsia="IRNazanin"/>
          <w:color w:val="111111"/>
          <w:sz w:val="28"/>
          <w:sz w:val="28"/>
          <w:szCs w:val="28"/>
          <w:rtl w:val="true"/>
          <w:lang w:bidi="fa-IR"/>
        </w:rPr>
        <w:t>و فیه إیماء علی استقامة الناس فی قیامهم إلی حدّ الشهادة، فأقدم الحکومة عند وصول التلغراف سریعا علی عزل الحاکم</w:t>
      </w:r>
      <w:r>
        <w:rPr>
          <w:rFonts w:eastAsia="IRNazanin" w:cs="IRNazanin"/>
          <w:color w:val="111111"/>
          <w:sz w:val="28"/>
          <w:szCs w:val="28"/>
          <w:rtl w:val="true"/>
          <w:lang w:bidi="fa-IR"/>
        </w:rPr>
        <w:t>.</w:t>
      </w:r>
      <w:r>
        <w:rPr>
          <w:rStyle w:val="FootnoteAnchor"/>
          <w:rtl w:val="true"/>
        </w:rPr>
        <w:footnoteReference w:id="2014"/>
      </w:r>
    </w:p>
    <w:p>
      <w:pPr>
        <w:pStyle w:val="BookText"/>
        <w:rPr/>
      </w:pPr>
      <w:r>
        <w:rPr>
          <w:rFonts w:ascii="IRNazanin" w:hAnsi="IRNazanin" w:eastAsia="IRNazanin"/>
          <w:color w:val="111111"/>
          <w:sz w:val="28"/>
          <w:sz w:val="28"/>
          <w:szCs w:val="28"/>
          <w:rtl w:val="true"/>
          <w:lang w:bidi="fa-IR"/>
        </w:rPr>
        <w:t>و کان رحمه اللّه ساعیا حامیا للمستضعفین، و بارز فی إحیاء حقوقهم کثیرا، حیث اشتهرت اجتهاده فی کلّ إیران، و لذلک اختاره الطبقات و الطوائف المختلفة فی همدان لوکالة مجلس فوائد عامّة، و بعده لوکالة مجلس الشوری الوطنی مرحلتان، و قد اشتهر أیضا مبارزاته مع الاستبداد الصغیر، و مخالفته مع الشاه محمّد علیّ من سلاطین القاجار و ولاته، و قد أسّس فی هذا المجال حزبا بهمدان لکفاح مع عمّال السلطان و الذبّ من أموال الناس و أعراضهم، حتّی ارتفع صیت المخالفة مع السالار فی جمیع أصقاع همدان خصوصا عند تسلّطه علی کردستان، حتّی قصد قتل المصنّف مرارا من قبل الحکومة و عوامله، و لکن أعوانه و أنصاره دفعوا عنه ذلک</w:t>
      </w:r>
      <w:r>
        <w:rPr>
          <w:rFonts w:eastAsia="IRNazanin" w:cs="IRNazanin"/>
          <w:color w:val="111111"/>
          <w:sz w:val="28"/>
          <w:szCs w:val="28"/>
          <w:rtl w:val="true"/>
          <w:lang w:bidi="fa-IR"/>
        </w:rPr>
        <w:t>.</w:t>
      </w:r>
      <w:r>
        <w:rPr>
          <w:rStyle w:val="FootnoteAnchor"/>
          <w:rtl w:val="true"/>
        </w:rPr>
        <w:footnoteReference w:id="2015"/>
      </w:r>
    </w:p>
    <w:p>
      <w:pPr>
        <w:pStyle w:val="BookText"/>
        <w:rPr/>
      </w:pPr>
      <w:r>
        <w:rPr>
          <w:rFonts w:ascii="IRNazanin" w:hAnsi="IRNazanin" w:eastAsia="IRNazanin"/>
          <w:color w:val="111111"/>
          <w:sz w:val="28"/>
          <w:sz w:val="28"/>
          <w:szCs w:val="28"/>
          <w:rtl w:val="true"/>
          <w:lang w:bidi="fa-IR"/>
        </w:rPr>
        <w:t>و حکی أیضا عند نفی آیة اللّه البهبهانی رحمه اللّه إلی العتبات العالیات أراد العلّامة البهاری رحمه اللّه مع حزبه التهاجم إلی جنود الحکومة، و لکنّ البهبهانی رحمه اللّه نهاه و انصرفه عن ذلک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کان هو من 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أنجمن ولایتی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صار رئیسها، و فی أوائل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صار رئیس هیئة الاتّحادیّة مع حضور الستّین أو السبعین من العلماء و أنظاره کانت من الآراء الموجّهة من منظر التشریع و التشیّع، و منها عدم</w:t>
      </w:r>
      <w:bookmarkStart w:id="561" w:name="pg19819_193861"/>
    </w:p>
    <w:p>
      <w:pPr>
        <w:pStyle w:val="BookText"/>
        <w:rPr/>
      </w:pPr>
      <w:bookmarkEnd w:id="561"/>
      <w:r>
        <w:rPr>
          <w:rFonts w:ascii="IRNazanin" w:hAnsi="IRNazanin" w:eastAsia="IRNazanin"/>
          <w:color w:val="111111"/>
          <w:sz w:val="28"/>
          <w:sz w:val="28"/>
          <w:szCs w:val="28"/>
          <w:rtl w:val="true"/>
          <w:lang w:bidi="fa-IR"/>
        </w:rPr>
        <w:t xml:space="preserve">التعارض بین المشروطة و المشروعة، و لذلک صنّف کتابا سمّاه إیضاح الخطاء فی تخطئة أجلّة العلماء، و 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حضر لوکالة المجلس، و لم یحصل علی الآراء اللازمة، و نقل أنّ ذلک لإجراء الحدود فی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فی أواخر عمره مکتبة عظیمة حاویة علی الکتب المعتبرة و النسخ الخطّیّة القیّمة، بعضها بخطّه و بعضها بخطّ غیره، و انتقل جمیع ما فیها إلی مکتبة آیة اللّه المرعشی رحمه اللّه بقمّ</w:t>
      </w:r>
      <w:r>
        <w:rPr>
          <w:rFonts w:eastAsia="IRNazanin" w:cs="IRNazanin"/>
          <w:color w:val="111111"/>
          <w:sz w:val="28"/>
          <w:szCs w:val="28"/>
          <w:rtl w:val="true"/>
          <w:lang w:bidi="fa-IR"/>
        </w:rPr>
        <w:t>.</w:t>
      </w:r>
      <w:r>
        <w:rPr>
          <w:rStyle w:val="FootnoteAnchor"/>
          <w:rtl w:val="true"/>
        </w:rPr>
        <w:footnoteReference w:id="2016"/>
      </w:r>
    </w:p>
    <w:p>
      <w:pPr>
        <w:pStyle w:val="Heading4"/>
        <w:numPr>
          <w:ilvl w:val="3"/>
          <w:numId w:val="1"/>
        </w:numPr>
        <w:rPr/>
      </w:pPr>
      <w:bookmarkStart w:id="562" w:name="__RefHeading___Toc3055813_2314609296"/>
      <w:bookmarkStart w:id="563" w:name="_Toc210"/>
      <w:bookmarkEnd w:id="562"/>
      <w:r>
        <w:rPr>
          <w:rtl w:val="true"/>
        </w:rPr>
        <w:t>مصنّفات المؤلّف</w:t>
      </w:r>
      <w:bookmarkEnd w:id="563"/>
    </w:p>
    <w:p>
      <w:pPr>
        <w:pStyle w:val="Heading5"/>
        <w:numPr>
          <w:ilvl w:val="4"/>
          <w:numId w:val="1"/>
        </w:numPr>
        <w:rPr/>
      </w:pPr>
      <w:bookmarkStart w:id="564" w:name="__RefHeading___Toc3055815_2314609296"/>
      <w:bookmarkStart w:id="565" w:name="_Toc211"/>
      <w:bookmarkEnd w:id="564"/>
      <w:r>
        <w:rPr>
          <w:rtl w:val="true"/>
        </w:rPr>
        <w:t>ألف</w:t>
      </w:r>
      <w:r>
        <w:rPr>
          <w:rtl w:val="true"/>
        </w:rPr>
        <w:t xml:space="preserve">: </w:t>
      </w:r>
      <w:r>
        <w:rPr>
          <w:rtl w:val="true"/>
        </w:rPr>
        <w:t>فی التفسیر و علوم القرآن</w:t>
      </w:r>
      <w:r>
        <w:rPr>
          <w:rtl w:val="true"/>
        </w:rPr>
        <w:t>:</w:t>
      </w:r>
      <w:bookmarkEnd w:id="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فی الاحتجاج مع بعض علماء المسیحیّة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الفهرست لمکتبة المرعشی، 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مجموعة </w:t>
      </w:r>
      <w:r>
        <w:rPr>
          <w:rFonts w:eastAsia="Amiri" w:cs="Amiri" w:ascii="Amiri" w:hAnsi="Amiri"/>
          <w:color w:val="111111"/>
          <w:sz w:val="28"/>
          <w:szCs w:val="28"/>
          <w:lang w:bidi="ar-SA"/>
        </w:rPr>
        <w:t>12283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مجموعة </w:t>
      </w:r>
      <w:r>
        <w:rPr>
          <w:rFonts w:eastAsia="Amiri" w:cs="Amiri" w:ascii="Amiri" w:hAnsi="Amiri"/>
          <w:color w:val="111111"/>
          <w:sz w:val="28"/>
          <w:szCs w:val="28"/>
          <w:lang w:bidi="ar-SA"/>
        </w:rPr>
        <w:t>12284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لیست تأییدا للأخباریّین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الرسالة الاولی و الرسالة الرابعة من مجموعة </w:t>
      </w:r>
      <w:r>
        <w:rPr>
          <w:rFonts w:eastAsia="IRNazanin" w:cs="IRNazanin"/>
          <w:color w:val="111111"/>
          <w:sz w:val="28"/>
          <w:szCs w:val="28"/>
          <w:lang w:bidi="fa-IR"/>
        </w:rPr>
        <w:t>12290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12339</w:t>
      </w:r>
      <w:r>
        <w:rPr>
          <w:rFonts w:ascii="IRNazanin" w:hAnsi="IRNazanin" w:eastAsia="IRNazanin"/>
          <w:color w:val="111111"/>
          <w:sz w:val="28"/>
          <w:sz w:val="28"/>
          <w:szCs w:val="28"/>
          <w:rtl w:val="true"/>
          <w:lang w:bidi="fa-IR"/>
        </w:rPr>
        <w:t xml:space="preserve">؛ 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الآیات؛ فی الجواب علی نصرانی أورد إشکالات علی بضع آیات من القرآن، ذکره المحقّق الطهرانی فی 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5"/>
        <w:numPr>
          <w:ilvl w:val="4"/>
          <w:numId w:val="1"/>
        </w:numPr>
        <w:rPr/>
      </w:pPr>
      <w:bookmarkStart w:id="566" w:name="__RefHeading___Toc3055817_2314609296"/>
      <w:bookmarkStart w:id="567" w:name="_Toc212"/>
      <w:bookmarkEnd w:id="566"/>
      <w:r>
        <w:rPr>
          <w:rtl w:val="true"/>
        </w:rPr>
        <w:t>ب</w:t>
      </w:r>
      <w:r>
        <w:rPr>
          <w:rtl w:val="true"/>
        </w:rPr>
        <w:t xml:space="preserve">: </w:t>
      </w:r>
      <w:r>
        <w:rPr>
          <w:rtl w:val="true"/>
        </w:rPr>
        <w:t>فی الحدیث و شرحه</w:t>
      </w:r>
      <w:r>
        <w:rPr>
          <w:rtl w:val="true"/>
        </w:rPr>
        <w:t>:</w:t>
      </w:r>
      <w:bookmarkEnd w:id="567"/>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أبهی الدرر فی تکملة عقد الدرر فی أخبار الإمام المنتظر علیه السّلام؛ الأصل لیوسف بن یحیی الشافعی من علماء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الضمیمة الرابعة من مجموعة </w:t>
      </w:r>
      <w:r>
        <w:rPr>
          <w:rFonts w:eastAsia="IRNazanin" w:cs="IRNazanin"/>
          <w:color w:val="111111"/>
          <w:sz w:val="28"/>
          <w:szCs w:val="28"/>
          <w:lang w:bidi="fa-IR"/>
        </w:rPr>
        <w:t>12324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الضمیمة الثانیة من مجموعة </w:t>
      </w:r>
      <w:r>
        <w:rPr>
          <w:rFonts w:eastAsia="IRNazanin" w:cs="IRNazanin"/>
          <w:color w:val="111111"/>
          <w:sz w:val="28"/>
          <w:szCs w:val="28"/>
          <w:lang w:bidi="fa-IR"/>
        </w:rPr>
        <w:t>12325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مناقب أخطب الخوارزم؛ مستدرک الروایات التی لم یأت بها الخوارزمی فی مناقبه</w:t>
      </w:r>
      <w:r>
        <w:rPr>
          <w:rFonts w:eastAsia="IRNazanin" w:cs="IRNazanin"/>
          <w:color w:val="111111"/>
          <w:sz w:val="28"/>
          <w:szCs w:val="28"/>
          <w:rtl w:val="true"/>
          <w:lang w:bidi="fa-IR"/>
        </w:rPr>
        <w:t>.</w:t>
      </w:r>
      <w:r>
        <w:rPr>
          <w:rStyle w:val="FootnoteAnchor"/>
          <w:rtl w:val="true"/>
        </w:rPr>
        <w:footnoteReference w:id="20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النور فی الإمام المستور؛ ترجمة فارسیّة لکتاب النور فی الإمام المستور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مجموعة </w:t>
      </w:r>
      <w:r>
        <w:rPr>
          <w:rFonts w:eastAsia="IRNazanin" w:cs="IRNazanin"/>
          <w:color w:val="111111"/>
          <w:sz w:val="28"/>
          <w:szCs w:val="28"/>
          <w:lang w:bidi="fa-IR"/>
        </w:rPr>
        <w:t>12365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کتاب العلائم لاهتداء الهوائم</w:t>
      </w:r>
      <w:r>
        <w:rPr>
          <w:rFonts w:eastAsia="IRNazanin" w:cs="IRNazanin"/>
          <w:color w:val="111111"/>
          <w:sz w:val="28"/>
          <w:szCs w:val="28"/>
          <w:rtl w:val="true"/>
          <w:lang w:bidi="fa-IR"/>
        </w:rPr>
        <w:t>.</w:t>
      </w:r>
      <w:r>
        <w:rPr>
          <w:rStyle w:val="FootnoteAnchor"/>
          <w:rtl w:val="true"/>
        </w:rPr>
        <w:footnoteReference w:id="20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کتاب النور فی الإمام المستور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الضمیمة الثانیة من مجموعة </w:t>
      </w:r>
      <w:r>
        <w:rPr>
          <w:rFonts w:eastAsia="IRNazanin" w:cs="IRNazanin"/>
          <w:color w:val="111111"/>
          <w:sz w:val="28"/>
          <w:szCs w:val="28"/>
          <w:lang w:bidi="fa-IR"/>
        </w:rPr>
        <w:t>12278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کتاب العلائم لاهتداء الهوائم</w:t>
      </w:r>
      <w:r>
        <w:rPr>
          <w:rFonts w:eastAsia="IRNazanin" w:cs="IRNazanin"/>
          <w:color w:val="111111"/>
          <w:sz w:val="28"/>
          <w:szCs w:val="28"/>
          <w:rtl w:val="true"/>
          <w:lang w:bidi="fa-IR"/>
        </w:rPr>
        <w:t>.</w:t>
      </w:r>
      <w:r>
        <w:rPr>
          <w:rStyle w:val="FootnoteAnchor"/>
          <w:rtl w:val="true"/>
        </w:rPr>
        <w:footnoteReference w:id="201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لکتاب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الرسالة الثالثة من مجموعة </w:t>
      </w:r>
      <w:r>
        <w:rPr>
          <w:rFonts w:eastAsia="IRNazanin" w:cs="IRNazanin"/>
          <w:color w:val="111111"/>
          <w:sz w:val="28"/>
          <w:szCs w:val="28"/>
          <w:lang w:bidi="fa-IR"/>
        </w:rPr>
        <w:t>12298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العلائم لاهتداء الهوائم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علامات ظهور الحجّة علیه السّلام و أحواله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الضمیمة الاولی من مجموعة </w:t>
      </w:r>
      <w:r>
        <w:rPr>
          <w:rFonts w:eastAsia="IRNazanin" w:cs="IRNazanin"/>
          <w:color w:val="111111"/>
          <w:sz w:val="28"/>
          <w:szCs w:val="28"/>
          <w:lang w:bidi="fa-IR"/>
        </w:rPr>
        <w:t>12303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الضمیمة الاولی من مجموعة </w:t>
      </w:r>
      <w:r>
        <w:rPr>
          <w:rFonts w:eastAsia="IRNazanin" w:cs="IRNazanin"/>
          <w:color w:val="111111"/>
          <w:sz w:val="28"/>
          <w:szCs w:val="28"/>
          <w:lang w:bidi="fa-IR"/>
        </w:rPr>
        <w:t>12350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الضمیمة الاولی من مجموعة </w:t>
      </w:r>
      <w:r>
        <w:rPr>
          <w:rFonts w:eastAsia="IRNazanin" w:cs="IRNazanin"/>
          <w:color w:val="111111"/>
          <w:sz w:val="28"/>
          <w:szCs w:val="28"/>
          <w:lang w:bidi="fa-IR"/>
        </w:rPr>
        <w:t>12351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الروایات و الأحادیث</w:t>
      </w:r>
      <w:r>
        <w:rPr>
          <w:rFonts w:eastAsia="IRNazanin" w:cs="IRNazanin"/>
          <w:color w:val="111111"/>
          <w:sz w:val="28"/>
          <w:szCs w:val="28"/>
          <w:rtl w:val="true"/>
          <w:lang w:bidi="fa-IR"/>
        </w:rPr>
        <w:t>.</w:t>
      </w:r>
      <w:r>
        <w:rPr>
          <w:rStyle w:val="FootnoteAnchor"/>
          <w:rtl w:val="true"/>
        </w:rPr>
        <w:footnoteReference w:id="2020"/>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أبی عبد اللّه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الضمیمة الثانیة من مجموعة </w:t>
      </w:r>
      <w:r>
        <w:rPr>
          <w:rFonts w:eastAsia="IRNazanin" w:cs="IRNazanin"/>
          <w:color w:val="111111"/>
          <w:sz w:val="28"/>
          <w:szCs w:val="28"/>
          <w:lang w:bidi="fa-IR"/>
        </w:rPr>
        <w:t>12324</w:t>
      </w:r>
      <w:r>
        <w:rPr>
          <w:rFonts w:eastAsia="IRNazanin" w:cs="IRNazanin"/>
          <w:color w:val="111111"/>
          <w:sz w:val="28"/>
          <w:szCs w:val="28"/>
          <w:rtl w:val="true"/>
          <w:lang w:bidi="fa-IR"/>
        </w:rPr>
        <w:t>).</w:t>
      </w:r>
      <w:bookmarkStart w:id="568" w:name="pg19819_193863"/>
    </w:p>
    <w:p>
      <w:pPr>
        <w:pStyle w:val="BookText"/>
        <w:rPr/>
      </w:pPr>
      <w:bookmarkEnd w:id="568"/>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 فی النصّ علی عدد الأئمّة الاثنی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فی الإمام المستور؛ طبع مرارا، و الأخیر بتحقیق دار التحقیق للروضة المقدّسة بقمّ،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569" w:name="__RefHeading___Toc3055819_2314609296"/>
      <w:bookmarkStart w:id="570" w:name="_Toc213"/>
      <w:bookmarkEnd w:id="569"/>
      <w:r>
        <w:rPr>
          <w:rtl w:val="true"/>
        </w:rPr>
        <w:t>ج</w:t>
      </w:r>
      <w:r>
        <w:rPr>
          <w:rtl w:val="true"/>
        </w:rPr>
        <w:t xml:space="preserve">: </w:t>
      </w:r>
      <w:r>
        <w:rPr>
          <w:rtl w:val="true"/>
        </w:rPr>
        <w:t>فی التاریخ و المقتل و المناقب</w:t>
      </w:r>
      <w:r>
        <w:rPr>
          <w:rtl w:val="true"/>
        </w:rPr>
        <w:t>:</w:t>
      </w:r>
      <w:bookmarkEnd w:id="57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الغرویّة و التحفة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عنها فی ربیع الأوّل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12280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12293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12302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مناقب سیّد الشهداء علیه السّلام</w:t>
      </w:r>
      <w:r>
        <w:rPr>
          <w:rFonts w:eastAsia="IRNazanin" w:cs="IRNazanin"/>
          <w:color w:val="111111"/>
          <w:sz w:val="28"/>
          <w:szCs w:val="28"/>
          <w:rtl w:val="true"/>
          <w:lang w:bidi="fa-IR"/>
        </w:rPr>
        <w:t>.</w:t>
      </w:r>
      <w:r>
        <w:rPr>
          <w:rStyle w:val="FootnoteAnchor"/>
          <w:rtl w:val="true"/>
        </w:rPr>
        <w:footnoteReference w:id="202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عمّار، أو کتاب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12276</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الدرّة الغرویّة و التحفة الحسینیّة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12297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الشمسین فی فضائل حمزة و جعفر ذی الجناحین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12316</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12340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12361</w:t>
      </w:r>
      <w:r>
        <w:rPr>
          <w:rFonts w:eastAsia="IRNazanin" w:cs="IRNazanin"/>
          <w:color w:val="111111"/>
          <w:sz w:val="28"/>
          <w:szCs w:val="28"/>
          <w:rtl w:val="true"/>
          <w:lang w:bidi="fa-IR"/>
        </w:rPr>
        <w:t>).</w:t>
      </w:r>
    </w:p>
    <w:p>
      <w:pPr>
        <w:pStyle w:val="Heading5"/>
        <w:numPr>
          <w:ilvl w:val="4"/>
          <w:numId w:val="1"/>
        </w:numPr>
        <w:rPr/>
      </w:pPr>
      <w:bookmarkStart w:id="571" w:name="__RefHeading___Toc3055821_2314609296"/>
      <w:bookmarkStart w:id="572" w:name="_Toc214"/>
      <w:bookmarkEnd w:id="571"/>
      <w:r>
        <w:rPr>
          <w:rtl w:val="true"/>
        </w:rPr>
        <w:t>د</w:t>
      </w:r>
      <w:r>
        <w:rPr>
          <w:rtl w:val="true"/>
        </w:rPr>
        <w:t xml:space="preserve">: </w:t>
      </w:r>
      <w:r>
        <w:rPr>
          <w:rtl w:val="true"/>
        </w:rPr>
        <w:t>فی العقائد و الکلام</w:t>
      </w:r>
      <w:r>
        <w:rPr>
          <w:rtl w:val="true"/>
        </w:rPr>
        <w:t>:</w:t>
      </w:r>
      <w:bookmarkEnd w:id="572"/>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Style w:val="FootnoteAnchor"/>
          <w:rtl w:val="true"/>
        </w:rPr>
        <w:footnoteReference w:id="202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إضاءة النور فی الإمام المستور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لکتابه الموسوم بالدعوة الحسینیّة</w:t>
      </w:r>
      <w:r>
        <w:rPr>
          <w:rFonts w:eastAsia="IRNazanin" w:cs="IRNazanin"/>
          <w:color w:val="111111"/>
          <w:sz w:val="28"/>
          <w:szCs w:val="28"/>
          <w:rtl w:val="true"/>
          <w:lang w:bidi="fa-IR"/>
        </w:rPr>
        <w:t>).</w:t>
      </w:r>
      <w:r>
        <w:rPr>
          <w:rStyle w:val="FootnoteAnchor"/>
          <w:rtl w:val="true"/>
        </w:rPr>
        <w:footnoteReference w:id="202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المرام فی أمر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الضمیمة الثالثة من مجموعة </w:t>
      </w:r>
      <w:r>
        <w:rPr>
          <w:rFonts w:eastAsia="IRNazanin" w:cs="IRNazanin"/>
          <w:color w:val="111111"/>
          <w:sz w:val="28"/>
          <w:szCs w:val="28"/>
          <w:lang w:bidi="fa-IR"/>
        </w:rPr>
        <w:t>12346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الأموات قبل ظهور الحجّة</w:t>
      </w:r>
      <w:r>
        <w:rPr>
          <w:rFonts w:eastAsia="Amiri" w:cs="Amiri" w:ascii="Amiri" w:hAnsi="Amiri"/>
          <w:color w:val="111111"/>
          <w:sz w:val="28"/>
          <w:szCs w:val="28"/>
          <w:rtl w:val="true"/>
          <w:lang w:bidi="ar-SA"/>
        </w:rPr>
        <w:t>.</w:t>
      </w:r>
      <w:r>
        <w:rPr>
          <w:rStyle w:val="FootnoteAnchor"/>
          <w:rtl w:val="true"/>
        </w:rPr>
        <w:footnoteReference w:id="202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لحقیقة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التحصیل فی معنی التفضیل؛ فی إثبات أفضلیّة أمیر 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الرسالة الثالثة من مجموعة </w:t>
      </w:r>
      <w:r>
        <w:rPr>
          <w:rFonts w:eastAsia="IRNazanin" w:cs="IRNazanin"/>
          <w:color w:val="111111"/>
          <w:sz w:val="28"/>
          <w:szCs w:val="28"/>
          <w:lang w:bidi="fa-IR"/>
        </w:rPr>
        <w:t>12290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الرسالة الثالثة من مجموعة </w:t>
      </w:r>
      <w:r>
        <w:rPr>
          <w:rFonts w:eastAsia="IRNazanin" w:cs="IRNazanin"/>
          <w:color w:val="111111"/>
          <w:sz w:val="28"/>
          <w:szCs w:val="28"/>
          <w:lang w:bidi="fa-IR"/>
        </w:rPr>
        <w:t>12339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الدعوة الحسینیّة إلی مواهب اللّه السنیّة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الضمیمة الثانیة من مجموعة </w:t>
      </w:r>
      <w:r>
        <w:rPr>
          <w:rFonts w:eastAsia="IRNazanin" w:cs="IRNazanin"/>
          <w:color w:val="111111"/>
          <w:sz w:val="28"/>
          <w:szCs w:val="28"/>
          <w:lang w:bidi="fa-IR"/>
        </w:rPr>
        <w:t>12323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الضمیمة الثالثة من مجموعة </w:t>
      </w:r>
      <w:r>
        <w:rPr>
          <w:rFonts w:eastAsia="IRNazanin" w:cs="IRNazanin"/>
          <w:color w:val="111111"/>
          <w:sz w:val="28"/>
          <w:szCs w:val="28"/>
          <w:lang w:bidi="fa-IR"/>
        </w:rPr>
        <w:t>12324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حیاة الأرواح فی اصول الدین؛ لمحمّد جعفر بن سیف الدین الأسترآبادی، المعروف بشریعتمدار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الضمیمة الثانیة من مجموعة </w:t>
      </w:r>
      <w:r>
        <w:rPr>
          <w:rFonts w:eastAsia="IRNazanin" w:cs="IRNazanin"/>
          <w:color w:val="111111"/>
          <w:sz w:val="28"/>
          <w:szCs w:val="28"/>
          <w:lang w:bidi="fa-IR"/>
        </w:rPr>
        <w:t>12338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الإسلام فی 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عنه 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3313</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الرشاد فی مدرک أفعال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الضمیمة الثالثة من مجموعة </w:t>
      </w:r>
      <w:r>
        <w:rPr>
          <w:rFonts w:eastAsia="IRNazanin" w:cs="IRNazanin"/>
          <w:color w:val="111111"/>
          <w:sz w:val="28"/>
          <w:szCs w:val="28"/>
          <w:lang w:bidi="fa-IR"/>
        </w:rPr>
        <w:t>12338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الحسینیّة إلی مواهب اللّه السنّیة؛ فی بیان استحباب البکاء علی الحسین بن علی علیهما السّلام من طریق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الضمیمة الاولی من مجموعة </w:t>
      </w:r>
      <w:r>
        <w:rPr>
          <w:rFonts w:eastAsia="IRNazanin" w:cs="IRNazanin"/>
          <w:color w:val="111111"/>
          <w:sz w:val="28"/>
          <w:szCs w:val="28"/>
          <w:lang w:bidi="fa-IR"/>
        </w:rPr>
        <w:t>12323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الضمیمة الاولی من مجموعة </w:t>
      </w:r>
      <w:r>
        <w:rPr>
          <w:rFonts w:eastAsia="IRNazanin" w:cs="IRNazanin"/>
          <w:color w:val="111111"/>
          <w:sz w:val="28"/>
          <w:szCs w:val="28"/>
          <w:lang w:bidi="fa-IR"/>
        </w:rPr>
        <w:t>12324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من ناحیة المطبعة العلمیّة بقم بإشراف حفید المصنّف الشیخ محمود حجّت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بر فرق مسیحیّت و اثبات حقّانیّت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کتاب إظهار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بالمجاهدات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الأصل لرحمة اللّه الهندی الدهلوی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الضمیمة الاولی من مجموعة </w:t>
      </w:r>
      <w:r>
        <w:rPr>
          <w:rFonts w:eastAsia="IRNazanin" w:cs="IRNazanin"/>
          <w:color w:val="111111"/>
          <w:sz w:val="28"/>
          <w:szCs w:val="28"/>
          <w:lang w:bidi="fa-IR"/>
        </w:rPr>
        <w:t>12336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القصیدة البغدادیّة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إلی النجف، المتضمّنة إنکار وجود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المحقّق الطهرانی فی الذریعة،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جواب من أنکر وجود الإمام علیه السّلام فی هذه الأزمنة</w:t>
      </w:r>
      <w:r>
        <w:rPr>
          <w:rFonts w:eastAsia="IRNazanin" w:cs="IRNazanin"/>
          <w:color w:val="111111"/>
          <w:sz w:val="28"/>
          <w:szCs w:val="28"/>
          <w:rtl w:val="true"/>
          <w:lang w:bidi="fa-IR"/>
        </w:rPr>
        <w:t>.</w:t>
      </w:r>
      <w:r>
        <w:rPr>
          <w:rStyle w:val="FootnoteAnchor"/>
          <w:rtl w:val="true"/>
        </w:rPr>
        <w:footnoteReference w:id="2025"/>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 الجواب؛ و هو جوابات عن سؤالات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المحقّق الطهرانی فی الذریعة،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الحازم لدفع الظالم؛ فی ردّ ما قال ابن حجر الهیثمی فی تطهیر اللسان عن لعن معاویة بن أبی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12328</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12299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4771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الطلع النضید فی إبطال المنع عن لعن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12320</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الإمام المهدی علیه السّلام؛ نقد علی کتاب دراسات اللبیب فی الاسوة الحسنة</w:t>
      </w:r>
    </w:p>
    <w:p>
      <w:pPr>
        <w:pStyle w:val="BookText"/>
        <w:rPr/>
      </w:pPr>
      <w:r>
        <w:rPr>
          <w:rFonts w:ascii="IRNazanin" w:hAnsi="IRNazanin" w:eastAsia="IRNazanin"/>
          <w:color w:val="111111"/>
          <w:sz w:val="28"/>
          <w:sz w:val="28"/>
          <w:szCs w:val="28"/>
          <w:rtl w:val="true"/>
          <w:lang w:bidi="fa-IR"/>
        </w:rPr>
        <w:t>بالحبیب، ألّفه محمّد معین بن محمّد أمین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فی المکتبة المرعشی، الرسالة الثالثة من مجموعة </w:t>
      </w:r>
      <w:r>
        <w:rPr>
          <w:rFonts w:eastAsia="IRNazanin" w:cs="IRNazanin"/>
          <w:color w:val="111111"/>
          <w:sz w:val="28"/>
          <w:szCs w:val="28"/>
          <w:lang w:bidi="fa-IR"/>
        </w:rPr>
        <w:t>12278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فی دفع الوصمة؛ فی وجوب عصمة الإمام و ردّ قول المخالف سیف الدین الآمدی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12322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المسیحیّة و حقّانیّة الإسلام</w:t>
      </w:r>
      <w:r>
        <w:rPr>
          <w:rFonts w:eastAsia="Amiri" w:cs="Amiri" w:ascii="Amiri" w:hAnsi="Amiri"/>
          <w:color w:val="111111"/>
          <w:sz w:val="28"/>
          <w:szCs w:val="28"/>
          <w:rtl w:val="true"/>
          <w:lang w:bidi="ar-SA"/>
        </w:rPr>
        <w:t>.</w:t>
      </w:r>
      <w:r>
        <w:rPr>
          <w:rStyle w:val="FootnoteAnchor"/>
          <w:rtl w:val="true"/>
        </w:rPr>
        <w:footnoteReference w:id="2026"/>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قامعة اللجاج و دافعة الحجاج فی ردّ التوقیت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عصمة الملائکة</w:t>
      </w:r>
      <w:r>
        <w:rPr>
          <w:rFonts w:eastAsia="IRNazanin" w:cs="IRNazanin"/>
          <w:color w:val="111111"/>
          <w:sz w:val="28"/>
          <w:szCs w:val="28"/>
          <w:rtl w:val="true"/>
          <w:lang w:bidi="fa-IR"/>
        </w:rPr>
        <w:t>.</w:t>
      </w:r>
      <w:r>
        <w:rPr>
          <w:rStyle w:val="FootnoteAnchor"/>
          <w:rtl w:val="true"/>
        </w:rPr>
        <w:footnoteReference w:id="2027"/>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المجاهدة لدین الحقّ؛ فی ردّ إظهار الحقّ لعبد العلیم بن عبد الرحیم فی طعنه علی الشیعة فی أمر الصحابة</w:t>
      </w:r>
      <w:r>
        <w:rPr>
          <w:rFonts w:eastAsia="IRNazanin" w:cs="IRNazanin"/>
          <w:color w:val="111111"/>
          <w:sz w:val="28"/>
          <w:szCs w:val="28"/>
          <w:rtl w:val="true"/>
          <w:lang w:bidi="fa-IR"/>
        </w:rPr>
        <w:t>.</w:t>
      </w:r>
      <w:r>
        <w:rPr>
          <w:rStyle w:val="FootnoteAnchor"/>
          <w:rtl w:val="true"/>
        </w:rPr>
        <w:footnoteReference w:id="2028"/>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4727</w:t>
      </w:r>
      <w:r>
        <w:rPr>
          <w:rFonts w:ascii="IRNazanin" w:hAnsi="IRNazanin" w:eastAsia="IRNazanin"/>
          <w:color w:val="111111"/>
          <w:sz w:val="28"/>
          <w:sz w:val="28"/>
          <w:szCs w:val="28"/>
          <w:rtl w:val="true"/>
          <w:lang w:bidi="fa-IR"/>
        </w:rPr>
        <w:t xml:space="preserve">؛ النقباء البشر،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مکتبة إلهیّات بطهران،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مقارنات ظهور الحجّة؛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الرسالة الرابعة من مجموعة </w:t>
      </w:r>
      <w:r>
        <w:rPr>
          <w:rFonts w:eastAsia="IRNazanin" w:cs="IRNazanin"/>
          <w:color w:val="111111"/>
          <w:sz w:val="28"/>
          <w:szCs w:val="28"/>
          <w:lang w:bidi="fa-IR"/>
        </w:rPr>
        <w:t>12339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فی إثبات الإسلام؛ حاویة علی تسع 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12353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من ناحیة مطبعة العلمیّة بقمّ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اللباب فی تقبیل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12334</w:t>
      </w:r>
      <w:r>
        <w:rPr>
          <w:rFonts w:eastAsia="IRNazanin" w:cs="IRNazanin"/>
          <w:color w:val="111111"/>
          <w:sz w:val="28"/>
          <w:szCs w:val="28"/>
          <w:rtl w:val="true"/>
          <w:lang w:bidi="fa-IR"/>
        </w:rPr>
        <w:t>).</w:t>
      </w:r>
      <w:bookmarkStart w:id="573" w:name="pg19819_193867"/>
    </w:p>
    <w:p>
      <w:pPr>
        <w:pStyle w:val="BookText"/>
        <w:rPr/>
      </w:pPr>
      <w:bookmarkEnd w:id="573"/>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الوجیزة فی غیبة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12350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12351</w:t>
      </w:r>
      <w:r>
        <w:rPr>
          <w:rFonts w:eastAsia="IRNazanin" w:cs="IRNazanin"/>
          <w:color w:val="111111"/>
          <w:sz w:val="28"/>
          <w:szCs w:val="28"/>
          <w:rtl w:val="true"/>
          <w:lang w:bidi="fa-IR"/>
        </w:rPr>
        <w:t>).</w:t>
      </w:r>
    </w:p>
    <w:p>
      <w:pPr>
        <w:pStyle w:val="Heading5"/>
        <w:numPr>
          <w:ilvl w:val="4"/>
          <w:numId w:val="1"/>
        </w:numPr>
        <w:rPr/>
      </w:pPr>
      <w:bookmarkStart w:id="574" w:name="__RefHeading___Toc3055823_2314609296"/>
      <w:bookmarkStart w:id="575" w:name="_Toc215"/>
      <w:bookmarkEnd w:id="574"/>
      <w:r>
        <w:rPr>
          <w:rtl w:val="true"/>
        </w:rPr>
        <w:t>ه</w:t>
      </w:r>
      <w:r>
        <w:rPr>
          <w:rtl w:val="true"/>
        </w:rPr>
        <w:t xml:space="preserve">: </w:t>
      </w:r>
      <w:r>
        <w:rPr>
          <w:rtl w:val="true"/>
        </w:rPr>
        <w:t>فی الفقه و القواعد الفقهیّة</w:t>
      </w:r>
      <w:r>
        <w:rPr>
          <w:rtl w:val="true"/>
        </w:rPr>
        <w:t>:</w:t>
      </w:r>
      <w:bookmarkEnd w:id="57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الحجّاج فی مناسک الحجّ المطابق لفتاوی الحاج المیرزا حسین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Style w:val="FootnoteAnchor"/>
          <w:rtl w:val="true"/>
        </w:rPr>
        <w:footnoteReference w:id="2029"/>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الصغیرة فی المدّة القلیلة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الرسالة الثالثة من مجموعة </w:t>
      </w:r>
      <w:r>
        <w:rPr>
          <w:rFonts w:eastAsia="IRNazanin" w:cs="IRNazanin"/>
          <w:color w:val="111111"/>
          <w:sz w:val="28"/>
          <w:szCs w:val="28"/>
          <w:lang w:bidi="fa-IR"/>
        </w:rPr>
        <w:t>12282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الرسالة الثالثة من مجموعة </w:t>
      </w:r>
      <w:r>
        <w:rPr>
          <w:rFonts w:eastAsia="IRNazanin" w:cs="IRNazanin"/>
          <w:color w:val="111111"/>
          <w:sz w:val="28"/>
          <w:szCs w:val="28"/>
          <w:lang w:bidi="fa-IR"/>
        </w:rPr>
        <w:t>12334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و أحکامه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الکفّار بالفروع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الرسالة السادسة من مجموعة </w:t>
      </w:r>
      <w:r>
        <w:rPr>
          <w:rFonts w:eastAsia="IRNazanin" w:cs="IRNazanin"/>
          <w:color w:val="111111"/>
          <w:sz w:val="28"/>
          <w:szCs w:val="28"/>
          <w:lang w:bidi="fa-IR"/>
        </w:rPr>
        <w:t>12282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الرسالة السادسة من مجموعة </w:t>
      </w:r>
      <w:r>
        <w:rPr>
          <w:rFonts w:eastAsia="IRNazanin" w:cs="IRNazanin"/>
          <w:color w:val="111111"/>
          <w:sz w:val="28"/>
          <w:szCs w:val="28"/>
          <w:lang w:bidi="fa-IR"/>
        </w:rPr>
        <w:t>12335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تنزیه المشاهد لنفسه</w:t>
      </w:r>
      <w:r>
        <w:rPr>
          <w:rFonts w:eastAsia="IRNazanin" w:cs="IRNazanin"/>
          <w:color w:val="111111"/>
          <w:sz w:val="28"/>
          <w:szCs w:val="28"/>
          <w:rtl w:val="true"/>
          <w:lang w:bidi="fa-IR"/>
        </w:rPr>
        <w:t>.</w:t>
      </w:r>
      <w:r>
        <w:rPr>
          <w:rStyle w:val="FootnoteAnchor"/>
          <w:rtl w:val="true"/>
        </w:rPr>
        <w:footnoteReference w:id="2030"/>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المشاهد عن دخول الأباعد؛ فی اجتناب الحائض و الجنب عن المشاهد المتبرّکة 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12286</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الرسالة السادسة من مجموعة </w:t>
      </w:r>
      <w:r>
        <w:rPr>
          <w:rFonts w:eastAsia="IRNazanin" w:cs="IRNazanin"/>
          <w:color w:val="111111"/>
          <w:sz w:val="28"/>
          <w:szCs w:val="28"/>
          <w:lang w:bidi="fa-IR"/>
        </w:rPr>
        <w:t>12327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الفاطمیّین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تزویج المرء مع المرأتین و أحکامه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الضمیمة الاولی من مجموعة </w:t>
      </w:r>
      <w:r>
        <w:rPr>
          <w:rFonts w:eastAsia="IRNazanin" w:cs="IRNazanin"/>
          <w:color w:val="111111"/>
          <w:sz w:val="28"/>
          <w:szCs w:val="28"/>
          <w:lang w:bidi="fa-IR"/>
        </w:rPr>
        <w:t>12282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12335</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تحفة الحجّاج و المعتمرین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حسین بن محمّد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الرسالة الرضاعیّة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الرسالة الثالثة من مجموعة </w:t>
      </w:r>
      <w:r>
        <w:rPr>
          <w:rFonts w:eastAsia="IRNazanin" w:cs="IRNazanin"/>
          <w:color w:val="111111"/>
          <w:sz w:val="28"/>
          <w:szCs w:val="28"/>
          <w:lang w:bidi="fa-IR"/>
        </w:rPr>
        <w:t>12355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المقاصد العلیّة فی شرح النفلیّة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منبع الحیاة فی حجّیّة قول المجتهدین فی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للسیّد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فی الصلاة أو المخلاة فی الصلاة أو الذهب المسبوک فی الصلاة و الشکوک</w:t>
      </w:r>
      <w:r>
        <w:rPr>
          <w:rFonts w:eastAsia="IRNazanin" w:cs="IRNazanin"/>
          <w:color w:val="111111"/>
          <w:sz w:val="28"/>
          <w:szCs w:val="28"/>
          <w:rtl w:val="true"/>
          <w:lang w:bidi="fa-IR"/>
        </w:rPr>
        <w:t>.</w:t>
      </w:r>
      <w:r>
        <w:rPr>
          <w:rStyle w:val="FootnoteAnchor"/>
          <w:rtl w:val="true"/>
        </w:rPr>
        <w:footnoteReference w:id="2031"/>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الرسالة الرابعة من مجموعة </w:t>
      </w:r>
      <w:r>
        <w:rPr>
          <w:rFonts w:eastAsia="IRNazanin" w:cs="IRNazanin"/>
          <w:color w:val="111111"/>
          <w:sz w:val="28"/>
          <w:szCs w:val="28"/>
          <w:lang w:bidi="fa-IR"/>
        </w:rPr>
        <w:t>12319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المقتول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الرسالة الخامسة من مجموعة </w:t>
      </w:r>
      <w:r>
        <w:rPr>
          <w:rFonts w:eastAsia="IRNazanin" w:cs="IRNazanin"/>
          <w:color w:val="111111"/>
          <w:sz w:val="28"/>
          <w:szCs w:val="28"/>
          <w:lang w:bidi="fa-IR"/>
        </w:rPr>
        <w:t>12335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الرسالة الرابعة من مجموعة </w:t>
      </w:r>
      <w:r>
        <w:rPr>
          <w:rFonts w:eastAsia="IRNazanin" w:cs="IRNazanin"/>
          <w:color w:val="111111"/>
          <w:sz w:val="28"/>
          <w:szCs w:val="28"/>
          <w:lang w:bidi="fa-IR"/>
        </w:rPr>
        <w:t>12282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رسالة تکلیف الکفّار بالفروع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الرسالة السابعة من مجموعة </w:t>
      </w:r>
      <w:r>
        <w:rPr>
          <w:rFonts w:eastAsia="IRNazanin" w:cs="IRNazanin"/>
          <w:color w:val="111111"/>
          <w:sz w:val="28"/>
          <w:szCs w:val="28"/>
          <w:lang w:bidi="fa-IR"/>
        </w:rPr>
        <w:t>12282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الرسالة السابعة من مجموعة </w:t>
      </w:r>
      <w:r>
        <w:rPr>
          <w:rFonts w:eastAsia="IRNazanin" w:cs="IRNazanin"/>
          <w:color w:val="111111"/>
          <w:sz w:val="28"/>
          <w:szCs w:val="28"/>
          <w:lang w:bidi="fa-IR"/>
        </w:rPr>
        <w:t>12335</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أفعال صلاة المسافر</w:t>
      </w:r>
      <w:r>
        <w:rPr>
          <w:rFonts w:eastAsia="IRNazanin" w:cs="IRNazanin"/>
          <w:color w:val="111111"/>
          <w:sz w:val="28"/>
          <w:szCs w:val="28"/>
          <w:rtl w:val="true"/>
          <w:lang w:bidi="fa-IR"/>
        </w:rPr>
        <w:t>.</w:t>
      </w:r>
      <w:r>
        <w:rPr>
          <w:rStyle w:val="FootnoteAnchor"/>
          <w:rtl w:val="true"/>
        </w:rPr>
        <w:footnoteReference w:id="2032"/>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الإجارة</w:t>
      </w:r>
      <w:r>
        <w:rPr>
          <w:rFonts w:eastAsia="IRNazanin" w:cs="IRNazanin"/>
          <w:color w:val="111111"/>
          <w:sz w:val="28"/>
          <w:szCs w:val="28"/>
          <w:rtl w:val="true"/>
          <w:lang w:bidi="fa-IR"/>
        </w:rPr>
        <w:t>.</w:t>
      </w:r>
      <w:r>
        <w:rPr>
          <w:rStyle w:val="FootnoteAnchor"/>
          <w:rtl w:val="true"/>
        </w:rPr>
        <w:footnoteReference w:id="2033"/>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سهو المأموم</w:t>
      </w:r>
      <w:r>
        <w:rPr>
          <w:rFonts w:eastAsia="IRNazanin" w:cs="IRNazanin"/>
          <w:color w:val="111111"/>
          <w:sz w:val="28"/>
          <w:szCs w:val="28"/>
          <w:rtl w:val="true"/>
          <w:lang w:bidi="fa-IR"/>
        </w:rPr>
        <w:t>.</w:t>
      </w:r>
      <w:r>
        <w:rPr>
          <w:rStyle w:val="FootnoteAnchor"/>
          <w:rtl w:val="true"/>
        </w:rPr>
        <w:footnoteReference w:id="2034"/>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الصلاة</w:t>
      </w:r>
      <w:r>
        <w:rPr>
          <w:rFonts w:eastAsia="IRNazanin" w:cs="IRNazanin"/>
          <w:color w:val="111111"/>
          <w:sz w:val="28"/>
          <w:szCs w:val="28"/>
          <w:rtl w:val="true"/>
          <w:lang w:bidi="fa-IR"/>
        </w:rPr>
        <w:t>.</w:t>
      </w:r>
      <w:r>
        <w:rPr>
          <w:rStyle w:val="FootnoteAnchor"/>
          <w:rtl w:val="true"/>
        </w:rPr>
        <w:footnoteReference w:id="2035"/>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صلاة الجماعة</w:t>
      </w:r>
      <w:r>
        <w:rPr>
          <w:rFonts w:eastAsia="IRNazanin" w:cs="IRNazanin"/>
          <w:color w:val="111111"/>
          <w:sz w:val="28"/>
          <w:szCs w:val="28"/>
          <w:rtl w:val="true"/>
          <w:lang w:bidi="fa-IR"/>
        </w:rPr>
        <w:t>.</w:t>
      </w:r>
      <w:r>
        <w:rPr>
          <w:rStyle w:val="FootnoteAnchor"/>
          <w:rtl w:val="true"/>
        </w:rPr>
        <w:footnoteReference w:id="2036"/>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الصید</w:t>
      </w:r>
      <w:r>
        <w:rPr>
          <w:rFonts w:eastAsia="IRNazanin" w:cs="IRNazanin"/>
          <w:color w:val="111111"/>
          <w:sz w:val="28"/>
          <w:szCs w:val="28"/>
          <w:rtl w:val="true"/>
          <w:lang w:bidi="fa-IR"/>
        </w:rPr>
        <w:t>.</w:t>
      </w:r>
      <w:r>
        <w:rPr>
          <w:rStyle w:val="FootnoteAnchor"/>
          <w:rtl w:val="true"/>
        </w:rPr>
        <w:footnoteReference w:id="2037"/>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الرسالة الثالثة من مجموعة </w:t>
      </w:r>
      <w:r>
        <w:rPr>
          <w:rFonts w:eastAsia="IRNazanin" w:cs="IRNazanin"/>
          <w:color w:val="111111"/>
          <w:sz w:val="28"/>
          <w:szCs w:val="28"/>
          <w:lang w:bidi="fa-IR"/>
        </w:rPr>
        <w:t>12319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تبصرة 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الضمیمة الثانیة من مجموعة </w:t>
      </w:r>
      <w:r>
        <w:rPr>
          <w:rFonts w:eastAsia="IRNazanin" w:cs="IRNazanin"/>
          <w:color w:val="111111"/>
          <w:sz w:val="28"/>
          <w:szCs w:val="28"/>
          <w:lang w:bidi="fa-IR"/>
        </w:rPr>
        <w:t>12298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شرائع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12292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12298</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المحقّق الطهرانی فی الذریعة،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1349</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12290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12339</w:t>
      </w:r>
      <w:r>
        <w:rPr>
          <w:rFonts w:eastAsia="IRNazanin" w:cs="IRNazanin"/>
          <w:color w:val="111111"/>
          <w:sz w:val="28"/>
          <w:szCs w:val="28"/>
          <w:rtl w:val="true"/>
          <w:lang w:bidi="fa-IR"/>
        </w:rPr>
        <w:t>).</w:t>
      </w:r>
      <w:bookmarkStart w:id="576" w:name="pg19819_193870"/>
    </w:p>
    <w:p>
      <w:pPr>
        <w:pStyle w:val="BookText"/>
        <w:rPr/>
      </w:pPr>
      <w:bookmarkEnd w:id="576"/>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 الشهادات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الضمیمة الاولی من مجموعة </w:t>
      </w:r>
      <w:r>
        <w:rPr>
          <w:rFonts w:eastAsia="IRNazanin" w:cs="IRNazanin"/>
          <w:color w:val="111111"/>
          <w:sz w:val="28"/>
          <w:szCs w:val="28"/>
          <w:lang w:bidi="fa-IR"/>
        </w:rPr>
        <w:t>12355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المستطرف فی کلّ فنّ مستظرف؛ اشتمل علی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تحریم الخمر من کتاب المستطرف فی کلّ فنّ مستظرف، للشیخ محمّد بن أحمد ابشیهی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من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الرسالة الرابعة من مجموعة </w:t>
      </w:r>
      <w:r>
        <w:rPr>
          <w:rFonts w:eastAsia="IRNazanin" w:cs="IRNazanin"/>
          <w:color w:val="111111"/>
          <w:sz w:val="28"/>
          <w:szCs w:val="28"/>
          <w:lang w:bidi="fa-IR"/>
        </w:rPr>
        <w:t>12282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الرسالة الرابعة من مجموعة </w:t>
      </w:r>
      <w:r>
        <w:rPr>
          <w:rFonts w:eastAsia="IRNazanin" w:cs="IRNazanin"/>
          <w:color w:val="111111"/>
          <w:sz w:val="28"/>
          <w:szCs w:val="28"/>
          <w:lang w:bidi="fa-IR"/>
        </w:rPr>
        <w:t>12334</w:t>
      </w:r>
      <w:r>
        <w:rPr>
          <w:rFonts w:eastAsia="IRNazanin" w:cs="IRNazanin"/>
          <w:color w:val="111111"/>
          <w:sz w:val="28"/>
          <w:szCs w:val="28"/>
          <w:rtl w:val="true"/>
          <w:lang w:bidi="fa-IR"/>
        </w:rPr>
        <w:t>).</w:t>
      </w:r>
    </w:p>
    <w:p>
      <w:pPr>
        <w:pStyle w:val="Heading5"/>
        <w:numPr>
          <w:ilvl w:val="4"/>
          <w:numId w:val="1"/>
        </w:numPr>
        <w:rPr/>
      </w:pPr>
      <w:bookmarkStart w:id="577" w:name="__RefHeading___Toc3055825_2314609296"/>
      <w:bookmarkStart w:id="578" w:name="_Toc216"/>
      <w:bookmarkEnd w:id="577"/>
      <w:r>
        <w:rPr>
          <w:rtl w:val="true"/>
        </w:rPr>
        <w:t>و</w:t>
      </w:r>
      <w:r>
        <w:rPr>
          <w:rtl w:val="true"/>
        </w:rPr>
        <w:t xml:space="preserve">: </w:t>
      </w:r>
      <w:r>
        <w:rPr>
          <w:rtl w:val="true"/>
        </w:rPr>
        <w:t>فی اصول الفقه</w:t>
      </w:r>
      <w:r>
        <w:rPr>
          <w:rtl w:val="true"/>
        </w:rPr>
        <w:t>:</w:t>
      </w:r>
      <w:bookmarkEnd w:id="578"/>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الأمر و 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مع العلم بانتفاء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12332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التسامح فی أدلّة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12312</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للمرحوم الحاجّ المیرزا أبی القاسم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قرّره بخطّه،</w:t>
      </w:r>
      <w:bookmarkStart w:id="579" w:name="pg19819_193871"/>
    </w:p>
    <w:p>
      <w:pPr>
        <w:pStyle w:val="BookText"/>
        <w:rPr/>
      </w:pPr>
      <w:bookmarkEnd w:id="579"/>
      <w:r>
        <w:rPr>
          <w:rFonts w:ascii="IRNazanin" w:hAnsi="IRNazanin" w:eastAsia="IRNazanin"/>
          <w:color w:val="111111"/>
          <w:sz w:val="28"/>
          <w:sz w:val="28"/>
          <w:szCs w:val="28"/>
          <w:rtl w:val="true"/>
          <w:lang w:bidi="fa-IR"/>
        </w:rPr>
        <w:t xml:space="preserve">و فرغ عنها فی ذی القعدة،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12294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الضمیمة الاولی من مجموعة </w:t>
      </w:r>
      <w:r>
        <w:rPr>
          <w:rFonts w:eastAsia="IRNazanin" w:cs="IRNazanin"/>
          <w:color w:val="111111"/>
          <w:sz w:val="28"/>
          <w:szCs w:val="28"/>
          <w:lang w:bidi="fa-IR"/>
        </w:rPr>
        <w:t>12321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القوانین المحکمة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الضمیمة الاولی من مجموعة </w:t>
      </w:r>
      <w:r>
        <w:rPr>
          <w:rFonts w:eastAsia="IRNazanin" w:cs="IRNazanin"/>
          <w:color w:val="111111"/>
          <w:sz w:val="28"/>
          <w:szCs w:val="28"/>
          <w:lang w:bidi="fa-IR"/>
        </w:rPr>
        <w:t>12317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 الأعمّ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الرسالة الثالثة من مجموعة </w:t>
      </w:r>
      <w:r>
        <w:rPr>
          <w:rFonts w:eastAsia="IRNazanin" w:cs="IRNazanin"/>
          <w:color w:val="111111"/>
          <w:sz w:val="28"/>
          <w:szCs w:val="28"/>
          <w:lang w:bidi="fa-IR"/>
        </w:rPr>
        <w:t>12360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المحقّق الطهرانی رحمه اللّه فی الذریعة،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الرسالة الرابعة من مجموعة </w:t>
      </w:r>
      <w:r>
        <w:rPr>
          <w:rFonts w:eastAsia="IRNazanin" w:cs="IRNazanin"/>
          <w:color w:val="111111"/>
          <w:sz w:val="28"/>
          <w:szCs w:val="28"/>
          <w:lang w:bidi="fa-IR"/>
        </w:rPr>
        <w:t>12312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 المقیّد و المجمل و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الرسالة الثالثة من مجموعة </w:t>
      </w:r>
      <w:r>
        <w:rPr>
          <w:rFonts w:eastAsia="IRNazanin" w:cs="IRNazanin"/>
          <w:color w:val="111111"/>
          <w:sz w:val="28"/>
          <w:szCs w:val="28"/>
          <w:lang w:bidi="fa-IR"/>
        </w:rPr>
        <w:t>12312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مفارقة الإجزاء و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12282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فعل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12360</w:t>
      </w:r>
      <w:r>
        <w:rPr>
          <w:rFonts w:eastAsia="IRNazanin" w:cs="IRNazanin"/>
          <w:color w:val="111111"/>
          <w:sz w:val="28"/>
          <w:szCs w:val="28"/>
          <w:rtl w:val="true"/>
          <w:lang w:bidi="fa-IR"/>
        </w:rPr>
        <w:t>).</w:t>
      </w:r>
    </w:p>
    <w:p>
      <w:pPr>
        <w:pStyle w:val="Heading5"/>
        <w:numPr>
          <w:ilvl w:val="4"/>
          <w:numId w:val="1"/>
        </w:numPr>
        <w:rPr/>
      </w:pPr>
      <w:bookmarkStart w:id="580" w:name="__RefHeading___Toc3055827_2314609296"/>
      <w:bookmarkStart w:id="581" w:name="_Toc217"/>
      <w:bookmarkEnd w:id="580"/>
      <w:r>
        <w:rPr>
          <w:rtl w:val="true"/>
        </w:rPr>
        <w:t>ز</w:t>
      </w:r>
      <w:r>
        <w:rPr>
          <w:rtl w:val="true"/>
        </w:rPr>
        <w:t xml:space="preserve">: </w:t>
      </w:r>
      <w:r>
        <w:rPr>
          <w:rtl w:val="true"/>
        </w:rPr>
        <w:t>فی الرجال و الدرایة</w:t>
      </w:r>
      <w:r>
        <w:rPr>
          <w:rtl w:val="true"/>
        </w:rPr>
        <w:t>:</w:t>
      </w:r>
      <w:bookmarkEnd w:id="581"/>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الرسائل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لحجّة الإسلام الشفتی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الفهرست لمکتبة</w:t>
      </w:r>
      <w:bookmarkStart w:id="582" w:name="pg19819_193872"/>
    </w:p>
    <w:p>
      <w:pPr>
        <w:pStyle w:val="BookText"/>
        <w:rPr/>
      </w:pPr>
      <w:bookmarkEnd w:id="582"/>
      <w:r>
        <w:rPr>
          <w:rFonts w:ascii="IRNazanin" w:hAnsi="IRNazanin" w:eastAsia="IRNazanin"/>
          <w:color w:val="111111"/>
          <w:sz w:val="28"/>
          <w:sz w:val="28"/>
          <w:szCs w:val="28"/>
          <w:rtl w:val="true"/>
          <w:lang w:bidi="fa-IR"/>
        </w:rPr>
        <w:t xml:space="preserve">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الضمیمة الاولی من مجموعة </w:t>
      </w:r>
      <w:r>
        <w:rPr>
          <w:rFonts w:eastAsia="IRNazanin" w:cs="IRNazanin"/>
          <w:color w:val="111111"/>
          <w:sz w:val="28"/>
          <w:szCs w:val="28"/>
          <w:lang w:bidi="fa-IR"/>
        </w:rPr>
        <w:t>12285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الضمیمة الثالثة من مجموعة </w:t>
      </w:r>
      <w:r>
        <w:rPr>
          <w:rFonts w:eastAsia="IRNazanin" w:cs="IRNazanin"/>
          <w:color w:val="111111"/>
          <w:sz w:val="28"/>
          <w:szCs w:val="28"/>
          <w:lang w:bidi="fa-IR"/>
        </w:rPr>
        <w:t>12285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12286</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الرابعة إلی الرسالة الثامنة من مجموعة </w:t>
      </w:r>
      <w:r>
        <w:rPr>
          <w:rFonts w:eastAsia="IRNazanin" w:cs="IRNazanin"/>
          <w:color w:val="111111"/>
          <w:sz w:val="28"/>
          <w:szCs w:val="28"/>
          <w:lang w:bidi="fa-IR"/>
        </w:rPr>
        <w:t>12327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رسالة الشافیة الرجالیّة فی ترجمة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لحجّة الإسلام الشفتی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الضمیمة الثانیة من مجموعة </w:t>
      </w:r>
      <w:r>
        <w:rPr>
          <w:rFonts w:eastAsia="IRNazanin" w:cs="IRNazanin"/>
          <w:color w:val="111111"/>
          <w:sz w:val="28"/>
          <w:szCs w:val="28"/>
          <w:lang w:bidi="fa-IR"/>
        </w:rPr>
        <w:t>12285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الرسالة الثالثة و الرسالة الرابعة من مجموعة </w:t>
      </w:r>
      <w:r>
        <w:rPr>
          <w:rFonts w:eastAsia="IRNazanin" w:cs="IRNazanin"/>
          <w:color w:val="111111"/>
          <w:sz w:val="28"/>
          <w:szCs w:val="28"/>
          <w:lang w:bidi="fa-IR"/>
        </w:rPr>
        <w:t>12286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أبی الحسن أحمد بن محمّد بن عبد اللّه البکری</w:t>
      </w:r>
      <w:r>
        <w:rPr>
          <w:rFonts w:eastAsia="IRNazanin" w:cs="IRNazanin"/>
          <w:color w:val="111111"/>
          <w:sz w:val="28"/>
          <w:szCs w:val="28"/>
          <w:rtl w:val="true"/>
          <w:lang w:bidi="fa-IR"/>
        </w:rPr>
        <w:t>.</w:t>
      </w:r>
      <w:r>
        <w:rPr>
          <w:rStyle w:val="FootnoteAnchor"/>
          <w:rtl w:val="true"/>
        </w:rPr>
        <w:footnoteReference w:id="2038"/>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جامع الرواة للمحقّق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12289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2477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الضمیمة الثانیة من مجموعة </w:t>
      </w:r>
      <w:r>
        <w:rPr>
          <w:rFonts w:eastAsia="IRNazanin" w:cs="IRNazanin"/>
          <w:color w:val="111111"/>
          <w:sz w:val="28"/>
          <w:szCs w:val="28"/>
          <w:lang w:bidi="fa-IR"/>
        </w:rPr>
        <w:t>12327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وجیزة تنقیح المقال فی عدّة من الرجال</w:t>
      </w:r>
      <w:r>
        <w:rPr>
          <w:rFonts w:eastAsia="IRNazanin" w:cs="IRNazanin"/>
          <w:color w:val="111111"/>
          <w:sz w:val="28"/>
          <w:szCs w:val="28"/>
          <w:rtl w:val="true"/>
          <w:lang w:bidi="fa-IR"/>
        </w:rPr>
        <w:t>.</w:t>
      </w:r>
      <w:r>
        <w:rPr>
          <w:rStyle w:val="FootnoteAnchor"/>
          <w:rtl w:val="true"/>
        </w:rPr>
        <w:footnoteReference w:id="2039"/>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الوجیزة فی حال عثمان بن عیسی الرواسی الکلابی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12307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12327</w:t>
      </w:r>
      <w:r>
        <w:rPr>
          <w:rFonts w:eastAsia="IRNazanin" w:cs="IRNazanin"/>
          <w:color w:val="111111"/>
          <w:sz w:val="28"/>
          <w:szCs w:val="28"/>
          <w:rtl w:val="true"/>
          <w:lang w:bidi="fa-IR"/>
        </w:rPr>
        <w:t>).</w:t>
      </w:r>
    </w:p>
    <w:p>
      <w:pPr>
        <w:pStyle w:val="Heading5"/>
        <w:numPr>
          <w:ilvl w:val="4"/>
          <w:numId w:val="1"/>
        </w:numPr>
        <w:rPr/>
      </w:pPr>
      <w:bookmarkStart w:id="583" w:name="__RefHeading___Toc3055829_2314609296"/>
      <w:bookmarkStart w:id="584" w:name="_Toc218"/>
      <w:bookmarkEnd w:id="583"/>
      <w:r>
        <w:rPr>
          <w:rtl w:val="true"/>
        </w:rPr>
        <w:t>ح</w:t>
      </w:r>
      <w:r>
        <w:rPr>
          <w:rtl w:val="true"/>
        </w:rPr>
        <w:t xml:space="preserve">: </w:t>
      </w:r>
      <w:r>
        <w:rPr>
          <w:rtl w:val="true"/>
        </w:rPr>
        <w:t>فی معرفة الکتب</w:t>
      </w:r>
      <w:r>
        <w:rPr>
          <w:rtl w:val="true"/>
        </w:rPr>
        <w:t>:</w:t>
      </w:r>
      <w:bookmarkEnd w:id="584"/>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تسدید المکارم و تفضیح المظالم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الرسالة الثانیة من مجموعة </w:t>
      </w:r>
      <w:r>
        <w:rPr>
          <w:rFonts w:eastAsia="IRNazanin" w:cs="IRNazanin"/>
          <w:color w:val="111111"/>
          <w:sz w:val="28"/>
          <w:szCs w:val="28"/>
          <w:lang w:bidi="fa-IR"/>
        </w:rPr>
        <w:t>12279</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المکارم و تفضیح المظالم؛ حول طبعة من کتاب مکارم الأخلاق للشیخ الطبرسی بمصر، و یعتمد بوجود تحریفات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الفهرست لمکتبة المرعشی،</w:t>
      </w:r>
      <w:bookmarkStart w:id="585" w:name="pg19819_193873"/>
    </w:p>
    <w:p>
      <w:pPr>
        <w:pStyle w:val="BookText"/>
        <w:rPr/>
      </w:pPr>
      <w:bookmarkEnd w:id="585"/>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12279</w:t>
      </w:r>
      <w:r>
        <w:rPr>
          <w:rFonts w:ascii="IRNazanin" w:hAnsi="IRNazanin" w:eastAsia="IRNazanin"/>
          <w:color w:val="111111"/>
          <w:sz w:val="28"/>
          <w:sz w:val="28"/>
          <w:szCs w:val="28"/>
          <w:rtl w:val="true"/>
          <w:lang w:bidi="fa-IR"/>
        </w:rPr>
        <w:t xml:space="preserve">؛ و نسخة اخری عنه فی مکتبة الفیضیّة بقمّ، الرقم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الفهرست،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أمر الکتب فی بیان التحریف الواقع فی بعض الکتب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12330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انتساب کتاب الفضائل و الروضة بفضل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الوجیزة فی الکشف عن حال کتاب المناقب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أحوال أخطب خوارزم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الرسالة الاولی من مجموعة </w:t>
      </w:r>
      <w:r>
        <w:rPr>
          <w:rFonts w:eastAsia="IRNazanin" w:cs="IRNazanin"/>
          <w:color w:val="111111"/>
          <w:sz w:val="28"/>
          <w:szCs w:val="28"/>
          <w:lang w:bidi="fa-IR"/>
        </w:rPr>
        <w:t>12329</w:t>
      </w:r>
      <w:r>
        <w:rPr>
          <w:rFonts w:eastAsia="IRNazanin" w:cs="IRNazanin"/>
          <w:color w:val="111111"/>
          <w:sz w:val="28"/>
          <w:szCs w:val="28"/>
          <w:rtl w:val="true"/>
          <w:lang w:bidi="fa-IR"/>
        </w:rPr>
        <w:t>).</w:t>
      </w:r>
    </w:p>
    <w:p>
      <w:pPr>
        <w:pStyle w:val="Heading5"/>
        <w:numPr>
          <w:ilvl w:val="4"/>
          <w:numId w:val="1"/>
        </w:numPr>
        <w:rPr/>
      </w:pPr>
      <w:bookmarkStart w:id="586" w:name="__RefHeading___Toc3055831_2314609296"/>
      <w:bookmarkStart w:id="587" w:name="_Toc219"/>
      <w:bookmarkEnd w:id="586"/>
      <w:r>
        <w:rPr>
          <w:rtl w:val="true"/>
        </w:rPr>
        <w:t>ط</w:t>
      </w:r>
      <w:r>
        <w:rPr>
          <w:rtl w:val="true"/>
        </w:rPr>
        <w:t xml:space="preserve">: </w:t>
      </w:r>
      <w:r>
        <w:rPr>
          <w:rtl w:val="true"/>
        </w:rPr>
        <w:t>فی الحکمة و الفلسفة</w:t>
      </w:r>
      <w:r>
        <w:rPr>
          <w:rtl w:val="true"/>
        </w:rPr>
        <w:t>:</w:t>
      </w:r>
      <w:bookmarkEnd w:id="587"/>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الفلسفة</w:t>
      </w:r>
      <w:r>
        <w:rPr>
          <w:rFonts w:eastAsia="IRNazanin" w:cs="IRNazanin"/>
          <w:color w:val="111111"/>
          <w:sz w:val="28"/>
          <w:szCs w:val="28"/>
          <w:rtl w:val="true"/>
          <w:lang w:bidi="fa-IR"/>
        </w:rPr>
        <w:t>.</w:t>
      </w:r>
      <w:r>
        <w:rPr>
          <w:rStyle w:val="FootnoteAnchor"/>
          <w:rtl w:val="true"/>
        </w:rPr>
        <w:footnoteReference w:id="2040"/>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حکمة العین؛ لأبی الحسن علیّ بن عمر الکاتبی القزوینی</w:t>
      </w:r>
      <w:r>
        <w:rPr>
          <w:rFonts w:eastAsia="IRNazanin" w:cs="IRNazanin"/>
          <w:color w:val="111111"/>
          <w:sz w:val="28"/>
          <w:szCs w:val="28"/>
          <w:rtl w:val="true"/>
          <w:lang w:bidi="fa-IR"/>
        </w:rPr>
        <w:t>.</w:t>
      </w:r>
      <w:r>
        <w:rPr>
          <w:rStyle w:val="FootnoteAnchor"/>
          <w:rtl w:val="true"/>
        </w:rPr>
        <w:footnoteReference w:id="2041"/>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اشتقاق الموجودات فی الفلسفة</w:t>
      </w:r>
      <w:r>
        <w:rPr>
          <w:rFonts w:eastAsia="IRNazanin" w:cs="IRNazanin"/>
          <w:color w:val="111111"/>
          <w:sz w:val="28"/>
          <w:szCs w:val="28"/>
          <w:rtl w:val="true"/>
          <w:lang w:bidi="fa-IR"/>
        </w:rPr>
        <w:t>.</w:t>
      </w:r>
      <w:r>
        <w:rPr>
          <w:rStyle w:val="FootnoteAnchor"/>
          <w:rtl w:val="true"/>
        </w:rPr>
        <w:footnoteReference w:id="2042"/>
      </w:r>
    </w:p>
    <w:p>
      <w:pPr>
        <w:pStyle w:val="Heading5"/>
        <w:numPr>
          <w:ilvl w:val="4"/>
          <w:numId w:val="1"/>
        </w:numPr>
        <w:rPr/>
      </w:pPr>
      <w:bookmarkStart w:id="588" w:name="__RefHeading___Toc3055833_2314609296"/>
      <w:bookmarkStart w:id="589" w:name="_Toc220"/>
      <w:bookmarkEnd w:id="588"/>
      <w:r>
        <w:rPr>
          <w:rtl w:val="true"/>
        </w:rPr>
        <w:t>ی</w:t>
      </w:r>
      <w:r>
        <w:rPr>
          <w:rtl w:val="true"/>
        </w:rPr>
        <w:t xml:space="preserve">: </w:t>
      </w:r>
      <w:r>
        <w:rPr>
          <w:rtl w:val="true"/>
        </w:rPr>
        <w:t>فی النحو و الأدبیّات</w:t>
      </w:r>
      <w:r>
        <w:rPr>
          <w:rtl w:val="true"/>
        </w:rPr>
        <w:t>:</w:t>
      </w:r>
      <w:bookmarkEnd w:id="589"/>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البهجة المرضیّة فی شرح الألفیّة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12356</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مالک</w:t>
      </w:r>
      <w:r>
        <w:rPr>
          <w:rFonts w:eastAsia="IRNazanin" w:cs="IRNazanin"/>
          <w:color w:val="111111"/>
          <w:sz w:val="28"/>
          <w:szCs w:val="28"/>
          <w:rtl w:val="true"/>
          <w:lang w:bidi="fa-IR"/>
        </w:rPr>
        <w:t>).</w:t>
      </w:r>
      <w:r>
        <w:rPr>
          <w:rStyle w:val="FootnoteAnchor"/>
          <w:rtl w:val="true"/>
        </w:rPr>
        <w:footnoteReference w:id="2043"/>
      </w:r>
      <w:bookmarkStart w:id="590" w:name="pg19819_193874"/>
    </w:p>
    <w:p>
      <w:pPr>
        <w:pStyle w:val="BookText"/>
        <w:rPr/>
      </w:pPr>
      <w:bookmarkEnd w:id="590"/>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الطالبیّین تعلیقة علی مختصر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12310</w:t>
      </w:r>
      <w:r>
        <w:rPr>
          <w:rFonts w:eastAsia="IRNazanin" w:cs="IRNazanin"/>
          <w:color w:val="111111"/>
          <w:sz w:val="28"/>
          <w:szCs w:val="28"/>
          <w:rtl w:val="true"/>
          <w:lang w:bidi="fa-IR"/>
        </w:rPr>
        <w:t>).</w:t>
      </w:r>
    </w:p>
    <w:p>
      <w:pPr>
        <w:pStyle w:val="Heading5"/>
        <w:numPr>
          <w:ilvl w:val="4"/>
          <w:numId w:val="1"/>
        </w:numPr>
        <w:rPr/>
      </w:pPr>
      <w:bookmarkStart w:id="591" w:name="__RefHeading___Toc3055835_2314609296"/>
      <w:bookmarkStart w:id="592" w:name="_Toc221"/>
      <w:bookmarkEnd w:id="591"/>
      <w:r>
        <w:rPr>
          <w:rtl w:val="true"/>
        </w:rPr>
        <w:t>ک</w:t>
      </w:r>
      <w:r>
        <w:rPr>
          <w:rtl w:val="true"/>
        </w:rPr>
        <w:t xml:space="preserve">: </w:t>
      </w:r>
      <w:r>
        <w:rPr>
          <w:rtl w:val="true"/>
        </w:rPr>
        <w:t>فی الطبّ</w:t>
      </w:r>
      <w:r>
        <w:rPr>
          <w:rtl w:val="true"/>
        </w:rPr>
        <w:t>:</w:t>
      </w:r>
      <w:bookmarkEnd w:id="592"/>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الصحّة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12333</w:t>
      </w:r>
      <w:r>
        <w:rPr>
          <w:rFonts w:eastAsia="IRNazanin" w:cs="IRNazanin"/>
          <w:color w:val="111111"/>
          <w:sz w:val="28"/>
          <w:szCs w:val="28"/>
          <w:rtl w:val="true"/>
          <w:lang w:bidi="fa-IR"/>
        </w:rPr>
        <w:t>).</w:t>
      </w:r>
    </w:p>
    <w:p>
      <w:pPr>
        <w:pStyle w:val="Heading5"/>
        <w:numPr>
          <w:ilvl w:val="4"/>
          <w:numId w:val="1"/>
        </w:numPr>
        <w:rPr/>
      </w:pPr>
      <w:bookmarkStart w:id="593" w:name="__RefHeading___Toc3055837_2314609296"/>
      <w:bookmarkStart w:id="594" w:name="_Toc222"/>
      <w:bookmarkEnd w:id="593"/>
      <w:r>
        <w:rPr>
          <w:rtl w:val="true"/>
        </w:rPr>
        <w:t>ل</w:t>
      </w:r>
      <w:r>
        <w:rPr>
          <w:rtl w:val="true"/>
        </w:rPr>
        <w:t xml:space="preserve">: </w:t>
      </w:r>
      <w:r>
        <w:rPr>
          <w:rtl w:val="true"/>
        </w:rPr>
        <w:t>فی السیاسة</w:t>
      </w:r>
      <w:r>
        <w:rPr>
          <w:rtl w:val="true"/>
        </w:rPr>
        <w:t>:</w:t>
      </w:r>
      <w:bookmarkEnd w:id="594"/>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الخطاء فی تخطئة أجلّة العلماء فی ردّ العلماء الذین یتخطّئون نهضة المشروطة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الذریعة،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طبعت علی الحروف بإیران 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5"/>
        <w:numPr>
          <w:ilvl w:val="4"/>
          <w:numId w:val="1"/>
        </w:numPr>
        <w:rPr/>
      </w:pPr>
      <w:bookmarkStart w:id="595" w:name="__RefHeading___Toc3055839_2314609296"/>
      <w:bookmarkStart w:id="596" w:name="_Toc223"/>
      <w:bookmarkEnd w:id="595"/>
      <w:r>
        <w:rPr>
          <w:rtl w:val="true"/>
        </w:rPr>
        <w:t>م</w:t>
      </w:r>
      <w:r>
        <w:rPr>
          <w:rtl w:val="true"/>
        </w:rPr>
        <w:t xml:space="preserve">: </w:t>
      </w:r>
      <w:r>
        <w:rPr>
          <w:rtl w:val="true"/>
        </w:rPr>
        <w:t>و سائر تألیفاته</w:t>
      </w:r>
      <w:r>
        <w:rPr>
          <w:rtl w:val="true"/>
        </w:rPr>
        <w:t>:</w:t>
      </w:r>
      <w:bookmarkEnd w:id="596"/>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الامّة فی جفر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علم الجفر</w:t>
      </w:r>
      <w:r>
        <w:rPr>
          <w:rFonts w:eastAsia="IRNazanin" w:cs="IRNazanin"/>
          <w:color w:val="111111"/>
          <w:sz w:val="28"/>
          <w:szCs w:val="28"/>
          <w:rtl w:val="true"/>
          <w:lang w:bidi="fa-IR"/>
        </w:rPr>
        <w:t>).</w:t>
      </w:r>
      <w:r>
        <w:rPr>
          <w:rStyle w:val="FootnoteAnchor"/>
          <w:rtl w:val="true"/>
        </w:rPr>
        <w:footnoteReference w:id="2044"/>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جابلقا و جابلسا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جابرسا و 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فیه عن مدینتین جاء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لمکتبة المرعشی،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مجموعة </w:t>
      </w:r>
      <w:r>
        <w:rPr>
          <w:rFonts w:eastAsia="IRNazanin" w:cs="IRNazanin"/>
          <w:color w:val="111111"/>
          <w:sz w:val="28"/>
          <w:szCs w:val="28"/>
          <w:lang w:bidi="fa-IR"/>
        </w:rPr>
        <w:t>12288</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الرسالة الثالثة من مجموعة </w:t>
      </w:r>
      <w:r>
        <w:rPr>
          <w:rFonts w:eastAsia="IRNazanin" w:cs="IRNazanin"/>
          <w:color w:val="111111"/>
          <w:sz w:val="28"/>
          <w:szCs w:val="28"/>
          <w:lang w:bidi="fa-IR"/>
        </w:rPr>
        <w:t>12303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الملل و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الفتح عبد الکریم الشهرستانی</w:t>
      </w:r>
      <w:r>
        <w:rPr>
          <w:rFonts w:eastAsia="IRNazanin" w:cs="IRNazanin"/>
          <w:color w:val="111111"/>
          <w:sz w:val="28"/>
          <w:szCs w:val="28"/>
          <w:rtl w:val="true"/>
          <w:lang w:bidi="fa-IR"/>
        </w:rPr>
        <w:t>).</w:t>
      </w:r>
      <w:r>
        <w:rPr>
          <w:rStyle w:val="FootnoteAnchor"/>
          <w:rtl w:val="true"/>
        </w:rPr>
        <w:footnoteReference w:id="2045"/>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العلامات و الإشارات</w:t>
      </w:r>
      <w:r>
        <w:rPr>
          <w:rFonts w:eastAsia="IRNazanin" w:cs="IRNazanin"/>
          <w:color w:val="111111"/>
          <w:sz w:val="28"/>
          <w:szCs w:val="28"/>
          <w:rtl w:val="true"/>
          <w:lang w:bidi="fa-IR"/>
        </w:rPr>
        <w:t>.</w:t>
      </w:r>
      <w:r>
        <w:rPr>
          <w:rStyle w:val="FootnoteAnchor"/>
          <w:rtl w:val="true"/>
        </w:rPr>
        <w:footnoteReference w:id="2046"/>
      </w:r>
    </w:p>
    <w:p>
      <w:pPr>
        <w:pStyle w:val="Heading4"/>
        <w:numPr>
          <w:ilvl w:val="3"/>
          <w:numId w:val="1"/>
        </w:numPr>
        <w:rPr/>
      </w:pPr>
      <w:bookmarkStart w:id="597" w:name="__RefHeading___Toc3055841_2314609296"/>
      <w:bookmarkStart w:id="598" w:name="_Toc224"/>
      <w:bookmarkEnd w:id="597"/>
      <w:r>
        <w:rPr>
          <w:rtl w:val="true"/>
        </w:rPr>
        <w:t>فی ذکر مستنسخات المصنّف</w:t>
      </w:r>
      <w:bookmarkEnd w:id="598"/>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استنسخ المصنّف فی عمره آثارا قیّمة کثیرة، و نحن نکتفی فی هذا المجال علی ما هی انتقلت من مکتبته إلی مکتبة المرحوم المرعشی بقمّ،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قاسمی؛ فارسی، فی العلوم العربیّة و الطلسمات للواعظ الکاشفی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البراهین الساباطیّة؛ لجواد بن ساباط بن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إنجیل متی و الزبور و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العبری إلی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لهدایة اللّه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أحمد بن محمّد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عنه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کتبه عن نسخة محمّد الموسوی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سعد 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جمادی الاولی من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محمّد بن إبراهیم بن جعفر الکاتب، المشهور بابن أبی زینب النعمانی، المعاصر مع الشیخ الکلینی رحمه اللّه، فرغ عنه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من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التکملة المعینیّة؛ لخواجه نصیر الدین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ثاقب المناقب؛ المنسوب إلی عماد الدین المشهدی ابن حمزة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الرسائل؛ للآخوند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الأربعین؛ لمحمّد تقی المجلسی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حیاة الأرواح فی اصول الدین؛ للمولی محمّد جعفر الأسترآبادی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العقد الحسینی؛ لعبد الصمد الجباعی الحارثی، والد الشیخ البهائی، فرغ عنه فی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تحریم طلاق الحائض؛ للشهید الثانی رحمه اللّه، فرغ عنه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معرفة ساعات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المعینیّة فی الهیئة؛ لخواجه نصیر الدین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 المنشور لبیان معراج نبیّنا المنصور؛ للسیّد جعفر الدارابی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سبیل الرشاد فی ردّ فرقة البروتستانی من المسیح؛ لإبراهیم بن أحمد بن حسین بن خلیل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فی أخبار المنتظر؛ للشافعی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الغریّ بصرحة الغری؛ لأحمد بن موسی بن طاوس الحلّی، کتبه و قابله و صحّحه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الشیعة؛ للنوبختی، فرغ عنه فی یوم الخامس من جمادی الاخری من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للشیخ الطوسی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السردابیّة؛ للسیّد جعفر الدارابی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لابن قولویه رحمه اللّه، فرغ عن کتابته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الإمامة؛ لخواجه نصیر الدین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الریبة فی أحکام الغیبة؛ للشهید الثانی رحمه اللّه، کتبه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للشیخ المفید رحمه اللّه، فرغ عن کتابته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الأشعثیّات أو الجعفریّات؛ عن أحد أعلام الشیعة فی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استنساخه یوم النوروز من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 فی الأئمّة الاثنی عشر علیهم السّلام؛ لأبی عبد اللّه أحمد بن محمّد بن العیّاش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للخوارزمی، فرغ عنه فی أربعین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منظومة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للسیّد جعفر الدارابی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منیة اللبیب فی شرح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لبهاء الدین ابن أعرج</w:t>
      </w:r>
      <w:r>
        <w:rPr>
          <w:rFonts w:eastAsia="IRNazanin" w:cs="IRNazanin"/>
          <w:color w:val="111111"/>
          <w:sz w:val="28"/>
          <w:szCs w:val="28"/>
          <w:rtl w:val="true"/>
          <w:lang w:bidi="fa-IR"/>
        </w:rPr>
        <w:t>.</w:t>
      </w:r>
      <w:bookmarkStart w:id="599" w:name="pg19819_193877"/>
    </w:p>
    <w:p>
      <w:pPr>
        <w:pStyle w:val="BookText"/>
        <w:rPr/>
      </w:pPr>
      <w:bookmarkEnd w:id="599"/>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نتائج الأفکار فی بیان حکم المقیمین فی الأسفار؛ للشهید الثانی رحمه اللّه، فرغ عنه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فی مقدّمات الاصول؛ للشیخ المفید رحمه اللّه، کتبه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 نسخة قدیمة بخطّ أحمد بن حسین بن العودی الحلّی من القرن الثامن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 لعلیّ بن طاوس رحمه اللّه</w:t>
      </w:r>
      <w:r>
        <w:rPr>
          <w:rFonts w:eastAsia="IRNazanin" w:cs="IRNazanin"/>
          <w:color w:val="111111"/>
          <w:sz w:val="28"/>
          <w:szCs w:val="28"/>
          <w:rtl w:val="true"/>
          <w:lang w:bidi="fa-IR"/>
        </w:rPr>
        <w:t>.</w:t>
      </w:r>
    </w:p>
    <w:p>
      <w:pPr>
        <w:pStyle w:val="Heading4"/>
        <w:numPr>
          <w:ilvl w:val="3"/>
          <w:numId w:val="1"/>
        </w:numPr>
        <w:rPr/>
      </w:pPr>
      <w:bookmarkStart w:id="600" w:name="__RefHeading___Toc3055843_2314609296"/>
      <w:bookmarkStart w:id="601" w:name="_Toc225"/>
      <w:bookmarkEnd w:id="600"/>
      <w:r>
        <w:rPr>
          <w:rtl w:val="true"/>
        </w:rPr>
        <w:t>الخاتمة</w:t>
      </w:r>
      <w:bookmarkEnd w:id="601"/>
    </w:p>
    <w:p>
      <w:pPr>
        <w:pStyle w:val="BookText"/>
        <w:rPr/>
      </w:pPr>
      <w:r>
        <w:rPr>
          <w:rFonts w:ascii="IRNazanin" w:hAnsi="IRNazanin" w:eastAsia="IRNazanin"/>
          <w:color w:val="111111"/>
          <w:sz w:val="28"/>
          <w:sz w:val="28"/>
          <w:szCs w:val="28"/>
          <w:rtl w:val="true"/>
          <w:lang w:bidi="fa-IR"/>
        </w:rPr>
        <w:t>و فی خاتمة هذا التمهید نشکر اللّه و نحمده علی توفیقه و نصرته إیّانا فی تصحیح هذه الباقیة الوزینة، رغم الصعوبات التی أشرنا إلیها سابقا، و نعتقد بأنّ الحکم فی جودة التحقیق و التصحیح أمر متروک للقارئ، و لا تثبت بالادّعاء فقط، و لعمری إنّ المحقّق یکون لأنواع النقود خاضعا خاشعا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بدّ أن أشکر من أخی المعظّم المحقّق حجّة الإسلام الشیخ محمّد حسین الدرایتی و مساعدیه الذین یسعون جدّا فی إحیاء هذا التراث الإسلامیّ فی مکتبة الفقه، جعله اللّه و إیّای فی عباده الذین یجاهدون فی سبیل اللّه، مخلصین له الدین، و اللّه علی کلّ شی‌ء قدیر، و آخر دعوانا أن الحمد للّه ربّ العالمین</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 بخطّ المؤلف</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 بخطّ المؤلف</w:t>
      </w:r>
      <w:bookmarkStart w:id="602" w:name="pg19819_193880"/>
    </w:p>
    <w:p>
      <w:pPr>
        <w:pStyle w:val="Heading3"/>
        <w:numPr>
          <w:ilvl w:val="2"/>
          <w:numId w:val="1"/>
        </w:numPr>
        <w:rPr/>
      </w:pPr>
      <w:bookmarkStart w:id="603" w:name="__RefHeading___Toc3055845_2314609296"/>
      <w:bookmarkStart w:id="604" w:name="_Toc226"/>
      <w:bookmarkEnd w:id="602"/>
      <w:bookmarkEnd w:id="603"/>
      <w:r>
        <w:rPr>
          <w:rtl w:val="true"/>
        </w:rPr>
        <w:t>[</w:t>
      </w:r>
      <w:r>
        <w:rPr>
          <w:rtl w:val="true"/>
        </w:rPr>
        <w:t>التحقیق فی الکتاب التسامح فی أدلّة السنن</w:t>
      </w:r>
      <w:r>
        <w:rPr>
          <w:rtl w:val="true"/>
        </w:rPr>
        <w:t>]</w:t>
      </w:r>
      <w:bookmarkEnd w:id="604"/>
    </w:p>
    <w:p>
      <w:pPr>
        <w:pStyle w:val="Heading4"/>
        <w:numPr>
          <w:ilvl w:val="3"/>
          <w:numId w:val="1"/>
        </w:numPr>
        <w:rPr/>
      </w:pPr>
      <w:bookmarkStart w:id="605" w:name="__RefHeading___Toc3055847_2314609296"/>
      <w:bookmarkStart w:id="606" w:name="_Toc227"/>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التسامح فی أدلّة السنن بسم اللّه الرحمن الرحیم</w:t>
      </w:r>
    </w:p>
    <w:p>
      <w:pPr>
        <w:pStyle w:val="BookText"/>
        <w:rPr/>
      </w:pPr>
      <w:r>
        <w:rPr>
          <w:rFonts w:ascii="IRNazanin" w:hAnsi="IRNazanin" w:eastAsia="IRNazanin"/>
          <w:color w:val="111111"/>
          <w:sz w:val="28"/>
          <w:sz w:val="28"/>
          <w:szCs w:val="28"/>
          <w:rtl w:val="true"/>
          <w:lang w:bidi="fa-IR"/>
        </w:rPr>
        <w:t>و الحمد له، و الصلاة علی نبیّه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ذهب إلیه جمع کثیر من أصحابنا، فلا بأس قبل إشباعه بتنقیح کونه من مسائل الفروع أو الاصول؛ لاختلاف آثارهما</w:t>
      </w:r>
      <w:r>
        <w:rPr>
          <w:rFonts w:eastAsia="IRNazanin" w:cs="IRNazanin"/>
          <w:color w:val="111111"/>
          <w:sz w:val="28"/>
          <w:szCs w:val="28"/>
          <w:rtl w:val="true"/>
          <w:lang w:bidi="fa-IR"/>
        </w:rPr>
        <w:t>.</w:t>
      </w:r>
    </w:p>
    <w:p>
      <w:pPr>
        <w:pStyle w:val="Heading4"/>
        <w:numPr>
          <w:ilvl w:val="3"/>
          <w:numId w:val="1"/>
        </w:numPr>
        <w:rPr/>
      </w:pPr>
      <w:bookmarkStart w:id="607" w:name="__RefHeading___Toc3055849_2314609296"/>
      <w:bookmarkStart w:id="608" w:name="_Toc228"/>
      <w:bookmarkEnd w:id="607"/>
      <w:r>
        <w:rPr>
          <w:rtl w:val="true"/>
        </w:rPr>
        <w:t>[</w:t>
      </w:r>
      <w:r>
        <w:rPr>
          <w:rtl w:val="true"/>
        </w:rPr>
        <w:t>قاعدة التسامح مسألة اصولیّة أم فقهیّة؟</w:t>
      </w:r>
      <w:r>
        <w:rPr>
          <w:rtl w:val="true"/>
        </w:rPr>
        <w:t>]</w:t>
      </w:r>
      <w:bookmarkEnd w:id="60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یرجّح کون المسألة اصولیّة بأنّ دلیل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الأخبار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اعتبار الخبر الضعیف و أشباهه فی مقام إثبات الاستحباب و نحوه، نظیر ما یثبت أدلّة حجّیّة الخبر الصحیح مطلقا؛ فإنّ کلّا یفید جواز العمل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إلیه</w:t>
      </w:r>
      <w:r>
        <w:rPr>
          <w:rStyle w:val="FootnoteAnchor"/>
          <w:rtl w:val="true"/>
        </w:rPr>
        <w:footnoteReference w:id="2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فی موارد کون الحکم إلزامیّا أمر ثابت بخصوصیّة المورد، إلّا أنّ هذا الوجه یقتضی کونها من مبادئ المسائل الاصولیّة بناء علی کون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 الثابت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8"/>
      </w:r>
      <w:r>
        <w:rPr>
          <w:rFonts w:ascii="IRNazanin" w:hAnsi="IRNazanin" w:eastAsia="IRNazanin"/>
          <w:color w:val="111111"/>
          <w:sz w:val="28"/>
          <w:sz w:val="28"/>
          <w:szCs w:val="28"/>
          <w:rtl w:val="true"/>
          <w:lang w:bidi="fa-IR"/>
        </w:rPr>
        <w:t>دون أصل مسائل الفقه و الاصول، و یدخل فی الاصول بناء علی القول الآخر،</w:t>
      </w:r>
      <w:r>
        <w:rPr>
          <w:rStyle w:val="FootnoteAnchor"/>
          <w:rtl w:val="true"/>
        </w:rPr>
        <w:footnoteReference w:id="2049"/>
      </w:r>
      <w:r>
        <w:rPr>
          <w:rFonts w:ascii="IRNazanin" w:hAnsi="IRNazanin" w:eastAsia="IRNazanin"/>
          <w:color w:val="111111"/>
          <w:sz w:val="28"/>
          <w:sz w:val="28"/>
          <w:szCs w:val="28"/>
          <w:rtl w:val="true"/>
          <w:lang w:bidi="fa-IR"/>
        </w:rPr>
        <w:t>و کذا علی القول بکون الدلیل حقیقة هو قول المعصوم فی المورد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یرجّح الاصولیّة أیضا بأنّها علی ما یستفاد من التحدید بالعلم بالقواعد الممهّدة</w:t>
      </w:r>
    </w:p>
    <w:p>
      <w:pPr>
        <w:pStyle w:val="BookText"/>
        <w:rPr/>
      </w:pPr>
      <w:r>
        <w:rPr>
          <w:rFonts w:ascii="IRNazanin" w:hAnsi="IRNazanin" w:eastAsia="IRNazanin"/>
          <w:color w:val="111111"/>
          <w:sz w:val="28"/>
          <w:sz w:val="28"/>
          <w:szCs w:val="28"/>
          <w:rtl w:val="true"/>
          <w:lang w:bidi="fa-IR"/>
        </w:rPr>
        <w:t>لاستنباط الأحکام الشرعیّة عن أدلّتها التفصیلیّة،</w:t>
      </w:r>
      <w:r>
        <w:rPr>
          <w:rStyle w:val="FootnoteAnchor"/>
          <w:rtl w:val="true"/>
        </w:rPr>
        <w:footnoteReference w:id="2050"/>
      </w:r>
      <w:r>
        <w:rPr>
          <w:rFonts w:ascii="IRNazanin" w:hAnsi="IRNazanin" w:eastAsia="IRNazanin"/>
          <w:color w:val="111111"/>
          <w:sz w:val="28"/>
          <w:sz w:val="28"/>
          <w:szCs w:val="28"/>
          <w:rtl w:val="true"/>
          <w:lang w:bidi="fa-IR"/>
        </w:rPr>
        <w:t>الظاهر فی اختصاص ذلک الحکم بالفقیه بواسطة قدرته علی الاستنباط، و عدم تمکّن العامی منه بواسطة توقّفه علی امور یجهلها</w:t>
      </w:r>
      <w:r>
        <w:rPr>
          <w:rStyle w:val="FootnoteAnchor"/>
          <w:rtl w:val="true"/>
        </w:rPr>
        <w:footnoteReference w:id="2051"/>
      </w:r>
      <w:r>
        <w:rPr>
          <w:rFonts w:ascii="Amiri" w:hAnsi="Amiri" w:eastAsia="Amiri" w:cs="Amiri"/>
          <w:color w:val="111111"/>
          <w:sz w:val="28"/>
          <w:sz w:val="28"/>
          <w:szCs w:val="28"/>
          <w:rtl w:val="true"/>
          <w:lang w:bidi="ar-SA"/>
        </w:rPr>
        <w:t>المکلّف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المسائل الفقهیّة ما لا یختصّ بالفقیه بما هو فقیه، بمعنی أنّه بعد ما حصّلت المسألة و برهن علیها، فإمّا أن یجوز العمل فی مواردها لخصوص الفقیه، فتکون اصولیّة، و إلّا فهی قضیّة تشترک بینه و العامی، و بعد إثبات جواز التسامح فهذه المسألة لا تنفع للعامی؛ لتوقّف إعماله علی فهم الدلالة، و إحراز عدم وجود المعارض، و نفی احتمال الحرمة، و نحو ذلک</w:t>
      </w:r>
      <w:r>
        <w:rPr>
          <w:rFonts w:eastAsia="IRNazanin" w:cs="IRNazanin"/>
          <w:color w:val="111111"/>
          <w:sz w:val="28"/>
          <w:szCs w:val="28"/>
          <w:rtl w:val="true"/>
          <w:lang w:bidi="fa-IR"/>
        </w:rPr>
        <w:t>.</w:t>
      </w:r>
      <w:r>
        <w:rPr>
          <w:rStyle w:val="FootnoteAnchor"/>
          <w:rtl w:val="true"/>
        </w:rPr>
        <w:footnoteReference w:id="2052"/>
      </w:r>
    </w:p>
    <w:p>
      <w:pPr>
        <w:pStyle w:val="BookText"/>
        <w:rPr/>
      </w:pPr>
      <w:r>
        <w:rPr>
          <w:rFonts w:ascii="IRNazanin" w:hAnsi="IRNazanin" w:eastAsia="IRNazanin"/>
          <w:color w:val="111111"/>
          <w:sz w:val="28"/>
          <w:sz w:val="28"/>
          <w:szCs w:val="28"/>
          <w:rtl w:val="true"/>
          <w:lang w:bidi="fa-IR"/>
        </w:rPr>
        <w:t>و من خواصّ المسألة الاصولیّة أنّها لا تنفع فی العمل ما لم تنضمّ إلیه صرف قوّة الاجتهاد و استعمال ملکته، فلا تفید المقلّد بخلاف المسائل الفروعیّة؛ فإنّها إذا أتقنها المجتهد علی الوجه الذی استنبطها من الأدلّة جاز إلقاؤها إلی المقلّد لیعمل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تبیین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ما ذکرنا ظهر لک أنّ قاعدة التسامح مسألة اصولیّة؛ لأنّها بعد إتقانها و استنباط ما هو مراد الشارع منها من غالب الأخبار المتقدّمة، فهی شی‌ء یرجع إلیه المجتهد فی استحباب الأفعال، و لیس ما ینفع المقلّد فی شی‌ء؛ لأنّ العمل بها یحتاج إلی إعمال ملکة الاجتهاد، و صرف القوّة القدسیّة فی استنباط مدلول الخبر، و الفحص عن معارضه الراجح علیه، أو المساوی له، 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فقهیّة، 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مسألة البراءة و الاحتیاط، و ذلک لتوقّف إعمالها فی الموارد علی العلم بعدم وجود الدلیل،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بخلاف قاعدة الضرر و نفی الحرج؛ فإنّهما بعد إثباتهما من مأخذهما لا حاجة إلی استنباط فی إعمالهما، فتکونان من المسائل الفقهیّة التی یعمل بها المقلّد بعد ما أخذها من الفقیه علی نحو الکلّیّة أو غیرها یفسّر الموارد</w:t>
      </w:r>
      <w:r>
        <w:rPr>
          <w:rStyle w:val="FootnoteAnchor"/>
          <w:rtl w:val="true"/>
        </w:rPr>
        <w:footnoteReference w:id="2053"/>
      </w:r>
      <w:r>
        <w:rPr>
          <w:rFonts w:ascii="IRNazanin" w:hAnsi="IRNazanin" w:eastAsia="IRNazanin"/>
          <w:color w:val="111111"/>
          <w:sz w:val="28"/>
          <w:sz w:val="28"/>
          <w:szCs w:val="28"/>
          <w:rtl w:val="true"/>
          <w:lang w:bidi="fa-IR"/>
        </w:rPr>
        <w:t>، و ذلک الاستصحاب فی الأحکام الکلّیّة،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الخدشة فی الموردین</w:t>
      </w:r>
      <w:r>
        <w:rPr>
          <w:rFonts w:eastAsia="IRNazanin" w:cs="IRNazanin"/>
          <w:color w:val="111111"/>
          <w:sz w:val="28"/>
          <w:szCs w:val="28"/>
          <w:rtl w:val="true"/>
          <w:lang w:bidi="fa-IR"/>
        </w:rPr>
        <w:t>:</w:t>
      </w:r>
      <w:r>
        <w:rPr>
          <w:rStyle w:val="FootnoteAnchor"/>
          <w:rtl w:val="true"/>
        </w:rPr>
        <w:footnoteReference w:id="2054"/>
      </w:r>
    </w:p>
    <w:p>
      <w:pPr>
        <w:pStyle w:val="BookText"/>
        <w:rPr/>
      </w:pPr>
      <w:r>
        <w:rPr>
          <w:rFonts w:ascii="IRNazanin" w:hAnsi="IRNazanin" w:eastAsia="IRNazanin"/>
          <w:color w:val="111111"/>
          <w:sz w:val="28"/>
          <w:sz w:val="28"/>
          <w:szCs w:val="28"/>
          <w:rtl w:val="true"/>
          <w:lang w:bidi="fa-IR"/>
        </w:rPr>
        <w:t>أمّا الأوّل، فبوضوح الفرق بین مفاد أدلّة التسامح و أدلّة اعتبار الأمارات، و ذلک لوضوح أنّ المستفاد من أدلّة الأمارات اعتبارها بعنوان کاشفیّتها عن الواقع، و الاتّکال إلیها من تلک الجهة، و الحاصل وضوح کون الأمر فی الأمارات لإحراز الأحکام الواقعیّة فی مواردها، و کون الاعتبار من أجل کاشفیّتها عنها ظنّا بخلاف ما نحن فیه؛ فإنّ الظاهر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عطاء من اللّه لمجرّد العمل له، و أن لا نظر فیها إلی مطابقة الأخبار للواقع و صدقها؛ بدلیل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الأمر کما بلغه</w:t>
      </w:r>
      <w:r>
        <w:rPr>
          <w:rFonts w:eastAsia="IRNazanin" w:cs="IRNazanin"/>
          <w:color w:val="111111"/>
          <w:sz w:val="28"/>
          <w:szCs w:val="28"/>
          <w:rtl w:val="true"/>
          <w:lang w:bidi="fa-IR"/>
        </w:rPr>
        <w:t>»</w:t>
      </w:r>
      <w:r>
        <w:rPr>
          <w:rStyle w:val="FootnoteAnchor"/>
          <w:rtl w:val="true"/>
        </w:rPr>
        <w:footnoteReference w:id="2055"/>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بإعطاء الثواب البالغ نظیر الحکم المجعول فی مورد الشکّ و أمثاله من الموضوعات المرکّبة الملحوظة بعناوینها، حیث لا نظر فیها إلی مطابقتها للواقع، و إن کان الواقع أنّ الشارع لم یجعل للشاکّ إلّا ما هو أغلب مطابقة لحکمه الواقعی فی موارد الشکّ، بمقتضی مصلحة الأحکام الواقعیّة؛ فإنّ مجرّد ذلک لا یقتضی کون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الأماریّة</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فله حینئذ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بین المقامین، حیث إنّ الاعتبار فی الأمارة من أجل الکاشفیّة، فتکون جهة معتبرة بخلاف ما نحن فیه، فلم یلحظ فیه الکاشفیّة، و الحکم بإعطاء الثواب حکم ثابت عن تفضّل، مع قطع النظر عن المطابقة</w:t>
      </w:r>
    </w:p>
    <w:p>
      <w:pPr>
        <w:pStyle w:val="BookText"/>
        <w:rPr/>
      </w:pPr>
      <w:r>
        <w:rPr>
          <w:rFonts w:ascii="IRNazanin" w:hAnsi="IRNazanin" w:eastAsia="IRNazanin"/>
          <w:color w:val="111111"/>
          <w:sz w:val="28"/>
          <w:sz w:val="28"/>
          <w:szCs w:val="28"/>
          <w:rtl w:val="true"/>
          <w:lang w:bidi="fa-IR"/>
        </w:rPr>
        <w:t>و عدمها، فهو أجر عمل خاصّ بعنوانه الظاهری، و لم یثبت فیه ملاحظة وجود الواقع و المطابقة للأحکام الواقعیّة، و الفوز بالأخذ بها، و إن کان الداعی إلی جعل ذلک الحکم القطعی حادثة</w:t>
      </w:r>
      <w:r>
        <w:rPr>
          <w:rStyle w:val="FootnoteAnchor"/>
          <w:rtl w:val="true"/>
        </w:rPr>
        <w:footnoteReference w:id="2056"/>
      </w:r>
      <w:r>
        <w:rPr>
          <w:rFonts w:ascii="IRNazanin" w:hAnsi="IRNazanin" w:eastAsia="IRNazanin"/>
          <w:color w:val="111111"/>
          <w:sz w:val="28"/>
          <w:sz w:val="28"/>
          <w:szCs w:val="28"/>
          <w:rtl w:val="true"/>
          <w:lang w:bidi="fa-IR"/>
        </w:rPr>
        <w:t>الأحکام الواقعیّة حتّی المقدور، و عدم الوقوع فی خلافها و فوات مصالحها؛ فإنّ مجرّد ذلک لا یقتضی بملاحظة الأمارة فی الخبر الضعیف حتّی یکون إثبات جواز التسامح مثل إثبات حجّیّة سائر الأمارات، فتکون مسألة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فبأنّ المدار فی فقهیّة المسألة علی اشتراک حکم بعد ثبوتها، و حصولها من أدلّتها بین عامّة المکلّفین، و عدم اختصاص ذلک الحکم فی مقام بالفقیه بما هو فقیه و المستنبط، و لا شکّ أنّ البراءة المستفادة من أدلّتها کذلک؛ فإنّ نفی الحرج أو ثبوت الرخصة ممّا لا یختصّ بالفقیه کما لا یخفی، و إن کان الفقیه هو المشخّص لموارد ذلک بملاحظة الأدلّة، و عدم معرفة وجود ما یفید حکم المورد، فإنّ ذلک من مبادئ إعمال الحکم و إحراز موضوعه، و إنّما لا یقدر المقلّد علی ذلک؛ لقصور باعه</w:t>
      </w:r>
      <w:r>
        <w:rPr>
          <w:rStyle w:val="FootnoteAnchor"/>
          <w:rtl w:val="true"/>
        </w:rPr>
        <w:footnoteReference w:id="2057"/>
      </w:r>
      <w:r>
        <w:rPr>
          <w:rFonts w:ascii="Amiri" w:hAnsi="Amiri" w:eastAsia="Amiri" w:cs="Amiri"/>
          <w:color w:val="111111"/>
          <w:sz w:val="28"/>
          <w:sz w:val="28"/>
          <w:szCs w:val="28"/>
          <w:rtl w:val="true"/>
          <w:lang w:bidi="ar-SA"/>
        </w:rPr>
        <w:t>عن فهم الأدلّة و ملاحظة الدلالة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البراءة نفس مدلول تلک الأدلّة، و هو الذی یلقیه الفقیه إلی العامی بعد تشخیص مورده، لا أنّ أخبار البراءة تقتضی شیئا یکون مقتضاه فی مورد فقد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 الواقعة عن الحکم، حتّی یکون مضمون تلک الأخبار ممّا یعمله الفقیه فی استنباط الأحکام الفرعیّة فی الموارد الجزئیّة، و أخبار البراءة فی ثبوت مفادها بأنفسها لعامّة المکلّفین من غیر توسیط شی‌ء آخر، مشارکة لأخبار الوضوء و الصلاة و غیرهما، و لا فرق بینهما من وجه إلّا بسعة مورد تلک الأخبار، و عدم الاختصاص بباب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ذلک حال أدلّة نفی الحرج و نفی الضرر و أمثالهما، و لعلّه واضح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یوضحه أیضا أنّ الحکم فی المسألة الاصولیّة لا بدّ أن یکون من عوارض الأدلّة و أحوالها المحتاجة إلیها فی مقام استنباط الأحکام الواقعیّة الثابتة لأفعال المکلّفین، و من الواضح أنّ مفاد أخبار البراءة و إخوتها کالحکمین و الاستصحاب و أضرابها لیس من أحوال الأدلّة المستعملة فی الاستنباطات حتّی یحکم باصولیّتها، بل مفادها نفس ما یثبت لأفعال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ذلک کلّه ربّما یرجّح کون مسألة التسامح فی أدلّة السنن فی المسائل الاصولیّة، و یوجّه بأنّ الأخبار الآتیة و إن لم تدلّ علی حجّیّة الأخبار المشتملة علی بیان المستحبّات، و کونها ذاتا کاشفة عن الامور الواقعیّة، و مرآة مثل سائر الأدلّة، إلّا أنّها لا یتمّ دلالتها إلّا بإمضاء الأحکام المشتملة علیها تلک الأخبار الضعیفة، بمعنی أنّها لا بدّ أن تکون دالّة علی التعبّد بترتیب الآثار الواقعیّة علی تلک الأحکام، کما یرشد إلیه اعتبار ثبوت شی‌ء من الخبر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أنّ الخبر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نفس الحکم، و لکن بواسطة ضعفها، و عدم حجّیّتها، و عدم کونها أمارة شرعیّة لا یثبت ذلک الاستحباب فی مرحلة الظاهر للمکلّف، و لا یتنجّز علیه، و إن کان ثابتا فی واقعة، ثمّ بعد ورود أخبار التسامح یثبت ذلک المنبأ به فی الخبر الضعیف فی حقّ المکلّف نظیر ما فی سائر الأدلّة؛ فإنّها مع قطع النظر عن حجّیّتها إنّما تدلّ علی ذات الحکم و ثبوته فی الواقع، بحیث ینجّز علی المکلّف أنّما یأتی من قبل دلیل حجّیّة تلک الأدلّة، فکما لا ینفع أصل وجود الخبر فی ثبوته للمکلّف، فکذا دلیل التسامح؛ فإنّه قبل بلوغ شی‌ء لا یدلّ علی ثبوت الحکم فی حقّه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تلک الأخبار و إن لم تدلّ علی حجّیّة الأخبار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مفادها الحجّیّة و الاعتبار، و تکون من المسائل الاصولیّة الواضحة، إلّا أنّها تدلّ علی التعبّد بترتیب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الواقع علی ما اشتملت علیه الأخبار و العمل علیه،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الأحکام الشرعیّة الفرعیّة الثابتة لأفعال المکلّفین، حتّی تکون</w:t>
      </w:r>
    </w:p>
    <w:p>
      <w:pPr>
        <w:pStyle w:val="BookText"/>
        <w:rPr/>
      </w:pPr>
      <w:r>
        <w:rPr>
          <w:rFonts w:ascii="IRNazanin" w:hAnsi="IRNazanin" w:eastAsia="IRNazanin"/>
          <w:color w:val="111111"/>
          <w:sz w:val="28"/>
          <w:sz w:val="28"/>
          <w:szCs w:val="28"/>
          <w:rtl w:val="true"/>
          <w:lang w:bidi="fa-IR"/>
        </w:rPr>
        <w:t>من الأحکام الفقهیّة المشترکة بین الفقه و غیره، فتخرج عنها، و تکون من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توضیح ما سمعناه،</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بشی‌ء منها فله الثواب الواصل إلیه، و یلزم استحباب الإتیان بتحقّق الثواب، و یثبت الاستحباب من تلک الأخبار لتلک الأفعال، فلا یکون مفاد أخبار التسامح قضیّة یعمل بها فی الاستفادة عن تلک الأخبار الضعیفة، و لا دالّة علی التعبّد بالعمل بتلک الضعاف، و ترتیب آثار الواقع علیه، و یکون مضمون الضعاف الواصل إلینا موضوع أخبار التسامح، و ممّا یثبت حکمها عند وجوده، فبلوغ الثواب علی عمل بالنسبة إلی ثبوت الحکم المذکور فیها، مثل السفر بالنسبة إلی وجوب القصر فی الصلاة، أو الاستیلاء بالصلاة فیه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 یخلو عن نظر؛ لأنّ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 لزوم الأخذ بأحکام الأخبار الضعیفة، و التعبّد بترتیب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الواقعیّة من العمل؛ فإنّ العمل من الامور الملحوظة فی الموضوع الخارجة عن الحکم، و التعبّد لو کان إنّما هو فی الحکم المستفاد من أخبار التسامح دون موضوعها و الامور الملحوظة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ملاحظة مدلول ألفاظ الروایات و إن کان یقتضی ذلک، إلّا أنّ استحباب العمل بتلک المستحبّات لدرک الثواب الموعود فی تلک الأخبار لا یثبت إلّا بعد التعبّد بالعمل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بدّ أن یحصل من أخبار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العمل بما بلغکم؛ اعملوا بما بلغکم، و اللّه یعطیکم ثوابه، و إلّا لم یتجه التمسّک بها فی مقام العمل بتلک الأخبار، و تمنع استفادته، فلا یکون العمل بترتیب أثر الواقع علی مضامین تلک الروایات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بین العمل بعد الاطّلاع علی أخبار التسامح و امتثال حکمها الثابت منها و بین العمل بالأخبار الضعیفة مع قطع النظر عنها و أمثالها و ملاحظة مجرّد درک الثواب الموعود فی الخبر الضعیف، و لیس العمل بترتیب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الواقعیّة فی</w:t>
      </w:r>
      <w:bookmarkStart w:id="609" w:name="pg19819_193886"/>
    </w:p>
    <w:p>
      <w:pPr>
        <w:pStyle w:val="BookText"/>
        <w:rPr/>
      </w:pPr>
      <w:bookmarkEnd w:id="609"/>
      <w:r>
        <w:rPr>
          <w:rFonts w:ascii="IRNazanin" w:hAnsi="IRNazanin" w:eastAsia="IRNazanin"/>
          <w:color w:val="111111"/>
          <w:sz w:val="28"/>
          <w:sz w:val="28"/>
          <w:szCs w:val="28"/>
          <w:rtl w:val="true"/>
          <w:lang w:bidi="fa-IR"/>
        </w:rPr>
        <w:t>الثانی، و بتلک الملاحظة، و الثواب الموعود فی أخبار التسامح لیس علی امتثال نفس تلک الأخبار بالضرورة،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أخبار التسامح لا تثبت التعبّد بترتیب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الواقعیّة علی مضمون تلک الأخبار، و إنّما هو وعد ثواب علی فرض العمل، و یثبت الاستحباب بعد تحقّق الثواب بذلک الوعد، و یصحّ الأخذ به علی وجه الواقعیّة لمطلوبیّته، و هذا غیر محلّ البحث،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ثبوت تعبّد فی العمل و استفادته من أخبار التسامح، فهو أیضا لا یوجب کون المسألة اصولیّة</w:t>
      </w:r>
      <w:r>
        <w:rPr>
          <w:rFonts w:eastAsia="IRNazanin" w:cs="IRNazanin"/>
          <w:color w:val="111111"/>
          <w:sz w:val="28"/>
          <w:szCs w:val="28"/>
          <w:rtl w:val="true"/>
          <w:lang w:bidi="fa-IR"/>
        </w:rPr>
        <w:t>.</w:t>
      </w:r>
    </w:p>
    <w:p>
      <w:pPr>
        <w:pStyle w:val="Heading4"/>
        <w:numPr>
          <w:ilvl w:val="3"/>
          <w:numId w:val="1"/>
        </w:numPr>
        <w:rPr/>
      </w:pPr>
      <w:bookmarkStart w:id="610" w:name="__RefHeading___Toc3055851_2314609296"/>
      <w:bookmarkStart w:id="611" w:name="_Toc229"/>
      <w:bookmarkEnd w:id="610"/>
      <w:r>
        <w:rPr>
          <w:rtl w:val="true"/>
        </w:rPr>
        <w:t>[</w:t>
      </w:r>
      <w:r>
        <w:rPr>
          <w:rtl w:val="true"/>
        </w:rPr>
        <w:t>الأخبار التی یستدلّ بها فی قاعدة التسامح</w:t>
      </w:r>
      <w:r>
        <w:rPr>
          <w:rtl w:val="true"/>
        </w:rPr>
        <w:t>]</w:t>
      </w:r>
      <w:bookmarkEnd w:id="611"/>
    </w:p>
    <w:p>
      <w:pPr>
        <w:pStyle w:val="BookText"/>
        <w:rPr/>
      </w:pPr>
      <w:r>
        <w:rPr>
          <w:rFonts w:ascii="IRNazanin" w:hAnsi="IRNazanin" w:eastAsia="IRNazanin"/>
          <w:color w:val="111111"/>
          <w:sz w:val="28"/>
          <w:sz w:val="28"/>
          <w:szCs w:val="28"/>
          <w:rtl w:val="true"/>
          <w:lang w:bidi="fa-IR"/>
        </w:rPr>
        <w:t>و إذا عرفت ذلک، فالذی یستدلّ علیه للحکم أخبار نوردها متروکة الأسناد؛ للاستغناء عن ملاحظتها بالکثرة و اشتهار الحکم روایة و فتوی بین الخاصّة،</w:t>
      </w:r>
      <w:r>
        <w:rPr>
          <w:rStyle w:val="FootnoteAnchor"/>
          <w:rtl w:val="true"/>
        </w:rPr>
        <w:footnoteReference w:id="2059"/>
      </w:r>
    </w:p>
    <w:p>
      <w:pPr>
        <w:pStyle w:val="BookText"/>
        <w:rPr/>
      </w:pPr>
      <w:r>
        <w:rPr>
          <w:rFonts w:ascii="IRNazanin" w:hAnsi="IRNazanin" w:eastAsia="IRNazanin"/>
          <w:color w:val="111111"/>
          <w:sz w:val="28"/>
          <w:sz w:val="28"/>
          <w:szCs w:val="28"/>
          <w:rtl w:val="true"/>
          <w:lang w:bidi="fa-IR"/>
        </w:rPr>
        <w:t xml:space="preserve">رسائل فقهیّة،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بین العامّة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صفوان،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شی‌ء من الثواب علی شی‌ء</w:t>
      </w:r>
      <w:r>
        <w:rPr>
          <w:rStyle w:val="FootnoteAnchor"/>
          <w:rtl w:val="true"/>
        </w:rPr>
        <w:footnoteReference w:id="2060"/>
      </w:r>
      <w:r>
        <w:rPr>
          <w:rFonts w:ascii="IRNazanin" w:hAnsi="IRNazanin" w:eastAsia="IRNazanin"/>
          <w:color w:val="111111"/>
          <w:sz w:val="28"/>
          <w:sz w:val="28"/>
          <w:szCs w:val="28"/>
          <w:rtl w:val="true"/>
          <w:lang w:bidi="fa-IR"/>
        </w:rPr>
        <w:t>من الخیر</w:t>
      </w:r>
      <w:r>
        <w:rPr>
          <w:rStyle w:val="FootnoteAnchor"/>
          <w:rtl w:val="true"/>
        </w:rPr>
        <w:footnoteReference w:id="2061"/>
      </w:r>
      <w:r>
        <w:rPr>
          <w:rFonts w:ascii="IRNazanin" w:hAnsi="IRNazanin" w:eastAsia="IRNazanin"/>
          <w:color w:val="111111"/>
          <w:sz w:val="28"/>
          <w:sz w:val="28"/>
          <w:szCs w:val="28"/>
          <w:rtl w:val="true"/>
          <w:lang w:bidi="fa-IR"/>
        </w:rPr>
        <w:t>، فعمل به،</w:t>
      </w:r>
      <w:r>
        <w:rPr>
          <w:rStyle w:val="FootnoteAnchor"/>
          <w:rtl w:val="true"/>
        </w:rPr>
        <w:footnoteReference w:id="2062"/>
      </w:r>
      <w:r>
        <w:rPr>
          <w:rFonts w:ascii="IRNazanin" w:hAnsi="IRNazanin" w:eastAsia="IRNazanin"/>
          <w:color w:val="111111"/>
          <w:sz w:val="28"/>
          <w:sz w:val="28"/>
          <w:szCs w:val="28"/>
          <w:rtl w:val="true"/>
          <w:lang w:bidi="fa-IR"/>
        </w:rPr>
        <w:t>کان له أجر ذلک و إن کان رسول اللّه صلّی اللّه علیه و آله لم یقله</w:t>
      </w:r>
      <w:r>
        <w:rPr>
          <w:rFonts w:eastAsia="IRNazanin" w:cs="IRNazanin"/>
          <w:color w:val="111111"/>
          <w:sz w:val="28"/>
          <w:szCs w:val="28"/>
          <w:rtl w:val="true"/>
          <w:lang w:bidi="fa-IR"/>
        </w:rPr>
        <w:t>».</w:t>
      </w:r>
      <w:r>
        <w:rPr>
          <w:rStyle w:val="FootnoteAnchor"/>
          <w:rtl w:val="true"/>
        </w:rPr>
        <w:footnoteReference w:id="20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عن النبیّ صلّی اللّه علیه و آله شی‌ء من الثواب، فعمله، کان أجر ذلک له و إن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Fonts w:eastAsia="IRNazanin" w:cs="IRNazanin"/>
          <w:color w:val="111111"/>
          <w:sz w:val="28"/>
          <w:szCs w:val="28"/>
          <w:rtl w:val="true"/>
          <w:lang w:bidi="fa-IR"/>
        </w:rPr>
        <w:t>».</w:t>
      </w:r>
      <w:r>
        <w:rPr>
          <w:rStyle w:val="FootnoteAnchor"/>
          <w:rtl w:val="true"/>
        </w:rPr>
        <w:footnoteReference w:id="2064"/>
      </w:r>
    </w:p>
    <w:p>
      <w:pPr>
        <w:pStyle w:val="BookText"/>
        <w:rPr/>
      </w:pPr>
      <w:r>
        <w:rPr>
          <w:rFonts w:ascii="IRNazanin" w:hAnsi="IRNazanin" w:eastAsia="IRNazanin"/>
          <w:color w:val="111111"/>
          <w:sz w:val="28"/>
          <w:sz w:val="28"/>
          <w:szCs w:val="28"/>
          <w:rtl w:val="true"/>
          <w:lang w:bidi="fa-IR"/>
        </w:rPr>
        <w:t xml:space="preserve">و عنه فی 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 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المجلسی رحمه اللّه فی البحار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المشهورات، رواه الخاصّة و العامّة بأسانید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ألحقه الشیخ الأنصاری رحمه اللّه بالصحاح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فقهیّة،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مروان،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w:t>
      </w:r>
      <w:r>
        <w:rPr>
          <w:rStyle w:val="FootnoteAnchor"/>
          <w:rtl w:val="true"/>
        </w:rPr>
        <w:footnoteReference w:id="2065"/>
      </w:r>
      <w:r>
        <w:rPr>
          <w:rFonts w:ascii="IRNazanin" w:hAnsi="IRNazanin" w:eastAsia="IRNazanin"/>
          <w:color w:val="111111"/>
          <w:sz w:val="28"/>
          <w:sz w:val="28"/>
          <w:szCs w:val="28"/>
          <w:rtl w:val="true"/>
          <w:lang w:bidi="fa-IR"/>
        </w:rPr>
        <w:t xml:space="preserve">الثواب، ففعل ذلک طلب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له ذلک الثواب و إن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Fonts w:eastAsia="IRNazanin" w:cs="IRNazanin"/>
          <w:color w:val="111111"/>
          <w:sz w:val="28"/>
          <w:szCs w:val="28"/>
          <w:rtl w:val="true"/>
          <w:lang w:bidi="fa-IR"/>
        </w:rPr>
        <w:t>».</w:t>
      </w:r>
      <w:r>
        <w:rPr>
          <w:rStyle w:val="FootnoteAnchor"/>
          <w:rtl w:val="true"/>
        </w:rPr>
        <w:footnoteReference w:id="20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شیئا من الثواب علی شی‌ء، فصنعه، کان له</w:t>
      </w:r>
      <w:r>
        <w:rPr>
          <w:rStyle w:val="FootnoteAnchor"/>
          <w:rtl w:val="true"/>
        </w:rPr>
        <w:footnoteReference w:id="2067"/>
      </w:r>
      <w:r>
        <w:rPr>
          <w:rFonts w:ascii="IRNazanin" w:hAnsi="IRNazanin" w:eastAsia="IRNazanin"/>
          <w:color w:val="111111"/>
          <w:sz w:val="28"/>
          <w:sz w:val="28"/>
          <w:szCs w:val="28"/>
          <w:rtl w:val="true"/>
          <w:lang w:bidi="fa-IR"/>
        </w:rPr>
        <w:t>و إن لم یکن علی ما بلغه</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9"/>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فی الإقبال،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الشیخ الأنصاری رحمه اللّه الخبر بالحسن کالصحیح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فقهیّة،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مروان،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من اللّه علی عمل، فعمل ذلک العمل التماس ذلک الثواب، اوتیه و إن لم یکن الحدیث کما بلغه</w:t>
      </w:r>
      <w:r>
        <w:rPr>
          <w:rFonts w:eastAsia="IRNazanin" w:cs="IRNazanin"/>
          <w:color w:val="111111"/>
          <w:sz w:val="28"/>
          <w:szCs w:val="28"/>
          <w:rtl w:val="true"/>
          <w:lang w:bidi="fa-IR"/>
        </w:rPr>
        <w:t>».</w:t>
      </w:r>
      <w:r>
        <w:rPr>
          <w:rStyle w:val="FootnoteAnchor"/>
          <w:rtl w:val="true"/>
        </w:rPr>
        <w:footnoteReference w:id="2070"/>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الکلینی بطرقه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شی‌ء من الخیر، فعمل به، کان له من</w:t>
      </w:r>
      <w:bookmarkStart w:id="612" w:name="pg19819_193888"/>
    </w:p>
    <w:p>
      <w:pPr>
        <w:pStyle w:val="BookText"/>
        <w:rPr/>
      </w:pPr>
      <w:bookmarkEnd w:id="612"/>
      <w:r>
        <w:rPr>
          <w:rFonts w:ascii="IRNazanin" w:hAnsi="IRNazanin" w:eastAsia="IRNazanin"/>
          <w:color w:val="111111"/>
          <w:sz w:val="28"/>
          <w:sz w:val="28"/>
          <w:szCs w:val="28"/>
          <w:rtl w:val="true"/>
          <w:lang w:bidi="fa-IR"/>
        </w:rPr>
        <w:t>الثواب ما بلغه و إن لم یکن الأمر کما نقل إلیه</w:t>
      </w:r>
      <w:r>
        <w:rPr>
          <w:rFonts w:eastAsia="IRNazanin" w:cs="IRNazanin"/>
          <w:color w:val="111111"/>
          <w:sz w:val="28"/>
          <w:szCs w:val="28"/>
          <w:rtl w:val="true"/>
          <w:lang w:bidi="fa-IR"/>
        </w:rPr>
        <w:t>».</w:t>
      </w:r>
      <w:r>
        <w:rPr>
          <w:rStyle w:val="FootnoteAnchor"/>
          <w:rtl w:val="true"/>
        </w:rPr>
        <w:footnoteReference w:id="2071"/>
      </w:r>
    </w:p>
    <w:p>
      <w:pPr>
        <w:pStyle w:val="BookText"/>
        <w:rPr/>
      </w:pP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فی 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الإقبال،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شی‌ء من الخیر، فعمل به،</w:t>
      </w:r>
      <w:r>
        <w:rPr>
          <w:rStyle w:val="FootnoteAnchor"/>
          <w:rtl w:val="true"/>
        </w:rPr>
        <w:footnoteReference w:id="2072"/>
      </w:r>
      <w:r>
        <w:rPr>
          <w:rFonts w:ascii="IRNazanin" w:hAnsi="IRNazanin" w:eastAsia="IRNazanin"/>
          <w:color w:val="111111"/>
          <w:sz w:val="28"/>
          <w:sz w:val="28"/>
          <w:szCs w:val="28"/>
          <w:rtl w:val="true"/>
          <w:lang w:bidi="fa-IR"/>
        </w:rPr>
        <w:t>کان له</w:t>
      </w:r>
      <w:r>
        <w:rPr>
          <w:rStyle w:val="FootnoteAnchor"/>
          <w:rtl w:val="true"/>
        </w:rPr>
        <w:footnoteReference w:id="2073"/>
      </w:r>
      <w:r>
        <w:rPr>
          <w:rFonts w:ascii="IRNazanin" w:hAnsi="IRNazanin" w:eastAsia="IRNazanin"/>
          <w:color w:val="111111"/>
          <w:sz w:val="28"/>
          <w:sz w:val="28"/>
          <w:szCs w:val="28"/>
          <w:rtl w:val="true"/>
          <w:lang w:bidi="fa-IR"/>
        </w:rPr>
        <w:t>ذلک و إن لم یکن الأمر کما بلغه</w:t>
      </w:r>
      <w:r>
        <w:rPr>
          <w:rFonts w:eastAsia="IRNazanin" w:cs="IRNazanin"/>
          <w:color w:val="111111"/>
          <w:sz w:val="28"/>
          <w:szCs w:val="28"/>
          <w:rtl w:val="true"/>
          <w:lang w:bidi="fa-IR"/>
        </w:rPr>
        <w:t>».</w:t>
      </w:r>
      <w:r>
        <w:rPr>
          <w:rStyle w:val="FootnoteAnchor"/>
          <w:rtl w:val="true"/>
        </w:rPr>
        <w:footnoteReference w:id="2074"/>
      </w:r>
    </w:p>
    <w:p>
      <w:pPr>
        <w:pStyle w:val="Heading4"/>
        <w:numPr>
          <w:ilvl w:val="3"/>
          <w:numId w:val="1"/>
        </w:numPr>
        <w:rPr/>
      </w:pPr>
      <w:bookmarkStart w:id="613" w:name="__RefHeading___Toc3055853_2314609296"/>
      <w:bookmarkStart w:id="614" w:name="_Toc230"/>
      <w:bookmarkEnd w:id="613"/>
      <w:r>
        <w:rPr>
          <w:rtl w:val="true"/>
        </w:rPr>
        <w:t>[</w:t>
      </w:r>
      <w:r>
        <w:rPr>
          <w:rtl w:val="true"/>
        </w:rPr>
        <w:t>ما اورد علی التمسّک بالأخبار التی یستدلّ بها فی قاعدة التسامح</w:t>
      </w:r>
      <w:r>
        <w:rPr>
          <w:rtl w:val="true"/>
        </w:rPr>
        <w:t>]</w:t>
      </w:r>
      <w:bookmarkEnd w:id="614"/>
    </w:p>
    <w:p>
      <w:pPr>
        <w:pStyle w:val="BookText"/>
        <w:rPr/>
      </w:pPr>
      <w:r>
        <w:rPr>
          <w:rFonts w:ascii="IRNazanin" w:hAnsi="IRNazanin" w:eastAsia="IRNazanin"/>
          <w:color w:val="111111"/>
          <w:sz w:val="28"/>
          <w:sz w:val="28"/>
          <w:szCs w:val="28"/>
          <w:rtl w:val="true"/>
          <w:lang w:bidi="fa-IR"/>
        </w:rPr>
        <w:t>و قد اورد علی التمسّک بها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قصد القربة مأخوذ فی المستحبّات، فلا تکون نفس تلک الأخبار مثبتا للأمر، و لا بدّ أن یراد بلوغ مقدار من الثواب و إعطائه و إن لم یکن کما بلغه، دون مشروعیّته،</w:t>
      </w:r>
      <w:r>
        <w:rPr>
          <w:rStyle w:val="FootnoteAnchor"/>
          <w:rtl w:val="true"/>
        </w:rPr>
        <w:footnoteReference w:id="2075"/>
      </w:r>
      <w:r>
        <w:rPr>
          <w:rFonts w:ascii="IRNazanin" w:hAnsi="IRNazanin" w:eastAsia="IRNazanin"/>
          <w:color w:val="111111"/>
          <w:sz w:val="28"/>
          <w:sz w:val="28"/>
          <w:szCs w:val="28"/>
          <w:rtl w:val="true"/>
          <w:lang w:bidi="fa-IR"/>
        </w:rPr>
        <w:t>و لعلّ لذلک قیّد شیخ الوسائل عنوان بابه</w:t>
      </w:r>
      <w:r>
        <w:rPr>
          <w:rFonts w:eastAsia="IRNazanin" w:cs="IRNazanin"/>
          <w:color w:val="111111"/>
          <w:sz w:val="28"/>
          <w:szCs w:val="28"/>
          <w:rtl w:val="true"/>
          <w:lang w:bidi="fa-IR"/>
        </w:rPr>
        <w:t>.</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الاستحباب علی التقرّبیّة، و هو أمر ثابت فی نفس العمل، و الذی یکشف عنه، فلا مانع من العمل بظاهر الأخبار، و اختصاص بعضها ببلوغ مقدار من الثواب، دون أصل المشروعیّة لا یقدح فی ظهور الباقی، حتّی مع اتّحاد الراوی؛ لجواز تعدّد التسامح، و کون الخاصّ مرویّا بالمعنی لعدم جواز التعبیر بالعامّ عن خاصّ، إلّا أن یدّعی وجود الصارف مطلقا إلی شهرة الحکم کما عرفت، و کون المورد من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یقیّد فیها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خاصّ بما ورد فیه محض الثواب، و لا یشمل ما ورد فیه عقاب، أو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فیمکن الإلزام بخروجه بتخصیص التسامح بالمندوب، و عدم إجرائه فی المکروه، و ستعرف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الشمول بواسطة صدق بلوغ ثواب علی شی‌ء من الخیر؛ فإنّ ترک المکروه تعبّدا له ثواب،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الأخبار تصرف عن ذلک، و التفصیل 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فإطلاق الأخبار یدفعه، حیث جعل المناط علی بلوغ الثواب، و لم یضرّ عدم بلوغ شی‌ء آخر، و لعلّ نقصان العمل بما بلغ مع وجود معارض له فی هذه الأخبار لا مماثلة فیه، مع أنّ الالتزام بأصل خروج مثله أیضا لا یضرّ بالاستدلال؛ فإنّ الغرض إثبات الحکم فی مورد صدق البلوغ عرفا، و إمکان العمل، أو تحفّظه کذلک، و لا یضرّنا ما خرج عنه موضوعا</w:t>
      </w:r>
      <w:r>
        <w:rPr>
          <w:rFonts w:eastAsia="IRNazanin" w:cs="IRNazanin"/>
          <w:color w:val="111111"/>
          <w:sz w:val="28"/>
          <w:szCs w:val="28"/>
          <w:rtl w:val="true"/>
          <w:lang w:bidi="fa-IR"/>
        </w:rPr>
        <w:t>.</w:t>
      </w:r>
      <w:r>
        <w:rPr>
          <w:rStyle w:val="FootnoteAnchor"/>
          <w:rtl w:val="true"/>
        </w:rPr>
        <w:footnoteReference w:id="2077"/>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الموعود فی تلک الروایات لا یستلزم الاستحباب؛ لأنّ الظاهر کون الثواب للعمل المتفرّع علی البلوغ، و ما یکون هو الداعی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یرشد إلیه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 و النقل مستقلّ باستحقاق الثواب فیه، فهذه مؤکّدة لحکم العقل، و الأمر فیه إرشادی، و إنّما یمکن استفادة الاستحباب من ذکر الثواب إذا کان ثبوته ببیان شرعی لا یعرف إلّا من قبله، فنقول بما کان لا یکون إلّا مع الإتیان بمطلوب و لا بدّ أن یکون هذا العمل مطلوبا للشارع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أنّ الذی یستقلّ العقل به فی العمل بالاحتیاط هو الوصول إلی المثوبات الثابتة فی الواقع و نفس الأمر مع قطع النظر عنه، و لا شکّ فی اختصاص ذلک بمورد الإصابة، و یستقلّ أیضا بکشفه عن حسن سریرة العبد، و أنّ المولی یعطیه ما یعطی من حسنت سریرته، و هذا فی الحقیقة لا یعدّ ثوابا؛ لخروجه عن جزاء العمل بضرورة جواز منعه، فعدم الاختصاص بمورد الإصابة و المناطة بإتیان تلک الأفعال، و تبیّن ما بلغه من القدر، و نحو ذلک کاشف عن کون الثواب الموعود فی تلک الروایات غیر ما استقلّ به العقل، و کونه وعدا ابتدائیّا لا یعقل ثبوته إلّا مع مطلوبیّة الإتیان بتلک الأفعال شرعا، و یکون الروایات باعتبار الاشتمال علی وعد الثواب الخاصّ دلیل استحباب الفعل کسائر الموارد، فلاحظ</w:t>
      </w:r>
      <w:r>
        <w:rPr>
          <w:rFonts w:eastAsia="IRNazanin" w:cs="IRNazanin"/>
          <w:color w:val="111111"/>
          <w:sz w:val="28"/>
          <w:szCs w:val="28"/>
          <w:rtl w:val="true"/>
          <w:lang w:bidi="fa-IR"/>
        </w:rPr>
        <w:t>.</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و ظاهر الأصحاب أیضا حسن الإتیان لدرک الثواب الموعود فی تلک الأخبار، و لا دلیل علیه،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الشارع لاحظ أنّ عدّة من المستحبّات یفوت من المکلّف بضعف الخبر، و لا یمکنه طلب المعارف، جعل الأمر للکلّ و طلب الکلّ وصولا إلی ذلک الغرض، فیکون الطلب شرعیّا کاشفا عن المصلحة، و إن کان أصل جعل الثواب للاستحقاق، بل لمجرّد التفضّل، مع أنّ التفضّل فی جعل الأمر لا فی إعطاء ما اخبر به، فلاحظ ذلک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للمزید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للمحقّق السبزواری،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عوائد الأیّام للمحقّق النراقی، ص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نهایة الدرایة فی شرح الکفایة،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فوائد الاصول، ص </w:t>
      </w:r>
      <w:r>
        <w:rPr>
          <w:rFonts w:eastAsia="IRNazanin" w:cs="IRNazanin"/>
          <w:color w:val="111111"/>
          <w:sz w:val="28"/>
          <w:szCs w:val="28"/>
          <w:lang w:bidi="fa-IR"/>
        </w:rPr>
        <w:t>410</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الروایات معارضة لأدلّة حرمة العمل بالضعاف، و خبر الفاسق کآیة</w:t>
      </w:r>
    </w:p>
    <w:p>
      <w:pPr>
        <w:pStyle w:val="BookText"/>
        <w:rPr/>
      </w:pPr>
      <w:r>
        <w:rPr>
          <w:rFonts w:ascii="IRNazanin" w:hAnsi="IRNazanin" w:eastAsia="IRNazanin"/>
          <w:color w:val="111111"/>
          <w:sz w:val="28"/>
          <w:sz w:val="28"/>
          <w:szCs w:val="28"/>
          <w:rtl w:val="true"/>
          <w:lang w:bidi="fa-IR"/>
        </w:rPr>
        <w:t>النبأ</w:t>
      </w:r>
      <w:r>
        <w:rPr>
          <w:rStyle w:val="FootnoteAnchor"/>
          <w:rtl w:val="true"/>
        </w:rPr>
        <w:footnoteReference w:id="2079"/>
      </w:r>
      <w:r>
        <w:rPr>
          <w:rFonts w:ascii="IRNazanin" w:hAnsi="IRNazanin" w:eastAsia="IRNazanin"/>
          <w:color w:val="111111"/>
          <w:sz w:val="28"/>
          <w:sz w:val="28"/>
          <w:szCs w:val="28"/>
          <w:rtl w:val="true"/>
          <w:lang w:bidi="fa-IR"/>
        </w:rPr>
        <w:t>فی وجه، و لا أقلّ ممّا دلّ علی لزوم ترک مثل ذلک فی مقام العمل بعنوان کونه ظنّا لا یغنی من الحقّ شیئا</w:t>
      </w:r>
      <w:r>
        <w:rPr>
          <w:rFonts w:eastAsia="IRNazanin" w:cs="IRNazanin"/>
          <w:color w:val="111111"/>
          <w:sz w:val="28"/>
          <w:szCs w:val="28"/>
          <w:rtl w:val="true"/>
          <w:lang w:bidi="fa-IR"/>
        </w:rPr>
        <w:t>.</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و اجیب عنه بأنّ الأدلّة إنّما دلّت علی عدم جواز الاتّکال إلی غیر الحجّة من أجل عدم ثبوت الحجّیّة، لا لمفسدة ذاتیّة ثابتة فیه، فمقتضی تلک الأدلّة عدم حجّیّة الخبر الضعیف مثلا، و أخبار التسامح لا تدلّ علی الحجّیّة، و إنّما تدلّ علی حسن العمل بها و الإتیان بالأفعال من غیر حکم علی الواقعیّة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أخبار التسامح و إن لم تدلّ علی الحجّیّة إلّا أنّها تدلّ علی الاتّکال إلیها، و هو سبیل عنه،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یجاب بأنّ دلیل عدم الجواز قاصر عن الشمول لمثل ما اعتبر بأخبار التسامح، فإنّه لو کان الإجماع لمعلوم انعدم؛ إذ الشهرة علی العمل بالأخبار الضعیفة فی المندوبات، و غیر الإجماع أیضا إطلاقات لا یعلم الشمول للموادّ منه، و لکن قد عرفت وجود الدلیل علی المنع من العمل بالضعاف مطلقا، و لا یتّجه معه ذلک المنع، و المتّجه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تلک الأخبار الضعیفة مثل حال الأخبار المعتبرة علی حدّ سواء، فالوجه فی خروج الصحاح و المعتبرة فی مدار التکلیف جار فیما نحن فیه من غیر فرق</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التی تدلّ علی عدم جواز العمل لعدم الدلیلیّة و الاعتبار، و عدم معلومیّة مصادفة الواقع، و قیام احتمال المخالفة، فهی مقیّدة بصورة عدم قیام دلیل علی جواز الأخذ و الاعتبار؛ فإنّ ذلک الدلیل رافع لحکم أدلّة المنع و ناظر إلیها، فلا معارضة بینهما من بدو الأمر کما لا یخفی، و لکن علی ما عرفت من کون الحکم</w:t>
      </w:r>
    </w:p>
    <w:p>
      <w:pPr>
        <w:pStyle w:val="BookText"/>
        <w:rPr/>
      </w:pPr>
      <w:r>
        <w:rPr>
          <w:rFonts w:ascii="IRNazanin" w:hAnsi="IRNazanin" w:eastAsia="IRNazanin"/>
          <w:color w:val="111111"/>
          <w:sz w:val="28"/>
          <w:sz w:val="28"/>
          <w:szCs w:val="28"/>
          <w:rtl w:val="true"/>
          <w:lang w:bidi="fa-IR"/>
        </w:rPr>
        <w:t>الشرعی مستفادا من أخبار التسامح، و أنّها المثبتة لاستحباب تلک الأفعال فی الشرع، و لا اتّکال إلی الأخبار الضعیفة فی ثبوت الحکم، و إنّما هو من الامور المعتبرة فی تحقّق موضوع ذلک الحکم، بمعنی أنّه لا بدّ من وصول الخبر بصدق بلوغ ثواب علی عمل، لا عمل علی الأخبار و الامور الطلبیّة لتحصل المعارضة و یحتاج إلی الدفع بالوجوه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المحظور العمل بالظنّ فی الحکم الشرعی، و موضوعه بما یرجع إلی الحکم، و هو مورد أدلّة المنع، و أمّا اعتبار الظنّ فی الموضوع فلا منع منه، و بلوغ الخبر و الإتیان بالفعل من الامور المعتبرة فی موضوع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و مفاد الأخبار استحباب تلک الأفعال شرعا، و هی قطعیّة لا یعارضها شی‌ء</w:t>
      </w:r>
      <w:r>
        <w:rPr>
          <w:rFonts w:eastAsia="IRNazanin" w:cs="IRNazanin"/>
          <w:color w:val="111111"/>
          <w:sz w:val="28"/>
          <w:szCs w:val="28"/>
          <w:rtl w:val="true"/>
          <w:lang w:bidi="fa-IR"/>
        </w:rPr>
        <w:t>.</w:t>
      </w:r>
      <w:r>
        <w:rPr>
          <w:rStyle w:val="FootnoteAnchor"/>
          <w:rtl w:val="true"/>
        </w:rPr>
        <w:footnoteReference w:id="2081"/>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و إن لم یکن تصدیقا له، إلّا أنّ معنی طرح خبر الفاسق جعل احتمال صدقه کالعدم، و ظاهر هذه الأخبار الاعتناء باحتمال صدقه و عدم جعله کالعدم، و لهذا لو وقع نظیر هذا فی خبر الفاسق الدالّ علی الوجوب، لکانت أدلّة طرح خبر الفاسق معارضة له قطعا، بل قد عرفت ممّا ذکرنا أنّ هذا فی الحقیقة عمل بخبر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أیضا بأنّ النسبة بینهما عموم من وجه، و الترجیح مع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طرح خبر الفاسق إن کان هو الإجماع، فهو فی المقام غیر ثابت، و إن کان آیة النبأ فهی 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تعلیلها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و التحریم، فلا بدّ فی التعدّی عنهما من دلیل مفقود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فقهیّة،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فی أصل الواقعة قد یکون دالّا علی الوجوب، فبناء علی کون مفاد الأخبار ترتیب آثار الواقعیّة علی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من باب الحجّیّة و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الحکم بالوجوب</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کونه إخبارا بالثواب علی الفعل و لو بالملازمة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کونه مثابا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مطلوبیّته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ممّا حکم الأخبار علی ترتیب</w:t>
      </w:r>
    </w:p>
    <w:p>
      <w:pPr>
        <w:pStyle w:val="BookText"/>
        <w:rPr/>
      </w:pPr>
      <w:r>
        <w:rPr>
          <w:rFonts w:ascii="IRNazanin" w:hAnsi="IRNazanin" w:eastAsia="IRNazanin"/>
          <w:color w:val="111111"/>
          <w:sz w:val="28"/>
          <w:sz w:val="28"/>
          <w:szCs w:val="28"/>
          <w:rtl w:val="true"/>
          <w:lang w:bidi="fa-IR"/>
        </w:rPr>
        <w:t>آثار الواقعیّة علیه، و هذا لا یستلزم وجوب الفعل؛ فإنّ وجوبه لا یتمّ بمجرّد الثواب علی الفعل، و لا یتمّ به و العقاب علی الترک، و لا دلیل علی ترتیب آثار الواقعیّة علی العقاب المستفاد منه بالحکم بالوجوب، أو التصریح به، و لیس هذا من التفکیک فی مفاد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استفادة ترتیب آثار الواقعیّة علی خبر الوارد، و أمّا بناء علی ما استفدناه، فأصل الإشکال لا دفع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تکرار الثواب فی صورة مصادفة خبر المورد و مطابقته للواقع، و ذلک بأنّ الفعل بنفسه موجب للثواب، فیستحقّه من أتی به، و عنوان الإتیان بما بلغ فیه الثواب لا بدّ أن یکون موجبا حتّی یثاب مع عدم المطابقة، و هذا هو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منشأ روایات التسامح هو الاحتیاط، و لازمه مطلوبیّة الفعل مع عدم المصادفة، و تلک الأخبار حاکمة بأنّ الشارع یثیب علی العمل فی صورة المخالفة، فالثابت بها لیس إلّا الثواب مع عدم المصادفة، و لکن بناء علی ما قرّرناه مفاد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استقلالها فی إثبات الحکم الشرعی، و کون خبر المورد من الامور المعتبرة فی موضوع ذلک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ثواب واحد؛ فإنّ الحاصل استحباب الامور المذکورة فی تلک الروایات، و ثبوت ثواب له، و حینئذ یکون نفس الفعل من مصادیق ما حکم فی أخبار التسامح بثبوت الثواب له، و لا یکون مصداقیّته لتلک الأخبار بعنوان زائد علی عنوان نفسه فی الواقع حتّی یجتمع جهتان، و یلزم تکرّر الثواب</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ما بلغ فیه الثواب عنوان إجمالی لامور عدیدة حکم فی تلک الأخبار بثبوت الثواب له، و یثبت استحبابها من جهة هذا الثواب، و هذا أمر متساوی النسبة إلی المطابق و غیره، و لیس مناطا علی حدة للثواب غیر عنوان نفس الفعل المطلوب،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فی عمل واحد جهات من المطلوبیّة، و یلزم ثبوت ثواب</w:t>
      </w:r>
    </w:p>
    <w:p>
      <w:pPr>
        <w:pStyle w:val="BookText"/>
        <w:rPr/>
      </w:pPr>
      <w:r>
        <w:rPr>
          <w:rFonts w:ascii="IRNazanin" w:hAnsi="IRNazanin" w:eastAsia="IRNazanin"/>
          <w:color w:val="111111"/>
          <w:sz w:val="28"/>
          <w:sz w:val="28"/>
          <w:szCs w:val="28"/>
          <w:rtl w:val="true"/>
          <w:lang w:bidi="fa-IR"/>
        </w:rPr>
        <w:t>کلّ منها،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عنوانا مستقلّا و وصفا زائدا علی ما اشتمل علیه نفس الفعل اتّجه ذلک، و غرضهم إثبات المندوبیّة بنفس تلک الأخبار، و لیس العنوان حینئذ إلّا عنوانا إجمالیّا یبیّن تلک الأفعال المحکومة باستحبابها،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الأخبار إنّما تبیّن حکم ما بلغ فیه الثواب، فلا یشمل ما یحکم باستحباب فعل، أعنی ما یصرّح بنفس الحکم و یسکت عن جانب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الانحصار فیما ذکر؛ فإنّ قوله فی روایة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من الثواب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 یشمل ما أبلغ نفس الحکم فقط، و أنّ المشتمل علی الحکم بواسطة استلزامه للثواب یکون مبلغا للثواب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یتأمّل فی ذلک الوجه بدعوی کون الثواب حینئذ من اللوازم العقلیّة التی لا یستلزم ثبوت الملزوم ثبوتها، حتّی یدّعی أنّ بلوغ الحکم بلوغ الثواب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فإنّ الثواب علی العمل مستفاد من الخبر، و إن کان بمعونة ثبوت الملازمة بینه و بین استحباب الفعل و لو عقلا؛ فإنّ کون اللزوم عقلیّا أو عادیّا لا یجرح کون ثبوت الثواب مدلولا التزامیّا للخبر،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یستدلّ لأصل استحباب ما ورد فیه خبر ضعیف بالشهرة و الإجماع، و یستدلّ بالاحتیاط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یشکل فیه إفادته لجواز نیّة التقرّب، و المناص فیه الاستفادة بالحسن العقلی مرّة، و اخری یجعل أوامر الاحتیاط للاستحباب الشرعی، فیکون مثل سائر موارد الأمر</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الإتیان بنفس محتمل الاستحباب احتیاط مطلوب علی وجه الاستحباب، و انکشف مطلوبیّته بتعلّق الأمر الشرعی به، کما فی سائر موارد الأوامر الشرعیّة</w:t>
      </w:r>
      <w:r>
        <w:rPr>
          <w:rFonts w:eastAsia="IRNazanin" w:cs="IRNazanin"/>
          <w:color w:val="111111"/>
          <w:sz w:val="28"/>
          <w:szCs w:val="28"/>
          <w:rtl w:val="true"/>
          <w:lang w:bidi="fa-IR"/>
        </w:rPr>
        <w:t>.</w:t>
      </w:r>
      <w:bookmarkStart w:id="615" w:name="pg19819_193895"/>
    </w:p>
    <w:p>
      <w:pPr>
        <w:pStyle w:val="Heading4"/>
        <w:numPr>
          <w:ilvl w:val="3"/>
          <w:numId w:val="1"/>
        </w:numPr>
        <w:rPr/>
      </w:pPr>
      <w:bookmarkStart w:id="616" w:name="__RefHeading___Toc3055855_2314609296"/>
      <w:bookmarkStart w:id="617" w:name="_Toc231"/>
      <w:bookmarkEnd w:id="615"/>
      <w:bookmarkEnd w:id="616"/>
      <w:r>
        <w:rPr>
          <w:rtl w:val="true"/>
        </w:rPr>
        <w:t>[</w:t>
      </w:r>
      <w:r>
        <w:rPr>
          <w:rtl w:val="true"/>
        </w:rPr>
        <w:t>تنبیهات</w:t>
      </w:r>
      <w:r>
        <w:rPr>
          <w:rtl w:val="true"/>
        </w:rPr>
        <w:t>]</w:t>
      </w:r>
      <w:bookmarkEnd w:id="617"/>
    </w:p>
    <w:p>
      <w:pPr>
        <w:pStyle w:val="BookText"/>
        <w:rPr/>
      </w:pPr>
      <w:r>
        <w:rPr>
          <w:rFonts w:ascii="IRNazanin" w:hAnsi="IRNazanin" w:eastAsia="IRNazanin"/>
          <w:color w:val="111111"/>
          <w:sz w:val="28"/>
          <w:sz w:val="28"/>
          <w:szCs w:val="28"/>
          <w:rtl w:val="true"/>
          <w:lang w:bidi="fa-IR"/>
        </w:rPr>
        <w:t>إذا عرفت ذلک إجمالا فلا بأس بالتنبیه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یثبت الحکم المزبور مع تطرّق احتمال حرمة الفعل المحتمل استحبابه؟ و المراد هنا الحرمة من غیر جهة التشریع؛ إذ من المعلوم انتفاؤه فیما نحن فیه؛ فإنّ الغرض إتیان الفعل إمّا للاحتیاط فی إصابة الواقع و درک احتمال الاستحباب، أو العمل بأخبار من بلغ، و علی أیّ الفرضین لا یکون العمل إدخال ما لیس من الدین فی الدین،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منشأ الاحتمال وجود معارض للخبر مثله، أو شهرة،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الاعتماد إلی الاحتیاط و 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الحکم باستحباب الفعل ضرورة المعارضة، و مساواة احتمال الحرمة و الاستحباب، هذا بناء علی کون المراد من الاحتیاط الأخذ بالأوثق،</w:t>
      </w:r>
      <w:r>
        <w:rPr>
          <w:rStyle w:val="FootnoteAnchor"/>
          <w:rtl w:val="true"/>
        </w:rPr>
        <w:footnoteReference w:id="2082"/>
      </w:r>
      <w:r>
        <w:rPr>
          <w:rFonts w:ascii="IRNazanin" w:hAnsi="IRNazanin" w:eastAsia="IRNazanin"/>
          <w:color w:val="111111"/>
          <w:sz w:val="28"/>
          <w:sz w:val="28"/>
          <w:szCs w:val="28"/>
          <w:rtl w:val="true"/>
          <w:lang w:bidi="fa-IR"/>
        </w:rPr>
        <w:t>و إلّا ففی تلک الصورة أیضا قد یقدّم أحد الاحتمالین من باب الاحتیاط فی دفع الضرر و جلب المنفعة و الأخذ بالأتمّ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لم یکن احتیاطا مصطلحا إلّا أنّه ممّا یصحّ الاتّکال إلیه فی حکم المورد، و إن کان یشکل نیّة التقرّب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ذلک تقدیم احتمال الحرمة تقویة لجانب دفع المفسدة، و أولویّته من جلب المنفعة</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محلّ إشکال فی نفسه، و المفسدة محتملة لا محقّقة، و إنّ أهل العرف لا یقدّمون دفع الضرر مطلقا، بل یلاحظ هو بالنسبة إلی المنفعة المحتملة من حیث</w:t>
      </w:r>
    </w:p>
    <w:p>
      <w:pPr>
        <w:pStyle w:val="BookText"/>
        <w:rPr/>
      </w:pPr>
      <w:r>
        <w:rPr>
          <w:rFonts w:ascii="IRNazanin" w:hAnsi="IRNazanin" w:eastAsia="IRNazanin"/>
          <w:color w:val="111111"/>
          <w:sz w:val="28"/>
          <w:sz w:val="28"/>
          <w:szCs w:val="28"/>
          <w:rtl w:val="true"/>
          <w:lang w:bidi="fa-IR"/>
        </w:rPr>
        <w:t>العظم و الصغر و قوّة الاحتمال و الضعف، فالأوجه مع وجود الدلیل تقدیم، سواء کان احتمال الأمر أو احتمال النهی، و إلّا فالتخییر</w:t>
      </w:r>
      <w:r>
        <w:rPr>
          <w:rFonts w:eastAsia="IRNazanin" w:cs="IRNazanin"/>
          <w:color w:val="111111"/>
          <w:sz w:val="28"/>
          <w:szCs w:val="28"/>
          <w:rtl w:val="true"/>
          <w:lang w:bidi="fa-IR"/>
        </w:rPr>
        <w:t>.</w:t>
      </w:r>
      <w:r>
        <w:rPr>
          <w:rStyle w:val="FootnoteAnchor"/>
          <w:rtl w:val="true"/>
        </w:rPr>
        <w:footnoteReference w:id="2083"/>
      </w:r>
    </w:p>
    <w:p>
      <w:pPr>
        <w:pStyle w:val="BookText"/>
        <w:rPr/>
      </w:pPr>
      <w:r>
        <w:rPr>
          <w:rFonts w:ascii="IRNazanin" w:hAnsi="IRNazanin" w:eastAsia="IRNazanin"/>
          <w:color w:val="111111"/>
          <w:sz w:val="28"/>
          <w:sz w:val="28"/>
          <w:szCs w:val="28"/>
          <w:rtl w:val="true"/>
          <w:lang w:bidi="fa-IR"/>
        </w:rPr>
        <w:t>و ثانیا علی الاعتماد إلی أخبار من بلغ، فقد یمنع الجریان 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یشکل بأنّ اللازم حینئذ استحباب الفعل بتلک الأخبار، و کراهة الترک بملاحظة حسن الاحتیاط شرعا فیما یحتمل حرمته، و لازمه اجتماع الضدّین؛ فإنّ مقتضی استحباب الفعل شرعا مرجوحیّة الترک شرعا، و مقتضی استحباب الترک رجحانه شرعا، و مرجوحیّة الفعل کذلک،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یجتمع الحکمان فالثابت أحدهما، و لا ترجیح لإبقاء الفعل فی أخبار من بلغ علی إبقاء الترک فی أخبار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یدّعی عدم تنافی ثبوت الحکمین، و تحکیم کلّ من الدلیلین، و توجیهه أنّ أخبار من بلغ تثبت استحباب الفعل بما هو فعل اخبر بثواب له، و لازم ذلک رجحانه علی نفس ترکه، و مرجوحیّة الترک بما هو ترک، و أمّا الترک فلا یستحبّ بما هو ترک، بل المستحبّ إنّما هو الترک للتجنّب عن الحرام الواقعی، و الترک المقیّد یکون مستحبّا، و لازمه مرجوحیّة الفعل للوقوع فی الحرام الواقعی، و مرجوحیّته لا إشکال فیه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المرجوح من الترک شی‌ء، و الراجح منه شی‌ء آخر، فالمرجوح هو نفس ترک الفعل و ماهیّته، و الراجح الترک للخلوص عن الحرام الواقعی، و هذا الترک المقیّد یغایر مطلق الترک، فیختلف حکمهما، و لا یمکن للمکلّف أخذ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أنّ لنا فی المقام دلیلین اشتملا علی حکمین لموضوعین لا یتنافیان، فأخبار التسامح تدلّ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و رجحان الفعل، و أدلّة حسن الاحتیاط و استحبابه شرعا فی موارد احتمال الحرمة الواقعیّة لحصول قوّة فی ملکة ترک المعصیة و زیادة التقی، و حسن الإطاعة و نحو ذلک تقتضی ترک هذا الفعل المحتمل حرمته فی الواقع و الاحتیاط، ففی مطلوبیّة الترک قصد إلی التجنّب؛ فإنّ مجرّد الترک و عدم إیجاد الفعل لا یکون احتیاطا، بل الاحتیاط هو إتیان الشی‌ء بداعی إصابة الواقع و ترک المحرّم الواقعی، و لازم رجحان الاحتیاط مرجوحیّة ضدّه، و هو غیر نفس الفعل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علمنا من توجیه ما قرّره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الاحتیاط عنوان المطلوب، و اعتبر فیه القصد إلی الخلوص من المحرّم الواقعی، یکون الاحتیاط عبارة عن الترک بهذا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أفهم ما قرّره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کثیر من أخبار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 إنّ 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2084"/>
      </w:r>
      <w:r>
        <w:rPr>
          <w:rFonts w:ascii="IRNazanin" w:hAnsi="IRNazanin" w:eastAsia="IRNazanin"/>
          <w:color w:val="111111"/>
          <w:sz w:val="28"/>
          <w:sz w:val="28"/>
          <w:szCs w:val="28"/>
          <w:rtl w:val="true"/>
          <w:lang w:bidi="fa-IR"/>
        </w:rPr>
        <w:t>و أضرابه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من المکلّف فی موارد الشبهة نفس الترک المستند إلیه، فالمأمور به نفس ماهیّة الترک الصادر عن المکلّف، و یوضحه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الاقتحام فی الهلکات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منه أنّ نفس ارتکاب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احتیاج إلی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 فی الهلکة، و تفسیر الاقتحام قد بیّنّاه فی مسألة البراءة مفصّلا</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 القول فیه إرادة الإشراف علی الهلکة،</w:t>
      </w:r>
      <w:r>
        <w:rPr>
          <w:rStyle w:val="FootnoteAnchor"/>
          <w:rtl w:val="true"/>
        </w:rPr>
        <w:footnoteReference w:id="2085"/>
      </w:r>
      <w:r>
        <w:rPr>
          <w:rFonts w:ascii="IRNazanin" w:hAnsi="IRNazanin" w:eastAsia="IRNazanin"/>
          <w:color w:val="111111"/>
          <w:sz w:val="28"/>
          <w:sz w:val="28"/>
          <w:szCs w:val="28"/>
          <w:rtl w:val="true"/>
          <w:lang w:bidi="fa-IR"/>
        </w:rPr>
        <w:t>و لا شکّ أنّ نفس ارتکاب الشبهة یکون اقتحاما بذلک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الشی‌ء بعد معرفة أنّ حکمه الواقعی مشتبه و غیر معلوم یکون اقتحاما، و هو فعل مقیّد بالعلم بالاشتباه، فالمرتکب ألقی نفسه فی الهلکة، و یحصل بذلک ما هو ضدّ القید فی جانب الترک المعتبر فی صدق الاحتیاط، فارتکاب الشبهة بعد العلم بالاشتباه و الالتفات إلیه یکون إتیانا للفعل للوقوع فی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ذلک فی کمال الوضوح و الإفصاح عنه بأنّ الشبهة هو المحتمل للحرمة و غیرها، و لا یصدق الاحتیاط علی ترکها بعد معرفة الشبهة مطلقا و لو کان مثل ترکه سائر المباحات، بل المعتبر فیه کون الترک للفرار عن الحرام الواقعی، فلیس مجرّد الترک بعد معرفة الشبهة احتیاطا، بل یحتاج تحقّقه إلی معونة اخری، و هو القصد إلی الفرار عن المحرّم الواقعی، و مجرّد العلم بالاشتباه لا یکفی فی تحقّقه کما لا یخفی، فکذا فی جانب الفعل لا یکون إتیانه بعد العلم بالشبهة إتیانا برجاء الوقوع فی الحرام الواقعی، بل هو موقوف علی أمر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الظاهر من مثل الروایة أنّ أمر المکلّف فی موارد اشتباه الحکم مردّد بین الوقوف و الاحتیاط المطلوب للخبر و الاقتحام فی الهلکة و لا ثالث؛ فإنّ أخبار الترک سلک سبیل السلامة، و إلّا اقتحم، و هذا لا یتمّ إلّا مع کون الفعل بعد معرفة الاشتباه مرجوحا بما هو فعل مشتبه الحکم من غیر ملاحظة أمر آخر، و هو إرادة الوقوع فی الحرام الواقعی بذلک الفعل و عدمه، و إلّا لم یصحّ جعل غیر الاحتیاط مطلقا اقتحاما فی الهلکة، أو خصوص ما اوتی للقصد إلی الوقوع فی الحرام الواقعی هو المفضّل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إتیان المشتبه بما هو اقتحام واقعا لا یفرق فیه فی الوقوع فی الحرام الواقعی بین قصد المکلّف للوقوع فی الحرام الواقعی و عدمه، فکما أنّ المرجوح لم یقیّد بما ذکره فکذا الراجح</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عرفت من الحاجة إلی مئونة زائدة علی ترک الشبهة و ارتکابه</w:t>
      </w:r>
    </w:p>
    <w:p>
      <w:pPr>
        <w:pStyle w:val="BookText"/>
        <w:rPr/>
      </w:pPr>
      <w:r>
        <w:rPr>
          <w:rFonts w:ascii="IRNazanin" w:hAnsi="IRNazanin" w:eastAsia="IRNazanin"/>
          <w:color w:val="111111"/>
          <w:sz w:val="28"/>
          <w:sz w:val="28"/>
          <w:szCs w:val="28"/>
          <w:rtl w:val="true"/>
          <w:lang w:bidi="fa-IR"/>
        </w:rPr>
        <w:t>فی تحقّق ما ذکره، مع أنّ الروایات عنوانها الوقوف عند الشبهة و ترکها و ما یقرب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عنون بالاحتیاط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احتط لدینک</w:t>
      </w:r>
      <w:r>
        <w:rPr>
          <w:rFonts w:eastAsia="IRNazanin" w:cs="IRNazanin"/>
          <w:color w:val="111111"/>
          <w:sz w:val="28"/>
          <w:szCs w:val="28"/>
          <w:rtl w:val="true"/>
          <w:lang w:bidi="fa-IR"/>
        </w:rPr>
        <w:t>»</w:t>
      </w:r>
      <w:r>
        <w:rPr>
          <w:rStyle w:val="FootnoteAnchor"/>
          <w:rtl w:val="true"/>
        </w:rPr>
        <w:footnoteReference w:id="2086"/>
      </w:r>
      <w:r>
        <w:rPr>
          <w:rFonts w:ascii="IRNazanin" w:hAnsi="IRNazanin" w:eastAsia="IRNazanin"/>
          <w:color w:val="111111"/>
          <w:sz w:val="28"/>
          <w:sz w:val="28"/>
          <w:szCs w:val="28"/>
          <w:rtl w:val="true"/>
          <w:lang w:bidi="fa-IR"/>
        </w:rPr>
        <w:t>و أضرابه، و هو یرشد إلی اعتبار أمر آخر غیر نفس الترک فیما هو المطلوب من المکلّف فی موارد اشتباه الحکم، فلا ینفعک ما ذکرته من العناوین و ما استدللت علیه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بالاحتیاط فیما ذکر هو نفس الترک، لا أنّه أمر یتحقّق بالترک و أمر زائد، و یرشدک إلی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المصطلح من الاحتیاط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فی تلک الموارد یأمرون المکلّف بترک الفعل،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تشربنّ الشی‌ء الفلانی، و یترکه هو، و یحکم بامتثاله، و یستحقّ الثواب فی صورة المصادفة جزما، مضافا إلی أنّ المصلحة الکلّیّة أوّلا فی المناهی إنّما هو فی أصل عدم فعلها، أو أنّ المفسدة فی نفس فعلها، فالمطلوب فی الحقیقة لیس إلّا نفس ترک المشتبه، و فیه المصلحة حتّی المصلحة الداعیة إلی التکلیف الاستحبابی بالترک، کما لا یخفی علی من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المراد من الاحتیاط أیضا نفس ترک المشتبه إلی المکلّف، و لم یلاحظ فیه أمر زائد علیه، و یرشد إلیه أیضا ذکره بعد الأمر بالترک أو العکس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الاحتیاط علی هذا المعنی فی الروایات کثیر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الحائطة لدینک</w:t>
      </w:r>
      <w:r>
        <w:rPr>
          <w:rFonts w:eastAsia="IRNazanin" w:cs="IRNazanin"/>
          <w:color w:val="111111"/>
          <w:sz w:val="28"/>
          <w:szCs w:val="28"/>
          <w:rtl w:val="true"/>
          <w:lang w:bidi="fa-IR"/>
        </w:rPr>
        <w:t>»</w:t>
      </w:r>
      <w:r>
        <w:rPr>
          <w:rStyle w:val="FootnoteAnchor"/>
          <w:rtl w:val="true"/>
        </w:rPr>
        <w:footnoteReference w:id="20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أحری لک أن تحتاط، إنّا نحتاط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یسعکم إلّا الکفّ و الاحتیاط</w:t>
      </w:r>
      <w:r>
        <w:rPr>
          <w:rFonts w:eastAsia="IRNazanin" w:cs="IRNazanin"/>
          <w:color w:val="111111"/>
          <w:sz w:val="28"/>
          <w:szCs w:val="28"/>
          <w:rtl w:val="true"/>
          <w:lang w:bidi="fa-IR"/>
        </w:rPr>
        <w:t>»</w:t>
      </w:r>
      <w:r>
        <w:rPr>
          <w:rStyle w:val="FootnoteAnchor"/>
          <w:rtl w:val="true"/>
        </w:rPr>
        <w:footnoteReference w:id="2089"/>
      </w:r>
      <w:r>
        <w:rPr>
          <w:rFonts w:ascii="IRNazanin" w:hAnsi="IRNazanin" w:eastAsia="IRNazanin"/>
          <w:color w:val="111111"/>
          <w:sz w:val="28"/>
          <w:sz w:val="28"/>
          <w:szCs w:val="28"/>
          <w:rtl w:val="true"/>
          <w:lang w:bidi="fa-IR"/>
        </w:rPr>
        <w:t>، إلی غیر ذلک، فلاحظ</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المطلب أنّ الثابت رجحانه بأخبار الاحتیاط الدالّة علی استحبابه هو</w:t>
      </w:r>
    </w:p>
    <w:p>
      <w:pPr>
        <w:pStyle w:val="BookText"/>
        <w:rPr/>
      </w:pPr>
      <w:r>
        <w:rPr>
          <w:rFonts w:ascii="IRNazanin" w:hAnsi="IRNazanin" w:eastAsia="IRNazanin"/>
          <w:color w:val="111111"/>
          <w:sz w:val="28"/>
          <w:sz w:val="28"/>
          <w:szCs w:val="28"/>
          <w:rtl w:val="true"/>
          <w:lang w:bidi="fa-IR"/>
        </w:rPr>
        <w:t xml:space="preserve">مجرّد ترک المشتبه، لا مجرّد عدم الفعل، بل ترک المشتبه إلی المکلّف الذی یعدّ من أفعاله الاختیاریّة، و لم یقیّد بشی‌ء، فلازمه مرجوحیّة الفعل بما هو فعل، و مقتضی أخبار التسامح رجحان الفعل و مرجوحیّة الترک، فلا یجتمعان، و لا أقلّ من دلالة أخبار الاحتیاط علی مرجوحیّة ما لا یکون احتیاطا فی مورد الاشتباه بضرورة مطلوبیّة الاحتیاط، و لازمه أیضا مرجوحیّة الفعل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فلا یجامع استحبابه و رجحانه کما لا یخفی، و سوی ذلک واضح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فهل یقدّم أخبار التسامح أو أخبار الاحتیاط؟ و الذی یظهر لی الآن تقدّم أخبار التسامح علی الاحتیاط، و الوجه فیه أنّها حاکمة بثبوت الثواب علی الفعل، فهو کالحاکم بأن لا مفسدة فیه، و أخبار الاحتیاط لا تثبت المفسدة فی نفس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النهی عن شی‌ء و طلب ترکه إنّما هو بواسطة مفسدة فیه؛ فإنّ الترک بما هو ترک لا یکون ذا مصلحة حتّی یطلب له، بل الداعی إلی طلبه المفسدة فی الفعل فی الحقیقة، و لا یظهر من أخبار الاحتیاط ثبوت مفسدة الحرام فی ذلک العمل، و لا مفسدة المکروه المطلوب ترکه استحبابا، بل مفسدة الفعل و المصلحة الداعیة إلی طلب الترک استحبابا أمر ثابت فی موضوع تلک الأخبار، و هو عنوان المشتبه، فلا جزم من الأخبار بالمفسدة فی الفعل، و قد حصل الجزم بالثواب من أخبار التسامح من الحکم المستفاد منها، لا من موضوعها، و الحکم بالثواب مانع عن وجود المفسدة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الاحتیاط لوحظ فی موردها وجود المفسدة الموجبة لمرجوحیّة الفعل، حتّی یطلب ترکه،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احتمال وجود مفسدة الحرام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احتمال وجود مفسدة الحرام فی ذلک العمل یتحقّق</w:t>
      </w:r>
    </w:p>
    <w:p>
      <w:pPr>
        <w:pStyle w:val="BookText"/>
        <w:rPr/>
      </w:pPr>
      <w:r>
        <w:rPr>
          <w:rFonts w:ascii="IRNazanin" w:hAnsi="IRNazanin" w:eastAsia="IRNazanin"/>
          <w:color w:val="111111"/>
          <w:sz w:val="28"/>
          <w:sz w:val="28"/>
          <w:szCs w:val="28"/>
          <w:rtl w:val="true"/>
          <w:lang w:bidi="fa-IR"/>
        </w:rPr>
        <w:t>عنوان المشتبه، و یتحقّق المفسدة الموجبة لطلب الترک استحبابا علی سبیل الجزم، و إذا شمل أخبار التسامح لذلک العمل، و حکم بأنّ الشارع یثیب علیه یحصل الأمن من مفسدة الحرام المحتملة، لعدم تداخل وجودها فیما یثیب علیه الشارع، و بواسطة اندفاع احتمال المفسدة بذلک الوجه کأنّه یرتفع الشبهة، و لا یدخل العمل فیما یطلب ترکه استحبابا بواسطة وجود مفسدة فی الفعل یقینا أوجب مرجوحیّته، فکان الحکم بالثواب یوجب الخروج عن موضوع الاحتیاط بلا تعرّض فیها لأخبار التسامح بوجه من الوجوه، فلاحظ ذلک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یشترط فی تحقّق موضوع أخبار التسامح حصول الظنّ بالواقع من الخبر المبلّغ للإطلاق المحکّم و الصدق العرفی، و أمّا مع حصول الظنّ بالخلاف، و إن کان الظاهر فی بادی النظر شمول الإطلاق، و لکن فیه عرفا لا یخلو عن وجه، بل و یرشد إلیه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فعمله التماس ذلک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طلبا لقول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أمثالهما؛ فإنّ إمکان الالتماس و الطلب مع مرجوحیّة الثبوت و موهومیّته لا یخلو عن إشکال، فالبلوغ و إن کان صادقا إلّا أنّ الظاهر اعتبار إمکان العمل بذلک الوجه فی موضوع أخبار التسامح، و هو غیر متحقّق فی صورة وجود الظنّ بالخلاف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صریح بعض و ظاهر جماعة أنّ التسامح ثابت فی المکروه أیضا، بأنّ ما بلغ قد یکون عنوان الثواب، أو الوجوب و الاستحباب الملازمین له، و قد یکون مرجوحیّة الفعل مثلا فهل یحکم برجحان الترک و إن لم یکن الخبر من الأدلّة المعتبرة فی الشریعة، أم لا؟</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المنع ملاحظة الظهورات البدویّة، و أمّا العموم فیتمسّک له بعدم القول بالفصل، و ما یستظهر من کلماتهم، و بتنقیح المناط؛ للاطمئنان بأنّ وجه إعطاء الثواب الموعود فی صورة بلوغ الثواب علی الفعل إنّما هو صدور الفعل من العبد للمولی، و کونه فی خدمته و متحرّکا له، و هذا الوجه بعینه موجود فیما ترک أمرا مرجوحا لأجله و إن لم یطابق الواقع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یخلو عن تأمّل؛ فإنّ الثابت من الأخبار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تفضّله وعد العالمین ثواب ما بلغه، و إن لم یکن کما بلغه، و هذا المعنی قابل للاختصاص بصورة دون اخری، و عمل دون آخر، و فرض دون غیره، و لیس استحقاق ذلک الثواب الخاصّ ممّا یستقلّ به العقل حتّی تحکم به فی التروک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حصول القطع بالمناط، و احتمال وجود الفارق، و مثل قوله</w:t>
      </w:r>
      <w:r>
        <w:rPr>
          <w:rStyle w:val="FootnoteAnchor"/>
          <w:rtl w:val="true"/>
        </w:rPr>
        <w:footnoteReference w:id="2090"/>
      </w:r>
      <w:r>
        <w:rPr>
          <w:rFonts w:ascii="IRNazanin" w:hAnsi="IRNazanin" w:eastAsia="IRNazanin"/>
          <w:color w:val="111111"/>
          <w:sz w:val="28"/>
          <w:sz w:val="28"/>
          <w:szCs w:val="28"/>
          <w:rtl w:val="true"/>
          <w:lang w:bidi="fa-IR"/>
        </w:rPr>
        <w:t>بأنّ الواردة فی مقام العمل بالأولویّة و نحوه، و لکنّ الأقوی بعد ذلک عدم الحکم للأفعال و التروک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الإطلاق فی روایات، مثل ما فی صحیحة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شی‌ء من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ارید بالثواب نفس العمل، و لا شکّ فی شموله لما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بعد ملاحظة ما عرفت سالفا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ما یبلغ بالدلالة الالتزامیّة أیضا، و البالغ و إن کان مرجوحیّة فعل شی‌ء إلّا أنّ ذلک یستلزم رجحان ترکه، و کون ترکه من الثواب بضرورة أنّ ترک کلّ مرجوح للّه علیه ثواب لا یتوقّف علی طلبه بطلب آخر شرعی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للفعل و الترک معا عمّ الحکم، و لا یمنعه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المراد منه إیجاد ذلک الثواب فی الخارج، إن فعلا فبالفعل، و إن ترکا فبالترک، و لا یختصّ بالأفعال الوجودیّة جزما،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فتوی الفقیه هل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و تحریره أنّ الفقیه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العمل الفلانی، فهو و إن کان إخبارا عن رأیه، إلّا أنّه حاک ذلک عن أنّه الدین، فهو حاک للحکم المستلزم للثواب، فوجود الفتوی من فقیه یوجب تحقّق موضوع أخبار التسامح</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إذا کان مدرک الفتوی غیر معلوم، أو معلوما و لکن احتمل صحّته و صحّة</w:t>
      </w:r>
    </w:p>
    <w:p>
      <w:pPr>
        <w:pStyle w:val="BookText"/>
        <w:rPr/>
      </w:pPr>
      <w:r>
        <w:rPr>
          <w:rFonts w:ascii="IRNazanin" w:hAnsi="IRNazanin" w:eastAsia="IRNazanin"/>
          <w:color w:val="111111"/>
          <w:sz w:val="28"/>
          <w:sz w:val="28"/>
          <w:szCs w:val="28"/>
          <w:rtl w:val="true"/>
          <w:lang w:bidi="fa-IR"/>
        </w:rPr>
        <w:t>الاعتماد علیه، و أمّا إذا علم المدرک و فساده، فإخباره الالتزامی یکون معلوم الکذب، لا یجوز الاعتماد علیه، و لا یصدق علیه بلوغ ثواب کما لا یخفی</w:t>
      </w:r>
      <w:r>
        <w:rPr>
          <w:rFonts w:eastAsia="IRNazanin" w:cs="IRNazanin"/>
          <w:color w:val="111111"/>
          <w:sz w:val="28"/>
          <w:szCs w:val="28"/>
          <w:rtl w:val="true"/>
          <w:lang w:bidi="fa-IR"/>
        </w:rPr>
        <w:t>.</w:t>
      </w:r>
      <w:r>
        <w:rPr>
          <w:rStyle w:val="FootnoteAnchor"/>
          <w:rtl w:val="true"/>
        </w:rPr>
        <w:footnoteReference w:id="2091"/>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استحباب عمل فی طریق المخالفین، فهل یحکم بمقتضی تلک الأخبار بثبوت الثواب علیه و استحبابه؟</w:t>
      </w:r>
    </w:p>
    <w:p>
      <w:pPr>
        <w:pStyle w:val="BookText"/>
        <w:rPr/>
      </w:pPr>
      <w:r>
        <w:rPr>
          <w:rFonts w:ascii="IRNazanin" w:hAnsi="IRNazanin" w:eastAsia="IRNazanin"/>
          <w:color w:val="111111"/>
          <w:sz w:val="28"/>
          <w:sz w:val="28"/>
          <w:szCs w:val="28"/>
          <w:rtl w:val="true"/>
          <w:lang w:bidi="fa-IR"/>
        </w:rPr>
        <w:t>فالظاهر من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فی الإقبال، و الکفعمی فی الکتابین</w:t>
      </w:r>
      <w:r>
        <w:rPr>
          <w:rFonts w:eastAsia="IRNazanin" w:cs="IRNazanin"/>
          <w:color w:val="111111"/>
          <w:sz w:val="28"/>
          <w:szCs w:val="28"/>
          <w:rtl w:val="true"/>
          <w:lang w:bidi="fa-IR"/>
        </w:rPr>
        <w:t>-</w:t>
      </w:r>
      <w:r>
        <w:rPr>
          <w:rStyle w:val="FootnoteAnchor"/>
          <w:rtl w:val="true"/>
        </w:rPr>
        <w:footnoteReference w:id="2092"/>
      </w:r>
      <w:r>
        <w:rPr>
          <w:rFonts w:ascii="IRNazanin" w:hAnsi="IRNazanin" w:eastAsia="IRNazanin"/>
          <w:color w:val="111111"/>
          <w:sz w:val="28"/>
          <w:sz w:val="28"/>
          <w:szCs w:val="28"/>
          <w:rtl w:val="true"/>
          <w:lang w:bidi="fa-IR"/>
        </w:rPr>
        <w:t>جواز ذلک، و ما اطردا من إیراد المندوبات من طرقهم</w:t>
      </w:r>
      <w:r>
        <w:rPr>
          <w:rFonts w:eastAsia="IRNazanin" w:cs="IRNazanin"/>
          <w:color w:val="111111"/>
          <w:sz w:val="28"/>
          <w:szCs w:val="28"/>
          <w:rtl w:val="true"/>
          <w:lang w:bidi="fa-IR"/>
        </w:rPr>
        <w:t>.</w:t>
      </w:r>
      <w:r>
        <w:rPr>
          <w:rStyle w:val="FootnoteAnchor"/>
          <w:rtl w:val="true"/>
        </w:rPr>
        <w:footnoteReference w:id="2093"/>
      </w:r>
    </w:p>
    <w:p>
      <w:pPr>
        <w:pStyle w:val="BookText"/>
        <w:rPr/>
      </w:pPr>
      <w:r>
        <w:rPr>
          <w:rFonts w:ascii="IRNazanin" w:hAnsi="IRNazanin" w:eastAsia="IRNazanin"/>
          <w:color w:val="111111"/>
          <w:sz w:val="28"/>
          <w:sz w:val="28"/>
          <w:szCs w:val="28"/>
          <w:rtl w:val="true"/>
          <w:lang w:bidi="fa-IR"/>
        </w:rPr>
        <w:t>و لکنّ الظاهر من أخبار عدیدة عدم الجواز، و هی ما دلّت إلی مخالفتهم بالأمر بسؤالهم، و الأخذ بضدّه، و ترک ما یمیل إلیه ثقاتهم، خصوصا المعلّلات بأنّ الرشاد فی خلافهم، و أنّهم کانوا یسألون عن علیّ علیه السّلام ثمّ یفعلون من قبل أنفسهم ضدّه، و إلی غیر ذلک من الأخبار الکثیرة الناهیة عن الاعتماد إلیهم و المشارکة معهم، و سلوک واد واحد بالتأکیدات الأکیدة البلیغة</w:t>
      </w:r>
      <w:r>
        <w:rPr>
          <w:rFonts w:eastAsia="IRNazanin" w:cs="IRNazanin"/>
          <w:color w:val="111111"/>
          <w:sz w:val="28"/>
          <w:szCs w:val="28"/>
          <w:rtl w:val="true"/>
          <w:lang w:bidi="fa-IR"/>
        </w:rPr>
        <w:t>.</w:t>
      </w:r>
      <w:r>
        <w:rPr>
          <w:rStyle w:val="FootnoteAnchor"/>
          <w:rtl w:val="true"/>
        </w:rPr>
        <w:footnoteReference w:id="2094"/>
      </w:r>
    </w:p>
    <w:p>
      <w:pPr>
        <w:pStyle w:val="BookText"/>
        <w:rPr/>
      </w:pPr>
      <w:r>
        <w:rPr>
          <w:rFonts w:ascii="IRNazanin" w:hAnsi="IRNazanin" w:eastAsia="IRNazanin"/>
          <w:color w:val="111111"/>
          <w:sz w:val="28"/>
          <w:sz w:val="28"/>
          <w:szCs w:val="28"/>
          <w:rtl w:val="true"/>
          <w:lang w:bidi="fa-IR"/>
        </w:rPr>
        <w:t>و منه یظهر ضعف ما یدّعی من تخصیص أدلّة النهی بموارد الأحکام التکلیفیّة من الوجوب و التحریم؛ فإنّ تلک العمومات المعلّلة غیر قابلة للتخصیص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بعدم وجود الداعی إلی قصد المندوبات، مضافا إلی ما شوهد منهم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المناص عن ذلک أنّ أدلّة النهی تدلّ علی أن لا حقّ معهم، و یجب ترکهم من تلک الجهة، و أخبار التسامح لا یتوقّف کلّها علی إثبات الحقّیّة حتّی یقال بالتنافی، بل المصرّح به فیها ثبوت الثواب، و إن کان مخالفا للواقع، فالنهی لعدم وجود الواقع</w:t>
      </w:r>
    </w:p>
    <w:p>
      <w:pPr>
        <w:pStyle w:val="BookText"/>
        <w:rPr/>
      </w:pPr>
      <w:r>
        <w:rPr>
          <w:rFonts w:ascii="IRNazanin" w:hAnsi="IRNazanin" w:eastAsia="IRNazanin"/>
          <w:color w:val="111111"/>
          <w:sz w:val="28"/>
          <w:sz w:val="28"/>
          <w:szCs w:val="28"/>
          <w:rtl w:val="true"/>
          <w:lang w:bidi="fa-IR"/>
        </w:rPr>
        <w:t>بأیدیهم لا ینافی ذلک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بوجه آخر، و هو أنّ الثابت من تلک الأدلّة عدم جواز الاتّکال إلیهم، و لا نتّکل فی مصادیق أخبار التسامح فی حکمها من الاستحباب إلی تلک الأخبار، بل المعتمد ما ذکرناه، فیقف کذبهم و یضرّهم،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بعضهم أنّ الفقیه إذا أحرز الحکم من أخبار التسامح، لا یجوز له الإنشاء باستحباب فعل ورد به خبر ضعیف لمقلّده، و حاصله أنّ الحکم فی أخبار التسامح مختصّ بالفقیه و لا یتعدّاه، و لکن لا بعنوان کونه فقیها</w:t>
      </w:r>
      <w:r>
        <w:rPr>
          <w:rFonts w:eastAsia="IRNazanin" w:cs="IRNazanin"/>
          <w:color w:val="111111"/>
          <w:sz w:val="28"/>
          <w:szCs w:val="28"/>
          <w:rtl w:val="true"/>
          <w:lang w:bidi="fa-IR"/>
        </w:rPr>
        <w:t>.</w:t>
      </w:r>
      <w:r>
        <w:rPr>
          <w:rStyle w:val="FootnoteAnchor"/>
          <w:rtl w:val="true"/>
        </w:rPr>
        <w:footnoteReference w:id="2095"/>
      </w:r>
    </w:p>
    <w:p>
      <w:pPr>
        <w:pStyle w:val="BookText"/>
        <w:rPr/>
      </w:pPr>
      <w:r>
        <w:rPr>
          <w:rFonts w:ascii="IRNazanin" w:hAnsi="IRNazanin" w:eastAsia="IRNazanin"/>
          <w:color w:val="111111"/>
          <w:sz w:val="28"/>
          <w:sz w:val="28"/>
          <w:szCs w:val="28"/>
          <w:rtl w:val="true"/>
          <w:lang w:bidi="fa-IR"/>
        </w:rPr>
        <w:t>و یمکن أن یستدلّ له بأنّ الحکم المستفاد من تلک الأخبار ثابت لموضوع خاصّ لم یتحقّق بعد، و هو من بلغه ثواب علی العمل فیما إذا فرض المقلّد غیر مطّلع علی تلک الروایة، فلا یکون الحکم له أیضا، و لا یکون بیانه له بیانا للحکم الشرعی و فتوی للفقیه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المقلّد ذلک القول یصدق أنّه بلغه ثواب حسب ما قرّر سابقا من کون الفتوی مستلزما للإخبار عن ثبوت الثواب فی الواقع، فیثبت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الفتوی الفلانی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حکمه، و علی المفروض إنّما یثبت له استحباب فی الواقع بعد ما سمع الفتوی و الخبر الالتزامی یتحقّق المناط فی الاستحباب، لا أنّه یکون المبیّن فی کلام الفقیه نفس حکمه، و له حینئذ ملاحظة المعارض من الخبر و الفتوی و نحوهما، و هذا کما تری یخرج عن الفتوی و العمل به و أخذه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جواز بیان الفقیه ذلک، و عمل المقلّد بما بیّنه من غیر انتظار شی‌ء، فإنّ هذا هو المسمّی بالفتوی و العمل بها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القول أن لا یصحّ الحکم علی موضوع غیر محقّق بعد، کما فی ما نحن فیه</w:t>
      </w:r>
    </w:p>
    <w:p>
      <w:pPr>
        <w:pStyle w:val="BookText"/>
        <w:rPr/>
      </w:pP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مختصّ بخصوص من بلغه ثواب علی عمل، و المقلّد المفروض غیر داخل فی ذلک الصنف،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علی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لمدخلیّة البلوغ فی ثبوت الثواب المتفضّل به علی الفعل المأتیّ به برجائه، و إن لم یصادف الواقع، بل الأخذ إنّما هو من أجل أنّ من یبلغه ذلک لا یتمکّن من إتیان الفعل باشتراط البلوغ، نظیر اشتراط العلم فیما لا یختصّ بالعالم، و لأنّ مفاد تلک الروایات استحباب تلک الأفعال المذکورة فی تلک الموارد، و ثبوت الثواب علیها فضلا من اللّه الکریم إذا اوتی بها للفوز بالثواب، و هذا لا یقتضی اختصاص الاستحباب بغیر المقلّد الجاهل الذی لم یبلغه فی تلک الأفعال روایة و لا فتوی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البلوغ لم یؤخذ فی الموضوع من أجل مدخلیّته فی ثبوت الثواب الموعود تفضّلا، بل من أجل أنّ الإتیان بتلک الأفعال للّه و رجاء درک الثواب واقعا المعتبر فی تحقّق ذلک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إلّا بعد البلوغ، و هذا غیر القیود الملاحظة لمدخلیّة الحکم و لاختصاص الحکم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فالثواب إمّا هو علی إیجاد تلک الأفعال الخاصّة طلبا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الثواب و نحوه، و یرشد إلیه انضمام الترغیب إلی إتیان تلک الأفعال من تلک الأخبار، و یوضّحه ما ذکرناه من کون المستفاد من أخبار التسامح حکما فرعیّا، و هو استحباب تلک الأفعال الخاصّة، المشترک فی من عرفه و من لم یعرفه، و أخذ البلوغ فی الموضوع فی الروایة لا یدلّ علی اختصاص الحکم الشرعی المستفاد منه من وعد الثواب بشخص، و لعلّ ذلک واضح</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 أیضا بأنّ الفقیه نائب عن العامی، فأیّ موضوع دخل فیه الفقیه من الشاکّ و غیره یجری حکمه علی المقلّد أیضا، فهو یحرز تحقّق موضوع الحکم الفلانی، ثمّ</w:t>
      </w:r>
    </w:p>
    <w:p>
      <w:pPr>
        <w:pStyle w:val="BookText"/>
        <w:rPr/>
      </w:pPr>
      <w:r>
        <w:rPr>
          <w:rFonts w:ascii="IRNazanin" w:hAnsi="IRNazanin" w:eastAsia="IRNazanin"/>
          <w:color w:val="111111"/>
          <w:sz w:val="28"/>
          <w:sz w:val="28"/>
          <w:szCs w:val="28"/>
          <w:rtl w:val="true"/>
          <w:lang w:bidi="fa-IR"/>
        </w:rPr>
        <w:t>یعلّمه الحکم و إن لم یعلّمه الموضوع کما فی موارد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البلوغ إلی الفقیه غیر أنّه البلوغ إلی العامی، و لکن أصل نیابة الفقیه عن العامی لا یخلو عندی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الأدلّة و الأمارات معتبرة من قبل الشارع، و هی تشمل علی الأحکام، و لم یؤخذ فی ذلک الفقاهة و العلم و إن کان لا یتمکّن من الاستفادة منها غیر الفقیه، و إذا تفقّه العالم أوجب الشارع بمقتضی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w:t>
      </w:r>
      <w:r>
        <w:rPr>
          <w:rFonts w:eastAsia="IRNazanin" w:cs="IRNazanin"/>
          <w:color w:val="111111"/>
          <w:sz w:val="28"/>
          <w:szCs w:val="28"/>
          <w:rtl w:val="true"/>
          <w:lang w:bidi="fa-IR"/>
        </w:rPr>
        <w:t>»</w:t>
      </w:r>
      <w:r>
        <w:rPr>
          <w:rStyle w:val="FootnoteAnchor"/>
          <w:rtl w:val="true"/>
        </w:rPr>
        <w:footnoteReference w:id="2096"/>
      </w:r>
      <w:r>
        <w:rPr>
          <w:rFonts w:ascii="IRNazanin" w:hAnsi="IRNazanin" w:eastAsia="IRNazanin"/>
          <w:color w:val="111111"/>
          <w:sz w:val="28"/>
          <w:sz w:val="28"/>
          <w:szCs w:val="28"/>
          <w:rtl w:val="true"/>
          <w:lang w:bidi="fa-IR"/>
        </w:rPr>
        <w:t>إلخ، و للعوامّ أن یقلّدوه، و نحوه علی العامی الرجوع إلی الفقیه، و أخذ الحکم منه، و لازمه وجوب ترتیب آثار الواقع علی ما فهمه، و اشتراک ذلک الحکم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البلوغ و العمل اعتبرا فی متن الروایات و الحکم المذکور فیها صریحا، و لکنّ المستفاد من نسبة ذلک الحکم فیها إلی الموضوع المذکور فیها استحباب أفعال من عناوینها المعرّفیّة بلوغ ثواب فیها عن رسول اللّه صلّی اللّه علیه و آله، و هذا العنوان المعرّف علی سبیل الإجمال لا یکون معتبرا فی الموضوع، بأن یوجب اختصاص الحکم بأن یکون استحباب تلک الأفعال لمن بلغه الثواب عنه صلّی اللّه علیه و آله، بل الحکم علی عمومه و علی حدّ سائر الأحکام یشمله أدلّة العموم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علی الأوّلین و الآخرین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بلوغ الثواب من عناوین فعل حکم باستحبابه لا من عناوین من حکم بالاستحباب له، و لو سلّم کونه من عناوین المکلّف، فنقول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مدخلیّة له فی الثواب، و إنّما الثواب علی الفعل الصادر من المکلّف، فیعمّ الکلّ، و یثبت الاستحباب بالاستلزام، و لو سلّم کونه عنوان المعلوم مدخلیّته فإمّا أن یدّعی بنیابة الفقیه و کون بلوغه بحکم البلوغ إلی العامی</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خبر ضعیف علی الاستحباب و ثبوت الثواب، و ورد خبر آخر مثله</w:t>
      </w:r>
    </w:p>
    <w:p>
      <w:pPr>
        <w:pStyle w:val="BookText"/>
        <w:rPr/>
      </w:pPr>
      <w:r>
        <w:rPr>
          <w:rFonts w:ascii="IRNazanin" w:hAnsi="IRNazanin" w:eastAsia="IRNazanin"/>
          <w:color w:val="111111"/>
          <w:sz w:val="28"/>
          <w:sz w:val="28"/>
          <w:szCs w:val="28"/>
          <w:rtl w:val="true"/>
          <w:lang w:bidi="fa-IR"/>
        </w:rPr>
        <w:t>علی نفی الثواب و الاستحباب، فالظاهر أن لا إشکال فی إعمال أخبار التسامح؛ لصدق بلوغ الثواب، و عدم اعتبار المنافی، و عدم قیام دلیل علی الأخذ بمضمونه أو لازمه تعبّدا، و سوی ذلک واضح إن شاء اللّه</w:t>
      </w:r>
      <w:r>
        <w:rPr>
          <w:rFonts w:eastAsia="IRNazanin" w:cs="IRNazanin"/>
          <w:color w:val="111111"/>
          <w:sz w:val="28"/>
          <w:szCs w:val="28"/>
          <w:rtl w:val="true"/>
          <w:lang w:bidi="fa-IR"/>
        </w:rPr>
        <w:t>.</w:t>
      </w:r>
      <w:r>
        <w:rPr>
          <w:rStyle w:val="FootnoteAnchor"/>
          <w:rtl w:val="true"/>
        </w:rPr>
        <w:footnoteReference w:id="2097"/>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المرویّ عن الکلینی و الإقبال یشمل الأخبار الواردة فی نفس الموضوعات التی تکون للاستحباب أحیانا، أعنی ما یکون مضمون الخبر و مفاده و ما اشتمل علیه من الأمر نفس ما یکون موضوع الاستحباب فی وجه، أو من متعلّقات ذلک الموضوع، و ذلک مثل ما ورد عن الضعاف فی المواعظ و الآداب و الفضائل و نحو ذلک ممّا قد یستحبّ، و الظاهر هو التسامح فیه أیضا بمعنی ترتیب أثر الواقع من کلّ باب علی الخبر الوارد فی ذلک الباب من جواز النقل و السماع و الاستماع و الحفظ و الکتب و النظر إلی غیر ذلک و استحبابه، و یعلم الحال فی ذلک بالقیاس علی الصحاح؛ فإنّ النقل علی طریق الروایة فیها ممّا لا إشکال فیه، و نقل المضمون فی کلّ منها لا یخلو عمّا فیه روایة فی إسقاط الواسطة، و لکن مع العلم بوجود الواسطة، و استناد الراوی إلی الخبر، و حکایته له بناء علی واقعیّة مضمون الخبر ممّا لا یبقی الإشکال فیه أیضا</w:t>
      </w:r>
      <w:r>
        <w:rPr>
          <w:rFonts w:eastAsia="IRNazanin" w:cs="IRNazanin"/>
          <w:color w:val="111111"/>
          <w:sz w:val="28"/>
          <w:szCs w:val="28"/>
          <w:rtl w:val="true"/>
          <w:lang w:bidi="fa-IR"/>
        </w:rPr>
        <w:t>.</w:t>
      </w:r>
      <w:r>
        <w:rPr>
          <w:rStyle w:val="FootnoteAnchor"/>
          <w:rtl w:val="true"/>
        </w:rPr>
        <w:footnoteReference w:id="2098"/>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الأمران لا فرق فیهما بین الخبر المعتبر و غیره؛ فإنّ اعتبار الخبر لم یوجب انکشاف الواقع حتما، و لا یجوز الإخبار عنه بما هو إلّا مع العلم، فلا بدّ من الإرشاد و النسبة إلی الروایة إلّا مع العلم بالاستناد إلیها، و الإخبار علی أشیاء علی واقعیّتها</w:t>
      </w:r>
    </w:p>
    <w:p>
      <w:pPr>
        <w:pStyle w:val="BookText"/>
        <w:rPr/>
      </w:pPr>
      <w:r>
        <w:rPr>
          <w:rFonts w:ascii="IRNazanin" w:hAnsi="IRNazanin" w:eastAsia="IRNazanin"/>
          <w:color w:val="111111"/>
          <w:sz w:val="28"/>
          <w:sz w:val="28"/>
          <w:szCs w:val="28"/>
          <w:rtl w:val="true"/>
          <w:lang w:bidi="fa-IR"/>
        </w:rPr>
        <w:t>و نقل الخبر المعلوم کذبه مضمونه کذب، و بروایة ممّا قد یشکل فیه من باب لازم الإخبار بشی‌ء من الظهور فی اعتقاد الثواب و نحوه و الإغراء، و فیه ما لا یخفی؛ فإنّ النقل بما هو نقل لا یکشف عن ذلک إلّا فی مقام الاستناد و الإشهاد و نحوه، و الإغراء لم یقم دلیل علی حرمته،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تری مخالفة ما أخبر به للواقع لا یکون کذبا و لا حراما إلّا أن یظهر اعتقاد الصحّة، فهو یکون إخبارا حینئذ بالواقع، و یتحقّق الکذب، فلاحظ</w:t>
      </w:r>
      <w:r>
        <w:rPr>
          <w:rFonts w:eastAsia="IRNazanin" w:cs="IRNazanin"/>
          <w:color w:val="111111"/>
          <w:sz w:val="28"/>
          <w:szCs w:val="28"/>
          <w:rtl w:val="true"/>
          <w:lang w:bidi="fa-IR"/>
        </w:rPr>
        <w:t>.</w:t>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بین الأصحاب حمل الخبر الضعیف الدالّ علی الوجوب علی الاستحباب، و الدالّ علی الحرمة علی الکراهة، و لعلّ اعتمادهم فی ذلک إلی أخبار التسامح، فیکون الخبر بدلالته علی الثواب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تلک الأخبار، فیثبت استحباب ما بلغ فیه الثواب شرعا، و لمّا کان استحباب الترک مطلوبا، و ثبوت رجحان فیه ملازما لمرجوحیّة الفعل، و لکن من الامور المرجوحة فی نفسها، یثبت الکراهة فیما دلّ علی الحرمة بعد التسامح بواسطة الملازمة بین استحباب ذلک الترک و کراهة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یتمسّک بعض المتأخّرین بأخبار التسامح فی صورة دلالة الخبر علی الحکم، و فساده واضح؛ لعدم بلوغ الثواب و الخیر، و إنّما هو محتمل بمعنی أنّه یحتمل کون البالغ ثوابا و غیر ثواب، و لم یظهر من تلک الروایات حسن الإتیان بذلک المحتمل، و أمّا الثابت مع الصراحة فی الثوابیّة، و احتمال کون البالغ مطابقا للواقع و عدمه، و لا یتعدّاه، و لعلّ ذلک واضح إن شاء اللّه</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دلّ الخبر الضعیف سندا علی أفضلیّة أحد المستحبّین المعلوم استحبابهما، فهل یصحّ إثبات الأفضلیّة استنادا إلی تلک الأخبار؟</w:t>
      </w:r>
    </w:p>
    <w:p>
      <w:pPr>
        <w:pStyle w:val="BookText"/>
        <w:rPr/>
      </w:pPr>
      <w:r>
        <w:rPr>
          <w:rFonts w:ascii="IRNazanin" w:hAnsi="IRNazanin" w:eastAsia="IRNazanin"/>
          <w:color w:val="111111"/>
          <w:sz w:val="28"/>
          <w:sz w:val="28"/>
          <w:szCs w:val="28"/>
          <w:rtl w:val="true"/>
          <w:lang w:bidi="fa-IR"/>
        </w:rPr>
        <w:t>الظاهر ذلک؛ فإنّ ذلک المستحبّ بالنسبة إلی زیادة الثواب الموجبة لأفضلیّته ممّا بلغ فیه الثواب و خیر بلغ، فیکون للعامل ذلک، و لعلّ ذلک لا یخفی</w:t>
      </w:r>
      <w:r>
        <w:rPr>
          <w:rFonts w:eastAsia="IRNazanin" w:cs="IRNazanin"/>
          <w:color w:val="111111"/>
          <w:sz w:val="28"/>
          <w:szCs w:val="28"/>
          <w:rtl w:val="true"/>
          <w:lang w:bidi="fa-IR"/>
        </w:rPr>
        <w:t>.</w:t>
      </w:r>
      <w:r>
        <w:rPr>
          <w:rStyle w:val="FootnoteAnchor"/>
          <w:rtl w:val="true"/>
        </w:rPr>
        <w:footnoteReference w:id="2100"/>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مضمون الخبر الصریح فی الدلالة الإخبار عن شی‌ء یکون متعلّق بعض المستحبّات، مثل تحدید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فضل الصلاة فیه و الکون فیه و الکنس له و نحو ذلک، فهل یصحّ التمسّک بأخبار التسامح بواسطة کون الخبر المزبور دالّا علی فضل الصلاة فی هذا الحدّ بالالتزام لما ثبت من الفضل للصلاة فی ما هو جامع الکوفة واقعا؟</w:t>
      </w:r>
    </w:p>
    <w:p>
      <w:pPr>
        <w:pStyle w:val="BookText"/>
        <w:rPr/>
      </w:pPr>
      <w:r>
        <w:rPr>
          <w:rFonts w:ascii="IRNazanin" w:hAnsi="IRNazanin" w:eastAsia="IRNazanin"/>
          <w:color w:val="111111"/>
          <w:sz w:val="28"/>
          <w:sz w:val="28"/>
          <w:szCs w:val="28"/>
          <w:rtl w:val="true"/>
          <w:lang w:bidi="fa-IR"/>
        </w:rPr>
        <w:t>الظاهر ذلک؛ لما عرفت من شمول الأخبار للبلوغ الالتزامی، و هذا منه إلّا أن یمنع الملازمة بدیهیّ کون الفضل بما هو الحین مسجدا فی زمان صدور الروایة فی الفضل، لا فیما بناه آدم و نوح، و هو لا یخلو عمّا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وضوح ذلک عمّا سبق فی فتوی الفقیه و نحوها،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المستحبّ المعلوم استحبابه بین الأمرین، و عیّنه الخبر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 متباینین مثل تردّد المسح بالأصابع الثلاثة بین ما کان بطولها و بین ما کان بعرضها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دار الأمر بین الإطلاق و القید، فیکونان الارتباطیّین، مثل تردّد النقل بین خصوص ما اشتمل علی الاستقبال و الأعمّ منه، و اتّحاد الجنس فی الزیادة و عدمه</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تنقیح البحث فی ذلک أنّه إذا ثبت الاستحباب بدلیل شرعی معتبر، ثمّ تردّد الأمر فی تعلّقه بین المتباینین أو الارتباطیّین، فلا إشکال فی الأخیر فی ثبوت استحباب القدر المتیقّن فی الثانی و عدم خفاء فیه، و أمّا فی غیره و المتباینین فلا إشکال فی خفاء المکلّف به، و الشبهة فی تعلّق الحکم، فهل یصحّ الإتیان بغیر القدر الجامع فی</w:t>
      </w:r>
    </w:p>
    <w:p>
      <w:pPr>
        <w:pStyle w:val="BookText"/>
        <w:rPr/>
      </w:pPr>
      <w:r>
        <w:rPr>
          <w:rFonts w:ascii="IRNazanin" w:hAnsi="IRNazanin" w:eastAsia="IRNazanin"/>
          <w:color w:val="111111"/>
          <w:sz w:val="28"/>
          <w:sz w:val="28"/>
          <w:szCs w:val="28"/>
          <w:rtl w:val="true"/>
          <w:lang w:bidi="fa-IR"/>
        </w:rPr>
        <w:t>الارتباطیّین و أحد المتباینین احتیاطا؟</w:t>
      </w:r>
    </w:p>
    <w:p>
      <w:pPr>
        <w:pStyle w:val="BookText"/>
        <w:rPr/>
      </w:pPr>
      <w:r>
        <w:rPr>
          <w:rFonts w:ascii="IRNazanin" w:hAnsi="IRNazanin" w:eastAsia="IRNazanin"/>
          <w:color w:val="111111"/>
          <w:sz w:val="28"/>
          <w:sz w:val="28"/>
          <w:szCs w:val="28"/>
          <w:rtl w:val="true"/>
          <w:lang w:bidi="fa-IR"/>
        </w:rPr>
        <w:t>الظاهر ذلک، و إن لم یکن هذا العمل احتیاطا تامّا یوجب القطع بإحراز الواقع؛ فإنّ ما یقضی بجنسه یحکم بجنس ما یوجب الامتثال الإجمالی أیضا، و إن لم یکن بمرتبة التامّ، فهو أیضا إطاعة حکمیّة یکون فاعله أقرب ممّن ترک التعرّض لامتثال الأمر الواقعی علی وجه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قطع النظر عن أخبار التسامح، و أمّا مع ملاحظتها فلا إشکال أنّ ورود الخبر الضعیف باستحباب غیر القدر الجامع بلوغ الثواب فیه، فیجری فیه ذلک، و إن کان قد یکون لسان الدلیل انحصار المستحبّ فی المقیّد، فإنّ ذلک لا یوجب القطع بعد استحباب غیره لیعلم کذب الخبر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فیما سبق فی فتوی الفقیه و نحوه صدق البلوغ مع بقاء احتمال الواقعیّة، و أمّا فی المتباینین فلا إشکال فی صورة قیام الخبر الضعیف علی تعیین أحد الأمرین فی صدق البلوغ بالنسبة إلی استحباب ذلک العمل و ثبوت فضل له، و أمّا لو قام فیهما،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باتّحاد المستحبّ یوجب ترک التمسّک بأخبار التسامح فی کلّ منها؛ للزوم الترجیح من غیر مرجّح، و لکنّ الحقّ جواز التمسّک فیهما أیضا؛ لصدق بلوغ الثواب فی کلّ منهما، و لا قطع بانحصار الفضل فی أحدهما خاصّة، و إمکان ثبوته لهما، و لکن لا یخفی أنّ جواز التمسّک بها إنّما هو بالنسبة إلی ثبوت استحباب کلّ واحد من العلمین، دون تشخیص الماهیّتین، بحیث لو تعلّق الوجوب بما هو مستحبّ واقعا، فلا حصل الامتثال بأیّهما</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صورة اتّحاد الخبر المعیّن، و الوجه فی ذلک أنّ الثابت هو ثبوت الاستحباب و آثار المستحبّ، و لیس حصول الواجب و ماهیّته بذلک العمل من آثار استحبابه، و إنّما هو بملاحظة أمر آخر یعقل مخالفة تعلّقه لذلک، و هذا هو الوجه فی أنّ الأصحاب مع ذهابهم إلی التسامح فی السنن لم یکتفوا بالضعیف فی ثبوت</w:t>
      </w:r>
    </w:p>
    <w:p>
      <w:pPr>
        <w:pStyle w:val="BookText"/>
        <w:rPr/>
      </w:pPr>
      <w:r>
        <w:rPr>
          <w:rFonts w:ascii="IRNazanin" w:hAnsi="IRNazanin" w:eastAsia="IRNazanin"/>
          <w:color w:val="111111"/>
          <w:sz w:val="28"/>
          <w:sz w:val="28"/>
          <w:szCs w:val="28"/>
          <w:rtl w:val="true"/>
          <w:lang w:bidi="fa-IR"/>
        </w:rPr>
        <w:t>الماهیّات فی واقعها، بحیث یکون الآتی بمتعلّق الخبر الضعیف موجدا للماهیّات الشرعیّة، و یدّعون أنّها ماهیّات مجهولة لا بدّ من معلومیّتها من قبل الشارع و لم یعلم</w:t>
      </w:r>
      <w:r>
        <w:rPr>
          <w:rFonts w:eastAsia="IRNazanin" w:cs="IRNazanin"/>
          <w:color w:val="111111"/>
          <w:sz w:val="28"/>
          <w:szCs w:val="28"/>
          <w:rtl w:val="true"/>
          <w:lang w:bidi="fa-IR"/>
        </w:rPr>
        <w:t>.</w:t>
      </w:r>
      <w:r>
        <w:rPr>
          <w:rStyle w:val="FootnoteAnchor"/>
          <w:rtl w:val="true"/>
        </w:rPr>
        <w:footnoteReference w:id="2101"/>
      </w:r>
    </w:p>
    <w:p>
      <w:pPr>
        <w:pStyle w:val="BookText"/>
        <w:rPr/>
      </w:pPr>
      <w:r>
        <w:rPr>
          <w:rFonts w:ascii="IRNazanin" w:hAnsi="IRNazanin" w:eastAsia="IRNazanin"/>
          <w:color w:val="111111"/>
          <w:sz w:val="28"/>
          <w:sz w:val="28"/>
          <w:szCs w:val="28"/>
          <w:rtl w:val="true"/>
          <w:lang w:bidi="fa-IR"/>
        </w:rPr>
        <w:t>و هذا هو مقدار العمل بأخبار التسامح من أوّل الفروع إلی هنا، فلا یثبت بالضعیف من الخبر بحیث لو تعلّق حکم آخر بتلک الماهیّة من غیر تشخیص خصوص مفاد الخبر الضعیف لطلب الأفعال أصل الماهیّات بإیجادها؛ لانحصار ما ثبت فی ترتیب آثار استحباب ذلک الشی‌ء، و عدم ظهور فساد الأخذ بها مطلقا، فلاحظ ذلک للفرق بین الموارد فی أحکامها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w:t>
      </w:r>
      <w:bookmarkStart w:id="618" w:name="pg19819_193912"/>
    </w:p>
    <w:p>
      <w:pPr>
        <w:pStyle w:val="Heading2"/>
        <w:numPr>
          <w:ilvl w:val="1"/>
          <w:numId w:val="1"/>
        </w:numPr>
        <w:rPr/>
      </w:pPr>
      <w:bookmarkStart w:id="619" w:name="__RefHeading___Toc3055857_2314609296"/>
      <w:bookmarkStart w:id="620" w:name="_Toc232"/>
      <w:bookmarkEnd w:id="618"/>
      <w:bookmarkEnd w:id="619"/>
      <w:r>
        <w:rPr>
          <w:rtl w:val="true"/>
        </w:rPr>
        <w:t>فهرس الموضوعات</w:t>
      </w:r>
      <w:bookmarkEnd w:id="620"/>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موازین الأحکام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و تقسیم مؤلّفاته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فهرسة مؤلّفاته الفقهیة و الاصولیة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فی رسالة موازین الأحکام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موازین الأحکام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للمستدلّ من ملاحظة امور خمسة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فی ترتّب ثمرة الاستدلال من امور خمسة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المسائل علی خمسة أقسام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الدلائل علی خمسة أقسام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الاستدلال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المرجّحات الاجتهادیّة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السندی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 المتنی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بحسب الدلالة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 المدلولی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 الخارجی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 العقول فی علم الاصول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آثاره و تألیفاته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حول نخبة العقول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نخبة العقول فی علم الاصول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تنبیهات و لطائف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مباحث الاصول دلالات الألفاظ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 اختلاف عظیم فی هذا العلم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التی لا تلیق بالتعرّض فی علم الاصول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بعض طرق التحصیل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الأوامر و النواهی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دهلیز فیه تمیز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الإیجاب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محاکمة لمن له إدراک بین أهل الاختصاص و الاشتراک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حقیقة فی الفور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محاکمة لمن فی قلبه السلامة بین الشیخ و العلّامة </w:t>
      </w:r>
      <w:r>
        <w:rPr>
          <w:rFonts w:eastAsia="IRNazanin" w:cs="IRNazanin"/>
          <w:color w:val="111111"/>
          <w:sz w:val="28"/>
          <w:szCs w:val="28"/>
          <w:lang w:bidi="fa-IR"/>
        </w:rPr>
        <w:t>81</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حقیقة فی المرّة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محاکمة لذوی مرّة بین أهل الاشتراک و المرّة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بالشی‌ء یستلزم الأمر بما لا یتمّ إلّا به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محاکمة لأهل الفهم بین العقل و الوهم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بالشی‌ء یتضمّن النهی عن ترکه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التحریم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محاکمة للعاقلین بین المجملین و المفصّلین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محاکمة للممیّزین بین المانعین و المجوّزین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الأمر و النهی بالشرط یحصّل لهما مفهوما مخالفا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الأوامر و النواهی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الصیغ الثابت عمومها حقائق فیه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محاکمة لذی فهم جیّد بین الشیخ و السیّد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العامّ متّصل و منفصل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المطلق و المقیّد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المجمل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البیان عن وقت الحاجة ممنوع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الخبر و الحدیث و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محاکمة للمتدبّرین بین القدماء و المتأخّرین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غیبة تدفع بها ریبة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خبر الصحیح و الحسن و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کیفیّات الأخذ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محاکمة للبصیرین بین الأصحاب و ابن سیرین </w:t>
      </w:r>
      <w:r>
        <w:rPr>
          <w:rFonts w:eastAsia="IRNazanin" w:cs="IRNazanin"/>
          <w:color w:val="111111"/>
          <w:sz w:val="28"/>
          <w:szCs w:val="28"/>
          <w:lang w:bidi="fa-IR"/>
        </w:rPr>
        <w:t>93</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الرسول حجّة کقوله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الدلیلان لا یتقابلان إلّا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الإجماع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الإجماع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الاستصحاب و التمثیل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الاستصحاب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محاکمة للمتعلّمین بین الفقهاء و المتکلّمین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التمثیل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محاکمة لاولی الألباب بین القول و عمل الأصحاب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الاجتهاد و التقلید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المجتهد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التصویب و التخطئة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و الفتوی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جواز التقلید لمن أمکنه الجهد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إطراء العلماء فیه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حول الرسالة </w:t>
      </w:r>
      <w:r>
        <w:rPr>
          <w:rFonts w:eastAsia="Amiri" w:cs="Amiri" w:ascii="Amiri" w:hAnsi="Amiri"/>
          <w:color w:val="111111"/>
          <w:sz w:val="28"/>
          <w:szCs w:val="28"/>
          <w:lang w:bidi="ar-SA"/>
        </w:rPr>
        <w:t>110</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التحقیق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الفتوی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المفتی و ما یتعلّق به من الأحکام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یشترط فی صحّة الفتوی و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الفقاهة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الذکورة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مفت آخر أعلم منه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مفت آخر أورع منه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قوله و فتواه مقطوعا بالفساد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فتواه بالاضافة إلی المقلّد مقطوعا بکونها منه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 افتی به من الامور التکلیفیة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المستفتی و المقلّد عامیّا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بالمفتی من الآداب، و نذکره فی ضمن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یفتی فی حال تغیّر أحواله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یبیّن بالجواب بیانا یزیل الإشکال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عبارته واضحة یعرفها العامّة </w:t>
      </w:r>
      <w:r>
        <w:rPr>
          <w:rFonts w:eastAsia="IRNazanin" w:cs="IRNazanin"/>
          <w:color w:val="111111"/>
          <w:sz w:val="28"/>
          <w:szCs w:val="28"/>
          <w:lang w:bidi="fa-IR"/>
        </w:rPr>
        <w:t>161</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المسألة تفصیل، لا یطلق الجواب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یرتّب الجواب علی ترتیب السؤال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السؤال بخطّ المفتی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یکتب السؤال علی ما عمله من صورة الواقعة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المستفتی بعید الفهم، فلیرفق به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یتأمّل فی الرقعة تأمّلا شافیا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فیها کلمة مشتبهة، یسأل المستفتی عنها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یقرأها علی حاضریه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یکتب الجواب بخطّ واضح و بسط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کتب الجواب أعاد نظره فیه و تأمّله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یکتب فی الناحیة الیسری من الرقعة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یستعیذ باللّه عند إرادة الإفتاء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فی أوّل فتواه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یختصر جوابه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فی کتابة الجواب، فلا یبادر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حلال الدم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سئل عن میراث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یلصق الجواب بآخر الاستفتاء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علی المشافهة فی الجواب فی بعض الموارد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للمصلحة أن یفتی العامّی بما فیه تغلیظ و تشدید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الثالثة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یفهم المفتی السؤال، یکتب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یزاد فی الشرح لنجیب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الرابعة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یذکر المفتی فی فتواه حجّة مختصرة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به من الأحکام، و نذکرها فی ضمن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169</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الحادیة و العشرون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الثانیة و العشرون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الثالثة و العشرون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الرابعة و العشرون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الخامسة و العشرون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السادسة و العشرون </w:t>
      </w:r>
      <w:r>
        <w:rPr>
          <w:rFonts w:eastAsia="Amiri" w:cs="Amiri" w:ascii="Amiri" w:hAnsi="Amiri"/>
          <w:color w:val="111111"/>
          <w:sz w:val="28"/>
          <w:szCs w:val="28"/>
          <w:lang w:bidi="ar-SA"/>
        </w:rPr>
        <w:t>186</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و العشرون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الثامنة و العشرون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التاسعة و العشرون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الثلاثون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الحادیة و الثلاثون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الثانیة و الثلاثون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الثالثة و الثلاثون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الرابعة و الثلاثون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الخامسة و الثلاثون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السادسة و الثلاثون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السابعة و الثلاثون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الثامنة و الثلاثون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التاسعة و الثلاثون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الأربعون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المستفتی و ما یتعلّق به من الشروط و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یشترط فی المستفتی و صحّة استفتائه و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قاطعا بالحکم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مجتهدا قادرا علی تحصیل الحکم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متجزّیا فی الحکم الذی یرید الاستفتاء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فیما یرید الاستفتاء مقلّدا للمفتی الآخر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الحکم المستفتی عنه من الأحکام الشرعیة الفرعیة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عالما بکون المفتی جامعا للشرائط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معتقدا بأنّ ما أفتی به المفتی حکم اللّه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به من الآداب </w:t>
      </w:r>
      <w:r>
        <w:rPr>
          <w:rFonts w:eastAsia="IRNazanin" w:cs="IRNazanin"/>
          <w:color w:val="111111"/>
          <w:sz w:val="28"/>
          <w:szCs w:val="28"/>
          <w:lang w:bidi="fa-IR"/>
        </w:rPr>
        <w:t>223</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به من الأحکام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التقلید لمن هو جامع شرائط الاستفتاء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أدلّة جواز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المحصّل القولی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عدمه اختلال معاش الناس و معادهم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عدمه لزم القول بسقوط التکلیف عن العامی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الکثیرة الدالّة علی أنّ شفاء العیّ السؤال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الکثیرة الدالّة علی جواز الافتاء بالعلم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وجوب إظهار العلم علی العالم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الکثیرة الدالّة علی المدّعی بالنصّ أو الظهور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 تجدید الاستفتاء إذا حدثت الواقعة مرّة اخری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المستفتی فی صورة تعدّد المفتی و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المقلّد تعیین شخص من یقلّده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تقلید أکثر من واحد ممن یصحّ تقلیده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الرجوع عن المفتی و فتواه بعد العمل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الرجوع عن المفتی و فتواه بعد العمل فی وقت آخر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العدول إلی فتوی الآخر الأعلی منه فی الورع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العدول إلی فتوی الآخر المساوی له فی العلم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یختصّ الحکم بجواز الرجوع بما إذا کان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المسألة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یختصّ الحکم بجواز الرجوع بما إذا کان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الرجوع عن المفتی و فتواه قبل العمل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المسألة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شرعا کون المفتی جامعا للشرائط، صحّ تقلیده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المسألة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جنّ من قلّده المقلّد، فهل یصحّ له البقاء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المسألة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من عمل بفتواه عن الإسلام، فهل یصحّ له البقاء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المسألة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انحطّ المفتی عن درجة الاجتهاد، فهل یصحّ البقاء علیه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المسألة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المفتی فهل یصحّ لمن قلّد و عمل بفتواه البقاء علیه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أدلّة القائلین بعدم صحّة البقاء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أدلّة القائلین بجواز البقاء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المسألة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تعذّر المجتهد الجامع للشرائط، فهل یصحّ تقلید غیره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المسألة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تعسّر المجتهد الجامع للشرائط، فهل یلحق بما لو تعذّر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المسألة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تعذر المجتهد و قلنا بعدم جواز تقلید غیره، فهل علیه تکلیف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الواجب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فی شرح حال المؤلّف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تلامیذه و من أخذ عنه الإجازة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آثاره و مصنّفاته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وفاته و مدفنه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مقدّمة الواجب و مخطوطاتها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مقدّمة الواجب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الأقوال الأربعة فی المسألة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أدلّة أصحاب القول الأوّل </w:t>
      </w:r>
      <w:r>
        <w:rPr>
          <w:rFonts w:eastAsia="Amiri" w:cs="Amiri" w:ascii="Amiri" w:hAnsi="Amiri"/>
          <w:color w:val="111111"/>
          <w:sz w:val="28"/>
          <w:szCs w:val="28"/>
          <w:lang w:bidi="ar-SA"/>
        </w:rPr>
        <w:t>337</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أدلّة أصحاب القول الثانی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أدلّة أصحاب القول الثالث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أدلة أصحاب القول الرابع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الأسماع فی حکم الإجماع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المؤلّف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المطبوع من آثاره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حول نزهة الأسماع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نزهة الأسماع فی حکم الإجماع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الإجماع عند الاصولیّین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الإجماع عند الأخباریّین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هو حجّة من الإجماع، و الکلام فی تحقّقه و عدمه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 الیقین بدخول المعصوم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 دون العلم و الیقین بدخول المعصوم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فی الاستدلال علی عدم حجیّة قسم الثانی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بعض الأحادیث الدالّة علی ما قلنا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المعانی التی تستعمل فیها لفظ الإجماع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تعارض دعوی الإجماع کثیرا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حصول الخلاف مع دعوی الإجماع فی کثیر من المسائل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العمل بالإجماع مع تعارض دعواه </w:t>
      </w:r>
      <w:r>
        <w:rPr>
          <w:rFonts w:eastAsia="IRNazanin" w:cs="IRNazanin"/>
          <w:color w:val="111111"/>
          <w:sz w:val="28"/>
          <w:szCs w:val="28"/>
          <w:lang w:bidi="fa-IR"/>
        </w:rPr>
        <w:t>405</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ترجیح أحد الخبرین المختلفین علی الآخر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التقیّة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أشهر مذاهب العامّة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راوی أحد الحدیثین أعدل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راوی أحدهما فقیها أو أفقه من راوی الآخر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أحدهما صادقا فی الحدیث أو أصدق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أحدهما ورعا أو أورع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الإجماع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الشهرة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الحدیث للقرآن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السنّة الثابتة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رواة أحد الحدیثین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أحد الحدیثین متأخّرا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ذکر بعض أحادیث الدالّة علی المرجّحات المذکورة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یعرف به دخول المعصوم فی الإجماع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الإجماع علی حکم من ضروریّات الدین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الإجماع علی حکم من ضروریّات المذهب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الإجماع فی زمن ظهور الإمام علیه السّلام مع موافقته مشافهة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التواتر بقول المعصوم بوجود حدیث متواتر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خبر محفوف بالقرائن الدالّة علی العلم بقوله علیه السّلام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الإجماع من الأخباریین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الأحادیث المجمع علیها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قد أجمعوا علی صحّة اصول الأربعمائة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إجماع الأصحاب علی تصحیح ما یصحّ عن ثمانیة عشر من رواة الحدیث </w:t>
      </w:r>
      <w:r>
        <w:rPr>
          <w:rFonts w:eastAsia="IRNazanin" w:cs="IRNazanin"/>
          <w:color w:val="111111"/>
          <w:sz w:val="28"/>
          <w:szCs w:val="28"/>
          <w:lang w:bidi="fa-IR"/>
        </w:rPr>
        <w:t>424</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ما یمکن دعوی الإجماع فیه و إن لم یصرّحوا به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القرائن المقترنة بأحد الإجماعین و بالأحادیث المجمع علیها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القرائن الدالّة علی صحّة أحادیث کتب الأربعة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فذلکة الحساب و نتیجة مقدّمات الأبواب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فی وجوب الرجوع فی جمیع الأحکام إلی کلام أهل العصمة علیهم السّلام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فی الجواب عما ذکر من وجوب الرجوع إلی مجرّد العقل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و لنذکر ممّا یدلّ علی ذلک وجوها اثنی عشر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الدالّة علی ما ذکرنا فی هذا المقام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الرجوع إلی کلام أهل العصمة فی الاصول و الفروع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فی الأحادیث الدالّة علی هذا المعنی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الدالّة علی وجوب الرجوع إلیهم علیهم السّلام فی الاصول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حجّیة الشهرة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و اسرته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الثناء علیه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دراسته و مشایخه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من خدماته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سوانح حیاته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المؤلّف و المحقق القمّی صاحب القوانین </w:t>
      </w:r>
      <w:r>
        <w:rPr>
          <w:rFonts w:eastAsia="IRNazanin" w:cs="IRNazanin"/>
          <w:color w:val="111111"/>
          <w:sz w:val="28"/>
          <w:szCs w:val="28"/>
          <w:lang w:bidi="fa-IR"/>
        </w:rPr>
        <w:t>499</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و الشیخ أسد اللّه التستری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المؤلّف و المیرزا محمّد الأخباری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المؤلّف و صاحب مفتاح الکرامة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المؤلّف و تلمیذه شریف العلماء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المؤلّف و آخوند المولی علیّ النوری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المؤلّف و بحر العلوم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المؤلّف و المولی محمّد تقی البرغانی الشهید الثالث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المؤلّف و تلمیذه حجة الإسلام الشفتی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المؤلّف و کاشف الغطاء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مولده و وفاته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نسخ آخر للرسالة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حجّیة الشهرة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الشهید علی حجّیة الشهرة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جواب صاحب المعالم عن الشهید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الجواب عن صاحب المعالم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الأولی فی الجواب و فساده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الجواب عن دلیل الانسداد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اختلال فقه صاحب المدارک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وجه آخر للمؤلّف علی إثبات الملازمة و کلّیة الکبری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إثبات الملازمة بوجه آخر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طریق آخر للمؤلّف لإثبات حجّیة الشهرة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حصیلة البحث </w:t>
      </w:r>
      <w:r>
        <w:rPr>
          <w:rFonts w:eastAsia="IRNazanin" w:cs="IRNazanin"/>
          <w:color w:val="111111"/>
          <w:sz w:val="28"/>
          <w:szCs w:val="28"/>
          <w:lang w:bidi="fa-IR"/>
        </w:rPr>
        <w:t>543</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الأهمّ من وضع الرسالة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کلام الوحید البهبهانی فی إثبات کلّیة الکبری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التسامح فی أدلّة السنن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التی بین یدیک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نبذة فی ترجمة المؤلّف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نبذة من حیاته العلمیّة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فی ذکر مشایخه و من أخذ عنهم الإجازة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ذکری بعض خدمات الشریفة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مصنّفات المؤلّف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و علوم القرآن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و شرحه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التاریخ و المقتل و المناقب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العقائد و الکلام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القواعد الفقهیة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الرجال و الدرایة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الکتب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الحکمة و الفلسفة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الأدبیّات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السیاسة </w:t>
      </w:r>
      <w:r>
        <w:rPr>
          <w:rFonts w:eastAsia="IRNazanin" w:cs="IRNazanin"/>
          <w:color w:val="111111"/>
          <w:sz w:val="28"/>
          <w:szCs w:val="28"/>
          <w:lang w:bidi="fa-IR"/>
        </w:rPr>
        <w:t>579</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تألیفاته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فی ذکر مستنسخات المؤلّف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التسامح فی أدلّة السنن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التسامح مسألة اصولیة أم فقهیة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الأخبار التی یستدلّ بها فی قاعدة التسامح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ما اورد علی التمسّک بالأخبار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600</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617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آستان قدس رضوی،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المؤلّف هنا ثمان ثمرات للمباحث العلمیة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الثمرة العلمیة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الثمرة الاعتقادیة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الثمرة التوصّلیة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الثمرة الفقهیة الأعمّ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الثمرة الفقهیة العامّة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الثمرة الفقهیة الخاصّة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الثمرة الفقهیة الخاصّة الخاصّة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الفقهیة الأخصّ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میزان ملاحظة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التفریعات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میزان السلوک فی المناظرة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هو المعروف من مذهب الأصحاب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الحاجة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ملاحظة دلالته، أو معها من غیر أن یکون له معارضة إلی ملاحظة السند و نحوه بدون الحاجة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محلّ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یتوجّه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معنی یغایر معنی أراده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بأنواعها العشرة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المکلّفین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الأقوال و الوجوه و 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الأقوال أو الاحتمال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أحکام القضاء و الشهادات المخصوصة بالمجتهدین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و الحدیث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التقیّة،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21413</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المنافاة؛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للمنافاة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یمکن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مراتب الرواة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ککونه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المعنوی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کون أحدهما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السیاق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المذاق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لحجیّة الظنّ للمطمئنّ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مرجّح متعادل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متعادل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مرجوحیّتها أیضا؛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إجابة المضطرین،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 کبیر،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عجم، میرزا فرصت شیرازی،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مصاحب،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لزیادة الاطلاع حول هذا الکتاب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الملوک،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میزان الملوک و الطوائف،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لزیادة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الملوک و الطوائف،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فی تعریف هذه الکتب و الرسائل و النسخ من کتاب میزان الملوک الطوائف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تصحیح الفاضل عبد الوهاب الفراتی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بتنبیهة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یؤیّده حساب الجمّل فی حروف الأبجد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و 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غیر مستأنس بالطریقة المألوفة و لا مستأنس للسلیقة المعروفة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خللا أو زللا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علیکم و رحمة اللّه و برکاته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اللطیفة الاولی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تسمّیه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اللطیفة الثانیة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 یذکر الاختلاف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بشع النفس، أی خبیث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إذا اختار المکلّف و فعل واحدا منها فهو ذلک الواجب المعیّن عند اللّه، فاختلف باختلاف المکلّفین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تبرّأ منه المعتزلة و نسبه إلی الأشاعرة و بالعکس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الشیخ فی 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المیرزا القمّی فی قوانین الاصول،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الحائری فی الفصول الغرویّة،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الخفیّ من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التنبیه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الحدیث الشریف المنقول فی مصباح الشریعة،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الفتیا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الحارّة یستشفی بها الأعلّاء و المرضی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آذی المسلمین و احتقرهم،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المؤمن،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المزّمّل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ضمن الخطبة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الإرشاد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الضحی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بجمیع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ضمن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المحقّق و المدقّق؛ لکون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ما یأتی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الإجمال فی الطلب،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محاکمتها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أحوالهما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أو بتابعیه، أی ارتضی باستعماله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الثبوت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الشارع علیه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للأعمیّة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للنزاع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جائز؛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مطلقا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بین المعنیین علاقة مصحّحة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التونی فی الوافیة،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الأصول،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الناصریّات،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الذریعة،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فی المعالم،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قوانین الأصول،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قال بالوجوب، نعم من العامّة من قال بالتخییر بین الصوم و الإفطار، و من قال بأفضلیة الصوم، و من قال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قولهما فی المعالم،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المعمول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المعدومی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یفتقر إلّا 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الشیخ فی عدّة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المصدر السابق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للآمدی،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المنخول،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الاذن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قیل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فی المعالم،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للمزید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علی المسألة و الأقوال فیها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روایة الکتب و الحدیث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ما أمر النبیّ صلّی اللّه علیه و آله بالنصیحة لأئمّة المسلمین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صحیح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الألفین،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المستصفی،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السهو فی الثلاث و الأربع،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زبدة الاصول،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فیقسّم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نهوا عنه نهیا شدیدا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تهذیب الاصول، و لکن لم نعثر علیه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صید الحرم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سنن الدارقطنی،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البدع و الرأی و المقاییس،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الحائض تقضی الصوم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الطیب و الریحان للصائم،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صوم الحائض و المستحاضة،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5650</w:t>
      </w:r>
      <w:r>
        <w:rPr>
          <w:rFonts w:ascii="IRNazanin" w:hAnsi="IRNazanin" w:eastAsia="IRNazanin"/>
          <w:b w:val="false"/>
          <w:b w:val="false"/>
          <w:bCs w:val="false"/>
          <w:i w:val="false"/>
          <w:i w:val="false"/>
          <w:iCs w:val="false"/>
          <w:color w:val="333333"/>
          <w:sz w:val="20"/>
          <w:sz w:val="20"/>
          <w:szCs w:val="20"/>
          <w:rtl w:val="true"/>
        </w:rPr>
        <w:t xml:space="preserve">؛ الذریعة للسیّد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المحصول للرازی،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أعلام الموقّعین،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تأویل مختلف الحدیث،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للغزالی،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المحصول للرازی،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الأحکام لابن حزم،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البرهان للزرکشی،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کلّها عن أبی بکر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الأحکام لابن حزم،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الاحکام للآمدی،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المستصفی للغزالی،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المحصول للرازی،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المحصول للرازی،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کراهیة الارتفاع إلی قضاة الجور،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فی حلالنا و حرامنا و عرف أحکامنا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الرجوع عمّن استفتی منه إلی غیره المخالف 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حرّرتها فی غریب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الجرباذقانی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جرباذقان، بلد بین جرجان و أسترآباد، و اخری بین اصبهان و کرج</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 الإجماع علیه جماعة منهم الشهید الثانی فی الروضة،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الأردبیلی فی 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السیّد المجاهد فی المفاتیح،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 الإجماع علیه جماعة منهم الشهید الثانی فی الروضة،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الأردبیلی فی 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العمومات فی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بتغایر الاستصحاب مع عدم جواز نقض الیقین إلّا بالیقین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کقولهم بعدم صحّة بیعه و شرائه و صلحه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الأصول،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منیة المرید،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مفاتیح الأصول،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هو فی 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تعالی فی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تَقْفُ ما لَیْسَ لَکَ بِهِ 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تعالی فی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یَسْتَوِی أَصْحابُ النَّارِ وَ أَصْحابُ الْجَنَّةِ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تعالی فی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یَسْتَوِی الْأَعْمی وَ الْبَصِیرُ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تعالی فی الآیة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 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یَسْتَوِی الْأَعْمی وَ الْبَصِیرُ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تعالی فی 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تَرْکَنُوا إِلَی الَّذِینَ ظَلَمُوا فَتَمَسَّکُمُ النَّارُ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مفاتیح الاصول،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هو فی مجمع الفائدة،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حکاه عن منیة اللبیب فی مفاتیح الاصول،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نهایة الوصول إلی علم الاصول، الورقة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حکاه عن شرح المبادی لفخر المحقّقین فی مفاتیح الاصول،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إلی علم الاصول،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 عن المنیة فی مفاتیح الاصول،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مفاتیح الاصول،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 هو فی الکفایة فی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تهذیب الوصول إلی علم الاصول،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حکاه عن منیة اللبیب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مفاتیح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الإحکام فی أصول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حکاه عن المبادی و شرحه فی مفاتیح الاصول،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المقاصد العلیّة فی شرح الرسالة الألفیّة،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أیضا فی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علی سبیل المثال مفاتیح الاصول،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نقل بکفر ولد الزنی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مفاتیح الاصول،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هو فی 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منیة المرید،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مفاتیح الاصول،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الاصول،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الوصول،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مفاتیح الاصول،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 هو فی شرح الألفیّة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المعقوفین أضفناه من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فی شرح الرسالة الألفیّة،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مفاتیح الاصول،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 هو فی رسالة فی تقلید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مطارح الأنظار،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عدم جواز تقلید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عدم جواز تقلید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إلی طریق الأئمّة الأطهار،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جواز تقلید المیّت قول جمهورهم أو مشهورهم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المتن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الشرائع للمحقّق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مبادی الوصول إلی علم الاصول،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تهذیب الوصول إلی علم الاصول،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الاصول،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الوحید البهبهانی فی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تقلید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للأکثر کما فی الجعفریّة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المحقّق الکرکی فی 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مطارح الأنظار،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انظر مفاتیح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تخریجه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الأصول،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الأصول،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حیث أجاب عن أدلّة القائلین بعدم الجواز</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إلی طریق الأئمّة الأطهار،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مفاتیح الاصول،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هو فی 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یبعد أن یراد به المحقّق القمّی حیث ذهب إلی جواز تقلید المیّت و أصرّ علی هذا، انظر ما حکاه عنه فی مطارح الأنظار،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الأدلّة فی مفاتیح الاصول،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فی کتاب تحریر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ابن أبی جمهور فی 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منیة المرید،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العلّامة المجلسی فی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الحدیث لم یرد فی المجامیع الحدیثیّة القدیمة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الإسلام فی شرح تهذیب الأحکام، للمولی محمّد طاهر بن محمّد حسین الشیرازی النجفی القمی، المتوفّی و المدفون بها خلف مرقد زکریّا بن آدم 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و یروی عنه الشیخ الحرّ العاملی و العلّامة المجلسی، و قبل شروعه فی شرح أحادیث تهذیب الأحکام قدّم مقدّمة فی اصول الفقه و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 هذا الکتاب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أضعف منه القول بأنّ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الأبرار،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أضعف منه القول بالجواز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 کل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بالجواز و الصحّة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الکرکی فی 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تمهید القواعد،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زبدة الأصول،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الشهید الثانی،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العبارة بعینها موجودة فی الوافیة،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مفاتیح الاصول،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 هو فی مجمع الفائدة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الشهید الثانی، قال به فی کتابه حقائق الإیمان،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العضدی و الحاجبی، انظر مختصر ابن الحاجب مع شرحه للعضدی،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المستصفی فی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مفاتیح الاصول،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لم یوجد لدینا کتاب شرح الطوالع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الهندی فی کشف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الأظهر الأشهر بین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مطارح الأنظار،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إلیه جملة من متأخّری أصحابنا، حتّی صار فی هذا الزمان قولا معتدّا به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الأصول،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المقاصد العلیّة،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العامّة، انظر 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سلطان العلماء علی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مفاتیح الاصول،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الاصول،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مفاتیح الاصول،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مفاتیح الاصول،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المتن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تمهید القواعد،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 عن شرح الزبدة لمولی صالح المازندرانی فی مفاتیح الاصول،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للمحکیّ عن صریح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مفاتیح الاصول،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 هو فی نهایة الوصول إلی علم الاصول، الورقة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المقاصد العلیّة،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تهذیب الوصول إلی علم الاصول،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رسالة فی تقلید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شرح الزبدة للمولی صالح المازندرانی فی مفاتیح الاصول،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القوانین و المفاتیح للسیّد العلّامة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مفاتیح الأصول،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معالم الدین،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الإفهام،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مقاصد العلیّة،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حکاه عن المنیة و قال هو به أیضا فی مفاتیح الاصول،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رسالة تقلید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مع شرحه للعضدی،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حکاه فیه عن جماعة منهم الشیخ الطوسی فی العدّة و المحقّق فی المعارج و العلّامة فی المبادی، و غیرهم، فراجع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السیّد المرتضی فی جوابات المسائل الرسیّة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ابن زهرة الحلبی فی الغنیة،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کتاب الطهارة و سننها،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الطهارة،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مفاتیح الاصول،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 هو فی 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تحریر الأحکام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کلاهما للعلّامة الحلّی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أبواب الأمر و النهی و ما یناسبها،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المحاسن،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فرض العلم،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الاصول،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لتسهیل الخطب انظر کفایة الاصول،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المحاسن،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البدع و الرأی و المقاییس،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الاصول،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منّا العلّامة فی النهایة و التهذیب و صاحب المعالم، و من العامّة العضدی فی شرح المختصر علی ما نسبه إلیهم فی مفاتیح الاصول،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الجواد فی شرح الزبدة علی ما فی مفاتیح الاصول،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عزاه إلیه فی مفاتیح الاصول،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إلیهم فی مفاتیح الاصول،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معارج الاصول،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المحصول فی علم اصول الفقه،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 عن شرحها فی مفاتیح الاصول،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بهما فی مفاتیح الاصول،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النهایة و شرح الجواد فی مفاتیح الاصول،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نهایة الوصول إلی علم الاصول، الورقة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مفاتیح الاصول،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معارج الاصول،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 نهایة الوصول إلی علم الاصول، الورقة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الوصول إلی علم الاصول،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شرح المبادی لفخر المحقّقین فی مفاتیح الاصول،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إلی علم الاصول،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 عن منیة اللبیب فی مفاتیح الاصول،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یقتضیه التحقیق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المعتمد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 بالاجتهاد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 إلیهم فی مفاتیح الاصول،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المختصر و شرحه للعضدی،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 إلیهم فی مفاتیح الاصول،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المختصر و شرحه للعضدی،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تهذیب الوصول إلی علم الاصول،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حکی عن العلّامة فی رجال السیّد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مفاتیح الاصول،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مع شرحه للعضدی،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إلی علم الاصول، الورقة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مع شرحه للعضدی،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شرح البدخشی،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انظر المختصر مع شرحه للعضدی،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تخریجه قبیل هذا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البدخشی فی شرح المنهاج،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الوصول إلی علم الاصول،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معالم الدین،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لم ینصّ به و مفاتیح الاصول،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مفاتیح الاصول،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تمّ الاستصحاب و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سلطان العلماء علی معالم الدین،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 للأدنی مع وجود الأعلی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محسن الحکیم فی مستمسک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لعلّه المشهور المنصور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الوصول إلی علم الاصول،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مبادی الوصول إلی علم الاصول،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تحریر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المقاصد العلیّة،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 عن والد الشیخ البهائی فی مفاتیح الاصول،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اصول الفقه،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التونی فی الوافیة فی اصول الفقه،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جدّه فی مفاتیح الاصول،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العلّامة فی المختلف و المنتهی لیست بصریحة، و لکن لم نعثر علی غیر هذین الموضعین ما یدلّ علی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تحریر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الشرائع،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له فی روض الجنان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کنز العرفان فی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الموجز الحاوی لتحریر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لأبی العبّاس بن فهد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حکاه مفتاح الکرامة،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مصابیح الظلام، و قریب منه قال الوحید البهبهانی فی مصابیح الظلام،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الروضة البهیّة،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الموجز الحاوی لتحریر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لابن فهد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مفاتیح الاصول،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 هو فی الذریعة إلی اصول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 معارج الاصول،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مفاتیح الاصول،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 هو فی 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 معارج الاصول؛ و 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الوافیة فی اصول الفقه،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المعتمد هو الثانی لثبوته بشهادة العدلین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الاصول،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إلی علم الاصول،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إلی علم الاصول،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مفاتیح الاصول،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مفاتیح الاصول،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مع شرحه للعضدی،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التبّانیّات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غنیة النزوع،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استوفز، فی قعدته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قعد قعودا منتصبا غیر 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حقّ العالم،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 و لم یحسن عمله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الباب الخمسین و ما فوقه؛ 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نهایة الوصول إلی علم الاصول، الورقة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تهذیب الوصول إلی علم الاصول،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تحریر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الألفیّة،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حکاه عن منیة اللبیب فی مفاتیح الاصول،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تمهید القواعد،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معارج الاصول،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مبادی الوصول إلی علم الاصول،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تبصرة المتعلّمین،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إیضاح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حکاه عن شرح المبادی فی مفاتیح الاصول،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المقاصد العلیّة،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التبّانیّات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یتعیّن علیه حینئذ إمّا تحصیل العلم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الوصول إلی علم الاصول،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مفاتیح الاصول،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مع شرحه للعضدی،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تهذیب الوصول إلی علم الاصول،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حکاه عن منیة اللبیب فی مفاتیح الاصول،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فی الصفحة الماضیة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منیة اللبیب علی ما حکاه عنه فی مفاتیح الاصول،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 بکسر العین و 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التحیّر فی الکلام، و المراد 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 لمّا کان الجهل أحد أسباب العیّ عبّر عنه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بالجدری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فتح الدال و 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داء معروف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الکسیر و المجدور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کزّ، فهو مکزوز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انقبض من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کزز</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الکسیر و المجدور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الکسیر و المجدور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هو فی مستطرفات السرائر،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فرض العلم و وجوب طلبه و الحثّ علیه،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فرض العلم و وجوب طلبه و الحثّ علیه،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سؤال العالم و تذاکره،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منیة المرید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الروایات الواردة الناهیة عن القول بغیر العلم، التی تدلّ بالمفهوم علی جواز الإفتاء بالعلم فی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النهی عن القول بغیر علم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البدع و الرأی و المقاییس؛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33295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ذکر التوقیعات الواردة عن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لا یخفی أنّ الموجود فی کتاب الغیبة فی هذا الموضع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یوجد فی کتاب الغیبة فی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سهل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فی تسمیة من رآه علیه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المستأکل بعلمه،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القاضی النعمان فی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ذکر الرغائب فی العلم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لا یخفی أنّ الصدوق رواه مرسلا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رواه فیه مرسلا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33356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24938</w:t>
      </w:r>
      <w:r>
        <w:rPr>
          <w:rFonts w:ascii="IRNazanin" w:hAnsi="IRNazanin" w:eastAsia="IRNazanin"/>
          <w:b w:val="false"/>
          <w:b w:val="false"/>
          <w:bCs w:val="false"/>
          <w:i w:val="false"/>
          <w:i w:val="false"/>
          <w:iCs w:val="false"/>
          <w:color w:val="333333"/>
          <w:sz w:val="20"/>
          <w:sz w:val="20"/>
          <w:szCs w:val="20"/>
          <w:rtl w:val="true"/>
        </w:rPr>
        <w:t>،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الدینار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21308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21307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33297</w:t>
      </w:r>
      <w:r>
        <w:rPr>
          <w:rFonts w:ascii="IRNazanin" w:hAnsi="IRNazanin" w:eastAsia="IRNazanin"/>
          <w:b w:val="false"/>
          <w:b w:val="false"/>
          <w:bCs w:val="false"/>
          <w:i w:val="false"/>
          <w:i w:val="false"/>
          <w:iCs w:val="false"/>
          <w:color w:val="333333"/>
          <w:sz w:val="20"/>
          <w:sz w:val="20"/>
          <w:szCs w:val="20"/>
          <w:rtl w:val="true"/>
        </w:rPr>
        <w:t xml:space="preserve">؛ و هو فی معانی الأخبار،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33427</w:t>
      </w:r>
      <w:r>
        <w:rPr>
          <w:rFonts w:ascii="IRNazanin" w:hAnsi="IRNazanin" w:eastAsia="IRNazanin"/>
          <w:b w:val="false"/>
          <w:b w:val="false"/>
          <w:bCs w:val="false"/>
          <w:i w:val="false"/>
          <w:i w:val="false"/>
          <w:iCs w:val="false"/>
          <w:color w:val="333333"/>
          <w:sz w:val="20"/>
          <w:sz w:val="20"/>
          <w:szCs w:val="20"/>
          <w:rtl w:val="true"/>
        </w:rPr>
        <w:t xml:space="preserve">، و هو فی معانی الأخبار،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33438</w:t>
      </w:r>
      <w:r>
        <w:rPr>
          <w:rFonts w:ascii="IRNazanin" w:hAnsi="IRNazanin" w:eastAsia="IRNazanin"/>
          <w:b w:val="false"/>
          <w:b w:val="false"/>
          <w:bCs w:val="false"/>
          <w:i w:val="false"/>
          <w:i w:val="false"/>
          <w:iCs w:val="false"/>
          <w:color w:val="333333"/>
          <w:sz w:val="20"/>
          <w:sz w:val="20"/>
          <w:szCs w:val="20"/>
          <w:rtl w:val="true"/>
        </w:rPr>
        <w:t xml:space="preserve">؛ و هو فی 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33439</w:t>
      </w:r>
      <w:r>
        <w:rPr>
          <w:rFonts w:ascii="IRNazanin" w:hAnsi="IRNazanin" w:eastAsia="IRNazanin"/>
          <w:b w:val="false"/>
          <w:b w:val="false"/>
          <w:bCs w:val="false"/>
          <w:i w:val="false"/>
          <w:i w:val="false"/>
          <w:iCs w:val="false"/>
          <w:color w:val="333333"/>
          <w:sz w:val="20"/>
          <w:sz w:val="20"/>
          <w:szCs w:val="20"/>
          <w:rtl w:val="true"/>
        </w:rPr>
        <w:t xml:space="preserve">؛ و هو فی 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33448</w:t>
      </w:r>
      <w:r>
        <w:rPr>
          <w:rFonts w:ascii="IRNazanin" w:hAnsi="IRNazanin" w:eastAsia="IRNazanin"/>
          <w:b w:val="false"/>
          <w:b w:val="false"/>
          <w:bCs w:val="false"/>
          <w:i w:val="false"/>
          <w:i w:val="false"/>
          <w:iCs w:val="false"/>
          <w:color w:val="333333"/>
          <w:sz w:val="20"/>
          <w:sz w:val="20"/>
          <w:szCs w:val="20"/>
          <w:rtl w:val="true"/>
        </w:rPr>
        <w:t xml:space="preserve">؛ و هو فی 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33449</w:t>
      </w:r>
      <w:r>
        <w:rPr>
          <w:rFonts w:ascii="IRNazanin" w:hAnsi="IRNazanin" w:eastAsia="IRNazanin"/>
          <w:b w:val="false"/>
          <w:b w:val="false"/>
          <w:bCs w:val="false"/>
          <w:i w:val="false"/>
          <w:i w:val="false"/>
          <w:iCs w:val="false"/>
          <w:color w:val="333333"/>
          <w:sz w:val="20"/>
          <w:sz w:val="20"/>
          <w:szCs w:val="20"/>
          <w:rtl w:val="true"/>
        </w:rPr>
        <w:t xml:space="preserve">؛ و هو فی 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33450</w:t>
      </w:r>
      <w:r>
        <w:rPr>
          <w:rFonts w:ascii="IRNazanin" w:hAnsi="IRNazanin" w:eastAsia="IRNazanin"/>
          <w:b w:val="false"/>
          <w:b w:val="false"/>
          <w:bCs w:val="false"/>
          <w:i w:val="false"/>
          <w:i w:val="false"/>
          <w:iCs w:val="false"/>
          <w:color w:val="333333"/>
          <w:sz w:val="20"/>
          <w:sz w:val="20"/>
          <w:szCs w:val="20"/>
          <w:rtl w:val="true"/>
        </w:rPr>
        <w:t xml:space="preserve">؛ و هو فی 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21444</w:t>
      </w:r>
      <w:r>
        <w:rPr>
          <w:rFonts w:ascii="IRNazanin" w:hAnsi="IRNazanin" w:eastAsia="IRNazanin"/>
          <w:b w:val="false"/>
          <w:b w:val="false"/>
          <w:bCs w:val="false"/>
          <w:i w:val="false"/>
          <w:i w:val="false"/>
          <w:iCs w:val="false"/>
          <w:color w:val="333333"/>
          <w:sz w:val="20"/>
          <w:sz w:val="20"/>
          <w:szCs w:val="20"/>
          <w:rtl w:val="true"/>
        </w:rPr>
        <w:t xml:space="preserve">؛ و هو فی 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الکثیرة من الناس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بعنف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 المنع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أدلی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الجسیم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کراهیة الارتفاع إلی قضاة الجور،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الأحادیث المشهورة، رواه العلّامة الحلّی فی تحریر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المولی صالح المازندرانی فی شرح اصول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المحدّث النوری فی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21468</w:t>
      </w:r>
      <w:r>
        <w:rPr>
          <w:rFonts w:ascii="IRNazanin" w:hAnsi="IRNazanin" w:eastAsia="IRNazanin"/>
          <w:b w:val="false"/>
          <w:b w:val="false"/>
          <w:bCs w:val="false"/>
          <w:i w:val="false"/>
          <w:i w:val="false"/>
          <w:iCs w:val="false"/>
          <w:color w:val="333333"/>
          <w:sz w:val="20"/>
          <w:sz w:val="20"/>
          <w:szCs w:val="20"/>
          <w:rtl w:val="true"/>
        </w:rPr>
        <w:t xml:space="preserve">؛ و ابن أبی جمهور الأحسائی فی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المجلسی فی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أو لم یعمل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یثق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زیادة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تنبیه الخواطر و 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التی ذکرنا عند النبوی المشهور قبیل هذا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5853</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33458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صفة العلم و فضله،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33524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حجّة الخصم بالعمومات و خصوص الإجماع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مفاتیح الاصول،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هو فی نهایة الوصول إلی علم الاصول، الورقة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تهذیب الوصول إلی علم الاصول،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تهذیب الوصول إلی علم الاصول،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حکاه عن منیة اللبیب فی مفاتیح الاصول،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معارج الاصول،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انظر المقاصد العلیّة،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المختصر مع شرحه للعضدی،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حکاه عن منیة اللبیب فی مفاتیح الاصول،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مفاتیح الاصول،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هو فی المختصر و شرحه،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305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القول فی التذکرة و النهایة صریحا، و لکن انظر نهایة الإحکام،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هو فی المقاصد العلیّة،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هو فی تهذیب الوصول إلی علم الاصول،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منیة اللبیب و قال به فی مفاتیح الاصول،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المختصر مع شرحه للعضدی،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عوائد الأیّام،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مفاتیح الاصول،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هو فی نهایة الوصول إلی علم الاصول، الورقة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حکاه عن شرح المبادی لفخر الإسلام فی مفاتیح الاصول،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مدارک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الوافیة،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حکاه فی مطارح الأنظار،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عن صاحب الفصول و شارح الوافیة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مطارح الأنظار،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إلیه فی مفاتیح الاصول،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المحقّق الکرکی فی 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الشهید الثانی فی رسالته فی الاجتهاد و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و عن میرداماد فی مفاتیح الاصول،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هنا سقط بقدر سطور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المحقّق القمّی فی حجّة الإسلام فی مطارح الأنظار،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المحقّق الکرکی فی 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مطارح الأنظار،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 الورقة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تهذیب الوصول إلی علم الاصول،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انظر مبادئ الوصول إلی علم الاصول،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قوله تعالی فی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 هو فی رسالة عدم جواز تقلید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 للوحید البهبهانی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تخریجه فی الصفحة الآتیة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التبّانیّات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القرن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القرن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أعلام الشیعة،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القرن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کشف الحجب و الأستار،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القرن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القرن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الترجمة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أنوار البدرین،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9805</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کشف الحجب و الأستار،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نستعین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یقیّد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نهایة الاصول،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المحصول للرازی،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الإحکام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المستصفی للغزالی،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المنخول للغزالی،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فإطلاقهم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 للضمیر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للمزید فی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نهایة الاصول،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محاضرات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تحریرات فی اصول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المحصول للرازی،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الإحکام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المستصفی للغزالی،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بقاء وجوبه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کما فی أعتق عبدک عنّی، فإنّ الأمر بتملیکه یفهم منه تبعا؛ لقوله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أکرم العالم؛ 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المهذّب،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بقاء وجوبه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بأنّه لا بدّ من السبب فی النزاع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کذا قرأناه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قوانین الاصول،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صیرورته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فی الفقه للبیضاوی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المفسّر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نوصل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قول الشیخ رحمه اللّه فی النهایة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النزاع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لیس تحریر محلّ النزاع علی هذا الوجه ببعید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دعوی استلزام وجوب الفعل حال عدم وجوب المقدّمة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بیان الآمدی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أصحابنا و المعتزلة علی أنّ ما لا یتمّ الواجب إلّا به و هو مقدور للمکلّف فهو واجب، خلافا لبعض الاصولیّین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فی هذا العزاء؛ إذ 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کتعزّی، أی انتسب، و العزا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و هو سهو، و أبو الحسین البصری الاصولی معروف، توفّی عام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استلزام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القول بالوجوب أیضا؛ لثبوت التکلیف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التکلیف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المنخول،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الإحکام،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رابعها أنّ المقدّمة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فالمقدّمة مأمور بها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 مأمورا بها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فی الزبدة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بهاء الدین محمّد فی زبدة الاصول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لم لا یجوز أن یکون الذمّ للوجوب عقلا، لا لدلالة الأمر علیه، فکیف تمّ الاستدلال بالذمّ علی الوجوب شرعا تدبّر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الإحکام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معنی للاشتمال إلّا حدوث المصلحة بسببها، و هذا المعنی حاصل فی المقدّمة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تعلّق الوجوب فیما یشمل علی المصلحة إنّما هو لأنّه لو لم یوجب لزم تفوّت المصلحة و هو مفسدة، فأمّا إذا علم الشارع أنّه مع عدم إیجابه یجتهد المکلّف فی إشفاعه البتّة، فلأنّه إن یجب حینئذ تعلّق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الاشتمال المقدّمة علیها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فیحرم، یمکن البحث فی هذا التفریع أیضا بأنّ جهة القبح فی شی‌ء إنّما تضرّ شیئا لتحریم الشارع ذاک الشی‌ء إذا علم أنّ بدون تحریمه لا یترک ذاک الشی‌ء، أمّا إذا علم أنّه بدون تحریمه و تعلّق الخطاب به یترک ذلک الشی‌ء فلا نسلّم حینئذ وجوب التعلّق، و المقدّمة لیست إلّا کذلک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الشرعی، بمعنی أنّه یجب من الشارع إیجابه، و فیه منع؛ لأنّه إنّما یجب الإیجاب إذا علم أن لا یحصل ذلک الترک، و أمّا إذا علم أنّ بدون الإیجاب یحصل ذلک الترک فلا نسلّم وجوب إیجابه بمعنی تعلّق الخطاب به، و البحث لیس إلّا فیه غایة الأمر أنّه قد یوجبه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المعروضة، و لم ینقل أنّه یجب عدم الإیجاب،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فالإیجاب 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فیه لا فی السوالب من وجوبه، و لا نسلّم أنّ الشارع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بلحاظ تلک الصور فتدبّر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الخدش</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لذات الأمر مع ثبوته فی الوجوب، لا نفی الوقوع، و قد ثبت عدم الاستلزام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یقال من أنّ التعلّق فی الوجوب و الطلب لیس ذاتیّا غایته أنّه لازم بیّن لا یمکن تعقّلها بدونه، فلیس بصائر من المقصود؛ لحصوله علی التقدیرین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منعناه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الدلیل اعتمد علیه الشیخ حسن البصری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مطلقا کانعدام الوجوب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بخروجه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نهایة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بدائع الأفکار،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مطارح الأنظار،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المنخول،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زبدة الاصول،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فعل الواجب عبادة، و کلّ عبادة لا یصحّ بدون النیّة لقوله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الأعمال بالنیّات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فیتحقّق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لا أصالة فی مقدّمته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لا مقدّمته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فالسبب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للآمدی،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بالشرط</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الفریضة و</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فیهم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بأولی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منع وجوب الجزم فی النیّة مطلقا، بل إنّما ذلک ممّا یمکن فیه الجزم و هاهنا لا یمکن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المنخول،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کالإناءین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کماء الإناءین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کثرة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إلی بدل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کان ممکنا لجواز التخییر بین الجزء و الکلّ، إلّا أنّ الوجوب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واحدا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المأمور به فی مسألة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منهما لکنّه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من أنّه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اللغة لا یقتضی شیئا منهما لکنّه بحسب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المعلوم من الأمر طلب إیجاد الماهیّة، و هو یتحقّق فی ضمن الواحدة، فالباقیة یقع لغوا، و إلّا لزم طلب الحاصل؛ إذ الماهیّة المطلوبة حاصلة بالأوّل، فإذا کان الأفراد الباقیة داخلة تحت امتثال الأمر، لزم أن یکون الظاهر خصوصیّة الأفراد لا الماهیّة، و لیس کذلک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بخطّه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صورة خطّ المصنّف، أوجب اللّه له الجنّة بحرمة محمّد و عترته الطاهرة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الموفّق المعین، و 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ولیّ التوفیق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مقدّمة التحقیق،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مقدّمة التحقیق، 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سلافة العصر،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خلاصة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الکنی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مصفی المقال،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شهداء الفضیلة،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التعبیر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و سبعین و شهرین و نصفا تقریبا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من الخاصّة الشیخ حسن فی المعالم،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من العامّة القاضی عضد الدین فی شرح مختصر المنتهی لابن الحاجب،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المقصد الثالث فی الإجماع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اتّفاق</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الفخر الرازی فی المحصول،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طریقتهم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 إلی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البحث الرابع فی وقوع التعبّد بخبر الواحد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الاستناد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یبقی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لهذا مزید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لم یرد فی نسخة الف و 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تعریض؛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نصّ بل تواتر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روایة عمر بن حنظلة الواردة فی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و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التعوّل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الاصول،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الوافیة فی اصول الفقه،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محکوما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فرحمهم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 ب 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المحکمة الثابتة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بعضها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قسمین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مدّة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 مذاهبهم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من قال إنّه حجّة، فمنهم من قال إنّه من جهة العقل، و هم الشذاذ، و ذهب الجمهور الأعظم و السواد الأکثر إلی أنّ طریق کونه حجّة من جهة السمع</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المراعی فی باب الحجّة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السیّد المرتضی فی الفوائد المدنیّة،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 إلی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المنتهی للعضدی،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محمّد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33152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الآراء</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رسالته علیه السّلام فی الردّ علی أهل الجبر و التفویض و إثبات العدل؛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التوقیعات الواردة عن القائم علیه السلام؛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قلنا من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فی إبطال الرؤیة،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یفهم منه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فی إبطال الرؤیة،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التوحید للصدوق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33456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الضلال،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33227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ترکتموها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تذاکر الإخوان،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33283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الخاصّة الفضل بن شاذان فی الإیضاح،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ردّه بأنّه خبر واحد، و کذلک محمّد طاهر القمّی فی کتابه الأربعین،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من العامّة ابن أبی الحدید فی 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الکتانی فی نظم المتناثر،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الخاصّة الحرّانی فی تحف العقول،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الطبرسی فی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من العامّة ابن ماجة فی سننه،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و الهیثمی فی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لتسمیتهم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اشتهر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لا یخفی أنّه لا یوجد فیه تصریح بوجوب التکبیرات الخمس فی کلّ رکعة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نکاح الذمیّة،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قال بالکراهة فیه قبل مضیّ أربعة أشهر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بین تخییرها و فسخ عقد الأمة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المبسوط</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الصید و الزکاة؛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کراهیّة لحم الغراب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کتاب الصید و الذبائح من النهایة،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لا الأطعمة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الشافعی فی کتاب الأمّ،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النووی فی المجموع،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ابن حزم فی المحلّی،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ابن قدامة فی المغنی،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الإیجاز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الرسائل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الإیجاز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الرسائل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الشیخ ذهب فیه إلی القول الأوّل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فیه إلی القول الثانی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فیه إلی التخییر للمجنیّ علیه بین العفو علی مال، و له دیة خمسون من الإبل، و بین أن یقتصّ، فیأخذ یدا ناقصة إصبع قصاصا و یأخذ دیة الأصبع المفقودة،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خلاف، و قوّی أنّه لیس للمجنیّ علیه دیة الأصبع إلّا أن یکون قد أخذ دیتها فیلزمه ذلک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قال بالتخییر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الشیخ ینقل ما نسب إلیه الشهید إلی بعض</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النهایة،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مخالفة الشیخ الطوسی رحمه اللّه لإجماعات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فی جوابات المسائل الموصلیات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المجموعة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حاشیة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لأحد تصریحا بسقوط السورة للضیق، بل التصریح بخلافه موجود فی التذکرة فی باب الوقت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یوافق</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یعتبر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یعبّر عنها بالمرجّحات المنصوصة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تفصیلها فی الوافیة فی اصول الفقه،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لسؤال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مذهبهم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بمذهب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الروایتین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المتأخّرین من المحقّقین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الاحتیاط</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تلقی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تلقی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تجیئنا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33375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ذکر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فیه قطعة من الحدیث؛ 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اعتبروا فی المجتهد ملکة 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عوائد الأیّام،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البدایة فی علم الدرایة،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الظهر و العصر،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عنها بالمقبولة المیرزا القمّی فی قوانین الاصول،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النراقی فی عوائد الأیّام،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الاصفهانی فی هدایة المسترشدین،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لم یرد توثیق صریح لعمر بن حنظلة إلّا من الشهید الثانی فی الدرایة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الحقّ فیما خالفهم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 اختلاف یسیر فی بعض الألفاظ</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 شواهد الکتاب،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الرسالة مفقودة فی عصرنا، رواه عنها المصنّف فی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33368</w:t>
      </w:r>
      <w:r>
        <w:rPr>
          <w:rFonts w:ascii="IRNazanin" w:hAnsi="IRNazanin" w:eastAsia="IRNazanin"/>
          <w:b w:val="false"/>
          <w:b w:val="false"/>
          <w:bCs w:val="false"/>
          <w:i w:val="false"/>
          <w:i w:val="false"/>
          <w:iCs w:val="false"/>
          <w:color w:val="333333"/>
          <w:sz w:val="20"/>
          <w:sz w:val="20"/>
          <w:szCs w:val="20"/>
          <w:rtl w:val="true"/>
        </w:rPr>
        <w:t xml:space="preserve">؛ و العلّامة المجلسی فی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فی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حسین بن أبی العلاء، هذا الکلام یحتمل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کلام علیّ بن الحکم،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حسین بن أبی العلاء أنّه، أی الحسین حضر ابن أبی یعفور فی المجلس الذی سمع منه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کلام أبان بأن یکون الحسین حدّثه أنّه کان حاضرا فی مجلس سؤال ابن أبی یعفور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أیضا من کلام أبان و حدّثه الحسین أنّ ابن أبی یعفور حضر مجلس السؤال عنه علیه السّلام و کان السائل غیره، و لعلّ الأوسط أظهر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فی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الشرط محذوف، أی فاقبلوه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 شواهد الکتاب،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 شواهد الکتاب،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 شواهد الکتاب،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 شواهد الکتاب،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ما جاء فی الحدیثین المختلفین،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فی اللفظ</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الاستبصار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أیّوب؛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محمّد بن سماعة عن الحسن بن أیّوب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28605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قطب الدین الراوندی مفقودة فی عصرنا، رواه عنها المصنّف فی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المجلسی فی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33366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33367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معناه ما رواه الشیخ قطب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لم یرد فی نسخة الف و 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یخرج</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و انظر الوافیة فی اصول الفقه،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لتبیین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یوجب؛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یوجب</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علی قول السیّد المرتضی و لکن انظر الذریعة إلی اصول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الرعایة فی علم الدرایة،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به صرّح الأسترآبادی فی فوائد المدنیّة،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شرح البدایة فی علم الدرایة،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الشیخ البهائی فی مشرق الشمسین،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أنهاه عن الجدال و المراء فی دین اللّه تعالی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کذا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ذلک سوّت الطائفة بین ما یرویه محمّد بن أبی عمیر و صفوان بن یحیی و أحمد بن محمّد بن أبی نصر و غیرهم من الثقات الذین عرفوا بأنّهم لا یروون و لا یرسلون إلّا عمّن یوثق به و بین ما أسنده غیرهم، و لذلک عملوا بمراسیلهم إذا انفردوا عن روایة غیرهم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شرح البدایة فی علم الدرایة،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العبارة فی العدّة، و عبارته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ما قلناه عملت الطائفة بما رواه حفص بن غیاث و غیاث بن کلوب و نوح بن درّاج و السکونی و غیرهم من العامّة عن أئمّتنا علیهم السّلام فیما لم ینکروه و لم یکن عندهم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حکی هذه العبارة عن بعض کتب الشیخ الطوسی المحقّق الحلّی فی الرسالة العزیة المطبوعة ضمن الرسائل التسع،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حاشیة 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للوحید البهبهانی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بهذا النصّ فی التهذیب و الاستبصار، و لکن قال فی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فی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لا یصحّ العمل به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 متن هذا الخبر لا یوجد فی شی‌ء من الاصول المصنّفة، و إنّما هو موجود فی الشواذّ من الأخبار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فی تسمیة من رآه علیه السلام؛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حکاه عن الشهید الثانی المحدّث الأسترآبادی فی الفوائد المدنیّة،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ککتاب عبید اللّه الحلبی لمّا عرضه علی الإمام الصادق علیه السّلام صحّحه و قال عند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یری لهؤلاء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یوم و لیلة لیونس بن عبد الرحمن حین نظر فیه الإمام العسکری علیه السّلام و تصفّحه کلّه،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دینی و دین آبائی، و هو الحقّ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الأخبار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التوضیح انظر مشرق الشمسین،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رجال الخاقانی،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استنزعته و استطرفته من کتب المشیخة المصنّفین و الرواة المحصّلین، و ممّا استطرفه من کتاب ابن محبوب و أمثاله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اقتصرت من کتب هؤلاء الأفاضل علی ما بان فیه اجتهادهم و عرف به اهتمامهم و علیه اعتمادهم، فمن اخترت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و محمّد بن أبی نصر البزنطی، و الحسین بن سعید، و الفضل بن شاذان، و یونس بن عبد الرحمن و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 إلی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البحث الرابع فی وقوع التعبّد بخبر الواحد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مبرهن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المشتهرین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یشدّ و یستحکم، أو من الاعتقاد بمعنی التصدیق و الإذعان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علی سبیل المثال التوحید،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34888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برز</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إزرائهم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إزراء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ورائهم و زارئ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رأیهم و إزرائهم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سیف بن عمیرة،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23182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الاضطرار إلی الحجّة،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21333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موجودة فی التحفة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عبد اللّه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النخبة المحسنیّة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عشریّة،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إبطال هذه النسبة، فما بعد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الضلال،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33227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من مات و لیس له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33393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أصناف الناس،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33093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أصناف الناس،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33094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أورثوا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صفة العلم و فضله و فضل العلماء،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33169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بأسبابها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انخفض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أنّه لیس شی‌ء من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27632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یؤخذ</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أنّه لیس شی‌ء من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33984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البدع و الرأی و المقاییس،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33157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الکلام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النهی عن الکلام فی الکیفیّة،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العیّاشی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انبثقت، أی هجمت،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انبثق الأمر علی الناس، أی هجم علیهم من غیر أن یشعروا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ثبق</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الفظیع القبیح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شنع</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النسبة،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التوحید للصدوق</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النسبة،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التوحید للصدوق</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بغیر ما وصف به نفسه تعالی،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التوحید للصدوق</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یدرکنا الغالی و لا یسبقنا التالی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بغیر ما وصف به نفسه تعالی،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التوحید للصدوق</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بغیر ما وصف به نفسه تعالی،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 رجال الکشّی</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بغیر ما وصف به نفسه تعالی،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المحاسن للبرقی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 الردّ إلیه،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جدّ امّی سیّد بحر العلوم</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منتهی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ثلاثة أولاد 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یعدّ منهم السیّد محمّد،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أبو المعالی خلّف السیّد محمّد علیّ لا غیر، و هو قدّس سرّه والده 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المؤلّف صاحب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واحدة من البنات کانت زوجة المولی محمّد رفیع الجیلانی القاطن فی المشهد الرضوی حیّا و میّتا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ط أنصاریان،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فی ط مرکز فرهنگی قبله بتحقیق علی دوانی،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زوجة صاحب الریاض کانت عمة آغا أحمد صاحب مرآة الأحوال کما تقدّم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المجاهد صاحب فتوی الجهاد مع الروس و صاحب کتابی مفاتیح الاصول و المناهل، و ترجم له ابن خاله آغا أحمد فی 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خاله فی مرآة الاحوال،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فی ط دوانی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أمین الخوئی فی 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و له رسالة فی أصالة البراءة و حجّیة ظواهر الکتاب، و رسالة فی المشترک ذکرها فی 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تقریرات دروسه، ذکرها فی 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إسماعیل بن محمّد علیّ الکرمانشاهی أخو آغا أحمد مؤلّف مرآة الأحوال، و کان من تلامیذ المؤلّف صاحب الریاض 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فی ط نشر قبله بتحقیق دوانی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صبیه مرضیه آن عالی‌جناب که از بطن عمه مکرمه است ولادتش در کربلای معلّی اتفاق افتاد، و در ابتدا به عالی‌جناب نور چشمی آقا محمّد اسماعیل شوهر نمود و از او چند اولاد شد و فوت شدند، و بعد از چندی به جهت عدم سلوک و موافقت طبع طرفین فیما بین ایشان تفریق روی داد و به فاصله دو سه ماه تقریبا به عالی‌حضرت، سیادت منزلت، سید حسن منجم خلف مرحوم سید یوسف برنجانی شوهر کرد، و الحال در حباله اوست، و مسموع می‌شود که از او چند اولاد دارد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فی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فی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فی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فی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فی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فی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طبعت إجازاته فی میراث حدیث 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فی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فی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تحقیق ریاض المسائل طبع آل البیت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الإجازة صدرت فی سنة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التحقیق</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ستطبع هذه الإجازة فی میراث حدیث شیعة، و کذا الآتیة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أعیان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سیط حبّک بدمی و من 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و 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أعیان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قصص العلماء،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فی گنجینه بهارستان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فی ط الحجری،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دفتر دوم،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کذا وصفه أیضا فی إجازته للمیرزا محمّد بن عبد الوهّاب الهمدانی،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دفتر دوم،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انظر أیضا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عند ذکر المناجات الخمسة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بعض تلامیذ الأمیر سیّد علیّ صاحب الریاض عنه أنّه کان یقول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اداوم علی تلک المناجات منذ سنین عدیدة فتح اللّه بها علی قلبی من أنوار الحکمة و المعرفة و المحبّة ما لا یحصی و جرّبتها فی استجابة الدعاء و کان یرغّب السلّاک و العبّاد إلی مداومته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تفصیل کلامه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 علیه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الإجازة فی میراث حدیث 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فی 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عدّه أیضا من مشایخه فی أعیان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المؤلّف من کتاب دیات ریاض المسائل فی سنة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 من کتاب الاعتکاف سنة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 من کتاب الصلاة و القضاء سنة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 علا حفلة تاریخ مولده الشریف الّذی کان سنة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بعد ما نقله صاحب قصص العلماء و کذا ما نقله المامقانی فی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المنقول علی ألسنة مشایخنا أنه شرع فی طلب العلم فی زمان الرجولیة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فی إشارات الأصول فی آخر مبحث حجّیة الأخبار کما نقله عنه فی قصص العلماء،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کذا فی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نفسه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مرآة الکتب،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نفسه،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اسمه جعفر کما فی الروضات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أورد فی 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دوانی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إجازته له عند ذکر إجازات مشایخه و لا بأس بنقلها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 دوانی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قبیله عالمان دین،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دار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مکارم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فی إجازته لصاحب قصص العلماء،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تکملة أمل الآمل،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الروضة البهیة فی شرح طرق الشفیعیة،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الکرام،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أدرک السیّد علیّ الطباطبائی فی کربلاء، و تلمّذ علی ولده السیّد محمّد المجاهد؛ و قال فی قصص العلماء،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حاجی ملا محمّد صالح از تلامذه آقا سیّد محمّد بوده و آخر آقا سیّد علی را هم درک کرده و به درس او حاضر می‌شده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الأمل،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أجازه المؤلّف فی شوال سنة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و الإجازة طبعت فی میراث حدیث 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بذلک أیضا النراقی فی إجازته لابنه المطبوع أیضا فی میراث حدیث 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فی مواضع کثیرة من مفاتیح الاصول، و کذا فی کتب التراجم منها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العلماء،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أجازه فی سنة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أدرج تصویرها بخطّه الشریف فی ریحانة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هذه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عنه فی نجوم السماء،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صحّف فی 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هذا، أخو أکبر الوحید البهبهانی</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فی ط دوانی،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مرآة الشرق،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فهرست کتابخانه مدرسه سپهسالار،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علی ظهر نسخة من الشرح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المؤلّف أنّ من قرأ هذین البیتین لکشف المهمات قضی حاجته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یعبّر عنه أحیانا بحدیقة المؤمنین کما فی 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بتحقیق السیّد مهدی الرجائی بإصدار مکتبة آیة اللّه المرعشی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عنها فی 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المفهوم بالأولویة أو القیاس بالأولویة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 جوابا لما أرسله إلیه بعض العلماء مبدیا للتشکیک فی حجیّته فکتب ذلک و ادّعی فیه الإجماع علی حجّیته و وعد فیه أن یصنّف رسالة فی حجیة الأدلّة الأربعة بل الخمسة، یوجد من موقوفة النجف‌آبادی فی مکتبة التستریة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 فی قصص العلماء،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تصنیفاته بنحو ما ساق فی منتهی المقال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رجال ایران،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التنکابنی فی قصص العلماء،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آخر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سماحة آیة اللّه السیّد موسی الشبیری الزنجانی دام ظلّه عن السیّد الجلیل فرج اللّه الفقیهی حفید حجّة الإسلام الشفتی عن جدّه الشفتی أنّه تلمّذ عند المیرزا أبی القاسم القمی ستة أشهر، و یترجّح هذه الشهور عما استفاد من مشایخه فی العتبات فی مدّة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فیظهر أنّ سلائق الأشخاص تختلف فی ترجیح و انتخاب الأساتید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الشرف فی أحوال المشاهیر من علماء النجف للمؤرّخ السیّد حسون البرافی</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الأعرجی الکاظمی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المحصول فی علم الاصول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مجتهدی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 تلمیذه آغا أحمد الکرمانشاهی فی عبادة المؤلّف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 علیه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العنبریة فی الطبقات الجعفریة،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حضرت آیة اللّه العظمی اراکی،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صرّح بذلک أیضا غیر واحد من مترجمیه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الأحوال،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فی هامش بعض نسخه، ط انصاریان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أیضا فی الروضات،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المیرزا أبی القاسم القمی و کذا صرّح بذلک غیر واحد من مترجمیه، فما ورد من أنّه توفّی سنة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تصحیف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نستعین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الطیبین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الأنام و العباد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المجیب صاحب المعالم،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کما سیأتی التصریح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مفاتیح الاصول،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 درایة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صاحب المعالم کما تقدّم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م،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اعتمادهم علیه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و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ابنه السیّد المجاهد فی مفاتیح الاصول،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والده و کذا الجواب الثانی</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صحّة حجّته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خلفیتها</w:t>
      </w:r>
      <w:r>
        <w:rPr>
          <w:rFonts w:eastAsia="IRNazanin" w:cs="IRNazanin"/>
          <w:b w:val="false"/>
          <w:bCs w:val="false"/>
          <w:i w:val="false"/>
          <w:iCs w:val="false"/>
          <w:color w:val="333333"/>
          <w:sz w:val="20"/>
          <w:szCs w:val="20"/>
          <w:rtl w:val="true"/>
        </w:rPr>
        <w:t>-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تشبه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مبتاعدة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م،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لآخر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ظنّهم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 ع،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فی هذا الجواب لجدّه الملّا صالح المازندرانی کما فی مفاتیح الاصول،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آخر الرسالة نقل ابنه السیّد المجاهد فی مفاتیح الاصول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الدلیل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کلیهما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حجّیّة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للظنّ الحاصل منها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یعلم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و بعض نسخ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و بعض نسخ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یفید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الظنّ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م، ع، ر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تفید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انسدّ، و فی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انسداد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بالحکم الشرعی</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المعالم،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القویّ</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خ،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کما تری</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ش، ع و مفاتیح، و فی سائر النسخ، لحجّیة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إفادتها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جهات</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یعتبر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الآحاد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ق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م، ع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م، ق،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المحکیّة بل الظاهرة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یرجّح،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یترجّح</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المرجّحات</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فیساقطان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فتساقطان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فساقطان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وجودها کعدمها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المتأخّرون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ر،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للمثبت من س و مفاتیح،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عدا الظنون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م،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بأخبار الآحاد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إلّا رسمه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العلماء</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أیضا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و خ بهامش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البداهة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یورد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القاطع</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تحتاج</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یستلزم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یلزم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منعناه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م، 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الخاصّة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ق، ع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ع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ش، ق،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ألحق بعضهم فی الحجّیة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زادوا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ش، ع،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الحجّیة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 ق،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الغیر الصحیحة الغیر المتّفق أو المتّفق علی صحّتها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 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الاجتهادیة لا علی</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م، ع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یقتصروا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 و البیّنة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 ق، 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التخلّف عنهم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خبیرة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الوحید البهبهانی فی الفوائد الحائریّة،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شاع بعد صاحبی المعالم و المدارک أنّهم یطرحون أخبارنا المعتبرة التی اعتبرها فقهاؤنا القدماء، بل و المتأخّرون أیضا طرحا کثیرا بسبب أنّهم لا یعتبرون من الأمارات الرجالیّة سوی التوثیق و قلیل من أسباب الحسن، و بسبب ذلک اختلّ أوضاع فقههم و فتاواهم و صار بناؤهم علی عدم ثبوت المسائل الفقهیّة غالبا، و ذلک فاسد؛ لأنّ أسباب التثبّت الظنّیّة موجودة فی غایة الکثرة و حصول الظنّ القویّ منها لا یتأمّل فیه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 فی هامش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م، ق،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سبیل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ع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بأقربهما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راجح</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ع،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ع،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لقلنا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بالمرجّح</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ر، ش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فنأخذ</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م، ر، ش،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مستلزما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فمدفوع</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 ق،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 ق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قرائن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سقط من مفاتیح</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کمثلها و 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یحصل القطع أیضا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ر و مفاتیح، و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فالأحکام،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الأحکام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م، ر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یکفی لسائر الأحکام الشرعیة؛ یقطع بثبوتها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یکتفی</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تفسیقهم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ش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یعتمد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و عند الکلّ</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یعتمد علی مثل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ش، 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ظنّ</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حجّتهما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هما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ش، ق،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 فی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الرأی</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م، خ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النبیین</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النسخ</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یوجد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 التی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الخالی</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یضمّ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ق،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یتصوّر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یخصّصها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مخصّصا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انجباره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م،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بحجّیة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باجتماعها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شرعیة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ش،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م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م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الحجّیة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ق، م،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ما</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هنا بقدر صفحتین من نسخة ش</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م،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جوابکم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لعذر نفسی</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تخلیتها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ق، م،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إخلال، و خ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النسخ</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الأحکام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التثبیت</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تعالی</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العمل</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یقال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استکشاف؛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إلّا انکشاف</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یشتمل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فالموافقة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ما سقط من ش</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إلّا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ینهض</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یأتیان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ر،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لوصفها</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توجد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ش،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حرّسه اللّه تعالی</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ر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نفس الروایة</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متأخّری</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للغیر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م،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المخصوصة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غالبا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متشخّص</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جزئیاته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بهامش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مضی</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م، ق،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یعتبر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یکتفون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لخالی</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فی ر،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نصّ عبارته فی أوائل الرسالة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ق، م،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ق، م، س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متشرّعة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القطعیة</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تنفع</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 س م و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نشیرها</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ش،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إلیه</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للشیخ الأنصاری،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عوائد الأیّام للمحقّق النراقی، 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فوائد الاصول للمحقّق الکاظمی،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القواعد الفقهیّة للسیّد البجنوردی،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مشارق الشموس للمحقّق الخوانساری،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فی التلقین علی المیّت</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المقدّمة،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ذیل الحدیث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للسیّد المجاهد،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للسیّد المجاهد،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المجاهد رحمه اللّه فی مفاتیح الاصول،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نهایة الدرایة فی شرح الکفایة،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فوائد الاصول للمحقّق الکاظمی،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منتهی الاصول للبجنوردی،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حاشیة السیّد البروجردی علی الکفایة،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دروس فی علم الأصول للسیّد الصدر،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تهذیب الاصول للسیّد الخمینی،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مصباح الاصول للسیّد الخوئی،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زبدة الاصول للسیّد الروحانی،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مصفّی المقال،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الحدیث للشیخ النمازی،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میراث الشهاب، العدد الثانی من السنة الرابعة،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البشارات، التوحید، شرح زیارة الحسین علیه السّلام، عصمة الملائکة، مبدأ اشتقاق موجودات، مجالس ماه رمضان، میزان، و غیرها فی مکتبة المرعشی رحمه اللّه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شهاب،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شهاب،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یشتبه المصنّف مع العارف الشهیر الشیخ محمّد البهاری المتوفّی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الذی کان هو أیضا من تلامذة المولی حسین قلی الهمدانی، و له کتاب تذکرة المتّقین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شهاب،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همدان للسیّد علی دعوتی،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و سخن‌سرایان همدان،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کتاب النور فی الإمام المستور، مقدّمة التحقیق،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النور فی الإمام المستور، مقدّمة التحقیق،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دانشنامه جهان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النور فی الإمام المستور، مقدّمة التحقیق،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هگمتانه تا همدان،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النور فی الإمام المستور، مقدّمة التحقیق،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دانشنامه جهان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شهاب،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الفهرست لمکتبة المرعشی،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فی الإمام المستور، مقدّمة التحقیق،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ذهب إلیه المتقدّمون من الاصولیّین فی تعریف موضوع هذا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قوانین الاصول،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فوائد الاصول،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لمحات الاصول،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السالفة</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تعریف مشهور الاصولیّین عن علم الاصول، و إن ناقش فیه أکثر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الفصول الغرویّة،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غیرها من المصادر الاصولیّة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الأنصاری رحمه اللّه فی رسالته فی التسامح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فالتحقیق فی الفرق بینها هو أنّ المسألة الاصولیّة عبارة عن کلّ قاعدة یبتنی علیها الفقه، أعنی معرفة الأحکام الکلّیّة الصادرة من الشارع و مهّدت لذلک، فهی بعد إتقانها و فهمها عموما أو خصوصا مرجع للفقیه فی الأحکام الفرعیّة الکلّیّة، سواء بحث فیها عن حجّیّة شی‌ء أم لا، و کلّ قاعدة متعلّقة بالعمل لیست کذلک، فهی فرعیّة، سواء بحث فیها عن حجّیّة الشی‌ء أم لا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قرأناه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قرأناه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 التوسّع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المقال أنّ المستفاد من الروایات هو ثبوت الثواب بفضل من اللّه و عدمه فی أخبار التسامح لإتیان ما وصل إلینا کونه ذا ثواب من الخبر، و ثبوت الثواب الموعود هو الحکم المستفاد من تلک الروایات، و التعبّد إنّما هو نیّة، و هذا الحکم إنّما هو للإتیان بتلک الأفعال</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عبّر الشیخ الأنصاری رحمه اللّه عن هذه الأخبار بالمستفیضة التی لا یبعد دعوی تواترها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 و العدّة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الثواب علی شی‌ء</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 و الوسائل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 به</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الصدوق رحمه اللّه فی الثواب عن أبیه، عن علیّ بن موسی، عن أحمد بن محمّد، عن علیّ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هاشم بن صفوان،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البرقی رحمه اللّه فی المحاسن عن علیّ بن الحکم، عن هشام بن سالم،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البرقی رحمه اللّه فی المحاسن، عن أبیه، عن أحمد بن النضر، عن محمّد بن مروان،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بلغه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رحمه اللّه فی الکافی، عن علیّ بن إبراهیم، عن أبیه، عن ابن أبی عمیر، عن هشام بن سالم، عنه علیه السّلام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رحمه اللّه فی الکافی، عن محمّد بن یحیی، عن محمّد بن الحسین، عن محمّد بن سنان، عن عمران الزعفرانی، عن محمّد بن مروان،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الإقبال،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فهد رحمه اللّه فی عدّة الداعی، عن الشیخ الصدوق رحمه اللّه، عن محمّد بن یعقوب رحمه اللّه، بطرقه عن الأئمّة علیهم السّلام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أوّل من أورد هذا، المحقّق الخوانساری رحمه اللّه فی مشارق الشموس،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فی مسألة استحباب الوضوء لحمل المصحف</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 فی الوسائل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الإتیان بکلّ عمل مشروع روی له ثواب عنهم علیهم السّلام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الأنصاری رحمه اللّه فی رسالته، تحت الأمر السادس من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إلحاق الکراهة بالاستحباب فی التسامح فی دلیله، و لا إشکال فیه بناء علی الاستناد إلی قاعدة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بناء علی الاستناد إلی الأخبار، فلا بدّ من تنقیح المناط بین الاستحباب و الکراهة، و إلّا فموارد الأخبار ظاهر الاختصاص بالفعل المستحبّ، فلا یشمل ترک المکروه إلّا أن یدّعی عموم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النبوی، بل عموم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غیره للفعل و الترک، فتأمّل مضافا إلی ظاهر إجماع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یخفی علیک أنّا و إن أثبتنا استحباب ما اشتمل علیه الضعاف من أجل وعد الثواب علیها فی أخبار التسامح، إلّا أنّه لا یکون مثل سائر المستحبّات، أعنی فی صورة عدم المطابقة للواقع، و الوجه فی ذلک أنّ وعد الثواب علیها فی تلک الأخبار إنّما هو تفضّل محض، و لیس لحسن الفعل بالضرورة خلوّه عن المصلحة و الحسن، و عروض البلوغ و الإتیان له لو أوجب حسنه ترمی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 المخالفة للواقع فی الثواب، ذکر فی الروایات أو لم یذکر، مع أنّ الثابت من تلک الأخبار هو التفضّل حینئذ تفضّل الربّ بإعطاء ما یجزیه العبد لطمعه، و لا قبح فی الاختلاف حینئذ، بخلاف ما لو کان للحسن 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العنوان العارض علی أصل الفعل، و فی ذلک یکون الفعل مستحبّا شرعا، و المنادی إلیه لدرک الثواب و المنادی هو أخبار التسامح فقط، و لو بحسب الإرشاد کون الطلب لحسن الفعل، و من أجله اختلف الثواب نظرا إلی أنّ أخبار التسامح یقیّد بترتیب آثار الواقع علی الأخبار الضعیفة و آثار واقعیّتها مختلفة، و فیه ما لا یخفی</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مشهورة، و هی الآیة السادسة من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إِنْ جاءَکُمْ فاسِقٌ بِنَبَإٍ فَتَبَیَّنُوا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الظَّنَّ لا یُغْنِی مِنَ الْحَقِّ شَیْئاً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الأنصاری رحمه اللّه فی دفع هذا الاعتراض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اجیب عنه بأنّه لا تعارض؛ نظرا إلی أنّ هذه الأخبار لا تدلّ علی جواز الرکون إلی خبر الفاسق و تصدیقه، و إنّما تدلّ علی استحباب ما روی الفاسق استحبابه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الرسائل الفقهیّة للشیخ الأنصاری،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الأنصاری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حکم العقل بأنّ دفع مضرّة التحریم المحتملة أولی من جلب منفعة الاستحباب المقطوع به، حکم الشارع بطلب محتمل التحریم و استحبابه، فلا بدّ من تقیید الأخبار بما عدا صورة احتمال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للمزید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للسیّد البروجردی،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33113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للمزید حول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عوائد الأیّام، ص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رسائل فقهیّة للشیخ الأنصاری،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المصباح و البلد الأمین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استظهره المحقّق النراقی رحمه اللّه فی عوائد الأیّام،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اتّکالا علی عمومات التسامح،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ینافیه الأخبار الناهیة عن أخذ الأحکام من أخبار المخالفین؛ لأنّ الظاهر منها النهی عن الاستناد إلیها، و ذلک لیس کذلک، بل استناد إلی روایات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استقواه أیضا الشیخ الأنصاری رحمه اللّه فی رسالته</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33357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الاصول،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عوائد الأیّام،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الأنصاری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ورد روایة ضعیفة بالاستحباب و اخری بعدمه، فلا إشکال فی التسامح؛ لأنّ الخبر الضعیف لیس حجّة فی عدم الاستحباب، فوجوده کعدمه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یعلم أنّه لو کان الدالّ علی عدم الاستحباب أخصّ مطلقا من الدالّ علی الاستحباب، فلا یحمل هنا المطلق علی المقیّد، و لا العامّ علی الخاصّ؛ لأنّ دلالة الخبر الضعیف علی عدم الاستحباب مطلقا أو فی بعض الأفراد کالعدم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عوائد الأیّام، 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مفاتیح الاصول،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یتمسّک مع قطع النظر عمّا ذکرناه بعمومات الإبکاء و الرثاء و ذکر الفضائل و أشباه ذلک، بأنّ مقتضی إطلاق استحباب ذلک جواز النقل فی المشکوک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مورد ذلک الأمر المعلوم جوازها فإنّه القابل للاستحباب و نحوه، بخلاف محتمل الحرمة و نحوه، فلاحظ</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جوّزه أیضا المحقّق الأعظم الشیخ الأنصاری رحمه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علی قاعدة الاحتیاط فواضح؛ لأنّ طلب المزیّة المحتملة فی أحدهما محبوب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الأخبار؛ فلأنّ مرجع أفضلیّة أحدهما إلی استحباب تقدیم الفاضل علی المفضول فی الاختیار عند التعارض، فیشمله الأخبار مضافا إلی عموم ما تقدّم عن الذکری من أنّ أخبار الفضائل یتسامح فیها عند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للشیخ الأنصاری،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image" Target="media/image2.jpeg"/><Relationship Id="rId629" Type="http://schemas.openxmlformats.org/officeDocument/2006/relationships/image" Target="media/image2.jpeg"/><Relationship Id="rId630" Type="http://schemas.openxmlformats.org/officeDocument/2006/relationships/footer" Target="footer623.xml"/><Relationship Id="rId631" Type="http://schemas.openxmlformats.org/officeDocument/2006/relationships/footnotes" Target="footnotes.xml"/><Relationship Id="rId632" Type="http://schemas.openxmlformats.org/officeDocument/2006/relationships/numbering" Target="numbering.xml"/><Relationship Id="rId633" Type="http://schemas.openxmlformats.org/officeDocument/2006/relationships/fontTable" Target="fontTable.xml"/><Relationship Id="rId634" Type="http://schemas.openxmlformats.org/officeDocument/2006/relationships/settings" Target="settings.xml"/><Relationship Id="rId6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631</Pages>
  <Words>121616</Words>
  <Characters>505938</Characters>
  <CharactersWithSpaces>622994</CharactersWithSpaces>
  <Paragraphs>4565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2026-08-26T01:34:31Z</dcterms:created>
  <dc:creator>ghaemiyeh.com</dc:creator>
  <dc:description/>
  <dc:language>en-US</dc:language>
  <cp:lastModifiedBy/>
  <dcterms:modified xsi:type="dcterms:W3CDTF">2026-08-26T05:06:34Z</dcterms:modified>
  <cp:revision>1</cp:revision>
  <dc:subject/>
  <dc:title>تراث الشیعه الفقهی و الاصولی</dc:title>
</cp:coreProperties>
</file>

<file path=docProps/custom.xml><?xml version="1.0" encoding="utf-8"?>
<Properties xmlns="http://schemas.openxmlformats.org/officeDocument/2006/custom-properties" xmlns:vt="http://schemas.openxmlformats.org/officeDocument/2006/docPropsVTypes"/>
</file>