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الروضه البهیه فی شرح اللمعه الدمشقیه الطبعه الحدیثه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7707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027709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027711_2314609296">
            <w:r>
              <w:rPr>
                <w:webHidden/>
                <w:rStyle w:val="IndexLink"/>
                <w:rtl w:val="true"/>
              </w:rPr>
              <w:t>مقدمة الناشر</w:t>
            </w:r>
            <w:r>
              <w:rPr>
                <w:rStyle w:val="IndexLink"/>
                <w:rtl w:val="true"/>
              </w:rPr>
              <w:tab/>
            </w:r>
            <w:r>
              <w:rPr>
                <w:rStyle w:val="IndexLink"/>
              </w:rPr>
              <w:t>9</w:t>
            </w:r>
          </w:hyperlink>
        </w:p>
        <w:p>
          <w:pPr>
            <w:pStyle w:val="Contents3"/>
            <w:tabs>
              <w:tab w:val="clear" w:pos="8459"/>
              <w:tab w:val="right" w:pos="9026" w:leader="dot"/>
            </w:tabs>
            <w:rPr/>
          </w:pPr>
          <w:hyperlink w:anchor="__RefHeading___Toc2027713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027715_2314609296">
            <w:r>
              <w:rPr>
                <w:webHidden/>
                <w:rStyle w:val="IndexLink"/>
                <w:rtl w:val="true"/>
              </w:rPr>
              <w:t>الشهید الأوّل</w:t>
            </w:r>
            <w:r>
              <w:rPr>
                <w:rStyle w:val="IndexLink"/>
                <w:rtl w:val="true"/>
              </w:rPr>
              <w:tab/>
            </w:r>
            <w:r>
              <w:rPr>
                <w:rStyle w:val="IndexLink"/>
              </w:rPr>
              <w:t>11</w:t>
            </w:r>
          </w:hyperlink>
        </w:p>
        <w:p>
          <w:pPr>
            <w:pStyle w:val="Contents4"/>
            <w:tabs>
              <w:tab w:val="clear" w:pos="8176"/>
              <w:tab w:val="right" w:pos="9026" w:leader="dot"/>
            </w:tabs>
            <w:rPr/>
          </w:pPr>
          <w:hyperlink w:anchor="__RefHeading___Toc2027717_2314609296">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2027719_2314609296">
            <w:r>
              <w:rPr>
                <w:webHidden/>
                <w:rStyle w:val="IndexLink"/>
                <w:rtl w:val="true"/>
              </w:rPr>
              <w:t>أساتذته ومشایخه فی الروایة</w:t>
            </w:r>
            <w:r>
              <w:rPr>
                <w:rStyle w:val="IndexLink"/>
                <w:rtl w:val="true"/>
              </w:rPr>
              <w:t>:</w:t>
              <w:tab/>
            </w:r>
            <w:r>
              <w:rPr>
                <w:rStyle w:val="IndexLink"/>
              </w:rPr>
              <w:t>13</w:t>
            </w:r>
          </w:hyperlink>
        </w:p>
        <w:p>
          <w:pPr>
            <w:pStyle w:val="Contents4"/>
            <w:tabs>
              <w:tab w:val="clear" w:pos="8176"/>
              <w:tab w:val="right" w:pos="9026" w:leader="dot"/>
            </w:tabs>
            <w:rPr/>
          </w:pPr>
          <w:hyperlink w:anchor="__RefHeading___Toc2027721_2314609296">
            <w:r>
              <w:rPr>
                <w:webHidden/>
                <w:rStyle w:val="IndexLink"/>
                <w:rtl w:val="true"/>
              </w:rPr>
              <w:t>تلامذته والراوون عنه</w:t>
            </w:r>
            <w:r>
              <w:rPr>
                <w:rStyle w:val="IndexLink"/>
                <w:rtl w:val="true"/>
              </w:rPr>
              <w:t>:</w:t>
              <w:tab/>
            </w:r>
            <w:r>
              <w:rPr>
                <w:rStyle w:val="IndexLink"/>
              </w:rPr>
              <w:t>14</w:t>
            </w:r>
          </w:hyperlink>
        </w:p>
        <w:p>
          <w:pPr>
            <w:pStyle w:val="Contents4"/>
            <w:tabs>
              <w:tab w:val="clear" w:pos="8176"/>
              <w:tab w:val="right" w:pos="9026" w:leader="dot"/>
            </w:tabs>
            <w:rPr/>
          </w:pPr>
          <w:hyperlink w:anchor="__RefHeading___Toc2027723_2314609296">
            <w:r>
              <w:rPr>
                <w:webHidden/>
                <w:rStyle w:val="IndexLink"/>
                <w:rtl w:val="true"/>
              </w:rPr>
              <w:t>مؤلّفاته</w:t>
            </w:r>
            <w:r>
              <w:rPr>
                <w:rStyle w:val="IndexLink"/>
                <w:rtl w:val="true"/>
              </w:rPr>
              <w:t>:</w:t>
              <w:tab/>
            </w:r>
            <w:r>
              <w:rPr>
                <w:rStyle w:val="IndexLink"/>
              </w:rPr>
              <w:t>15</w:t>
            </w:r>
          </w:hyperlink>
        </w:p>
        <w:p>
          <w:pPr>
            <w:pStyle w:val="Contents4"/>
            <w:tabs>
              <w:tab w:val="clear" w:pos="8176"/>
              <w:tab w:val="right" w:pos="9026" w:leader="dot"/>
            </w:tabs>
            <w:rPr/>
          </w:pPr>
          <w:hyperlink w:anchor="__RefHeading___Toc2027725_2314609296">
            <w:r>
              <w:rPr>
                <w:webHidden/>
                <w:rStyle w:val="IndexLink"/>
                <w:rtl w:val="true"/>
              </w:rPr>
              <w:t>اللمعة الدمشقیّة</w:t>
            </w:r>
            <w:r>
              <w:rPr>
                <w:rStyle w:val="IndexLink"/>
                <w:rtl w:val="true"/>
              </w:rPr>
              <w:t>:</w:t>
              <w:tab/>
            </w:r>
            <w:r>
              <w:rPr>
                <w:rStyle w:val="IndexLink"/>
              </w:rPr>
              <w:t>17</w:t>
            </w:r>
          </w:hyperlink>
        </w:p>
        <w:p>
          <w:pPr>
            <w:pStyle w:val="Contents3"/>
            <w:tabs>
              <w:tab w:val="clear" w:pos="8459"/>
              <w:tab w:val="right" w:pos="9026" w:leader="dot"/>
            </w:tabs>
            <w:rPr/>
          </w:pPr>
          <w:hyperlink w:anchor="__RefHeading___Toc2027727_2314609296">
            <w:r>
              <w:rPr>
                <w:webHidden/>
                <w:rStyle w:val="IndexLink"/>
                <w:rtl w:val="true"/>
              </w:rPr>
              <w:t>الشهید الثانی</w:t>
            </w:r>
            <w:r>
              <w:rPr>
                <w:rStyle w:val="IndexLink"/>
                <w:rtl w:val="true"/>
              </w:rPr>
              <w:tab/>
            </w:r>
            <w:r>
              <w:rPr>
                <w:rStyle w:val="IndexLink"/>
              </w:rPr>
              <w:t>17</w:t>
            </w:r>
          </w:hyperlink>
        </w:p>
        <w:p>
          <w:pPr>
            <w:pStyle w:val="Contents4"/>
            <w:tabs>
              <w:tab w:val="clear" w:pos="8176"/>
              <w:tab w:val="right" w:pos="9026" w:leader="dot"/>
            </w:tabs>
            <w:rPr/>
          </w:pPr>
          <w:hyperlink w:anchor="__RefHeading___Toc2027729_2314609296">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027731_2314609296">
            <w:r>
              <w:rPr>
                <w:webHidden/>
                <w:rStyle w:val="IndexLink"/>
                <w:rtl w:val="true"/>
              </w:rPr>
              <w:t>أساتذته</w:t>
            </w:r>
            <w:r>
              <w:rPr>
                <w:rStyle w:val="IndexLink"/>
                <w:rtl w:val="true"/>
              </w:rPr>
              <w:t>:</w:t>
              <w:tab/>
            </w:r>
            <w:r>
              <w:rPr>
                <w:rStyle w:val="IndexLink"/>
              </w:rPr>
              <w:t>19</w:t>
            </w:r>
          </w:hyperlink>
        </w:p>
        <w:p>
          <w:pPr>
            <w:pStyle w:val="Contents4"/>
            <w:tabs>
              <w:tab w:val="clear" w:pos="8176"/>
              <w:tab w:val="right" w:pos="9026" w:leader="dot"/>
            </w:tabs>
            <w:rPr/>
          </w:pPr>
          <w:hyperlink w:anchor="__RefHeading___Toc2027733_2314609296">
            <w:r>
              <w:rPr>
                <w:webHidden/>
                <w:rStyle w:val="IndexLink"/>
                <w:rtl w:val="true"/>
              </w:rPr>
              <w:t>تلامذته والراوون عنه</w:t>
            </w:r>
            <w:r>
              <w:rPr>
                <w:rStyle w:val="IndexLink"/>
                <w:rtl w:val="true"/>
              </w:rPr>
              <w:t>:</w:t>
              <w:tab/>
            </w:r>
            <w:r>
              <w:rPr>
                <w:rStyle w:val="IndexLink"/>
              </w:rPr>
              <w:t>20</w:t>
            </w:r>
          </w:hyperlink>
        </w:p>
        <w:p>
          <w:pPr>
            <w:pStyle w:val="Contents4"/>
            <w:tabs>
              <w:tab w:val="clear" w:pos="8176"/>
              <w:tab w:val="right" w:pos="9026" w:leader="dot"/>
            </w:tabs>
            <w:rPr/>
          </w:pPr>
          <w:hyperlink w:anchor="__RefHeading___Toc2027735_2314609296">
            <w:r>
              <w:rPr>
                <w:webHidden/>
                <w:rStyle w:val="IndexLink"/>
                <w:rtl w:val="true"/>
              </w:rPr>
              <w:t>مؤلّفاته</w:t>
            </w:r>
            <w:r>
              <w:rPr>
                <w:rStyle w:val="IndexLink"/>
                <w:rtl w:val="true"/>
              </w:rPr>
              <w:t>:</w:t>
              <w:tab/>
            </w:r>
            <w:r>
              <w:rPr>
                <w:rStyle w:val="IndexLink"/>
              </w:rPr>
              <w:t>20</w:t>
            </w:r>
          </w:hyperlink>
        </w:p>
        <w:p>
          <w:pPr>
            <w:pStyle w:val="Contents4"/>
            <w:tabs>
              <w:tab w:val="clear" w:pos="8176"/>
              <w:tab w:val="right" w:pos="9026" w:leader="dot"/>
            </w:tabs>
            <w:rPr/>
          </w:pPr>
          <w:hyperlink w:anchor="__RefHeading___Toc2027737_2314609296">
            <w:r>
              <w:rPr>
                <w:webHidden/>
                <w:rStyle w:val="IndexLink"/>
                <w:rtl w:val="true"/>
              </w:rPr>
              <w:t>نحن والروضة البهیّة</w:t>
            </w:r>
            <w:r>
              <w:rPr>
                <w:rStyle w:val="IndexLink"/>
                <w:rtl w:val="true"/>
              </w:rPr>
              <w:t>:</w:t>
              <w:tab/>
            </w:r>
            <w:r>
              <w:rPr>
                <w:rStyle w:val="IndexLink"/>
              </w:rPr>
              <w:t>22</w:t>
            </w:r>
          </w:hyperlink>
        </w:p>
        <w:p>
          <w:pPr>
            <w:pStyle w:val="Contents3"/>
            <w:tabs>
              <w:tab w:val="clear" w:pos="8459"/>
              <w:tab w:val="right" w:pos="9026" w:leader="dot"/>
            </w:tabs>
            <w:rPr/>
          </w:pPr>
          <w:hyperlink w:anchor="__RefHeading___Toc2027739_2314609296">
            <w:r>
              <w:rPr>
                <w:webHidden/>
                <w:rStyle w:val="IndexLink"/>
                <w:rtl w:val="true"/>
              </w:rPr>
              <w:t>تحقیق الکتاب</w:t>
            </w:r>
            <w:r>
              <w:rPr>
                <w:rStyle w:val="IndexLink"/>
                <w:rtl w:val="true"/>
              </w:rPr>
              <w:tab/>
            </w:r>
            <w:r>
              <w:rPr>
                <w:rStyle w:val="IndexLink"/>
              </w:rPr>
              <w:t>24</w:t>
            </w:r>
          </w:hyperlink>
        </w:p>
        <w:p>
          <w:pPr>
            <w:pStyle w:val="Contents4"/>
            <w:tabs>
              <w:tab w:val="clear" w:pos="8176"/>
              <w:tab w:val="right" w:pos="9026" w:leader="dot"/>
            </w:tabs>
            <w:rPr/>
          </w:pPr>
          <w:hyperlink w:anchor="__RefHeading___Toc2027741_2314609296">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2027743_2314609296">
            <w:r>
              <w:rPr>
                <w:webHidden/>
                <w:rStyle w:val="IndexLink"/>
                <w:rtl w:val="true"/>
              </w:rPr>
              <w:t>أوّلاً</w:t>
            </w:r>
            <w:r>
              <w:rPr>
                <w:rStyle w:val="IndexLink"/>
                <w:rtl w:val="true"/>
              </w:rPr>
              <w:t>-</w:t>
            </w:r>
            <w:r>
              <w:rPr>
                <w:rStyle w:val="IndexLink"/>
                <w:rtl w:val="true"/>
              </w:rPr>
              <w:t>النسخ الخطّیّة</w:t>
            </w:r>
            <w:r>
              <w:rPr>
                <w:rStyle w:val="IndexLink"/>
                <w:rtl w:val="true"/>
              </w:rPr>
              <w:t>:</w:t>
              <w:tab/>
            </w:r>
            <w:r>
              <w:rPr>
                <w:rStyle w:val="IndexLink"/>
              </w:rPr>
              <w:t>24</w:t>
            </w:r>
          </w:hyperlink>
        </w:p>
        <w:p>
          <w:pPr>
            <w:pStyle w:val="Contents4"/>
            <w:tabs>
              <w:tab w:val="clear" w:pos="8176"/>
              <w:tab w:val="right" w:pos="9026" w:leader="dot"/>
            </w:tabs>
            <w:rPr/>
          </w:pPr>
          <w:hyperlink w:anchor="__RefHeading___Toc2027745_2314609296">
            <w:r>
              <w:rPr>
                <w:webHidden/>
                <w:rStyle w:val="IndexLink"/>
                <w:rtl w:val="true"/>
              </w:rPr>
              <w:t>ثانیاً</w:t>
            </w:r>
            <w:r>
              <w:rPr>
                <w:rStyle w:val="IndexLink"/>
                <w:rtl w:val="true"/>
              </w:rPr>
              <w:t>-</w:t>
            </w:r>
            <w:r>
              <w:rPr>
                <w:rStyle w:val="IndexLink"/>
                <w:rtl w:val="true"/>
              </w:rPr>
              <w:t>السمات الأساسیّة لخطّة العمل</w:t>
            </w:r>
            <w:r>
              <w:rPr>
                <w:rStyle w:val="IndexLink"/>
                <w:rtl w:val="true"/>
              </w:rPr>
              <w:t>:</w:t>
              <w:tab/>
            </w:r>
            <w:r>
              <w:rPr>
                <w:rStyle w:val="IndexLink"/>
              </w:rPr>
              <w:t>26</w:t>
            </w:r>
          </w:hyperlink>
        </w:p>
        <w:p>
          <w:pPr>
            <w:pStyle w:val="Contents4"/>
            <w:tabs>
              <w:tab w:val="clear" w:pos="8176"/>
              <w:tab w:val="right" w:pos="9026" w:leader="dot"/>
            </w:tabs>
            <w:rPr/>
          </w:pPr>
          <w:hyperlink w:anchor="__RefHeading___Toc2027747_2314609296">
            <w:r>
              <w:rPr>
                <w:webHidden/>
                <w:rStyle w:val="IndexLink"/>
                <w:rtl w:val="true"/>
              </w:rPr>
              <w:t>ثالثاً</w:t>
            </w:r>
            <w:r>
              <w:rPr>
                <w:rStyle w:val="IndexLink"/>
                <w:rtl w:val="true"/>
              </w:rPr>
              <w:t>-</w:t>
            </w:r>
            <w:r>
              <w:rPr>
                <w:rStyle w:val="IndexLink"/>
                <w:rtl w:val="true"/>
              </w:rPr>
              <w:t>مراحل التحقیق والمتصدّون له</w:t>
            </w:r>
            <w:r>
              <w:rPr>
                <w:rStyle w:val="IndexLink"/>
                <w:rtl w:val="true"/>
              </w:rPr>
              <w:t>:</w:t>
              <w:tab/>
            </w:r>
            <w:r>
              <w:rPr>
                <w:rStyle w:val="IndexLink"/>
              </w:rPr>
              <w:t>27</w:t>
            </w:r>
          </w:hyperlink>
        </w:p>
        <w:p>
          <w:pPr>
            <w:pStyle w:val="Contents2"/>
            <w:tabs>
              <w:tab w:val="clear" w:pos="8743"/>
              <w:tab w:val="right" w:pos="9026" w:leader="dot"/>
            </w:tabs>
            <w:rPr/>
          </w:pPr>
          <w:hyperlink w:anchor="__RefHeading___Toc2027749_2314609296">
            <w:r>
              <w:rPr>
                <w:webHidden/>
                <w:rStyle w:val="IndexLink"/>
                <w:rtl w:val="true"/>
              </w:rPr>
              <w:t>خطبة الکتاب</w:t>
            </w:r>
            <w:r>
              <w:rPr>
                <w:rStyle w:val="IndexLink"/>
                <w:rtl w:val="true"/>
              </w:rPr>
              <w:tab/>
            </w:r>
            <w:r>
              <w:rPr>
                <w:rStyle w:val="IndexLink"/>
              </w:rPr>
              <w:t>31</w:t>
            </w:r>
          </w:hyperlink>
        </w:p>
        <w:p>
          <w:pPr>
            <w:pStyle w:val="Contents2"/>
            <w:tabs>
              <w:tab w:val="clear" w:pos="8743"/>
              <w:tab w:val="right" w:pos="9026" w:leader="dot"/>
            </w:tabs>
            <w:rPr/>
          </w:pPr>
          <w:hyperlink w:anchor="__RefHeading___Toc2027751_2314609296">
            <w:r>
              <w:rPr>
                <w:webHidden/>
                <w:rStyle w:val="IndexLink"/>
                <w:rtl w:val="true"/>
              </w:rPr>
              <w:t>کتاب الطهارة</w:t>
            </w:r>
            <w:r>
              <w:rPr>
                <w:rStyle w:val="IndexLink"/>
                <w:rtl w:val="true"/>
              </w:rPr>
              <w:tab/>
            </w:r>
            <w:r>
              <w:rPr>
                <w:rStyle w:val="IndexLink"/>
              </w:rPr>
              <w:t>49</w:t>
            </w:r>
          </w:hyperlink>
        </w:p>
        <w:p>
          <w:pPr>
            <w:pStyle w:val="Contents3"/>
            <w:tabs>
              <w:tab w:val="clear" w:pos="8459"/>
              <w:tab w:val="right" w:pos="9026" w:leader="dot"/>
            </w:tabs>
            <w:rPr/>
          </w:pPr>
          <w:hyperlink w:anchor="__RefHeading___Toc2027753_2314609296">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027755_2314609296">
            <w:r>
              <w:rPr>
                <w:webHidden/>
                <w:rStyle w:val="IndexLink"/>
                <w:rtl w:val="true"/>
              </w:rPr>
              <w:t>[</w:t>
            </w:r>
            <w:r>
              <w:rPr>
                <w:rStyle w:val="IndexLink"/>
                <w:rtl w:val="true"/>
              </w:rPr>
              <w:t>تعریف الطهارة</w:t>
            </w:r>
            <w:r>
              <w:rPr>
                <w:rStyle w:val="IndexLink"/>
                <w:rtl w:val="true"/>
              </w:rPr>
              <w:t>]</w:t>
              <w:tab/>
            </w:r>
            <w:r>
              <w:rPr>
                <w:rStyle w:val="IndexLink"/>
              </w:rPr>
              <w:t>50</w:t>
            </w:r>
          </w:hyperlink>
        </w:p>
        <w:p>
          <w:pPr>
            <w:pStyle w:val="Contents3"/>
            <w:tabs>
              <w:tab w:val="clear" w:pos="8459"/>
              <w:tab w:val="right" w:pos="9026" w:leader="dot"/>
            </w:tabs>
            <w:rPr/>
          </w:pPr>
          <w:hyperlink w:anchor="__RefHeading___Toc2027757_2314609296">
            <w:r>
              <w:rPr>
                <w:webHidden/>
                <w:rStyle w:val="IndexLink"/>
                <w:rtl w:val="true"/>
              </w:rPr>
              <w:t>[</w:t>
            </w:r>
            <w:r>
              <w:rPr>
                <w:rStyle w:val="IndexLink"/>
                <w:rtl w:val="true"/>
              </w:rPr>
              <w:t>بعض احکام الماء</w:t>
            </w:r>
            <w:r>
              <w:rPr>
                <w:rStyle w:val="IndexLink"/>
                <w:rtl w:val="true"/>
              </w:rPr>
              <w:t>]</w:t>
              <w:tab/>
            </w:r>
            <w:r>
              <w:rPr>
                <w:rStyle w:val="IndexLink"/>
              </w:rPr>
              <w:t>51</w:t>
            </w:r>
          </w:hyperlink>
        </w:p>
        <w:p>
          <w:pPr>
            <w:pStyle w:val="Contents3"/>
            <w:tabs>
              <w:tab w:val="clear" w:pos="8459"/>
              <w:tab w:val="right" w:pos="9026" w:leader="dot"/>
            </w:tabs>
            <w:rPr/>
          </w:pPr>
          <w:hyperlink w:anchor="__RefHeading___Toc2027759_2314609296">
            <w:r>
              <w:rPr>
                <w:webHidden/>
                <w:rStyle w:val="IndexLink"/>
                <w:rtl w:val="true"/>
              </w:rPr>
              <w:t>[</w:t>
            </w:r>
            <w:r>
              <w:rPr>
                <w:rStyle w:val="IndexLink"/>
                <w:rtl w:val="true"/>
              </w:rPr>
              <w:t xml:space="preserve">الکلام فی الکر </w:t>
            </w:r>
            <w:r>
              <w:rPr>
                <w:rStyle w:val="IndexLink"/>
                <w:rtl w:val="true"/>
              </w:rPr>
              <w:t>]</w:t>
              <w:tab/>
            </w:r>
            <w:r>
              <w:rPr>
                <w:rStyle w:val="IndexLink"/>
              </w:rPr>
              <w:t>54</w:t>
            </w:r>
          </w:hyperlink>
        </w:p>
        <w:p>
          <w:pPr>
            <w:pStyle w:val="Contents3"/>
            <w:tabs>
              <w:tab w:val="clear" w:pos="8459"/>
              <w:tab w:val="right" w:pos="9026" w:leader="dot"/>
            </w:tabs>
            <w:rPr/>
          </w:pPr>
          <w:hyperlink w:anchor="__RefHeading___Toc2027761_2314609296">
            <w:r>
              <w:rPr>
                <w:webHidden/>
                <w:rStyle w:val="IndexLink"/>
                <w:rtl w:val="true"/>
              </w:rPr>
              <w:t>[</w:t>
            </w:r>
            <w:r>
              <w:rPr>
                <w:rStyle w:val="IndexLink"/>
                <w:rtl w:val="true"/>
              </w:rPr>
              <w:t xml:space="preserve">الکلام فی الماء القلیل </w:t>
            </w:r>
            <w:r>
              <w:rPr>
                <w:rStyle w:val="IndexLink"/>
                <w:rtl w:val="true"/>
              </w:rPr>
              <w:t>]</w:t>
              <w:tab/>
            </w:r>
            <w:r>
              <w:rPr>
                <w:rStyle w:val="IndexLink"/>
              </w:rPr>
              <w:t>55</w:t>
            </w:r>
          </w:hyperlink>
        </w:p>
        <w:p>
          <w:pPr>
            <w:pStyle w:val="Contents3"/>
            <w:tabs>
              <w:tab w:val="clear" w:pos="8459"/>
              <w:tab w:val="right" w:pos="9026" w:leader="dot"/>
            </w:tabs>
            <w:rPr/>
          </w:pPr>
          <w:hyperlink w:anchor="__RefHeading___Toc2027763_2314609296">
            <w:r>
              <w:rPr>
                <w:webHidden/>
                <w:rStyle w:val="IndexLink"/>
                <w:rtl w:val="true"/>
              </w:rPr>
              <w:t>[</w:t>
            </w:r>
            <w:r>
              <w:rPr>
                <w:rStyle w:val="IndexLink"/>
                <w:rtl w:val="true"/>
              </w:rPr>
              <w:t xml:space="preserve">الکلام فی البئر و نزحه </w:t>
            </w:r>
            <w:r>
              <w:rPr>
                <w:rStyle w:val="IndexLink"/>
                <w:rtl w:val="true"/>
              </w:rPr>
              <w:t>]</w:t>
              <w:tab/>
            </w:r>
            <w:r>
              <w:rPr>
                <w:rStyle w:val="IndexLink"/>
              </w:rPr>
              <w:t>55</w:t>
            </w:r>
          </w:hyperlink>
        </w:p>
        <w:p>
          <w:pPr>
            <w:pStyle w:val="Contents3"/>
            <w:tabs>
              <w:tab w:val="clear" w:pos="8459"/>
              <w:tab w:val="right" w:pos="9026" w:leader="dot"/>
            </w:tabs>
            <w:rPr/>
          </w:pPr>
          <w:hyperlink w:anchor="__RefHeading___Toc2027765_2314609296">
            <w:r>
              <w:rPr>
                <w:webHidden/>
                <w:rStyle w:val="IndexLink"/>
                <w:rtl w:val="true"/>
              </w:rPr>
              <w:t>«</w:t>
            </w:r>
            <w:r>
              <w:rPr>
                <w:rStyle w:val="IndexLink"/>
                <w:rtl w:val="true"/>
              </w:rPr>
              <w:t>مسائل</w:t>
            </w:r>
            <w:r>
              <w:rPr>
                <w:rStyle w:val="IndexLink"/>
                <w:rtl w:val="true"/>
              </w:rPr>
              <w:t>»</w:t>
              <w:tab/>
            </w:r>
            <w:r>
              <w:rPr>
                <w:rStyle w:val="IndexLink"/>
              </w:rPr>
              <w:t>63</w:t>
            </w:r>
          </w:hyperlink>
        </w:p>
        <w:p>
          <w:pPr>
            <w:pStyle w:val="Contents4"/>
            <w:tabs>
              <w:tab w:val="clear" w:pos="8176"/>
              <w:tab w:val="right" w:pos="9026" w:leader="dot"/>
            </w:tabs>
            <w:rPr/>
          </w:pPr>
          <w:hyperlink w:anchor="__RefHeading___Toc2027767_2314609296">
            <w:r>
              <w:rPr>
                <w:webHidden/>
                <w:rStyle w:val="IndexLink"/>
                <w:rtl w:val="true"/>
              </w:rPr>
              <w:t>الاُولی</w:t>
            </w:r>
            <w:r>
              <w:rPr>
                <w:rStyle w:val="IndexLink"/>
                <w:rtl w:val="true"/>
              </w:rPr>
              <w:t xml:space="preserve">: </w:t>
            </w:r>
            <w:r>
              <w:rPr>
                <w:rStyle w:val="IndexLink"/>
                <w:rtl w:val="true"/>
              </w:rPr>
              <w:t xml:space="preserve">الماء </w:t>
            </w:r>
            <w:r>
              <w:rPr>
                <w:rStyle w:val="IndexLink"/>
                <w:rtl w:val="true"/>
              </w:rPr>
              <w:t>«</w:t>
            </w:r>
            <w:r>
              <w:rPr>
                <w:rStyle w:val="IndexLink"/>
                <w:rtl w:val="true"/>
              </w:rPr>
              <w:t>المضاف ما</w:t>
            </w:r>
            <w:r>
              <w:rPr>
                <w:rStyle w:val="IndexLink"/>
                <w:rtl w:val="true"/>
              </w:rPr>
              <w:t>»</w:t>
              <w:tab/>
            </w:r>
            <w:r>
              <w:rPr>
                <w:rStyle w:val="IndexLink"/>
              </w:rPr>
              <w:t>63</w:t>
            </w:r>
          </w:hyperlink>
        </w:p>
        <w:p>
          <w:pPr>
            <w:pStyle w:val="Contents4"/>
            <w:tabs>
              <w:tab w:val="clear" w:pos="8176"/>
              <w:tab w:val="right" w:pos="9026" w:leader="dot"/>
            </w:tabs>
            <w:rPr/>
          </w:pPr>
          <w:hyperlink w:anchor="__RefHeading___Toc2027769_2314609296">
            <w:r>
              <w:rPr>
                <w:webHidden/>
                <w:rStyle w:val="IndexLink"/>
                <w:rtl w:val="true"/>
              </w:rPr>
              <w:t>«</w:t>
            </w:r>
            <w:r>
              <w:rPr>
                <w:rStyle w:val="IndexLink"/>
                <w:rtl w:val="true"/>
              </w:rPr>
              <w:t>الثانیة</w:t>
            </w:r>
            <w:r>
              <w:rPr>
                <w:rStyle w:val="IndexLink"/>
                <w:rtl w:val="true"/>
              </w:rPr>
              <w:t>» : «</w:t>
            </w:r>
            <w:r>
              <w:rPr>
                <w:rStyle w:val="IndexLink"/>
                <w:rtl w:val="true"/>
              </w:rPr>
              <w:t>یستحبّ التباعد بین البئر والبالوعة</w:t>
            </w:r>
            <w:r>
              <w:rPr>
                <w:rStyle w:val="IndexLink"/>
                <w:rtl w:val="true"/>
              </w:rPr>
              <w:t>»</w:t>
              <w:tab/>
            </w:r>
            <w:r>
              <w:rPr>
                <w:rStyle w:val="IndexLink"/>
              </w:rPr>
              <w:t>65</w:t>
            </w:r>
          </w:hyperlink>
        </w:p>
        <w:p>
          <w:pPr>
            <w:pStyle w:val="Contents4"/>
            <w:tabs>
              <w:tab w:val="clear" w:pos="8176"/>
              <w:tab w:val="right" w:pos="9026" w:leader="dot"/>
            </w:tabs>
            <w:rPr/>
          </w:pPr>
          <w:hyperlink w:anchor="__RefHeading___Toc2027771_2314609296">
            <w:r>
              <w:rPr>
                <w:webHidden/>
                <w:rStyle w:val="IndexLink"/>
                <w:rtl w:val="true"/>
              </w:rPr>
              <w:t>«</w:t>
            </w:r>
            <w:r>
              <w:rPr>
                <w:rStyle w:val="IndexLink"/>
                <w:rtl w:val="true"/>
              </w:rPr>
              <w:t>الثالثة</w:t>
            </w:r>
            <w:r>
              <w:rPr>
                <w:rStyle w:val="IndexLink"/>
                <w:rtl w:val="true"/>
              </w:rPr>
              <w:t>» : «</w:t>
            </w:r>
            <w:r>
              <w:rPr>
                <w:rStyle w:val="IndexLink"/>
                <w:rtl w:val="true"/>
              </w:rPr>
              <w:t>النجاسة</w:t>
            </w:r>
            <w:r>
              <w:rPr>
                <w:rStyle w:val="IndexLink"/>
                <w:rtl w:val="true"/>
              </w:rPr>
              <w:t>»</w:t>
              <w:tab/>
            </w:r>
            <w:r>
              <w:rPr>
                <w:rStyle w:val="IndexLink"/>
              </w:rPr>
              <w:t>66</w:t>
            </w:r>
          </w:hyperlink>
        </w:p>
        <w:p>
          <w:pPr>
            <w:pStyle w:val="Contents5"/>
            <w:tabs>
              <w:tab w:val="clear" w:pos="7892"/>
              <w:tab w:val="right" w:pos="9026" w:leader="dot"/>
            </w:tabs>
            <w:rPr/>
          </w:pPr>
          <w:hyperlink w:anchor="__RefHeading___Toc2027773_2314609296">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2027775_2314609296">
            <w:r>
              <w:rPr>
                <w:webHidden/>
                <w:rStyle w:val="IndexLink"/>
                <w:rtl w:val="true"/>
              </w:rPr>
              <w:t>[</w:t>
            </w:r>
            <w:r>
              <w:rPr>
                <w:rStyle w:val="IndexLink"/>
                <w:rtl w:val="true"/>
              </w:rPr>
              <w:t>مقدار الدم المعفو عنه</w:t>
            </w:r>
            <w:r>
              <w:rPr>
                <w:rStyle w:val="IndexLink"/>
                <w:rtl w:val="true"/>
              </w:rPr>
              <w:t>]</w:t>
              <w:tab/>
            </w:r>
            <w:r>
              <w:rPr>
                <w:rStyle w:val="IndexLink"/>
              </w:rPr>
              <w:t>68</w:t>
            </w:r>
          </w:hyperlink>
        </w:p>
        <w:p>
          <w:pPr>
            <w:pStyle w:val="Contents5"/>
            <w:tabs>
              <w:tab w:val="clear" w:pos="7892"/>
              <w:tab w:val="right" w:pos="9026" w:leader="dot"/>
            </w:tabs>
            <w:rPr/>
          </w:pPr>
          <w:hyperlink w:anchor="__RefHeading___Toc2027777_2314609296">
            <w:r>
              <w:rPr>
                <w:webHidden/>
                <w:rStyle w:val="IndexLink"/>
                <w:rtl w:val="true"/>
              </w:rPr>
              <w:t>[</w:t>
            </w:r>
            <w:r>
              <w:rPr>
                <w:rStyle w:val="IndexLink"/>
                <w:rtl w:val="true"/>
              </w:rPr>
              <w:t>کیفیة غسل الثوب و البدن و الاناء</w:t>
            </w:r>
            <w:r>
              <w:rPr>
                <w:rStyle w:val="IndexLink"/>
                <w:rtl w:val="true"/>
              </w:rPr>
              <w:t>]</w:t>
              <w:tab/>
            </w:r>
            <w:r>
              <w:rPr>
                <w:rStyle w:val="IndexLink"/>
              </w:rPr>
              <w:t>70</w:t>
            </w:r>
          </w:hyperlink>
        </w:p>
        <w:p>
          <w:pPr>
            <w:pStyle w:val="Contents5"/>
            <w:tabs>
              <w:tab w:val="clear" w:pos="7892"/>
              <w:tab w:val="right" w:pos="9026" w:leader="dot"/>
            </w:tabs>
            <w:rPr/>
          </w:pPr>
          <w:hyperlink w:anchor="__RefHeading___Toc2027779_2314609296">
            <w:r>
              <w:rPr>
                <w:webHidden/>
                <w:rStyle w:val="IndexLink"/>
                <w:rtl w:val="true"/>
              </w:rPr>
              <w:t>[</w:t>
            </w:r>
            <w:r>
              <w:rPr>
                <w:rStyle w:val="IndexLink"/>
                <w:rtl w:val="true"/>
              </w:rPr>
              <w:t>فی الغسالة</w:t>
            </w:r>
            <w:r>
              <w:rPr>
                <w:rStyle w:val="IndexLink"/>
                <w:rtl w:val="true"/>
              </w:rPr>
              <w:t>]</w:t>
              <w:tab/>
            </w:r>
            <w:r>
              <w:rPr>
                <w:rStyle w:val="IndexLink"/>
              </w:rPr>
              <w:t>72</w:t>
            </w:r>
          </w:hyperlink>
        </w:p>
        <w:p>
          <w:pPr>
            <w:pStyle w:val="Contents4"/>
            <w:tabs>
              <w:tab w:val="clear" w:pos="8176"/>
              <w:tab w:val="right" w:pos="9026" w:leader="dot"/>
            </w:tabs>
            <w:rPr/>
          </w:pPr>
          <w:hyperlink w:anchor="__RefHeading___Toc2027781_2314609296">
            <w:r>
              <w:rPr>
                <w:webHidden/>
                <w:rStyle w:val="IndexLink"/>
                <w:rtl w:val="true"/>
              </w:rPr>
              <w:t>«</w:t>
            </w:r>
            <w:r>
              <w:rPr>
                <w:rStyle w:val="IndexLink"/>
                <w:rtl w:val="true"/>
              </w:rPr>
              <w:t>الرابعة</w:t>
            </w:r>
            <w:r>
              <w:rPr>
                <w:rStyle w:val="IndexLink"/>
                <w:rtl w:val="true"/>
              </w:rPr>
              <w:t>» : «</w:t>
            </w:r>
            <w:r>
              <w:rPr>
                <w:rStyle w:val="IndexLink"/>
                <w:rtl w:val="true"/>
              </w:rPr>
              <w:t>المطهِّر عشرة</w:t>
            </w:r>
            <w:r>
              <w:rPr>
                <w:rStyle w:val="IndexLink"/>
                <w:rtl w:val="true"/>
              </w:rPr>
              <w:tab/>
            </w:r>
            <w:r>
              <w:rPr>
                <w:rStyle w:val="IndexLink"/>
              </w:rPr>
              <w:t>73</w:t>
            </w:r>
          </w:hyperlink>
        </w:p>
        <w:p>
          <w:pPr>
            <w:pStyle w:val="Contents3"/>
            <w:tabs>
              <w:tab w:val="clear" w:pos="8459"/>
              <w:tab w:val="right" w:pos="9026" w:leader="dot"/>
            </w:tabs>
            <w:rPr/>
          </w:pPr>
          <w:hyperlink w:anchor="__RefHeading___Toc2027783_2314609296">
            <w:r>
              <w:rPr>
                <w:webHidden/>
                <w:rStyle w:val="IndexLink"/>
                <w:rtl w:val="true"/>
              </w:rPr>
              <w:t>«</w:t>
            </w:r>
            <w:r>
              <w:rPr>
                <w:rStyle w:val="IndexLink"/>
                <w:rtl w:val="true"/>
              </w:rPr>
              <w:t xml:space="preserve">الطهارات ثلاثة </w:t>
            </w:r>
            <w:r>
              <w:rPr>
                <w:rStyle w:val="IndexLink"/>
                <w:rtl w:val="true"/>
              </w:rPr>
              <w:t>»</w:t>
              <w:tab/>
            </w:r>
            <w:r>
              <w:rPr>
                <w:rStyle w:val="IndexLink"/>
              </w:rPr>
              <w:t>76</w:t>
            </w:r>
          </w:hyperlink>
        </w:p>
        <w:p>
          <w:pPr>
            <w:pStyle w:val="Contents4"/>
            <w:tabs>
              <w:tab w:val="clear" w:pos="8176"/>
              <w:tab w:val="right" w:pos="9026" w:leader="dot"/>
            </w:tabs>
            <w:rPr/>
          </w:pPr>
          <w:hyperlink w:anchor="__RefHeading___Toc2027785_2314609296">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027787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فی الوضوء</w:t>
            </w:r>
            <w:r>
              <w:rPr>
                <w:rStyle w:val="IndexLink"/>
                <w:rtl w:val="true"/>
              </w:rPr>
              <w:t>»</w:t>
              <w:tab/>
            </w:r>
            <w:r>
              <w:rPr>
                <w:rStyle w:val="IndexLink"/>
              </w:rPr>
              <w:t>76</w:t>
            </w:r>
          </w:hyperlink>
        </w:p>
        <w:p>
          <w:pPr>
            <w:pStyle w:val="Contents5"/>
            <w:tabs>
              <w:tab w:val="clear" w:pos="7892"/>
              <w:tab w:val="right" w:pos="9026" w:leader="dot"/>
            </w:tabs>
            <w:rPr/>
          </w:pPr>
          <w:hyperlink w:anchor="__RefHeading___Toc2027789_2314609296">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2027791_2314609296">
            <w:r>
              <w:rPr>
                <w:webHidden/>
                <w:rStyle w:val="IndexLink"/>
                <w:rtl w:val="true"/>
              </w:rPr>
              <w:t>[</w:t>
            </w:r>
            <w:r>
              <w:rPr>
                <w:rStyle w:val="IndexLink"/>
                <w:rtl w:val="true"/>
              </w:rPr>
              <w:t>واجباب الوضوء</w:t>
            </w:r>
            <w:r>
              <w:rPr>
                <w:rStyle w:val="IndexLink"/>
                <w:rtl w:val="true"/>
              </w:rPr>
              <w:t>]</w:t>
              <w:tab/>
            </w:r>
            <w:r>
              <w:rPr>
                <w:rStyle w:val="IndexLink"/>
              </w:rPr>
              <w:t>77</w:t>
            </w:r>
          </w:hyperlink>
        </w:p>
        <w:p>
          <w:pPr>
            <w:pStyle w:val="Contents5"/>
            <w:tabs>
              <w:tab w:val="clear" w:pos="7892"/>
              <w:tab w:val="right" w:pos="9026" w:leader="dot"/>
            </w:tabs>
            <w:rPr/>
          </w:pPr>
          <w:hyperlink w:anchor="__RefHeading___Toc2027793_2314609296">
            <w:r>
              <w:rPr>
                <w:webHidden/>
                <w:rStyle w:val="IndexLink"/>
                <w:rtl w:val="true"/>
              </w:rPr>
              <w:t>[</w:t>
            </w:r>
            <w:r>
              <w:rPr>
                <w:rStyle w:val="IndexLink"/>
                <w:rtl w:val="true"/>
              </w:rPr>
              <w:t>سنن الوضوء</w:t>
            </w:r>
            <w:r>
              <w:rPr>
                <w:rStyle w:val="IndexLink"/>
                <w:rtl w:val="true"/>
              </w:rPr>
              <w:t>]</w:t>
              <w:tab/>
            </w:r>
            <w:r>
              <w:rPr>
                <w:rStyle w:val="IndexLink"/>
              </w:rPr>
              <w:t>80</w:t>
            </w:r>
          </w:hyperlink>
        </w:p>
        <w:p>
          <w:pPr>
            <w:pStyle w:val="Contents5"/>
            <w:tabs>
              <w:tab w:val="clear" w:pos="7892"/>
              <w:tab w:val="right" w:pos="9026" w:leader="dot"/>
            </w:tabs>
            <w:rPr/>
          </w:pPr>
          <w:hyperlink w:anchor="__RefHeading___Toc2027795_2314609296">
            <w:r>
              <w:rPr>
                <w:webHidden/>
                <w:rStyle w:val="IndexLink"/>
                <w:rtl w:val="true"/>
              </w:rPr>
              <w:t>[</w:t>
            </w:r>
            <w:r>
              <w:rPr>
                <w:rStyle w:val="IndexLink"/>
                <w:rtl w:val="true"/>
              </w:rPr>
              <w:t>الشک فی الطهارة</w:t>
            </w:r>
            <w:r>
              <w:rPr>
                <w:rStyle w:val="IndexLink"/>
                <w:rtl w:val="true"/>
              </w:rPr>
              <w:t>]</w:t>
              <w:tab/>
            </w:r>
            <w:r>
              <w:rPr>
                <w:rStyle w:val="IndexLink"/>
              </w:rPr>
              <w:t>82</w:t>
            </w:r>
          </w:hyperlink>
        </w:p>
        <w:p>
          <w:pPr>
            <w:pStyle w:val="Contents5"/>
            <w:tabs>
              <w:tab w:val="clear" w:pos="7892"/>
              <w:tab w:val="right" w:pos="9026" w:leader="dot"/>
            </w:tabs>
            <w:rPr/>
          </w:pPr>
          <w:hyperlink w:anchor="__RefHeading___Toc2027797_2314609296">
            <w:r>
              <w:rPr>
                <w:webHidden/>
                <w:rStyle w:val="IndexLink"/>
                <w:rtl w:val="true"/>
              </w:rPr>
              <w:t>[</w:t>
            </w:r>
            <w:r>
              <w:rPr>
                <w:rStyle w:val="IndexLink"/>
                <w:rtl w:val="true"/>
              </w:rPr>
              <w:t xml:space="preserve">مسائل فی التخلی </w:t>
            </w:r>
            <w:r>
              <w:rPr>
                <w:rStyle w:val="IndexLink"/>
                <w:rtl w:val="true"/>
              </w:rPr>
              <w:t>]</w:t>
              <w:tab/>
            </w:r>
            <w:r>
              <w:rPr>
                <w:rStyle w:val="IndexLink"/>
              </w:rPr>
              <w:t>84</w:t>
            </w:r>
          </w:hyperlink>
        </w:p>
        <w:p>
          <w:pPr>
            <w:pStyle w:val="Contents4"/>
            <w:tabs>
              <w:tab w:val="clear" w:pos="8176"/>
              <w:tab w:val="right" w:pos="9026" w:leader="dot"/>
            </w:tabs>
            <w:rPr/>
          </w:pPr>
          <w:hyperlink w:anchor="__RefHeading___Toc2027799_2314609296">
            <w:r>
              <w:rPr>
                <w:webHidden/>
                <w:rStyle w:val="IndexLink"/>
                <w:rtl w:val="true"/>
              </w:rPr>
              <w:t>«</w:t>
            </w:r>
            <w:r>
              <w:rPr>
                <w:rStyle w:val="IndexLink"/>
                <w:rtl w:val="true"/>
              </w:rPr>
              <w:t>الفصل الثانی</w:t>
            </w:r>
            <w:r>
              <w:rPr>
                <w:rStyle w:val="IndexLink"/>
                <w:rtl w:val="true"/>
              </w:rPr>
              <w:t>» «</w:t>
            </w:r>
            <w:r>
              <w:rPr>
                <w:rStyle w:val="IndexLink"/>
                <w:rtl w:val="true"/>
              </w:rPr>
              <w:t>فی الغُسل</w:t>
            </w:r>
            <w:r>
              <w:rPr>
                <w:rStyle w:val="IndexLink"/>
                <w:rtl w:val="true"/>
              </w:rPr>
              <w:t>»</w:t>
              <w:tab/>
            </w:r>
            <w:r>
              <w:rPr>
                <w:rStyle w:val="IndexLink"/>
              </w:rPr>
              <w:t>90</w:t>
            </w:r>
          </w:hyperlink>
        </w:p>
        <w:p>
          <w:pPr>
            <w:pStyle w:val="Contents5"/>
            <w:tabs>
              <w:tab w:val="clear" w:pos="7892"/>
              <w:tab w:val="right" w:pos="9026" w:leader="dot"/>
            </w:tabs>
            <w:rPr/>
          </w:pPr>
          <w:hyperlink w:anchor="__RefHeading___Toc2027801_2314609296">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2027803_2314609296">
            <w:r>
              <w:rPr>
                <w:webHidden/>
                <w:rStyle w:val="IndexLink"/>
                <w:rtl w:val="true"/>
              </w:rPr>
              <w:t>«</w:t>
            </w:r>
            <w:r>
              <w:rPr>
                <w:rStyle w:val="IndexLink"/>
                <w:rtl w:val="true"/>
              </w:rPr>
              <w:t>وموجِب الجَنابة</w:t>
            </w:r>
            <w:r>
              <w:rPr>
                <w:rStyle w:val="IndexLink"/>
                <w:rtl w:val="true"/>
              </w:rPr>
              <w:t>»</w:t>
              <w:tab/>
            </w:r>
            <w:r>
              <w:rPr>
                <w:rStyle w:val="IndexLink"/>
              </w:rPr>
              <w:t>91</w:t>
            </w:r>
          </w:hyperlink>
        </w:p>
        <w:p>
          <w:pPr>
            <w:pStyle w:val="Contents6"/>
            <w:tabs>
              <w:tab w:val="clear" w:pos="7609"/>
              <w:tab w:val="right" w:pos="9026" w:leader="dot"/>
            </w:tabs>
            <w:rPr/>
          </w:pPr>
          <w:hyperlink w:anchor="__RefHeading___Toc2027805_2314609296">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2027807_2314609296">
            <w:r>
              <w:rPr>
                <w:webHidden/>
                <w:rStyle w:val="IndexLink"/>
                <w:rtl w:val="true"/>
              </w:rPr>
              <w:t>[</w:t>
            </w:r>
            <w:r>
              <w:rPr>
                <w:rStyle w:val="IndexLink"/>
                <w:rtl w:val="true"/>
              </w:rPr>
              <w:t>واجبات الغسل و مستحباته</w:t>
            </w:r>
            <w:r>
              <w:rPr>
                <w:rStyle w:val="IndexLink"/>
                <w:rtl w:val="true"/>
              </w:rPr>
              <w:t>]</w:t>
              <w:tab/>
            </w:r>
            <w:r>
              <w:rPr>
                <w:rStyle w:val="IndexLink"/>
              </w:rPr>
              <w:t>92</w:t>
            </w:r>
          </w:hyperlink>
        </w:p>
        <w:p>
          <w:pPr>
            <w:pStyle w:val="Contents6"/>
            <w:tabs>
              <w:tab w:val="clear" w:pos="7609"/>
              <w:tab w:val="right" w:pos="9026" w:leader="dot"/>
            </w:tabs>
            <w:rPr/>
          </w:pPr>
          <w:hyperlink w:anchor="__RefHeading___Toc2027809_2314609296">
            <w:r>
              <w:rPr>
                <w:webHidden/>
                <w:rStyle w:val="IndexLink"/>
                <w:rtl w:val="true"/>
              </w:rPr>
              <w:t>[</w:t>
            </w:r>
            <w:r>
              <w:rPr>
                <w:rStyle w:val="IndexLink"/>
                <w:rtl w:val="true"/>
              </w:rPr>
              <w:t>احکام الغسل الجنابة</w:t>
            </w:r>
            <w:r>
              <w:rPr>
                <w:rStyle w:val="IndexLink"/>
                <w:rtl w:val="true"/>
              </w:rPr>
              <w:t>]</w:t>
              <w:tab/>
            </w:r>
            <w:r>
              <w:rPr>
                <w:rStyle w:val="IndexLink"/>
              </w:rPr>
              <w:t>94</w:t>
            </w:r>
          </w:hyperlink>
        </w:p>
        <w:p>
          <w:pPr>
            <w:pStyle w:val="Contents6"/>
            <w:tabs>
              <w:tab w:val="clear" w:pos="7609"/>
              <w:tab w:val="right" w:pos="9026" w:leader="dot"/>
            </w:tabs>
            <w:rPr/>
          </w:pPr>
          <w:hyperlink w:anchor="__RefHeading___Toc2027811_2314609296">
            <w:r>
              <w:rPr>
                <w:webHidden/>
                <w:rStyle w:val="IndexLink"/>
                <w:rtl w:val="true"/>
              </w:rPr>
              <w:t>[</w:t>
            </w:r>
            <w:r>
              <w:rPr>
                <w:rStyle w:val="IndexLink"/>
                <w:rtl w:val="true"/>
              </w:rPr>
              <w:t>احکام الحیض</w:t>
            </w:r>
            <w:r>
              <w:rPr>
                <w:rStyle w:val="IndexLink"/>
                <w:rtl w:val="true"/>
              </w:rPr>
              <w:t>]</w:t>
              <w:tab/>
            </w:r>
            <w:r>
              <w:rPr>
                <w:rStyle w:val="IndexLink"/>
              </w:rPr>
              <w:t>95</w:t>
            </w:r>
          </w:hyperlink>
        </w:p>
        <w:p>
          <w:pPr>
            <w:pStyle w:val="Contents6"/>
            <w:tabs>
              <w:tab w:val="clear" w:pos="7609"/>
              <w:tab w:val="right" w:pos="9026" w:leader="dot"/>
            </w:tabs>
            <w:rPr/>
          </w:pPr>
          <w:hyperlink w:anchor="__RefHeading___Toc2027813_2314609296">
            <w:r>
              <w:rPr>
                <w:webHidden/>
                <w:rStyle w:val="IndexLink"/>
                <w:rtl w:val="true"/>
              </w:rPr>
              <w:t>[</w:t>
            </w:r>
            <w:r>
              <w:rPr>
                <w:rStyle w:val="IndexLink"/>
                <w:rtl w:val="true"/>
              </w:rPr>
              <w:t xml:space="preserve">احکام النفاس </w:t>
            </w:r>
            <w:r>
              <w:rPr>
                <w:rStyle w:val="IndexLink"/>
                <w:rtl w:val="true"/>
              </w:rPr>
              <w:t>]</w:t>
              <w:tab/>
            </w:r>
            <w:r>
              <w:rPr>
                <w:rStyle w:val="IndexLink"/>
              </w:rPr>
              <w:t>104</w:t>
            </w:r>
          </w:hyperlink>
        </w:p>
        <w:p>
          <w:pPr>
            <w:pStyle w:val="Contents6"/>
            <w:tabs>
              <w:tab w:val="clear" w:pos="7609"/>
              <w:tab w:val="right" w:pos="9026" w:leader="dot"/>
            </w:tabs>
            <w:rPr/>
          </w:pPr>
          <w:hyperlink w:anchor="__RefHeading___Toc2027815_2314609296">
            <w:r>
              <w:rPr>
                <w:webHidden/>
                <w:rStyle w:val="IndexLink"/>
                <w:rtl w:val="true"/>
              </w:rPr>
              <w:t>[</w:t>
            </w:r>
            <w:r>
              <w:rPr>
                <w:rStyle w:val="IndexLink"/>
                <w:rtl w:val="true"/>
              </w:rPr>
              <w:t xml:space="preserve">غسل المس </w:t>
            </w:r>
            <w:r>
              <w:rPr>
                <w:rStyle w:val="IndexLink"/>
                <w:rtl w:val="true"/>
              </w:rPr>
              <w:t>]</w:t>
              <w:tab/>
            </w:r>
            <w:r>
              <w:rPr>
                <w:rStyle w:val="IndexLink"/>
              </w:rPr>
              <w:t>106</w:t>
            </w:r>
          </w:hyperlink>
        </w:p>
        <w:p>
          <w:pPr>
            <w:pStyle w:val="Contents5"/>
            <w:tabs>
              <w:tab w:val="clear" w:pos="7892"/>
              <w:tab w:val="right" w:pos="9026" w:leader="dot"/>
            </w:tabs>
            <w:rPr/>
          </w:pPr>
          <w:hyperlink w:anchor="__RefHeading___Toc2027817_2314609296">
            <w:r>
              <w:rPr>
                <w:webHidden/>
                <w:rStyle w:val="IndexLink"/>
                <w:rtl w:val="true"/>
              </w:rPr>
              <w:t>« [</w:t>
            </w:r>
            <w:r>
              <w:rPr>
                <w:rStyle w:val="IndexLink"/>
                <w:rtl w:val="true"/>
              </w:rPr>
              <w:t>القول فی أحکام الأموات</w:t>
            </w:r>
            <w:r>
              <w:rPr>
                <w:rStyle w:val="IndexLink"/>
                <w:rtl w:val="true"/>
              </w:rPr>
              <w:t>»]</w:t>
              <w:tab/>
            </w:r>
            <w:r>
              <w:rPr>
                <w:rStyle w:val="IndexLink"/>
              </w:rPr>
              <w:t>108</w:t>
            </w:r>
          </w:hyperlink>
        </w:p>
        <w:p>
          <w:pPr>
            <w:pStyle w:val="Contents6"/>
            <w:tabs>
              <w:tab w:val="clear" w:pos="7609"/>
              <w:tab w:val="right" w:pos="9026" w:leader="dot"/>
            </w:tabs>
            <w:rPr/>
          </w:pPr>
          <w:hyperlink w:anchor="__RefHeading___Toc2027819_2314609296">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2027821_2314609296">
            <w:r>
              <w:rPr>
                <w:webHidden/>
                <w:rStyle w:val="IndexLink"/>
                <w:rtl w:val="true"/>
              </w:rPr>
              <w:t>[«</w:t>
            </w:r>
            <w:r>
              <w:rPr>
                <w:rStyle w:val="IndexLink"/>
                <w:rtl w:val="true"/>
              </w:rPr>
              <w:t>الأوّل</w:t>
            </w:r>
            <w:r>
              <w:rPr>
                <w:rStyle w:val="IndexLink"/>
                <w:rtl w:val="true"/>
              </w:rPr>
              <w:t xml:space="preserve">: </w:t>
            </w:r>
            <w:r>
              <w:rPr>
                <w:rStyle w:val="IndexLink"/>
                <w:rtl w:val="true"/>
              </w:rPr>
              <w:t>الاحتضار</w:t>
            </w:r>
            <w:r>
              <w:rPr>
                <w:rStyle w:val="IndexLink"/>
                <w:rtl w:val="true"/>
              </w:rPr>
              <w:t>»]</w:t>
              <w:tab/>
            </w:r>
            <w:r>
              <w:rPr>
                <w:rStyle w:val="IndexLink"/>
              </w:rPr>
              <w:t>108</w:t>
            </w:r>
          </w:hyperlink>
        </w:p>
        <w:p>
          <w:pPr>
            <w:pStyle w:val="Contents6"/>
            <w:tabs>
              <w:tab w:val="clear" w:pos="7609"/>
              <w:tab w:val="right" w:pos="9026" w:leader="dot"/>
            </w:tabs>
            <w:rPr/>
          </w:pPr>
          <w:hyperlink w:anchor="__RefHeading___Toc2027823_2314609296">
            <w:r>
              <w:rPr>
                <w:webHidden/>
                <w:rStyle w:val="IndexLink"/>
                <w:rtl w:val="true"/>
              </w:rPr>
              <w:t>[«</w:t>
            </w:r>
            <w:r>
              <w:rPr>
                <w:rStyle w:val="IndexLink"/>
                <w:rtl w:val="true"/>
              </w:rPr>
              <w:t>الثانی</w:t>
            </w:r>
            <w:r>
              <w:rPr>
                <w:rStyle w:val="IndexLink"/>
                <w:rtl w:val="true"/>
              </w:rPr>
              <w:t xml:space="preserve">: </w:t>
            </w:r>
            <w:r>
              <w:rPr>
                <w:rStyle w:val="IndexLink"/>
                <w:rtl w:val="true"/>
              </w:rPr>
              <w:t>الغُسل</w:t>
            </w:r>
            <w:r>
              <w:rPr>
                <w:rStyle w:val="IndexLink"/>
                <w:rtl w:val="true"/>
              </w:rPr>
              <w:t>»]</w:t>
              <w:tab/>
            </w:r>
            <w:r>
              <w:rPr>
                <w:rStyle w:val="IndexLink"/>
              </w:rPr>
              <w:t>110</w:t>
            </w:r>
          </w:hyperlink>
        </w:p>
        <w:p>
          <w:pPr>
            <w:pStyle w:val="Contents6"/>
            <w:tabs>
              <w:tab w:val="clear" w:pos="7609"/>
              <w:tab w:val="right" w:pos="9026" w:leader="dot"/>
            </w:tabs>
            <w:rPr/>
          </w:pPr>
          <w:hyperlink w:anchor="__RefHeading___Toc2027825_2314609296">
            <w:r>
              <w:rPr>
                <w:webHidden/>
                <w:rStyle w:val="IndexLink"/>
                <w:rtl w:val="true"/>
              </w:rPr>
              <w:t>[«</w:t>
            </w:r>
            <w:r>
              <w:rPr>
                <w:rStyle w:val="IndexLink"/>
                <w:rtl w:val="true"/>
              </w:rPr>
              <w:t>الثالث</w:t>
            </w:r>
            <w:r>
              <w:rPr>
                <w:rStyle w:val="IndexLink"/>
                <w:rtl w:val="true"/>
              </w:rPr>
              <w:t xml:space="preserve">: </w:t>
            </w:r>
            <w:r>
              <w:rPr>
                <w:rStyle w:val="IndexLink"/>
                <w:rtl w:val="true"/>
              </w:rPr>
              <w:t>الکفن</w:t>
            </w:r>
            <w:r>
              <w:rPr>
                <w:rStyle w:val="IndexLink"/>
                <w:rtl w:val="true"/>
              </w:rPr>
              <w:t>»]</w:t>
              <w:tab/>
            </w:r>
            <w:r>
              <w:rPr>
                <w:rStyle w:val="IndexLink"/>
              </w:rPr>
              <w:t>116</w:t>
            </w:r>
          </w:hyperlink>
        </w:p>
        <w:p>
          <w:pPr>
            <w:pStyle w:val="Contents6"/>
            <w:tabs>
              <w:tab w:val="clear" w:pos="7609"/>
              <w:tab w:val="right" w:pos="9026" w:leader="dot"/>
            </w:tabs>
            <w:rPr/>
          </w:pPr>
          <w:hyperlink w:anchor="__RefHeading___Toc2027827_2314609296">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الصلاة علیه </w:t>
            </w:r>
            <w:r>
              <w:rPr>
                <w:rStyle w:val="IndexLink"/>
                <w:rtl w:val="true"/>
              </w:rPr>
              <w:t>»]</w:t>
              <w:tab/>
            </w:r>
            <w:r>
              <w:rPr>
                <w:rStyle w:val="IndexLink"/>
              </w:rPr>
              <w:t>120</w:t>
            </w:r>
          </w:hyperlink>
        </w:p>
        <w:p>
          <w:pPr>
            <w:pStyle w:val="Contents6"/>
            <w:tabs>
              <w:tab w:val="clear" w:pos="7609"/>
              <w:tab w:val="right" w:pos="9026" w:leader="dot"/>
            </w:tabs>
            <w:rPr/>
          </w:pPr>
          <w:hyperlink w:anchor="__RefHeading___Toc2027829_2314609296">
            <w:r>
              <w:rPr>
                <w:webHidden/>
                <w:rStyle w:val="IndexLink"/>
                <w:rtl w:val="true"/>
              </w:rPr>
              <w:t>[«</w:t>
            </w:r>
            <w:r>
              <w:rPr>
                <w:rStyle w:val="IndexLink"/>
                <w:rtl w:val="true"/>
              </w:rPr>
              <w:t>الخامس</w:t>
            </w:r>
            <w:r>
              <w:rPr>
                <w:rStyle w:val="IndexLink"/>
                <w:rtl w:val="true"/>
              </w:rPr>
              <w:t xml:space="preserve">: </w:t>
            </w:r>
            <w:r>
              <w:rPr>
                <w:rStyle w:val="IndexLink"/>
                <w:rtl w:val="true"/>
              </w:rPr>
              <w:t>دفنه</w:t>
            </w:r>
            <w:r>
              <w:rPr>
                <w:rStyle w:val="IndexLink"/>
                <w:rtl w:val="true"/>
              </w:rPr>
              <w:t>»]</w:t>
              <w:tab/>
            </w:r>
            <w:r>
              <w:rPr>
                <w:rStyle w:val="IndexLink"/>
              </w:rPr>
              <w:t>128</w:t>
            </w:r>
          </w:hyperlink>
        </w:p>
        <w:p>
          <w:pPr>
            <w:pStyle w:val="Contents4"/>
            <w:tabs>
              <w:tab w:val="clear" w:pos="8176"/>
              <w:tab w:val="right" w:pos="9026" w:leader="dot"/>
            </w:tabs>
            <w:rPr/>
          </w:pPr>
          <w:hyperlink w:anchor="__RefHeading___Toc2027831_2314609296">
            <w:r>
              <w:rPr>
                <w:webHidden/>
                <w:rStyle w:val="IndexLink"/>
                <w:rtl w:val="true"/>
              </w:rPr>
              <w:t>«</w:t>
            </w:r>
            <w:r>
              <w:rPr>
                <w:rStyle w:val="IndexLink"/>
                <w:rtl w:val="true"/>
              </w:rPr>
              <w:t>الفصل الثالث</w:t>
            </w:r>
            <w:r>
              <w:rPr>
                <w:rStyle w:val="IndexLink"/>
                <w:rtl w:val="true"/>
              </w:rPr>
              <w:t>» «</w:t>
            </w:r>
            <w:r>
              <w:rPr>
                <w:rStyle w:val="IndexLink"/>
                <w:rtl w:val="true"/>
              </w:rPr>
              <w:t>التیمّم</w:t>
            </w:r>
            <w:r>
              <w:rPr>
                <w:rStyle w:val="IndexLink"/>
                <w:rtl w:val="true"/>
              </w:rPr>
              <w:t>»</w:t>
              <w:tab/>
            </w:r>
            <w:r>
              <w:rPr>
                <w:rStyle w:val="IndexLink"/>
              </w:rPr>
              <w:t>132</w:t>
            </w:r>
          </w:hyperlink>
        </w:p>
        <w:p>
          <w:pPr>
            <w:pStyle w:val="Contents5"/>
            <w:tabs>
              <w:tab w:val="clear" w:pos="7892"/>
              <w:tab w:val="right" w:pos="9026" w:leader="dot"/>
            </w:tabs>
            <w:rPr/>
          </w:pPr>
          <w:hyperlink w:anchor="__RefHeading___Toc2027833_2314609296">
            <w:r>
              <w:rPr>
                <w:webHidden/>
                <w:rStyle w:val="IndexLink"/>
                <w:rtl w:val="true"/>
              </w:rPr>
              <w:t>[</w:t>
            </w:r>
            <w:r>
              <w:rPr>
                <w:rStyle w:val="IndexLink"/>
                <w:rtl w:val="true"/>
              </w:rPr>
              <w:t>موارد وجوب التیمّم</w:t>
            </w:r>
            <w:r>
              <w:rPr>
                <w:rStyle w:val="IndexLink"/>
                <w:rtl w:val="true"/>
              </w:rPr>
              <w:t>]</w:t>
              <w:tab/>
            </w:r>
            <w:r>
              <w:rPr>
                <w:rStyle w:val="IndexLink"/>
              </w:rPr>
              <w:t>132</w:t>
            </w:r>
          </w:hyperlink>
        </w:p>
        <w:p>
          <w:pPr>
            <w:pStyle w:val="Contents5"/>
            <w:tabs>
              <w:tab w:val="clear" w:pos="7892"/>
              <w:tab w:val="right" w:pos="9026" w:leader="dot"/>
            </w:tabs>
            <w:rPr/>
          </w:pPr>
          <w:hyperlink w:anchor="__RefHeading___Toc2027835_2314609296">
            <w:r>
              <w:rPr>
                <w:webHidden/>
                <w:rStyle w:val="IndexLink"/>
                <w:rtl w:val="true"/>
              </w:rPr>
              <w:t>[</w:t>
            </w:r>
            <w:r>
              <w:rPr>
                <w:rStyle w:val="IndexLink"/>
                <w:rtl w:val="true"/>
              </w:rPr>
              <w:t xml:space="preserve">فی ما یتیمّم به </w:t>
            </w:r>
            <w:r>
              <w:rPr>
                <w:rStyle w:val="IndexLink"/>
                <w:rtl w:val="true"/>
              </w:rPr>
              <w:t>]</w:t>
              <w:tab/>
            </w:r>
            <w:r>
              <w:rPr>
                <w:rStyle w:val="IndexLink"/>
              </w:rPr>
              <w:t>133</w:t>
            </w:r>
          </w:hyperlink>
        </w:p>
        <w:p>
          <w:pPr>
            <w:pStyle w:val="Contents5"/>
            <w:tabs>
              <w:tab w:val="clear" w:pos="7892"/>
              <w:tab w:val="right" w:pos="9026" w:leader="dot"/>
            </w:tabs>
            <w:rPr/>
          </w:pPr>
          <w:hyperlink w:anchor="__RefHeading___Toc2027837_2314609296">
            <w:r>
              <w:rPr>
                <w:webHidden/>
                <w:rStyle w:val="IndexLink"/>
                <w:rtl w:val="true"/>
              </w:rPr>
              <w:t>[</w:t>
            </w:r>
            <w:r>
              <w:rPr>
                <w:rStyle w:val="IndexLink"/>
                <w:rtl w:val="true"/>
              </w:rPr>
              <w:t>واجبات التیمّم و بعض احکامه</w:t>
            </w:r>
            <w:r>
              <w:rPr>
                <w:rStyle w:val="IndexLink"/>
                <w:rtl w:val="true"/>
              </w:rPr>
              <w:t>]</w:t>
              <w:tab/>
            </w:r>
            <w:r>
              <w:rPr>
                <w:rStyle w:val="IndexLink"/>
              </w:rPr>
              <w:t>135</w:t>
            </w:r>
          </w:hyperlink>
        </w:p>
        <w:p>
          <w:pPr>
            <w:pStyle w:val="Contents2"/>
            <w:tabs>
              <w:tab w:val="clear" w:pos="8743"/>
              <w:tab w:val="right" w:pos="9026" w:leader="dot"/>
            </w:tabs>
            <w:rPr/>
          </w:pPr>
          <w:hyperlink w:anchor="__RefHeading___Toc2027839_2314609296">
            <w:r>
              <w:rPr>
                <w:webHidden/>
                <w:rStyle w:val="IndexLink"/>
                <w:rtl w:val="true"/>
              </w:rPr>
              <w:t>کتاب الصلاة</w:t>
            </w:r>
            <w:r>
              <w:rPr>
                <w:rStyle w:val="IndexLink"/>
                <w:rtl w:val="true"/>
              </w:rPr>
              <w:tab/>
            </w:r>
            <w:r>
              <w:rPr>
                <w:rStyle w:val="IndexLink"/>
              </w:rPr>
              <w:t>141</w:t>
            </w:r>
          </w:hyperlink>
        </w:p>
        <w:p>
          <w:pPr>
            <w:pStyle w:val="Contents3"/>
            <w:tabs>
              <w:tab w:val="clear" w:pos="8459"/>
              <w:tab w:val="right" w:pos="9026" w:leader="dot"/>
            </w:tabs>
            <w:rPr/>
          </w:pPr>
          <w:hyperlink w:anchor="__RefHeading___Toc2027841_2314609296">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2027843_2314609296">
            <w:r>
              <w:rPr>
                <w:webHidden/>
                <w:rStyle w:val="IndexLink"/>
                <w:rtl w:val="true"/>
              </w:rPr>
              <w:t>« [</w:t>
            </w:r>
            <w:r>
              <w:rPr>
                <w:rStyle w:val="IndexLink"/>
                <w:rtl w:val="true"/>
              </w:rPr>
              <w:t>الفصل</w:t>
            </w:r>
            <w:r>
              <w:rPr>
                <w:rStyle w:val="IndexLink"/>
                <w:rtl w:val="true"/>
              </w:rPr>
              <w:t xml:space="preserve">] </w:t>
            </w:r>
            <w:r>
              <w:rPr>
                <w:rStyle w:val="IndexLink"/>
                <w:rtl w:val="true"/>
              </w:rPr>
              <w:t>الأوّل</w:t>
            </w:r>
            <w:r>
              <w:rPr>
                <w:rStyle w:val="IndexLink"/>
                <w:rtl w:val="true"/>
              </w:rPr>
              <w:t>» «</w:t>
            </w:r>
            <w:r>
              <w:rPr>
                <w:rStyle w:val="IndexLink"/>
                <w:rtl w:val="true"/>
              </w:rPr>
              <w:t>فی أعدادها</w:t>
            </w:r>
            <w:r>
              <w:rPr>
                <w:rStyle w:val="IndexLink"/>
                <w:rtl w:val="true"/>
              </w:rPr>
              <w:t>»</w:t>
              <w:tab/>
            </w:r>
            <w:r>
              <w:rPr>
                <w:rStyle w:val="IndexLink"/>
              </w:rPr>
              <w:t>142</w:t>
            </w:r>
          </w:hyperlink>
        </w:p>
        <w:p>
          <w:pPr>
            <w:pStyle w:val="Contents3"/>
            <w:tabs>
              <w:tab w:val="clear" w:pos="8459"/>
              <w:tab w:val="right" w:pos="9026" w:leader="dot"/>
            </w:tabs>
            <w:rPr/>
          </w:pPr>
          <w:hyperlink w:anchor="__RefHeading___Toc2027845_2314609296">
            <w:r>
              <w:rPr>
                <w:webHidden/>
                <w:rStyle w:val="IndexLink"/>
                <w:rtl w:val="true"/>
              </w:rPr>
              <w:t>«</w:t>
            </w:r>
            <w:r>
              <w:rPr>
                <w:rStyle w:val="IndexLink"/>
                <w:rtl w:val="true"/>
              </w:rPr>
              <w:t>الفصل الثانی</w:t>
            </w:r>
            <w:r>
              <w:rPr>
                <w:rStyle w:val="IndexLink"/>
                <w:rtl w:val="true"/>
              </w:rPr>
              <w:t>» «</w:t>
            </w:r>
            <w:r>
              <w:rPr>
                <w:rStyle w:val="IndexLink"/>
                <w:rtl w:val="true"/>
              </w:rPr>
              <w:t>فی شروطها</w:t>
            </w:r>
            <w:r>
              <w:rPr>
                <w:rStyle w:val="IndexLink"/>
                <w:rtl w:val="true"/>
              </w:rPr>
              <w:t>»</w:t>
              <w:tab/>
            </w:r>
            <w:r>
              <w:rPr>
                <w:rStyle w:val="IndexLink"/>
              </w:rPr>
              <w:t>147</w:t>
            </w:r>
          </w:hyperlink>
        </w:p>
        <w:p>
          <w:pPr>
            <w:pStyle w:val="Contents4"/>
            <w:tabs>
              <w:tab w:val="clear" w:pos="8176"/>
              <w:tab w:val="right" w:pos="9026" w:leader="dot"/>
            </w:tabs>
            <w:rPr/>
          </w:pPr>
          <w:hyperlink w:anchor="__RefHeading___Toc2027847_2314609296">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027849_2314609296">
            <w:r>
              <w:rPr>
                <w:webHidden/>
                <w:rStyle w:val="IndexLink"/>
                <w:rtl w:val="true"/>
              </w:rPr>
              <w:t>[«</w:t>
            </w:r>
            <w:r>
              <w:rPr>
                <w:rStyle w:val="IndexLink"/>
                <w:rtl w:val="true"/>
              </w:rPr>
              <w:t>الشرط الاوّل</w:t>
            </w:r>
            <w:r>
              <w:rPr>
                <w:rStyle w:val="IndexLink"/>
                <w:rtl w:val="true"/>
              </w:rPr>
              <w:t xml:space="preserve">: </w:t>
            </w:r>
            <w:r>
              <w:rPr>
                <w:rStyle w:val="IndexLink"/>
                <w:rtl w:val="true"/>
              </w:rPr>
              <w:t>الوقت</w:t>
            </w:r>
            <w:r>
              <w:rPr>
                <w:rStyle w:val="IndexLink"/>
                <w:rtl w:val="true"/>
              </w:rPr>
              <w:t>»]</w:t>
              <w:tab/>
            </w:r>
            <w:r>
              <w:rPr>
                <w:rStyle w:val="IndexLink"/>
              </w:rPr>
              <w:t>147</w:t>
            </w:r>
          </w:hyperlink>
        </w:p>
        <w:p>
          <w:pPr>
            <w:pStyle w:val="Contents4"/>
            <w:tabs>
              <w:tab w:val="clear" w:pos="8176"/>
              <w:tab w:val="right" w:pos="9026" w:leader="dot"/>
            </w:tabs>
            <w:rPr/>
          </w:pPr>
          <w:hyperlink w:anchor="__RefHeading___Toc2027851_2314609296">
            <w:r>
              <w:rPr>
                <w:webHidden/>
                <w:rStyle w:val="IndexLink"/>
                <w:rtl w:val="true"/>
              </w:rPr>
              <w:t>«</w:t>
            </w:r>
            <w:r>
              <w:rPr>
                <w:rStyle w:val="IndexLink"/>
                <w:rtl w:val="true"/>
              </w:rPr>
              <w:t>الشرط الثانی</w:t>
            </w:r>
            <w:r>
              <w:rPr>
                <w:rStyle w:val="IndexLink"/>
                <w:rtl w:val="true"/>
              </w:rPr>
              <w:t xml:space="preserve">: </w:t>
            </w:r>
            <w:r>
              <w:rPr>
                <w:rStyle w:val="IndexLink"/>
                <w:rtl w:val="true"/>
              </w:rPr>
              <w:t>القبلة</w:t>
            </w:r>
            <w:r>
              <w:rPr>
                <w:rStyle w:val="IndexLink"/>
                <w:rtl w:val="true"/>
              </w:rPr>
              <w:t>»</w:t>
              <w:tab/>
            </w:r>
            <w:r>
              <w:rPr>
                <w:rStyle w:val="IndexLink"/>
              </w:rPr>
              <w:t>155</w:t>
            </w:r>
          </w:hyperlink>
        </w:p>
        <w:p>
          <w:pPr>
            <w:pStyle w:val="Contents4"/>
            <w:tabs>
              <w:tab w:val="clear" w:pos="8176"/>
              <w:tab w:val="right" w:pos="9026" w:leader="dot"/>
            </w:tabs>
            <w:rPr/>
          </w:pPr>
          <w:hyperlink w:anchor="__RefHeading___Toc2027853_2314609296">
            <w:r>
              <w:rPr>
                <w:webHidden/>
                <w:rStyle w:val="IndexLink"/>
                <w:rtl w:val="true"/>
              </w:rPr>
              <w:t>« [</w:t>
            </w:r>
            <w:r>
              <w:rPr>
                <w:rStyle w:val="IndexLink"/>
                <w:rtl w:val="true"/>
              </w:rPr>
              <w:t xml:space="preserve">الشرط </w:t>
            </w:r>
            <w:r>
              <w:rPr>
                <w:rStyle w:val="IndexLink"/>
                <w:rtl w:val="true"/>
              </w:rPr>
              <w:t xml:space="preserve">] </w:t>
            </w:r>
            <w:r>
              <w:rPr>
                <w:rStyle w:val="IndexLink"/>
                <w:rtl w:val="true"/>
              </w:rPr>
              <w:t>الثالث</w:t>
            </w:r>
            <w:r>
              <w:rPr>
                <w:rStyle w:val="IndexLink"/>
                <w:rtl w:val="true"/>
              </w:rPr>
              <w:t xml:space="preserve">: </w:t>
            </w:r>
            <w:r>
              <w:rPr>
                <w:rStyle w:val="IndexLink"/>
                <w:rtl w:val="true"/>
              </w:rPr>
              <w:t>ستر</w:t>
            </w:r>
            <w:r>
              <w:rPr>
                <w:rStyle w:val="IndexLink"/>
                <w:rtl w:val="true"/>
              </w:rPr>
              <w:tab/>
            </w:r>
            <w:r>
              <w:rPr>
                <w:rStyle w:val="IndexLink"/>
              </w:rPr>
              <w:t>163</w:t>
            </w:r>
          </w:hyperlink>
        </w:p>
        <w:p>
          <w:pPr>
            <w:pStyle w:val="Contents5"/>
            <w:tabs>
              <w:tab w:val="clear" w:pos="7892"/>
              <w:tab w:val="right" w:pos="9026" w:leader="dot"/>
            </w:tabs>
            <w:rPr/>
          </w:pPr>
          <w:hyperlink w:anchor="__RefHeading___Toc2027855_2314609296">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2027857_2314609296">
            <w:r>
              <w:rPr>
                <w:webHidden/>
                <w:rStyle w:val="IndexLink"/>
                <w:rtl w:val="true"/>
              </w:rPr>
              <w:t>[</w:t>
            </w:r>
            <w:r>
              <w:rPr>
                <w:rStyle w:val="IndexLink"/>
                <w:rtl w:val="true"/>
              </w:rPr>
              <w:t>ما یجب فی الساتر</w:t>
            </w:r>
            <w:r>
              <w:rPr>
                <w:rStyle w:val="IndexLink"/>
                <w:rtl w:val="true"/>
              </w:rPr>
              <w:t>]</w:t>
              <w:tab/>
            </w:r>
            <w:r>
              <w:rPr>
                <w:rStyle w:val="IndexLink"/>
              </w:rPr>
              <w:t>164</w:t>
            </w:r>
          </w:hyperlink>
        </w:p>
        <w:p>
          <w:pPr>
            <w:pStyle w:val="Contents5"/>
            <w:tabs>
              <w:tab w:val="clear" w:pos="7892"/>
              <w:tab w:val="right" w:pos="9026" w:leader="dot"/>
            </w:tabs>
            <w:rPr/>
          </w:pPr>
          <w:hyperlink w:anchor="__RefHeading___Toc2027859_2314609296">
            <w:r>
              <w:rPr>
                <w:webHidden/>
                <w:rStyle w:val="IndexLink"/>
                <w:rtl w:val="true"/>
              </w:rPr>
              <w:t>[</w:t>
            </w:r>
            <w:r>
              <w:rPr>
                <w:rStyle w:val="IndexLink"/>
                <w:rtl w:val="true"/>
              </w:rPr>
              <w:t xml:space="preserve">ما یکره و ما یستحب فی الستر </w:t>
            </w:r>
            <w:r>
              <w:rPr>
                <w:rStyle w:val="IndexLink"/>
                <w:rtl w:val="true"/>
              </w:rPr>
              <w:t>]</w:t>
              <w:tab/>
            </w:r>
            <w:r>
              <w:rPr>
                <w:rStyle w:val="IndexLink"/>
              </w:rPr>
              <w:t>166</w:t>
            </w:r>
          </w:hyperlink>
        </w:p>
        <w:p>
          <w:pPr>
            <w:pStyle w:val="Contents4"/>
            <w:tabs>
              <w:tab w:val="clear" w:pos="8176"/>
              <w:tab w:val="right" w:pos="9026" w:leader="dot"/>
            </w:tabs>
            <w:rPr/>
          </w:pPr>
          <w:hyperlink w:anchor="__RefHeading___Toc2027861_2314609296">
            <w:r>
              <w:rPr>
                <w:webHidden/>
                <w:rStyle w:val="IndexLink"/>
                <w:rtl w:val="true"/>
              </w:rPr>
              <w:t>« [</w:t>
            </w:r>
            <w:r>
              <w:rPr>
                <w:rStyle w:val="IndexLink"/>
                <w:rtl w:val="true"/>
              </w:rPr>
              <w:t xml:space="preserve">الشرط </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المکان</w:t>
            </w:r>
            <w:r>
              <w:rPr>
                <w:rStyle w:val="IndexLink"/>
                <w:rtl w:val="true"/>
              </w:rPr>
              <w:t xml:space="preserve">» </w:t>
            </w:r>
            <w:r>
              <w:rPr>
                <w:rStyle w:val="IndexLink"/>
                <w:rtl w:val="true"/>
              </w:rPr>
              <w:t>الذی یُصلّی فیه</w:t>
            </w:r>
            <w:r>
              <w:rPr>
                <w:rStyle w:val="IndexLink"/>
                <w:rtl w:val="true"/>
              </w:rPr>
              <w:tab/>
            </w:r>
            <w:r>
              <w:rPr>
                <w:rStyle w:val="IndexLink"/>
              </w:rPr>
              <w:t>169</w:t>
            </w:r>
          </w:hyperlink>
        </w:p>
        <w:p>
          <w:pPr>
            <w:pStyle w:val="Contents5"/>
            <w:tabs>
              <w:tab w:val="clear" w:pos="7892"/>
              <w:tab w:val="right" w:pos="9026" w:leader="dot"/>
            </w:tabs>
            <w:rPr/>
          </w:pPr>
          <w:hyperlink w:anchor="__RefHeading___Toc2027863_231460929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2027865_2314609296">
            <w:r>
              <w:rPr>
                <w:webHidden/>
                <w:rStyle w:val="IndexLink"/>
                <w:rtl w:val="true"/>
              </w:rPr>
              <w:t>[</w:t>
            </w:r>
            <w:r>
              <w:rPr>
                <w:rStyle w:val="IndexLink"/>
                <w:rtl w:val="true"/>
              </w:rPr>
              <w:t>احکام المساجد</w:t>
            </w:r>
            <w:r>
              <w:rPr>
                <w:rStyle w:val="IndexLink"/>
                <w:rtl w:val="true"/>
              </w:rPr>
              <w:t>]</w:t>
              <w:tab/>
            </w:r>
            <w:r>
              <w:rPr>
                <w:rStyle w:val="IndexLink"/>
              </w:rPr>
              <w:t>170</w:t>
            </w:r>
          </w:hyperlink>
        </w:p>
        <w:p>
          <w:pPr>
            <w:pStyle w:val="Contents5"/>
            <w:tabs>
              <w:tab w:val="clear" w:pos="7892"/>
              <w:tab w:val="right" w:pos="9026" w:leader="dot"/>
            </w:tabs>
            <w:rPr/>
          </w:pPr>
          <w:hyperlink w:anchor="__RefHeading___Toc2027867_2314609296">
            <w:r>
              <w:rPr>
                <w:webHidden/>
                <w:rStyle w:val="IndexLink"/>
                <w:rtl w:val="true"/>
              </w:rPr>
              <w:t>[</w:t>
            </w:r>
            <w:r>
              <w:rPr>
                <w:rStyle w:val="IndexLink"/>
                <w:rtl w:val="true"/>
              </w:rPr>
              <w:t>اماکن تکره الصلاة فیها</w:t>
            </w:r>
            <w:r>
              <w:rPr>
                <w:rStyle w:val="IndexLink"/>
                <w:rtl w:val="true"/>
              </w:rPr>
              <w:t>]</w:t>
              <w:tab/>
            </w:r>
            <w:r>
              <w:rPr>
                <w:rStyle w:val="IndexLink"/>
              </w:rPr>
              <w:t>175</w:t>
            </w:r>
          </w:hyperlink>
        </w:p>
        <w:p>
          <w:pPr>
            <w:pStyle w:val="Contents5"/>
            <w:tabs>
              <w:tab w:val="clear" w:pos="7892"/>
              <w:tab w:val="right" w:pos="9026" w:leader="dot"/>
            </w:tabs>
            <w:rPr/>
          </w:pPr>
          <w:hyperlink w:anchor="__RefHeading___Toc2027869_2314609296">
            <w:r>
              <w:rPr>
                <w:webHidden/>
                <w:rStyle w:val="IndexLink"/>
                <w:rtl w:val="true"/>
              </w:rPr>
              <w:t>[</w:t>
            </w:r>
            <w:r>
              <w:rPr>
                <w:rStyle w:val="IndexLink"/>
                <w:rtl w:val="true"/>
              </w:rPr>
              <w:t xml:space="preserve">کراهة تقدم المرأة علی الرجل </w:t>
            </w:r>
            <w:r>
              <w:rPr>
                <w:rStyle w:val="IndexLink"/>
                <w:rtl w:val="true"/>
              </w:rPr>
              <w:t>]</w:t>
              <w:tab/>
            </w:r>
            <w:r>
              <w:rPr>
                <w:rStyle w:val="IndexLink"/>
              </w:rPr>
              <w:t>178</w:t>
            </w:r>
          </w:hyperlink>
        </w:p>
        <w:p>
          <w:pPr>
            <w:pStyle w:val="Contents5"/>
            <w:tabs>
              <w:tab w:val="clear" w:pos="7892"/>
              <w:tab w:val="right" w:pos="9026" w:leader="dot"/>
            </w:tabs>
            <w:rPr/>
          </w:pPr>
          <w:hyperlink w:anchor="__RefHeading___Toc2027871_2314609296">
            <w:r>
              <w:rPr>
                <w:webHidden/>
                <w:rStyle w:val="IndexLink"/>
                <w:rtl w:val="true"/>
              </w:rPr>
              <w:t>[</w:t>
            </w:r>
            <w:r>
              <w:rPr>
                <w:rStyle w:val="IndexLink"/>
                <w:rtl w:val="true"/>
              </w:rPr>
              <w:t>فی ما یصح السجود علیه</w:t>
            </w:r>
            <w:r>
              <w:rPr>
                <w:rStyle w:val="IndexLink"/>
                <w:rtl w:val="true"/>
              </w:rPr>
              <w:t>]</w:t>
              <w:tab/>
            </w:r>
            <w:r>
              <w:rPr>
                <w:rStyle w:val="IndexLink"/>
              </w:rPr>
              <w:t>179</w:t>
            </w:r>
          </w:hyperlink>
        </w:p>
        <w:p>
          <w:pPr>
            <w:pStyle w:val="Contents4"/>
            <w:tabs>
              <w:tab w:val="clear" w:pos="8176"/>
              <w:tab w:val="right" w:pos="9026" w:leader="dot"/>
            </w:tabs>
            <w:rPr/>
          </w:pPr>
          <w:hyperlink w:anchor="__RefHeading___Toc2027873_2314609296">
            <w:r>
              <w:rPr>
                <w:webHidden/>
                <w:rStyle w:val="IndexLink"/>
                <w:rtl w:val="true"/>
              </w:rPr>
              <w:t>«</w:t>
            </w:r>
            <w:r>
              <w:rPr>
                <w:rStyle w:val="IndexLink"/>
                <w:rtl w:val="true"/>
              </w:rPr>
              <w:t>الشرط الخامس</w:t>
            </w:r>
            <w:r>
              <w:rPr>
                <w:rStyle w:val="IndexLink"/>
                <w:rtl w:val="true"/>
              </w:rPr>
              <w:t xml:space="preserve">: </w:t>
            </w:r>
            <w:r>
              <w:rPr>
                <w:rStyle w:val="IndexLink"/>
                <w:rtl w:val="true"/>
              </w:rPr>
              <w:t>طهارة البدن من الحدث والخبث</w:t>
            </w:r>
            <w:r>
              <w:rPr>
                <w:rStyle w:val="IndexLink"/>
                <w:rtl w:val="true"/>
              </w:rPr>
              <w:t>» «</w:t>
            </w:r>
            <w:r>
              <w:rPr>
                <w:rStyle w:val="IndexLink"/>
                <w:rtl w:val="true"/>
              </w:rPr>
              <w:t>وقد سبق</w:t>
            </w:r>
            <w:r>
              <w:rPr>
                <w:rStyle w:val="IndexLink"/>
                <w:rtl w:val="true"/>
              </w:rPr>
              <w:t>»</w:t>
              <w:tab/>
            </w:r>
            <w:r>
              <w:rPr>
                <w:rStyle w:val="IndexLink"/>
              </w:rPr>
              <w:t>182</w:t>
            </w:r>
          </w:hyperlink>
        </w:p>
        <w:p>
          <w:pPr>
            <w:pStyle w:val="Contents4"/>
            <w:tabs>
              <w:tab w:val="clear" w:pos="8176"/>
              <w:tab w:val="right" w:pos="9026" w:leader="dot"/>
            </w:tabs>
            <w:rPr/>
          </w:pPr>
          <w:hyperlink w:anchor="__RefHeading___Toc2027875_2314609296">
            <w:r>
              <w:rPr>
                <w:webHidden/>
                <w:rStyle w:val="IndexLink"/>
                <w:rtl w:val="true"/>
              </w:rPr>
              <w:t>«</w:t>
            </w:r>
            <w:r>
              <w:rPr>
                <w:rStyle w:val="IndexLink"/>
                <w:rtl w:val="true"/>
              </w:rPr>
              <w:t>الشرط السادس</w:t>
            </w:r>
            <w:r>
              <w:rPr>
                <w:rStyle w:val="IndexLink"/>
                <w:rtl w:val="true"/>
              </w:rPr>
              <w:t xml:space="preserve">: </w:t>
            </w:r>
            <w:r>
              <w:rPr>
                <w:rStyle w:val="IndexLink"/>
                <w:rtl w:val="true"/>
              </w:rPr>
              <w:t>ترک الکلام</w:t>
            </w:r>
            <w:r>
              <w:rPr>
                <w:rStyle w:val="IndexLink"/>
                <w:rtl w:val="true"/>
              </w:rPr>
              <w:t xml:space="preserve">» </w:t>
            </w:r>
            <w:r>
              <w:rPr>
                <w:rStyle w:val="IndexLink"/>
                <w:rtl w:val="true"/>
              </w:rPr>
              <w:t>فی أثناء الصلاة</w:t>
            </w:r>
            <w:r>
              <w:rPr>
                <w:rStyle w:val="IndexLink"/>
                <w:rtl w:val="true"/>
              </w:rPr>
              <w:tab/>
            </w:r>
            <w:r>
              <w:rPr>
                <w:rStyle w:val="IndexLink"/>
              </w:rPr>
              <w:t>182</w:t>
            </w:r>
          </w:hyperlink>
        </w:p>
        <w:p>
          <w:pPr>
            <w:pStyle w:val="Contents4"/>
            <w:tabs>
              <w:tab w:val="clear" w:pos="8176"/>
              <w:tab w:val="right" w:pos="9026" w:leader="dot"/>
            </w:tabs>
            <w:rPr/>
          </w:pPr>
          <w:hyperlink w:anchor="__RefHeading___Toc2027877_2314609296">
            <w:r>
              <w:rPr>
                <w:webHidden/>
                <w:rStyle w:val="IndexLink"/>
                <w:rtl w:val="true"/>
              </w:rPr>
              <w:t>[«</w:t>
            </w:r>
            <w:r>
              <w:rPr>
                <w:rStyle w:val="IndexLink"/>
                <w:rtl w:val="true"/>
              </w:rPr>
              <w:t>الشرط السابع</w:t>
            </w:r>
            <w:r>
              <w:rPr>
                <w:rStyle w:val="IndexLink"/>
                <w:rtl w:val="true"/>
              </w:rPr>
              <w:t xml:space="preserve">: </w:t>
            </w:r>
            <w:r>
              <w:rPr>
                <w:rStyle w:val="IndexLink"/>
                <w:rtl w:val="true"/>
              </w:rPr>
              <w:t>الإسلام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2027879_2314609296">
            <w:r>
              <w:rPr>
                <w:webHidden/>
                <w:rStyle w:val="IndexLink"/>
                <w:rtl w:val="true"/>
              </w:rPr>
              <w:t>«</w:t>
            </w:r>
            <w:r>
              <w:rPr>
                <w:rStyle w:val="IndexLink"/>
                <w:rtl w:val="true"/>
              </w:rPr>
              <w:t>الفصل الثالث</w:t>
            </w:r>
            <w:r>
              <w:rPr>
                <w:rStyle w:val="IndexLink"/>
                <w:rtl w:val="true"/>
              </w:rPr>
              <w:t>» «</w:t>
            </w:r>
            <w:r>
              <w:rPr>
                <w:rStyle w:val="IndexLink"/>
                <w:rtl w:val="true"/>
              </w:rPr>
              <w:t>فی کیفیّة الصلاة</w:t>
            </w:r>
            <w:r>
              <w:rPr>
                <w:rStyle w:val="IndexLink"/>
                <w:rtl w:val="true"/>
              </w:rPr>
              <w:t>»</w:t>
              <w:tab/>
            </w:r>
            <w:r>
              <w:rPr>
                <w:rStyle w:val="IndexLink"/>
              </w:rPr>
              <w:t>188</w:t>
            </w:r>
          </w:hyperlink>
        </w:p>
        <w:p>
          <w:pPr>
            <w:pStyle w:val="Contents4"/>
            <w:tabs>
              <w:tab w:val="clear" w:pos="8176"/>
              <w:tab w:val="right" w:pos="9026" w:leader="dot"/>
            </w:tabs>
            <w:rPr/>
          </w:pPr>
          <w:hyperlink w:anchor="__RefHeading___Toc2027881_2314609296">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027883_2314609296">
            <w:r>
              <w:rPr>
                <w:webHidden/>
                <w:rStyle w:val="IndexLink"/>
                <w:rtl w:val="true"/>
              </w:rPr>
              <w:t>«</w:t>
            </w:r>
            <w:r>
              <w:rPr>
                <w:rStyle w:val="IndexLink"/>
                <w:rtl w:val="true"/>
              </w:rPr>
              <w:t>الأذان والإقامة</w:t>
            </w:r>
            <w:r>
              <w:rPr>
                <w:rStyle w:val="IndexLink"/>
                <w:rtl w:val="true"/>
              </w:rPr>
              <w:t>»</w:t>
              <w:tab/>
            </w:r>
            <w:r>
              <w:rPr>
                <w:rStyle w:val="IndexLink"/>
              </w:rPr>
              <w:t>188</w:t>
            </w:r>
          </w:hyperlink>
        </w:p>
        <w:p>
          <w:pPr>
            <w:pStyle w:val="Contents4"/>
            <w:tabs>
              <w:tab w:val="clear" w:pos="8176"/>
              <w:tab w:val="right" w:pos="9026" w:leader="dot"/>
            </w:tabs>
            <w:rPr/>
          </w:pPr>
          <w:hyperlink w:anchor="__RefHeading___Toc2027885_2314609296">
            <w:r>
              <w:rPr>
                <w:webHidden/>
                <w:rStyle w:val="IndexLink"/>
                <w:rtl w:val="true"/>
              </w:rPr>
              <w:t>«</w:t>
            </w:r>
            <w:r>
              <w:rPr>
                <w:rStyle w:val="IndexLink"/>
                <w:rtl w:val="true"/>
              </w:rPr>
              <w:t>ثمّ یجب القیام</w:t>
            </w:r>
            <w:r>
              <w:rPr>
                <w:rStyle w:val="IndexLink"/>
                <w:rtl w:val="true"/>
              </w:rPr>
              <w:t>»</w:t>
              <w:tab/>
            </w:r>
            <w:r>
              <w:rPr>
                <w:rStyle w:val="IndexLink"/>
              </w:rPr>
              <w:t>196</w:t>
            </w:r>
          </w:hyperlink>
        </w:p>
        <w:p>
          <w:pPr>
            <w:pStyle w:val="Contents4"/>
            <w:tabs>
              <w:tab w:val="clear" w:pos="8176"/>
              <w:tab w:val="right" w:pos="9026" w:leader="dot"/>
            </w:tabs>
            <w:rPr/>
          </w:pPr>
          <w:hyperlink w:anchor="__RefHeading___Toc2027887_2314609296">
            <w:r>
              <w:rPr>
                <w:webHidden/>
                <w:rStyle w:val="IndexLink"/>
                <w:rtl w:val="true"/>
              </w:rPr>
              <w:t>«</w:t>
            </w:r>
            <w:r>
              <w:rPr>
                <w:rStyle w:val="IndexLink"/>
                <w:rtl w:val="true"/>
              </w:rPr>
              <w:t>والنیّة</w:t>
            </w:r>
            <w:r>
              <w:rPr>
                <w:rStyle w:val="IndexLink"/>
                <w:rtl w:val="true"/>
              </w:rPr>
              <w:t>»</w:t>
              <w:tab/>
            </w:r>
            <w:r>
              <w:rPr>
                <w:rStyle w:val="IndexLink"/>
              </w:rPr>
              <w:t>198</w:t>
            </w:r>
          </w:hyperlink>
        </w:p>
        <w:p>
          <w:pPr>
            <w:pStyle w:val="Contents4"/>
            <w:tabs>
              <w:tab w:val="clear" w:pos="8176"/>
              <w:tab w:val="right" w:pos="9026" w:leader="dot"/>
            </w:tabs>
            <w:rPr/>
          </w:pPr>
          <w:hyperlink w:anchor="__RefHeading___Toc2027889_2314609296">
            <w:r>
              <w:rPr>
                <w:webHidden/>
                <w:rStyle w:val="IndexLink"/>
                <w:rtl w:val="true"/>
              </w:rPr>
              <w:t>«</w:t>
            </w:r>
            <w:r>
              <w:rPr>
                <w:rStyle w:val="IndexLink"/>
                <w:rtl w:val="true"/>
              </w:rPr>
              <w:t>وتکبیرة الإحرام</w:t>
            </w:r>
            <w:r>
              <w:rPr>
                <w:rStyle w:val="IndexLink"/>
                <w:rtl w:val="true"/>
              </w:rPr>
              <w:t>»</w:t>
              <w:tab/>
            </w:r>
            <w:r>
              <w:rPr>
                <w:rStyle w:val="IndexLink"/>
              </w:rPr>
              <w:t>200</w:t>
            </w:r>
          </w:hyperlink>
        </w:p>
        <w:p>
          <w:pPr>
            <w:pStyle w:val="Contents4"/>
            <w:tabs>
              <w:tab w:val="clear" w:pos="8176"/>
              <w:tab w:val="right" w:pos="9026" w:leader="dot"/>
            </w:tabs>
            <w:rPr/>
          </w:pPr>
          <w:hyperlink w:anchor="__RefHeading___Toc2027891_2314609296">
            <w:r>
              <w:rPr>
                <w:webHidden/>
                <w:rStyle w:val="IndexLink"/>
                <w:rtl w:val="true"/>
              </w:rPr>
              <w:t>«</w:t>
            </w:r>
            <w:r>
              <w:rPr>
                <w:rStyle w:val="IndexLink"/>
                <w:rtl w:val="true"/>
              </w:rPr>
              <w:t>وقراءة الحمد وسورة کاملة</w:t>
            </w:r>
            <w:r>
              <w:rPr>
                <w:rStyle w:val="IndexLink"/>
                <w:rtl w:val="true"/>
              </w:rPr>
              <w:t>»</w:t>
              <w:tab/>
            </w:r>
            <w:r>
              <w:rPr>
                <w:rStyle w:val="IndexLink"/>
              </w:rPr>
              <w:t>201</w:t>
            </w:r>
          </w:hyperlink>
        </w:p>
        <w:p>
          <w:pPr>
            <w:pStyle w:val="Contents4"/>
            <w:tabs>
              <w:tab w:val="clear" w:pos="8176"/>
              <w:tab w:val="right" w:pos="9026" w:leader="dot"/>
            </w:tabs>
            <w:rPr/>
          </w:pPr>
          <w:hyperlink w:anchor="__RefHeading___Toc2027893_2314609296">
            <w:r>
              <w:rPr>
                <w:webHidden/>
                <w:rStyle w:val="IndexLink"/>
                <w:rtl w:val="true"/>
              </w:rPr>
              <w:t>«</w:t>
            </w:r>
            <w:r>
              <w:rPr>
                <w:rStyle w:val="IndexLink"/>
                <w:rtl w:val="true"/>
              </w:rPr>
              <w:t>ثمّ یجب الرکوع منحنیاً إلی أن تصل کفّاه</w:t>
            </w:r>
            <w:r>
              <w:rPr>
                <w:rStyle w:val="IndexLink"/>
                <w:rtl w:val="true"/>
              </w:rPr>
              <w:t>»</w:t>
              <w:tab/>
            </w:r>
            <w:r>
              <w:rPr>
                <w:rStyle w:val="IndexLink"/>
              </w:rPr>
              <w:t>211</w:t>
            </w:r>
          </w:hyperlink>
        </w:p>
        <w:p>
          <w:pPr>
            <w:pStyle w:val="Contents4"/>
            <w:tabs>
              <w:tab w:val="clear" w:pos="8176"/>
              <w:tab w:val="right" w:pos="9026" w:leader="dot"/>
            </w:tabs>
            <w:rPr/>
          </w:pPr>
          <w:hyperlink w:anchor="__RefHeading___Toc2027895_2314609296">
            <w:r>
              <w:rPr>
                <w:webHidden/>
                <w:rStyle w:val="IndexLink"/>
                <w:rtl w:val="true"/>
              </w:rPr>
              <w:t>«</w:t>
            </w:r>
            <w:r>
              <w:rPr>
                <w:rStyle w:val="IndexLink"/>
                <w:rtl w:val="true"/>
              </w:rPr>
              <w:t>ثمّ یجب التشهّد عقیبَ</w:t>
            </w:r>
            <w:r>
              <w:rPr>
                <w:rStyle w:val="IndexLink"/>
                <w:rtl w:val="true"/>
              </w:rPr>
              <w:t>»</w:t>
              <w:tab/>
            </w:r>
            <w:r>
              <w:rPr>
                <w:rStyle w:val="IndexLink"/>
              </w:rPr>
              <w:t>216</w:t>
            </w:r>
          </w:hyperlink>
        </w:p>
        <w:p>
          <w:pPr>
            <w:pStyle w:val="Contents4"/>
            <w:tabs>
              <w:tab w:val="clear" w:pos="8176"/>
              <w:tab w:val="right" w:pos="9026" w:leader="dot"/>
            </w:tabs>
            <w:rPr/>
          </w:pPr>
          <w:hyperlink w:anchor="__RefHeading___Toc2027897_2314609296">
            <w:r>
              <w:rPr>
                <w:webHidden/>
                <w:rStyle w:val="IndexLink"/>
                <w:rtl w:val="true"/>
              </w:rPr>
              <w:t>«</w:t>
            </w:r>
            <w:r>
              <w:rPr>
                <w:rStyle w:val="IndexLink"/>
                <w:rtl w:val="true"/>
              </w:rPr>
              <w:t>ثم یجب التسلیم</w:t>
            </w:r>
            <w:r>
              <w:rPr>
                <w:rStyle w:val="IndexLink"/>
                <w:rtl w:val="true"/>
              </w:rPr>
              <w:t>»</w:t>
              <w:tab/>
            </w:r>
            <w:r>
              <w:rPr>
                <w:rStyle w:val="IndexLink"/>
              </w:rPr>
              <w:t>217</w:t>
            </w:r>
          </w:hyperlink>
        </w:p>
        <w:p>
          <w:pPr>
            <w:pStyle w:val="Contents3"/>
            <w:tabs>
              <w:tab w:val="clear" w:pos="8459"/>
              <w:tab w:val="right" w:pos="9026" w:leader="dot"/>
            </w:tabs>
            <w:rPr/>
          </w:pPr>
          <w:hyperlink w:anchor="__RefHeading___Toc2027899_2314609296">
            <w:r>
              <w:rPr>
                <w:webHidden/>
                <w:rStyle w:val="IndexLink"/>
                <w:rtl w:val="true"/>
              </w:rPr>
              <w:t>«</w:t>
            </w:r>
            <w:r>
              <w:rPr>
                <w:rStyle w:val="IndexLink"/>
                <w:rtl w:val="true"/>
              </w:rPr>
              <w:t>الفصل الرابع</w:t>
            </w:r>
            <w:r>
              <w:rPr>
                <w:rStyle w:val="IndexLink"/>
                <w:rtl w:val="true"/>
              </w:rPr>
              <w:t>» «</w:t>
            </w:r>
            <w:r>
              <w:rPr>
                <w:rStyle w:val="IndexLink"/>
                <w:rtl w:val="true"/>
              </w:rPr>
              <w:t>فی باقی مستحبّاتها</w:t>
            </w:r>
            <w:r>
              <w:rPr>
                <w:rStyle w:val="IndexLink"/>
                <w:rtl w:val="true"/>
              </w:rPr>
              <w:t>»</w:t>
              <w:tab/>
            </w:r>
            <w:r>
              <w:rPr>
                <w:rStyle w:val="IndexLink"/>
              </w:rPr>
              <w:t>222</w:t>
            </w:r>
          </w:hyperlink>
        </w:p>
        <w:p>
          <w:pPr>
            <w:pStyle w:val="Contents3"/>
            <w:tabs>
              <w:tab w:val="clear" w:pos="8459"/>
              <w:tab w:val="right" w:pos="9026" w:leader="dot"/>
            </w:tabs>
            <w:rPr/>
          </w:pPr>
          <w:hyperlink w:anchor="__RefHeading___Toc2027901_2314609296">
            <w:r>
              <w:rPr>
                <w:webHidden/>
                <w:rStyle w:val="IndexLink"/>
                <w:rtl w:val="true"/>
              </w:rPr>
              <w:t>«</w:t>
            </w:r>
            <w:r>
              <w:rPr>
                <w:rStyle w:val="IndexLink"/>
                <w:rtl w:val="true"/>
              </w:rPr>
              <w:t>الفصل الخامس</w:t>
            </w:r>
            <w:r>
              <w:rPr>
                <w:rStyle w:val="IndexLink"/>
                <w:rtl w:val="true"/>
              </w:rPr>
              <w:t>» «</w:t>
            </w:r>
            <w:r>
              <w:rPr>
                <w:rStyle w:val="IndexLink"/>
                <w:rtl w:val="true"/>
              </w:rPr>
              <w:t>فی التروک</w:t>
            </w:r>
            <w:r>
              <w:rPr>
                <w:rStyle w:val="IndexLink"/>
                <w:rtl w:val="true"/>
              </w:rPr>
              <w:t>»</w:t>
              <w:tab/>
            </w:r>
            <w:r>
              <w:rPr>
                <w:rStyle w:val="IndexLink"/>
              </w:rPr>
              <w:t>228</w:t>
            </w:r>
          </w:hyperlink>
        </w:p>
        <w:p>
          <w:pPr>
            <w:pStyle w:val="Contents4"/>
            <w:tabs>
              <w:tab w:val="clear" w:pos="8176"/>
              <w:tab w:val="right" w:pos="9026" w:leader="dot"/>
            </w:tabs>
            <w:rPr/>
          </w:pPr>
          <w:hyperlink w:anchor="__RefHeading___Toc2027903_2314609296">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027905_2314609296">
            <w:r>
              <w:rPr>
                <w:webHidden/>
                <w:rStyle w:val="IndexLink"/>
                <w:rtl w:val="true"/>
              </w:rPr>
              <w:t>[</w:t>
            </w:r>
            <w:r>
              <w:rPr>
                <w:rStyle w:val="IndexLink"/>
                <w:rtl w:val="true"/>
              </w:rPr>
              <w:t>فی بیان ارکان الصلاة</w:t>
            </w:r>
            <w:r>
              <w:rPr>
                <w:rStyle w:val="IndexLink"/>
                <w:rtl w:val="true"/>
              </w:rPr>
              <w:t>]</w:t>
              <w:tab/>
            </w:r>
            <w:r>
              <w:rPr>
                <w:rStyle w:val="IndexLink"/>
              </w:rPr>
              <w:t>231</w:t>
            </w:r>
          </w:hyperlink>
        </w:p>
        <w:p>
          <w:pPr>
            <w:pStyle w:val="Contents4"/>
            <w:tabs>
              <w:tab w:val="clear" w:pos="8176"/>
              <w:tab w:val="right" w:pos="9026" w:leader="dot"/>
            </w:tabs>
            <w:rPr/>
          </w:pPr>
          <w:hyperlink w:anchor="__RefHeading___Toc2027907_2314609296">
            <w:r>
              <w:rPr>
                <w:webHidden/>
                <w:rStyle w:val="IndexLink"/>
                <w:rtl w:val="true"/>
              </w:rPr>
              <w:t>[</w:t>
            </w:r>
            <w:r>
              <w:rPr>
                <w:rStyle w:val="IndexLink"/>
                <w:rtl w:val="true"/>
              </w:rPr>
              <w:t>الافعال المکروهة فی الصلاة</w:t>
            </w:r>
            <w:r>
              <w:rPr>
                <w:rStyle w:val="IndexLink"/>
                <w:rtl w:val="true"/>
              </w:rPr>
              <w:t>]</w:t>
              <w:tab/>
            </w:r>
            <w:r>
              <w:rPr>
                <w:rStyle w:val="IndexLink"/>
              </w:rPr>
              <w:t>233</w:t>
            </w:r>
          </w:hyperlink>
        </w:p>
        <w:p>
          <w:pPr>
            <w:pStyle w:val="Contents4"/>
            <w:tabs>
              <w:tab w:val="clear" w:pos="8176"/>
              <w:tab w:val="right" w:pos="9026" w:leader="dot"/>
            </w:tabs>
            <w:rPr/>
          </w:pPr>
          <w:hyperlink w:anchor="__RefHeading___Toc2027909_2314609296">
            <w:r>
              <w:rPr>
                <w:webHidden/>
                <w:rStyle w:val="IndexLink"/>
                <w:rtl w:val="true"/>
              </w:rPr>
              <w:t>«</w:t>
            </w:r>
            <w:r>
              <w:rPr>
                <w:rStyle w:val="IndexLink"/>
                <w:rtl w:val="true"/>
              </w:rPr>
              <w:t xml:space="preserve">تتمّة </w:t>
            </w:r>
            <w:r>
              <w:rPr>
                <w:rStyle w:val="IndexLink"/>
                <w:rtl w:val="true"/>
              </w:rPr>
              <w:t>[</w:t>
            </w:r>
            <w:r>
              <w:rPr>
                <w:rStyle w:val="IndexLink"/>
                <w:rtl w:val="true"/>
              </w:rPr>
              <w:t>فی ما یستحب للمراة فی الصلاة</w:t>
            </w:r>
            <w:r>
              <w:rPr>
                <w:rStyle w:val="IndexLink"/>
                <w:rtl w:val="true"/>
              </w:rPr>
              <w:t>] » :</w:t>
              <w:tab/>
            </w:r>
            <w:r>
              <w:rPr>
                <w:rStyle w:val="IndexLink"/>
              </w:rPr>
              <w:t>234</w:t>
            </w:r>
          </w:hyperlink>
        </w:p>
        <w:p>
          <w:pPr>
            <w:pStyle w:val="Contents3"/>
            <w:tabs>
              <w:tab w:val="clear" w:pos="8459"/>
              <w:tab w:val="right" w:pos="9026" w:leader="dot"/>
            </w:tabs>
            <w:rPr/>
          </w:pPr>
          <w:hyperlink w:anchor="__RefHeading___Toc2027911_2314609296">
            <w:r>
              <w:rPr>
                <w:webHidden/>
                <w:rStyle w:val="IndexLink"/>
                <w:rtl w:val="true"/>
              </w:rPr>
              <w:t>«</w:t>
            </w:r>
            <w:r>
              <w:rPr>
                <w:rStyle w:val="IndexLink"/>
                <w:rtl w:val="true"/>
              </w:rPr>
              <w:t>الفصل السادس</w:t>
            </w:r>
            <w:r>
              <w:rPr>
                <w:rStyle w:val="IndexLink"/>
                <w:rtl w:val="true"/>
              </w:rPr>
              <w:t>» «</w:t>
            </w:r>
            <w:r>
              <w:rPr>
                <w:rStyle w:val="IndexLink"/>
                <w:rtl w:val="true"/>
              </w:rPr>
              <w:t>فی بقیّة الصلوات</w:t>
            </w:r>
            <w:r>
              <w:rPr>
                <w:rStyle w:val="IndexLink"/>
                <w:rtl w:val="true"/>
              </w:rPr>
              <w:t xml:space="preserve">» </w:t>
            </w:r>
            <w:r>
              <w:rPr>
                <w:rStyle w:val="IndexLink"/>
                <w:rtl w:val="true"/>
              </w:rPr>
              <w:t>الواجبة وما یختاره من المندوبة</w:t>
            </w:r>
            <w:r>
              <w:rPr>
                <w:rStyle w:val="IndexLink"/>
                <w:rtl w:val="true"/>
              </w:rPr>
              <w:tab/>
            </w:r>
            <w:r>
              <w:rPr>
                <w:rStyle w:val="IndexLink"/>
              </w:rPr>
              <w:t>236</w:t>
            </w:r>
          </w:hyperlink>
        </w:p>
        <w:p>
          <w:pPr>
            <w:pStyle w:val="Contents4"/>
            <w:tabs>
              <w:tab w:val="clear" w:pos="8176"/>
              <w:tab w:val="right" w:pos="9026" w:leader="dot"/>
            </w:tabs>
            <w:rPr/>
          </w:pPr>
          <w:hyperlink w:anchor="__RefHeading___Toc2027913_2314609296">
            <w:r>
              <w:rPr>
                <w:webHidden/>
                <w:rStyle w:val="IndexLink"/>
                <w:rtl w:val="true"/>
              </w:rPr>
              <w:t>«</w:t>
            </w:r>
            <w:r>
              <w:rPr>
                <w:rStyle w:val="IndexLink"/>
                <w:rtl w:val="true"/>
              </w:rPr>
              <w:t>صلاة</w:t>
            </w:r>
            <w:r>
              <w:rPr>
                <w:rStyle w:val="IndexLink"/>
                <w:rtl w:val="true"/>
              </w:rPr>
              <w:t xml:space="preserve">: </w:t>
            </w:r>
            <w:r>
              <w:rPr>
                <w:rStyle w:val="IndexLink"/>
                <w:rtl w:val="true"/>
              </w:rPr>
              <w:t>الجمعة</w:t>
            </w:r>
            <w:r>
              <w:rPr>
                <w:rStyle w:val="IndexLink"/>
                <w:rtl w:val="true"/>
              </w:rPr>
              <w:t>»</w:t>
              <w:tab/>
            </w:r>
            <w:r>
              <w:rPr>
                <w:rStyle w:val="IndexLink"/>
              </w:rPr>
              <w:t>236</w:t>
            </w:r>
          </w:hyperlink>
        </w:p>
        <w:p>
          <w:pPr>
            <w:pStyle w:val="Contents4"/>
            <w:tabs>
              <w:tab w:val="clear" w:pos="8176"/>
              <w:tab w:val="right" w:pos="9026" w:leader="dot"/>
            </w:tabs>
            <w:rPr/>
          </w:pPr>
          <w:hyperlink w:anchor="__RefHeading___Toc2027915_2314609296">
            <w:r>
              <w:rPr>
                <w:webHidden/>
                <w:rStyle w:val="IndexLink"/>
                <w:rtl w:val="true"/>
              </w:rPr>
              <w:t>«</w:t>
            </w:r>
            <w:r>
              <w:rPr>
                <w:rStyle w:val="IndexLink"/>
                <w:rtl w:val="true"/>
              </w:rPr>
              <w:t>صلاة</w:t>
            </w:r>
            <w:r>
              <w:rPr>
                <w:rStyle w:val="IndexLink"/>
                <w:rtl w:val="true"/>
              </w:rPr>
              <w:t xml:space="preserve">: </w:t>
            </w:r>
            <w:r>
              <w:rPr>
                <w:rStyle w:val="IndexLink"/>
                <w:rtl w:val="true"/>
              </w:rPr>
              <w:t>صلاة العیدین</w:t>
            </w:r>
            <w:r>
              <w:rPr>
                <w:rStyle w:val="IndexLink"/>
                <w:rtl w:val="true"/>
              </w:rPr>
              <w:t>»</w:t>
              <w:tab/>
            </w:r>
            <w:r>
              <w:rPr>
                <w:rStyle w:val="IndexLink"/>
              </w:rPr>
              <w:t>246</w:t>
            </w:r>
          </w:hyperlink>
        </w:p>
        <w:p>
          <w:pPr>
            <w:pStyle w:val="Contents4"/>
            <w:tabs>
              <w:tab w:val="clear" w:pos="8176"/>
              <w:tab w:val="right" w:pos="9026" w:leader="dot"/>
            </w:tabs>
            <w:rPr/>
          </w:pPr>
          <w:hyperlink w:anchor="__RefHeading___Toc2027917_2314609296">
            <w:r>
              <w:rPr>
                <w:webHidden/>
                <w:rStyle w:val="IndexLink"/>
                <w:rtl w:val="true"/>
              </w:rPr>
              <w:t xml:space="preserve">صلاة </w:t>
            </w:r>
            <w:r>
              <w:rPr>
                <w:rStyle w:val="IndexLink"/>
                <w:rtl w:val="true"/>
              </w:rPr>
              <w:t>«</w:t>
            </w:r>
            <w:r>
              <w:rPr>
                <w:rStyle w:val="IndexLink"/>
                <w:rtl w:val="true"/>
              </w:rPr>
              <w:t>الآیات</w:t>
            </w:r>
            <w:r>
              <w:rPr>
                <w:rStyle w:val="IndexLink"/>
                <w:rtl w:val="true"/>
              </w:rPr>
              <w:t>»</w:t>
              <w:tab/>
            </w:r>
            <w:r>
              <w:rPr>
                <w:rStyle w:val="IndexLink"/>
              </w:rPr>
              <w:t>250</w:t>
            </w:r>
          </w:hyperlink>
        </w:p>
        <w:p>
          <w:pPr>
            <w:pStyle w:val="Contents4"/>
            <w:tabs>
              <w:tab w:val="clear" w:pos="8176"/>
              <w:tab w:val="right" w:pos="9026" w:leader="dot"/>
            </w:tabs>
            <w:rPr/>
          </w:pPr>
          <w:hyperlink w:anchor="__RefHeading___Toc2027919_2314609296">
            <w:r>
              <w:rPr>
                <w:webHidden/>
                <w:rStyle w:val="IndexLink"/>
                <w:rtl w:val="true"/>
              </w:rPr>
              <w:t xml:space="preserve">الصلاة </w:t>
            </w:r>
            <w:r>
              <w:rPr>
                <w:rStyle w:val="IndexLink"/>
                <w:rtl w:val="true"/>
              </w:rPr>
              <w:t>«</w:t>
            </w:r>
            <w:r>
              <w:rPr>
                <w:rStyle w:val="IndexLink"/>
                <w:rtl w:val="true"/>
              </w:rPr>
              <w:t>المنذورة وشبهها</w:t>
            </w:r>
            <w:r>
              <w:rPr>
                <w:rStyle w:val="IndexLink"/>
                <w:rtl w:val="true"/>
              </w:rPr>
              <w:t>»</w:t>
              <w:tab/>
            </w:r>
            <w:r>
              <w:rPr>
                <w:rStyle w:val="IndexLink"/>
              </w:rPr>
              <w:t>257</w:t>
            </w:r>
          </w:hyperlink>
        </w:p>
        <w:p>
          <w:pPr>
            <w:pStyle w:val="Contents4"/>
            <w:tabs>
              <w:tab w:val="clear" w:pos="8176"/>
              <w:tab w:val="right" w:pos="9026" w:leader="dot"/>
            </w:tabs>
            <w:rPr/>
          </w:pPr>
          <w:hyperlink w:anchor="__RefHeading___Toc2027921_2314609296">
            <w:r>
              <w:rPr>
                <w:webHidden/>
                <w:rStyle w:val="IndexLink"/>
                <w:rtl w:val="true"/>
              </w:rPr>
              <w:t xml:space="preserve">«: </w:t>
            </w:r>
            <w:r>
              <w:rPr>
                <w:rStyle w:val="IndexLink"/>
                <w:rtl w:val="true"/>
              </w:rPr>
              <w:t>صلاة النیابة</w:t>
            </w:r>
            <w:r>
              <w:rPr>
                <w:rStyle w:val="IndexLink"/>
                <w:rtl w:val="true"/>
              </w:rPr>
              <w:t>»</w:t>
              <w:tab/>
            </w:r>
            <w:r>
              <w:rPr>
                <w:rStyle w:val="IndexLink"/>
              </w:rPr>
              <w:t>258</w:t>
            </w:r>
          </w:hyperlink>
        </w:p>
        <w:p>
          <w:pPr>
            <w:pStyle w:val="Contents4"/>
            <w:tabs>
              <w:tab w:val="clear" w:pos="8176"/>
              <w:tab w:val="right" w:pos="9026" w:leader="dot"/>
            </w:tabs>
            <w:rPr/>
          </w:pPr>
          <w:hyperlink w:anchor="__RefHeading___Toc2027923_2314609296">
            <w:r>
              <w:rPr>
                <w:webHidden/>
                <w:rStyle w:val="IndexLink"/>
                <w:rtl w:val="true"/>
              </w:rPr>
              <w:t>«</w:t>
            </w:r>
            <w:r>
              <w:rPr>
                <w:rStyle w:val="IndexLink"/>
                <w:rtl w:val="true"/>
              </w:rPr>
              <w:t>ومن المندوبات</w:t>
            </w:r>
            <w:r>
              <w:rPr>
                <w:rStyle w:val="IndexLink"/>
                <w:rtl w:val="true"/>
              </w:rPr>
              <w:t xml:space="preserve">: </w:t>
            </w:r>
            <w:r>
              <w:rPr>
                <w:rStyle w:val="IndexLink"/>
                <w:rtl w:val="true"/>
              </w:rPr>
              <w:t>صلاة الاستسقاء</w:t>
            </w:r>
            <w:r>
              <w:rPr>
                <w:rStyle w:val="IndexLink"/>
                <w:rtl w:val="true"/>
              </w:rPr>
              <w:t>»</w:t>
              <w:tab/>
            </w:r>
            <w:r>
              <w:rPr>
                <w:rStyle w:val="IndexLink"/>
              </w:rPr>
              <w:t>258</w:t>
            </w:r>
          </w:hyperlink>
        </w:p>
        <w:p>
          <w:pPr>
            <w:pStyle w:val="Contents5"/>
            <w:tabs>
              <w:tab w:val="clear" w:pos="7892"/>
              <w:tab w:val="right" w:pos="9026" w:leader="dot"/>
            </w:tabs>
            <w:rPr/>
          </w:pPr>
          <w:hyperlink w:anchor="__RefHeading___Toc2027925_231460929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2027927_2314609296">
            <w:r>
              <w:rPr>
                <w:webHidden/>
                <w:rStyle w:val="IndexLink"/>
                <w:rtl w:val="true"/>
              </w:rPr>
              <w:t>«</w:t>
            </w:r>
            <w:r>
              <w:rPr>
                <w:rStyle w:val="IndexLink"/>
                <w:rtl w:val="true"/>
              </w:rPr>
              <w:t>ومنها</w:t>
            </w:r>
            <w:r>
              <w:rPr>
                <w:rStyle w:val="IndexLink"/>
                <w:rtl w:val="true"/>
              </w:rPr>
              <w:t xml:space="preserve">: </w:t>
            </w:r>
            <w:r>
              <w:rPr>
                <w:rStyle w:val="IndexLink"/>
                <w:rtl w:val="true"/>
              </w:rPr>
              <w:t>نافلة شهر رمضان</w:t>
            </w:r>
            <w:r>
              <w:rPr>
                <w:rStyle w:val="IndexLink"/>
                <w:rtl w:val="true"/>
              </w:rPr>
              <w:t>»</w:t>
              <w:tab/>
            </w:r>
            <w:r>
              <w:rPr>
                <w:rStyle w:val="IndexLink"/>
              </w:rPr>
              <w:t>259</w:t>
            </w:r>
          </w:hyperlink>
        </w:p>
        <w:p>
          <w:pPr>
            <w:pStyle w:val="Contents5"/>
            <w:tabs>
              <w:tab w:val="clear" w:pos="7892"/>
              <w:tab w:val="right" w:pos="9026" w:leader="dot"/>
            </w:tabs>
            <w:rPr/>
          </w:pPr>
          <w:hyperlink w:anchor="__RefHeading___Toc2027929_2314609296">
            <w:r>
              <w:rPr>
                <w:webHidden/>
                <w:rStyle w:val="IndexLink"/>
                <w:rtl w:val="true"/>
              </w:rPr>
              <w:t>«</w:t>
            </w:r>
            <w:r>
              <w:rPr>
                <w:rStyle w:val="IndexLink"/>
                <w:rtl w:val="true"/>
              </w:rPr>
              <w:t>ومنها</w:t>
            </w:r>
            <w:r>
              <w:rPr>
                <w:rStyle w:val="IndexLink"/>
                <w:rtl w:val="true"/>
              </w:rPr>
              <w:t>» : «</w:t>
            </w:r>
            <w:r>
              <w:rPr>
                <w:rStyle w:val="IndexLink"/>
                <w:rtl w:val="true"/>
              </w:rPr>
              <w:t>نافلة الزیارة</w:t>
            </w:r>
            <w:r>
              <w:rPr>
                <w:rStyle w:val="IndexLink"/>
                <w:rtl w:val="true"/>
              </w:rPr>
              <w:t>»</w:t>
              <w:tab/>
            </w:r>
            <w:r>
              <w:rPr>
                <w:rStyle w:val="IndexLink"/>
              </w:rPr>
              <w:t>261</w:t>
            </w:r>
          </w:hyperlink>
        </w:p>
        <w:p>
          <w:pPr>
            <w:pStyle w:val="Contents3"/>
            <w:tabs>
              <w:tab w:val="clear" w:pos="8459"/>
              <w:tab w:val="right" w:pos="9026" w:leader="dot"/>
            </w:tabs>
            <w:rPr/>
          </w:pPr>
          <w:hyperlink w:anchor="__RefHeading___Toc2027931_2314609296">
            <w:r>
              <w:rPr>
                <w:webHidden/>
                <w:rStyle w:val="IndexLink"/>
                <w:rtl w:val="true"/>
              </w:rPr>
              <w:t>«</w:t>
            </w:r>
            <w:r>
              <w:rPr>
                <w:rStyle w:val="IndexLink"/>
                <w:rtl w:val="true"/>
              </w:rPr>
              <w:t>الفصل السابع</w:t>
            </w:r>
            <w:r>
              <w:rPr>
                <w:rStyle w:val="IndexLink"/>
                <w:rtl w:val="true"/>
              </w:rPr>
              <w:t>» «</w:t>
            </w:r>
            <w:r>
              <w:rPr>
                <w:rStyle w:val="IndexLink"/>
                <w:rtl w:val="true"/>
              </w:rPr>
              <w:t>فی</w:t>
            </w:r>
            <w:r>
              <w:rPr>
                <w:rStyle w:val="IndexLink"/>
                <w:rtl w:val="true"/>
              </w:rPr>
              <w:t xml:space="preserve">» </w:t>
            </w:r>
            <w:r>
              <w:rPr>
                <w:rStyle w:val="IndexLink"/>
                <w:rtl w:val="true"/>
              </w:rPr>
              <w:t xml:space="preserve">بیان أحکام </w:t>
            </w:r>
            <w:r>
              <w:rPr>
                <w:rStyle w:val="IndexLink"/>
                <w:rtl w:val="true"/>
              </w:rPr>
              <w:t>«</w:t>
            </w:r>
            <w:r>
              <w:rPr>
                <w:rStyle w:val="IndexLink"/>
                <w:rtl w:val="true"/>
              </w:rPr>
              <w:t>الخلل</w:t>
            </w:r>
            <w:r>
              <w:rPr>
                <w:rStyle w:val="IndexLink"/>
                <w:rtl w:val="true"/>
              </w:rPr>
              <w:t xml:space="preserve">» </w:t>
            </w:r>
            <w:r>
              <w:rPr>
                <w:rStyle w:val="IndexLink"/>
                <w:rtl w:val="true"/>
              </w:rPr>
              <w:t xml:space="preserve">الواقع </w:t>
            </w:r>
            <w:r>
              <w:rPr>
                <w:rStyle w:val="IndexLink"/>
                <w:rtl w:val="true"/>
              </w:rPr>
              <w:t>«</w:t>
            </w:r>
            <w:r>
              <w:rPr>
                <w:rStyle w:val="IndexLink"/>
                <w:rtl w:val="true"/>
              </w:rPr>
              <w:t>فی الصلاة</w:t>
            </w:r>
            <w:r>
              <w:rPr>
                <w:rStyle w:val="IndexLink"/>
                <w:rtl w:val="true"/>
              </w:rPr>
              <w:t xml:space="preserve">» </w:t>
            </w:r>
            <w:r>
              <w:rPr>
                <w:rStyle w:val="IndexLink"/>
                <w:rtl w:val="true"/>
              </w:rPr>
              <w:t>الواجبة</w:t>
            </w:r>
            <w:r>
              <w:rPr>
                <w:rStyle w:val="IndexLink"/>
                <w:rtl w:val="true"/>
              </w:rPr>
              <w:tab/>
            </w:r>
            <w:r>
              <w:rPr>
                <w:rStyle w:val="IndexLink"/>
              </w:rPr>
              <w:t>262</w:t>
            </w:r>
          </w:hyperlink>
        </w:p>
        <w:p>
          <w:pPr>
            <w:pStyle w:val="Contents4"/>
            <w:tabs>
              <w:tab w:val="clear" w:pos="8176"/>
              <w:tab w:val="right" w:pos="9026" w:leader="dot"/>
            </w:tabs>
            <w:rPr/>
          </w:pPr>
          <w:hyperlink w:anchor="__RefHeading___Toc2027933_2314609296">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2027935_2314609296">
            <w:r>
              <w:rPr>
                <w:webHidden/>
                <w:rStyle w:val="IndexLink"/>
                <w:rtl w:val="true"/>
              </w:rPr>
              <w:t>[</w:t>
            </w:r>
            <w:r>
              <w:rPr>
                <w:rStyle w:val="IndexLink"/>
                <w:rtl w:val="true"/>
              </w:rPr>
              <w:t>قضاء الاجزاء المنسیة</w:t>
            </w:r>
            <w:r>
              <w:rPr>
                <w:rStyle w:val="IndexLink"/>
                <w:rtl w:val="true"/>
              </w:rPr>
              <w:t>]</w:t>
              <w:tab/>
            </w:r>
            <w:r>
              <w:rPr>
                <w:rStyle w:val="IndexLink"/>
              </w:rPr>
              <w:t>264</w:t>
            </w:r>
          </w:hyperlink>
        </w:p>
        <w:p>
          <w:pPr>
            <w:pStyle w:val="Contents4"/>
            <w:tabs>
              <w:tab w:val="clear" w:pos="8176"/>
              <w:tab w:val="right" w:pos="9026" w:leader="dot"/>
            </w:tabs>
            <w:rPr/>
          </w:pPr>
          <w:hyperlink w:anchor="__RefHeading___Toc2027937_2314609296">
            <w:r>
              <w:rPr>
                <w:webHidden/>
                <w:rStyle w:val="IndexLink"/>
                <w:rtl w:val="true"/>
              </w:rPr>
              <w:t>[</w:t>
            </w:r>
            <w:r>
              <w:rPr>
                <w:rStyle w:val="IndexLink"/>
                <w:rtl w:val="true"/>
              </w:rPr>
              <w:t>الکلام فی سجدتی السهو</w:t>
            </w:r>
            <w:r>
              <w:rPr>
                <w:rStyle w:val="IndexLink"/>
                <w:rtl w:val="true"/>
              </w:rPr>
              <w:t>]</w:t>
              <w:tab/>
            </w:r>
            <w:r>
              <w:rPr>
                <w:rStyle w:val="IndexLink"/>
              </w:rPr>
              <w:t>265</w:t>
            </w:r>
          </w:hyperlink>
        </w:p>
        <w:p>
          <w:pPr>
            <w:pStyle w:val="Contents4"/>
            <w:tabs>
              <w:tab w:val="clear" w:pos="8176"/>
              <w:tab w:val="right" w:pos="9026" w:leader="dot"/>
            </w:tabs>
            <w:rPr/>
          </w:pPr>
          <w:hyperlink w:anchor="__RefHeading___Toc2027939_2314609296">
            <w:r>
              <w:rPr>
                <w:webHidden/>
                <w:rStyle w:val="IndexLink"/>
                <w:rtl w:val="true"/>
              </w:rPr>
              <w:t>[</w:t>
            </w:r>
            <w:r>
              <w:rPr>
                <w:rStyle w:val="IndexLink"/>
                <w:rtl w:val="true"/>
              </w:rPr>
              <w:t>احکام الشکوک</w:t>
            </w:r>
            <w:r>
              <w:rPr>
                <w:rStyle w:val="IndexLink"/>
                <w:rtl w:val="true"/>
              </w:rPr>
              <w:t>]</w:t>
              <w:tab/>
            </w:r>
            <w:r>
              <w:rPr>
                <w:rStyle w:val="IndexLink"/>
              </w:rPr>
              <w:t>268</w:t>
            </w:r>
          </w:hyperlink>
        </w:p>
        <w:p>
          <w:pPr>
            <w:pStyle w:val="Contents4"/>
            <w:tabs>
              <w:tab w:val="clear" w:pos="8176"/>
              <w:tab w:val="right" w:pos="9026" w:leader="dot"/>
            </w:tabs>
            <w:rPr/>
          </w:pPr>
          <w:hyperlink w:anchor="__RefHeading___Toc2027941_2314609296">
            <w:r>
              <w:rPr>
                <w:webHidden/>
                <w:rStyle w:val="IndexLink"/>
                <w:rtl w:val="true"/>
              </w:rPr>
              <w:t>[«</w:t>
            </w:r>
            <w:r>
              <w:rPr>
                <w:rStyle w:val="IndexLink"/>
                <w:rtl w:val="true"/>
              </w:rPr>
              <w:t>مسائل</w:t>
            </w:r>
            <w:r>
              <w:rPr>
                <w:rStyle w:val="IndexLink"/>
                <w:rtl w:val="true"/>
              </w:rPr>
              <w:t xml:space="preserve">» </w:t>
            </w:r>
            <w:r>
              <w:rPr>
                <w:rStyle w:val="IndexLink"/>
                <w:rtl w:val="true"/>
              </w:rPr>
              <w:t xml:space="preserve">سبع </w:t>
            </w:r>
            <w:r>
              <w:rPr>
                <w:rStyle w:val="IndexLink"/>
                <w:rtl w:val="true"/>
              </w:rPr>
              <w:t>]</w:t>
              <w:tab/>
            </w:r>
            <w:r>
              <w:rPr>
                <w:rStyle w:val="IndexLink"/>
              </w:rPr>
              <w:t>271</w:t>
            </w:r>
          </w:hyperlink>
        </w:p>
        <w:p>
          <w:pPr>
            <w:pStyle w:val="Contents3"/>
            <w:tabs>
              <w:tab w:val="clear" w:pos="8459"/>
              <w:tab w:val="right" w:pos="9026" w:leader="dot"/>
            </w:tabs>
            <w:rPr/>
          </w:pPr>
          <w:hyperlink w:anchor="__RefHeading___Toc2027943_2314609296">
            <w:r>
              <w:rPr>
                <w:webHidden/>
                <w:rStyle w:val="IndexLink"/>
                <w:rtl w:val="true"/>
              </w:rPr>
              <w:t>«</w:t>
            </w:r>
            <w:r>
              <w:rPr>
                <w:rStyle w:val="IndexLink"/>
                <w:rtl w:val="true"/>
              </w:rPr>
              <w:t>الفصل الثامن</w:t>
            </w:r>
            <w:r>
              <w:rPr>
                <w:rStyle w:val="IndexLink"/>
                <w:rtl w:val="true"/>
              </w:rPr>
              <w:t>» «</w:t>
            </w:r>
            <w:r>
              <w:rPr>
                <w:rStyle w:val="IndexLink"/>
                <w:rtl w:val="true"/>
              </w:rPr>
              <w:t>فی القضاء</w:t>
            </w:r>
            <w:r>
              <w:rPr>
                <w:rStyle w:val="IndexLink"/>
                <w:rtl w:val="true"/>
              </w:rPr>
              <w:t>»</w:t>
              <w:tab/>
            </w:r>
            <w:r>
              <w:rPr>
                <w:rStyle w:val="IndexLink"/>
              </w:rPr>
              <w:t>282</w:t>
            </w:r>
          </w:hyperlink>
        </w:p>
        <w:p>
          <w:pPr>
            <w:pStyle w:val="Contents4"/>
            <w:tabs>
              <w:tab w:val="clear" w:pos="8176"/>
              <w:tab w:val="right" w:pos="9026" w:leader="dot"/>
            </w:tabs>
            <w:rPr/>
          </w:pPr>
          <w:hyperlink w:anchor="__RefHeading___Toc2027945_2314609296">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2027947_2314609296">
            <w:r>
              <w:rPr>
                <w:webHidden/>
                <w:rStyle w:val="IndexLink"/>
                <w:rtl w:val="true"/>
              </w:rPr>
              <w:t>«</w:t>
            </w:r>
            <w:r>
              <w:rPr>
                <w:rStyle w:val="IndexLink"/>
                <w:rtl w:val="true"/>
              </w:rPr>
              <w:t>مسائل</w:t>
            </w:r>
            <w:r>
              <w:rPr>
                <w:rStyle w:val="IndexLink"/>
                <w:rtl w:val="true"/>
              </w:rPr>
              <w:t>»</w:t>
              <w:tab/>
            </w:r>
            <w:r>
              <w:rPr>
                <w:rStyle w:val="IndexLink"/>
              </w:rPr>
              <w:t>291</w:t>
            </w:r>
          </w:hyperlink>
        </w:p>
        <w:p>
          <w:pPr>
            <w:pStyle w:val="Contents5"/>
            <w:tabs>
              <w:tab w:val="clear" w:pos="7892"/>
              <w:tab w:val="right" w:pos="9026" w:leader="dot"/>
            </w:tabs>
            <w:rPr/>
          </w:pPr>
          <w:hyperlink w:anchor="__RefHeading___Toc2027949_2314609296">
            <w:r>
              <w:rPr>
                <w:webHidden/>
                <w:rStyle w:val="IndexLink"/>
                <w:rtl w:val="true"/>
              </w:rPr>
              <w:t>الاُولی</w:t>
            </w:r>
            <w:r>
              <w:rPr>
                <w:rStyle w:val="IndexLink"/>
                <w:rtl w:val="true"/>
              </w:rPr>
              <w:tab/>
            </w:r>
            <w:r>
              <w:rPr>
                <w:rStyle w:val="IndexLink"/>
              </w:rPr>
              <w:t>291</w:t>
            </w:r>
          </w:hyperlink>
        </w:p>
        <w:p>
          <w:pPr>
            <w:pStyle w:val="Contents5"/>
            <w:tabs>
              <w:tab w:val="clear" w:pos="7892"/>
              <w:tab w:val="right" w:pos="9026" w:leader="dot"/>
            </w:tabs>
            <w:rPr/>
          </w:pPr>
          <w:hyperlink w:anchor="__RefHeading___Toc2027951_2314609296">
            <w:r>
              <w:rPr>
                <w:webHidden/>
                <w:rStyle w:val="IndexLink"/>
                <w:rtl w:val="true"/>
              </w:rPr>
              <w:t>«</w:t>
            </w:r>
            <w:r>
              <w:rPr>
                <w:rStyle w:val="IndexLink"/>
                <w:rtl w:val="true"/>
              </w:rPr>
              <w:t>الثانیة</w:t>
            </w:r>
            <w:r>
              <w:rPr>
                <w:rStyle w:val="IndexLink"/>
                <w:rtl w:val="true"/>
              </w:rPr>
              <w:t>» : «</w:t>
            </w:r>
            <w:r>
              <w:rPr>
                <w:rStyle w:val="IndexLink"/>
                <w:rtl w:val="true"/>
              </w:rPr>
              <w:t>المرویّ فی المبطون</w:t>
            </w:r>
            <w:r>
              <w:rPr>
                <w:rStyle w:val="IndexLink"/>
                <w:rtl w:val="true"/>
              </w:rPr>
              <w:tab/>
            </w:r>
            <w:r>
              <w:rPr>
                <w:rStyle w:val="IndexLink"/>
              </w:rPr>
              <w:t>292</w:t>
            </w:r>
          </w:hyperlink>
        </w:p>
        <w:p>
          <w:pPr>
            <w:pStyle w:val="Contents5"/>
            <w:tabs>
              <w:tab w:val="clear" w:pos="7892"/>
              <w:tab w:val="right" w:pos="9026" w:leader="dot"/>
            </w:tabs>
            <w:rPr/>
          </w:pPr>
          <w:hyperlink w:anchor="__RefHeading___Toc2027953_2314609296">
            <w:r>
              <w:rPr>
                <w:webHidden/>
                <w:rStyle w:val="IndexLink"/>
                <w:rtl w:val="true"/>
              </w:rPr>
              <w:t>«</w:t>
            </w:r>
            <w:r>
              <w:rPr>
                <w:rStyle w:val="IndexLink"/>
                <w:rtl w:val="true"/>
              </w:rPr>
              <w:t>الثالثة</w:t>
            </w:r>
            <w:r>
              <w:rPr>
                <w:rStyle w:val="IndexLink"/>
                <w:rtl w:val="true"/>
              </w:rPr>
              <w:t>» : «</w:t>
            </w:r>
            <w:r>
              <w:rPr>
                <w:rStyle w:val="IndexLink"/>
                <w:rtl w:val="true"/>
              </w:rPr>
              <w:t>یُستحبّ تعجیل القضاء</w:t>
            </w:r>
            <w:r>
              <w:rPr>
                <w:rStyle w:val="IndexLink"/>
                <w:rtl w:val="true"/>
              </w:rPr>
              <w:t>»</w:t>
              <w:tab/>
            </w:r>
            <w:r>
              <w:rPr>
                <w:rStyle w:val="IndexLink"/>
              </w:rPr>
              <w:t>294</w:t>
            </w:r>
          </w:hyperlink>
        </w:p>
        <w:p>
          <w:pPr>
            <w:pStyle w:val="Contents3"/>
            <w:tabs>
              <w:tab w:val="clear" w:pos="8459"/>
              <w:tab w:val="right" w:pos="9026" w:leader="dot"/>
            </w:tabs>
            <w:rPr/>
          </w:pPr>
          <w:hyperlink w:anchor="__RefHeading___Toc2027955_2314609296">
            <w:r>
              <w:rPr>
                <w:webHidden/>
                <w:rStyle w:val="IndexLink"/>
                <w:rtl w:val="true"/>
              </w:rPr>
              <w:t>«</w:t>
            </w:r>
            <w:r>
              <w:rPr>
                <w:rStyle w:val="IndexLink"/>
                <w:rtl w:val="true"/>
              </w:rPr>
              <w:t>الفصل التاسع</w:t>
            </w:r>
            <w:r>
              <w:rPr>
                <w:rStyle w:val="IndexLink"/>
                <w:rtl w:val="true"/>
              </w:rPr>
              <w:t>» «</w:t>
            </w:r>
            <w:r>
              <w:rPr>
                <w:rStyle w:val="IndexLink"/>
                <w:rtl w:val="true"/>
              </w:rPr>
              <w:t>فی صلاة الخوف</w:t>
            </w:r>
            <w:r>
              <w:rPr>
                <w:rStyle w:val="IndexLink"/>
                <w:rtl w:val="true"/>
              </w:rPr>
              <w:t>»</w:t>
              <w:tab/>
            </w:r>
            <w:r>
              <w:rPr>
                <w:rStyle w:val="IndexLink"/>
              </w:rPr>
              <w:t>297</w:t>
            </w:r>
          </w:hyperlink>
        </w:p>
        <w:p>
          <w:pPr>
            <w:pStyle w:val="Contents3"/>
            <w:tabs>
              <w:tab w:val="clear" w:pos="8459"/>
              <w:tab w:val="right" w:pos="9026" w:leader="dot"/>
            </w:tabs>
            <w:rPr/>
          </w:pPr>
          <w:hyperlink w:anchor="__RefHeading___Toc2027957_2314609296">
            <w:r>
              <w:rPr>
                <w:webHidden/>
                <w:rStyle w:val="IndexLink"/>
                <w:rtl w:val="true"/>
              </w:rPr>
              <w:t>«</w:t>
            </w:r>
            <w:r>
              <w:rPr>
                <w:rStyle w:val="IndexLink"/>
                <w:rtl w:val="true"/>
              </w:rPr>
              <w:t>الفصل العاشر</w:t>
            </w:r>
            <w:r>
              <w:rPr>
                <w:rStyle w:val="IndexLink"/>
                <w:rtl w:val="true"/>
              </w:rPr>
              <w:t>» «</w:t>
            </w:r>
            <w:r>
              <w:rPr>
                <w:rStyle w:val="IndexLink"/>
                <w:rtl w:val="true"/>
              </w:rPr>
              <w:t>فی صلاة المسافر</w:t>
            </w:r>
            <w:r>
              <w:rPr>
                <w:rStyle w:val="IndexLink"/>
                <w:rtl w:val="true"/>
              </w:rPr>
              <w:t xml:space="preserve">» </w:t>
            </w:r>
            <w:r>
              <w:rPr>
                <w:rStyle w:val="IndexLink"/>
                <w:rtl w:val="true"/>
              </w:rPr>
              <w:t>التی یجب قصرُها کمّیةً</w:t>
            </w:r>
            <w:r>
              <w:rPr>
                <w:rStyle w:val="IndexLink"/>
                <w:rtl w:val="true"/>
              </w:rPr>
              <w:tab/>
            </w:r>
            <w:r>
              <w:rPr>
                <w:rStyle w:val="IndexLink"/>
              </w:rPr>
              <w:t>302</w:t>
            </w:r>
          </w:hyperlink>
        </w:p>
        <w:p>
          <w:pPr>
            <w:pStyle w:val="Contents3"/>
            <w:tabs>
              <w:tab w:val="clear" w:pos="8459"/>
              <w:tab w:val="right" w:pos="9026" w:leader="dot"/>
            </w:tabs>
            <w:rPr/>
          </w:pPr>
          <w:hyperlink w:anchor="__RefHeading___Toc2027959_2314609296">
            <w:r>
              <w:rPr>
                <w:webHidden/>
                <w:rStyle w:val="IndexLink"/>
                <w:rtl w:val="true"/>
              </w:rPr>
              <w:t>«</w:t>
            </w:r>
            <w:r>
              <w:rPr>
                <w:rStyle w:val="IndexLink"/>
                <w:rtl w:val="true"/>
              </w:rPr>
              <w:t>الفصل الحادی عشر</w:t>
            </w:r>
            <w:r>
              <w:rPr>
                <w:rStyle w:val="IndexLink"/>
                <w:rtl w:val="true"/>
              </w:rPr>
              <w:t>» «</w:t>
            </w:r>
            <w:r>
              <w:rPr>
                <w:rStyle w:val="IndexLink"/>
                <w:rtl w:val="true"/>
              </w:rPr>
              <w:t>فی الجماعة</w:t>
            </w:r>
            <w:r>
              <w:rPr>
                <w:rStyle w:val="IndexLink"/>
                <w:rtl w:val="true"/>
              </w:rPr>
              <w:t>»</w:t>
              <w:tab/>
            </w:r>
            <w:r>
              <w:rPr>
                <w:rStyle w:val="IndexLink"/>
              </w:rPr>
              <w:t>309</w:t>
            </w:r>
          </w:hyperlink>
        </w:p>
        <w:p>
          <w:pPr>
            <w:pStyle w:val="Contents2"/>
            <w:tabs>
              <w:tab w:val="clear" w:pos="8743"/>
              <w:tab w:val="right" w:pos="9026" w:leader="dot"/>
            </w:tabs>
            <w:rPr/>
          </w:pPr>
          <w:hyperlink w:anchor="__RefHeading___Toc2027961_2314609296">
            <w:r>
              <w:rPr>
                <w:webHidden/>
                <w:rStyle w:val="IndexLink"/>
                <w:rtl w:val="true"/>
              </w:rPr>
              <w:t>کتاب الزکاة</w:t>
            </w:r>
            <w:r>
              <w:rPr>
                <w:rStyle w:val="IndexLink"/>
                <w:rtl w:val="true"/>
              </w:rPr>
              <w:tab/>
            </w:r>
            <w:r>
              <w:rPr>
                <w:rStyle w:val="IndexLink"/>
              </w:rPr>
              <w:t>322</w:t>
            </w:r>
          </w:hyperlink>
        </w:p>
        <w:p>
          <w:pPr>
            <w:pStyle w:val="Contents3"/>
            <w:tabs>
              <w:tab w:val="clear" w:pos="8459"/>
              <w:tab w:val="right" w:pos="9026" w:leader="dot"/>
            </w:tabs>
            <w:rPr/>
          </w:pPr>
          <w:hyperlink w:anchor="__RefHeading___Toc2027963_2314609296">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2027965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تجب زکاة المال علی البالغ العاقل</w:t>
            </w:r>
            <w:r>
              <w:rPr>
                <w:rStyle w:val="IndexLink"/>
                <w:rtl w:val="true"/>
              </w:rPr>
              <w:t>»</w:t>
              <w:tab/>
            </w:r>
            <w:r>
              <w:rPr>
                <w:rStyle w:val="IndexLink"/>
              </w:rPr>
              <w:t>323</w:t>
            </w:r>
          </w:hyperlink>
        </w:p>
        <w:p>
          <w:pPr>
            <w:pStyle w:val="Contents4"/>
            <w:tabs>
              <w:tab w:val="clear" w:pos="8176"/>
              <w:tab w:val="right" w:pos="9026" w:leader="dot"/>
            </w:tabs>
            <w:rPr/>
          </w:pPr>
          <w:hyperlink w:anchor="__RefHeading___Toc2027967_2314609296">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2027969_2314609296">
            <w:r>
              <w:rPr>
                <w:webHidden/>
                <w:rStyle w:val="IndexLink"/>
                <w:rtl w:val="true"/>
              </w:rPr>
              <w:t>[</w:t>
            </w:r>
            <w:r>
              <w:rPr>
                <w:rStyle w:val="IndexLink"/>
                <w:rtl w:val="true"/>
              </w:rPr>
              <w:t>زکاة الانعام و نصبها</w:t>
            </w:r>
            <w:r>
              <w:rPr>
                <w:rStyle w:val="IndexLink"/>
                <w:rtl w:val="true"/>
              </w:rPr>
              <w:t>]</w:t>
              <w:tab/>
            </w:r>
            <w:r>
              <w:rPr>
                <w:rStyle w:val="IndexLink"/>
              </w:rPr>
              <w:t>325</w:t>
            </w:r>
          </w:hyperlink>
        </w:p>
        <w:p>
          <w:pPr>
            <w:pStyle w:val="Contents4"/>
            <w:tabs>
              <w:tab w:val="clear" w:pos="8176"/>
              <w:tab w:val="right" w:pos="9026" w:leader="dot"/>
            </w:tabs>
            <w:rPr/>
          </w:pPr>
          <w:hyperlink w:anchor="__RefHeading___Toc2027971_2314609296">
            <w:r>
              <w:rPr>
                <w:webHidden/>
                <w:rStyle w:val="IndexLink"/>
                <w:rtl w:val="true"/>
              </w:rPr>
              <w:t>[</w:t>
            </w:r>
            <w:r>
              <w:rPr>
                <w:rStyle w:val="IndexLink"/>
                <w:rtl w:val="true"/>
              </w:rPr>
              <w:t xml:space="preserve">زکاة النقدین </w:t>
            </w:r>
            <w:r>
              <w:rPr>
                <w:rStyle w:val="IndexLink"/>
                <w:rtl w:val="true"/>
              </w:rPr>
              <w:t>]</w:t>
              <w:tab/>
            </w:r>
            <w:r>
              <w:rPr>
                <w:rStyle w:val="IndexLink"/>
              </w:rPr>
              <w:t>333</w:t>
            </w:r>
          </w:hyperlink>
        </w:p>
        <w:p>
          <w:pPr>
            <w:pStyle w:val="Contents4"/>
            <w:tabs>
              <w:tab w:val="clear" w:pos="8176"/>
              <w:tab w:val="right" w:pos="9026" w:leader="dot"/>
            </w:tabs>
            <w:rPr/>
          </w:pPr>
          <w:hyperlink w:anchor="__RefHeading___Toc2027973_2314609296">
            <w:r>
              <w:rPr>
                <w:webHidden/>
                <w:rStyle w:val="IndexLink"/>
                <w:rtl w:val="true"/>
              </w:rPr>
              <w:t>[</w:t>
            </w:r>
            <w:r>
              <w:rPr>
                <w:rStyle w:val="IndexLink"/>
                <w:rtl w:val="true"/>
              </w:rPr>
              <w:t xml:space="preserve">اما الغلات الاربع </w:t>
            </w:r>
            <w:r>
              <w:rPr>
                <w:rStyle w:val="IndexLink"/>
                <w:rtl w:val="true"/>
              </w:rPr>
              <w:t>]</w:t>
              <w:tab/>
            </w:r>
            <w:r>
              <w:rPr>
                <w:rStyle w:val="IndexLink"/>
              </w:rPr>
              <w:t>334</w:t>
            </w:r>
          </w:hyperlink>
        </w:p>
        <w:p>
          <w:pPr>
            <w:pStyle w:val="Contents3"/>
            <w:tabs>
              <w:tab w:val="clear" w:pos="8459"/>
              <w:tab w:val="right" w:pos="9026" w:leader="dot"/>
            </w:tabs>
            <w:rPr/>
          </w:pPr>
          <w:hyperlink w:anchor="__RefHeading___Toc2027975_2314609296">
            <w:r>
              <w:rPr>
                <w:webHidden/>
                <w:rStyle w:val="IndexLink"/>
                <w:rtl w:val="true"/>
              </w:rPr>
              <w:t>«</w:t>
            </w:r>
            <w:r>
              <w:rPr>
                <w:rStyle w:val="IndexLink"/>
                <w:rtl w:val="true"/>
              </w:rPr>
              <w:t>الفصل الثانی أنّما تستحبّ زکاة التجارة مع</w:t>
            </w:r>
            <w:r>
              <w:rPr>
                <w:rStyle w:val="IndexLink"/>
                <w:rtl w:val="true"/>
              </w:rPr>
              <w:t>»</w:t>
              <w:tab/>
            </w:r>
            <w:r>
              <w:rPr>
                <w:rStyle w:val="IndexLink"/>
              </w:rPr>
              <w:t>337</w:t>
            </w:r>
          </w:hyperlink>
        </w:p>
        <w:p>
          <w:pPr>
            <w:pStyle w:val="Contents4"/>
            <w:tabs>
              <w:tab w:val="clear" w:pos="8176"/>
              <w:tab w:val="right" w:pos="9026" w:leader="dot"/>
            </w:tabs>
            <w:rPr/>
          </w:pPr>
          <w:hyperlink w:anchor="__RefHeading___Toc2027977_2314609296">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2027979_2314609296">
            <w:r>
              <w:rPr>
                <w:webHidden/>
                <w:rStyle w:val="IndexLink"/>
                <w:rtl w:val="true"/>
              </w:rPr>
              <w:t>[</w:t>
            </w:r>
            <w:r>
              <w:rPr>
                <w:rStyle w:val="IndexLink"/>
                <w:rtl w:val="true"/>
              </w:rPr>
              <w:t>حکم تاخیر دفع الزکاة</w:t>
            </w:r>
            <w:r>
              <w:rPr>
                <w:rStyle w:val="IndexLink"/>
                <w:rtl w:val="true"/>
              </w:rPr>
              <w:t>]</w:t>
              <w:tab/>
            </w:r>
            <w:r>
              <w:rPr>
                <w:rStyle w:val="IndexLink"/>
              </w:rPr>
              <w:t>338</w:t>
            </w:r>
          </w:hyperlink>
        </w:p>
        <w:p>
          <w:pPr>
            <w:pStyle w:val="Contents4"/>
            <w:tabs>
              <w:tab w:val="clear" w:pos="8176"/>
              <w:tab w:val="right" w:pos="9026" w:leader="dot"/>
            </w:tabs>
            <w:rPr/>
          </w:pPr>
          <w:hyperlink w:anchor="__RefHeading___Toc2027981_2314609296">
            <w:r>
              <w:rPr>
                <w:webHidden/>
                <w:rStyle w:val="IndexLink"/>
                <w:rtl w:val="true"/>
              </w:rPr>
              <w:t>[</w:t>
            </w:r>
            <w:r>
              <w:rPr>
                <w:rStyle w:val="IndexLink"/>
                <w:rtl w:val="true"/>
              </w:rPr>
              <w:t>حکم نقل الزکاة</w:t>
            </w:r>
            <w:r>
              <w:rPr>
                <w:rStyle w:val="IndexLink"/>
                <w:rtl w:val="true"/>
              </w:rPr>
              <w:t>]</w:t>
              <w:tab/>
            </w:r>
            <w:r>
              <w:rPr>
                <w:rStyle w:val="IndexLink"/>
              </w:rPr>
              <w:t>339</w:t>
            </w:r>
          </w:hyperlink>
        </w:p>
        <w:p>
          <w:pPr>
            <w:pStyle w:val="Contents3"/>
            <w:tabs>
              <w:tab w:val="clear" w:pos="8459"/>
              <w:tab w:val="right" w:pos="9026" w:leader="dot"/>
            </w:tabs>
            <w:rPr/>
          </w:pPr>
          <w:hyperlink w:anchor="__RefHeading___Toc2027983_2314609296">
            <w:r>
              <w:rPr>
                <w:webHidden/>
                <w:rStyle w:val="IndexLink"/>
                <w:rtl w:val="true"/>
              </w:rPr>
              <w:t>«</w:t>
            </w:r>
            <w:r>
              <w:rPr>
                <w:rStyle w:val="IndexLink"/>
                <w:rtl w:val="true"/>
              </w:rPr>
              <w:t>الفصل الثالث فی المستحقّ</w:t>
            </w:r>
            <w:r>
              <w:rPr>
                <w:rStyle w:val="IndexLink"/>
                <w:rtl w:val="true"/>
              </w:rPr>
              <w:t>»</w:t>
              <w:tab/>
            </w:r>
            <w:r>
              <w:rPr>
                <w:rStyle w:val="IndexLink"/>
              </w:rPr>
              <w:t>341</w:t>
            </w:r>
          </w:hyperlink>
        </w:p>
        <w:p>
          <w:pPr>
            <w:pStyle w:val="Contents4"/>
            <w:tabs>
              <w:tab w:val="clear" w:pos="8176"/>
              <w:tab w:val="right" w:pos="9026" w:leader="dot"/>
            </w:tabs>
            <w:rPr/>
          </w:pPr>
          <w:hyperlink w:anchor="__RefHeading___Toc2027985_2314609296">
            <w:r>
              <w:rPr>
                <w:webHidden/>
                <w:rStyle w:val="IndexLink"/>
                <w:rtl w:val="true"/>
              </w:rPr>
              <w:t>[</w:t>
            </w:r>
            <w:r>
              <w:rPr>
                <w:rStyle w:val="IndexLink"/>
                <w:rtl w:val="true"/>
              </w:rPr>
              <w:t>اصناف المستحقین للزکاة</w:t>
            </w:r>
            <w:r>
              <w:rPr>
                <w:rStyle w:val="IndexLink"/>
                <w:rtl w:val="true"/>
              </w:rPr>
              <w:t>]</w:t>
              <w:tab/>
            </w:r>
            <w:r>
              <w:rPr>
                <w:rStyle w:val="IndexLink"/>
              </w:rPr>
              <w:t>341</w:t>
            </w:r>
          </w:hyperlink>
        </w:p>
        <w:p>
          <w:pPr>
            <w:pStyle w:val="Contents4"/>
            <w:tabs>
              <w:tab w:val="clear" w:pos="8176"/>
              <w:tab w:val="right" w:pos="9026" w:leader="dot"/>
            </w:tabs>
            <w:rPr/>
          </w:pPr>
          <w:hyperlink w:anchor="__RefHeading___Toc2027987_2314609296">
            <w:r>
              <w:rPr>
                <w:webHidden/>
                <w:rStyle w:val="IndexLink"/>
                <w:rtl w:val="true"/>
              </w:rPr>
              <w:t>[</w:t>
            </w:r>
            <w:r>
              <w:rPr>
                <w:rStyle w:val="IndexLink"/>
                <w:rtl w:val="true"/>
              </w:rPr>
              <w:t>فی ما یشترط فی مستحقی الزکاة</w:t>
            </w:r>
            <w:r>
              <w:rPr>
                <w:rStyle w:val="IndexLink"/>
                <w:rtl w:val="true"/>
              </w:rPr>
              <w:t>]</w:t>
              <w:tab/>
            </w:r>
            <w:r>
              <w:rPr>
                <w:rStyle w:val="IndexLink"/>
              </w:rPr>
              <w:t>347</w:t>
            </w:r>
          </w:hyperlink>
        </w:p>
        <w:p>
          <w:pPr>
            <w:pStyle w:val="Contents3"/>
            <w:tabs>
              <w:tab w:val="clear" w:pos="8459"/>
              <w:tab w:val="right" w:pos="9026" w:leader="dot"/>
            </w:tabs>
            <w:rPr/>
          </w:pPr>
          <w:hyperlink w:anchor="__RefHeading___Toc2027989_2314609296">
            <w:r>
              <w:rPr>
                <w:webHidden/>
                <w:rStyle w:val="IndexLink"/>
                <w:rtl w:val="true"/>
              </w:rPr>
              <w:t>«</w:t>
            </w:r>
            <w:r>
              <w:rPr>
                <w:rStyle w:val="IndexLink"/>
                <w:rtl w:val="true"/>
              </w:rPr>
              <w:t>الفصل الرابع</w:t>
            </w:r>
            <w:r>
              <w:rPr>
                <w:rStyle w:val="IndexLink"/>
                <w:rtl w:val="true"/>
              </w:rPr>
              <w:t>» «</w:t>
            </w:r>
            <w:r>
              <w:rPr>
                <w:rStyle w:val="IndexLink"/>
                <w:rtl w:val="true"/>
              </w:rPr>
              <w:t>فی زکاة الفطرة</w:t>
            </w:r>
            <w:r>
              <w:rPr>
                <w:rStyle w:val="IndexLink"/>
                <w:rtl w:val="true"/>
              </w:rPr>
              <w:t>»</w:t>
              <w:tab/>
            </w:r>
            <w:r>
              <w:rPr>
                <w:rStyle w:val="IndexLink"/>
              </w:rPr>
              <w:t>353</w:t>
            </w:r>
          </w:hyperlink>
        </w:p>
        <w:p>
          <w:pPr>
            <w:pStyle w:val="Contents4"/>
            <w:tabs>
              <w:tab w:val="clear" w:pos="8176"/>
              <w:tab w:val="right" w:pos="9026" w:leader="dot"/>
            </w:tabs>
            <w:rPr/>
          </w:pPr>
          <w:hyperlink w:anchor="__RefHeading___Toc2027991_2314609296">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2027993_2314609296">
            <w:r>
              <w:rPr>
                <w:webHidden/>
                <w:rStyle w:val="IndexLink"/>
                <w:rtl w:val="true"/>
              </w:rPr>
              <w:t>[</w:t>
            </w:r>
            <w:r>
              <w:rPr>
                <w:rStyle w:val="IndexLink"/>
                <w:rtl w:val="true"/>
              </w:rPr>
              <w:t>فی من تجب علیه زکاة الفطرة</w:t>
            </w:r>
            <w:r>
              <w:rPr>
                <w:rStyle w:val="IndexLink"/>
                <w:rtl w:val="true"/>
              </w:rPr>
              <w:t>]</w:t>
              <w:tab/>
            </w:r>
            <w:r>
              <w:rPr>
                <w:rStyle w:val="IndexLink"/>
              </w:rPr>
              <w:t>353</w:t>
            </w:r>
          </w:hyperlink>
        </w:p>
        <w:p>
          <w:pPr>
            <w:pStyle w:val="Contents4"/>
            <w:tabs>
              <w:tab w:val="clear" w:pos="8176"/>
              <w:tab w:val="right" w:pos="9026" w:leader="dot"/>
            </w:tabs>
            <w:rPr/>
          </w:pPr>
          <w:hyperlink w:anchor="__RefHeading___Toc2027995_2314609296">
            <w:r>
              <w:rPr>
                <w:webHidden/>
                <w:rStyle w:val="IndexLink"/>
                <w:rtl w:val="true"/>
              </w:rPr>
              <w:t>[</w:t>
            </w:r>
            <w:r>
              <w:rPr>
                <w:rStyle w:val="IndexLink"/>
                <w:rtl w:val="true"/>
              </w:rPr>
              <w:t>مقدار زکاة الفطرة</w:t>
            </w:r>
            <w:r>
              <w:rPr>
                <w:rStyle w:val="IndexLink"/>
                <w:rtl w:val="true"/>
              </w:rPr>
              <w:t>]</w:t>
              <w:tab/>
            </w:r>
            <w:r>
              <w:rPr>
                <w:rStyle w:val="IndexLink"/>
              </w:rPr>
              <w:t>354</w:t>
            </w:r>
          </w:hyperlink>
        </w:p>
        <w:p>
          <w:pPr>
            <w:pStyle w:val="Contents4"/>
            <w:tabs>
              <w:tab w:val="clear" w:pos="8176"/>
              <w:tab w:val="right" w:pos="9026" w:leader="dot"/>
            </w:tabs>
            <w:rPr/>
          </w:pPr>
          <w:hyperlink w:anchor="__RefHeading___Toc2027997_2314609296">
            <w:r>
              <w:rPr>
                <w:webHidden/>
                <w:rStyle w:val="IndexLink"/>
                <w:rtl w:val="true"/>
              </w:rPr>
              <w:t>[</w:t>
            </w:r>
            <w:r>
              <w:rPr>
                <w:rStyle w:val="IndexLink"/>
                <w:rtl w:val="true"/>
              </w:rPr>
              <w:t>احکام اخری لزکاة الفطرة</w:t>
            </w:r>
            <w:r>
              <w:rPr>
                <w:rStyle w:val="IndexLink"/>
                <w:rtl w:val="true"/>
              </w:rPr>
              <w:t>]</w:t>
              <w:tab/>
            </w:r>
            <w:r>
              <w:rPr>
                <w:rStyle w:val="IndexLink"/>
              </w:rPr>
              <w:t>355</w:t>
            </w:r>
          </w:hyperlink>
        </w:p>
        <w:p>
          <w:pPr>
            <w:pStyle w:val="Contents2"/>
            <w:tabs>
              <w:tab w:val="clear" w:pos="8743"/>
              <w:tab w:val="right" w:pos="9026" w:leader="dot"/>
            </w:tabs>
            <w:rPr/>
          </w:pPr>
          <w:hyperlink w:anchor="__RefHeading___Toc2027999_2314609296">
            <w:r>
              <w:rPr>
                <w:webHidden/>
                <w:rStyle w:val="IndexLink"/>
                <w:rtl w:val="true"/>
              </w:rPr>
              <w:t>کتاب الخمس</w:t>
            </w:r>
            <w:r>
              <w:rPr>
                <w:rStyle w:val="IndexLink"/>
                <w:rtl w:val="true"/>
              </w:rPr>
              <w:tab/>
            </w:r>
            <w:r>
              <w:rPr>
                <w:rStyle w:val="IndexLink"/>
              </w:rPr>
              <w:t>357</w:t>
            </w:r>
          </w:hyperlink>
        </w:p>
        <w:p>
          <w:pPr>
            <w:pStyle w:val="Contents3"/>
            <w:tabs>
              <w:tab w:val="clear" w:pos="8459"/>
              <w:tab w:val="right" w:pos="9026" w:leader="dot"/>
            </w:tabs>
            <w:rPr/>
          </w:pPr>
          <w:hyperlink w:anchor="__RefHeading___Toc2028001_2314609296">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2028003_2314609296">
            <w:r>
              <w:rPr>
                <w:webHidden/>
                <w:rStyle w:val="IndexLink"/>
                <w:rtl w:val="true"/>
              </w:rPr>
              <w:t>[</w:t>
            </w:r>
            <w:r>
              <w:rPr>
                <w:rStyle w:val="IndexLink"/>
                <w:rtl w:val="true"/>
              </w:rPr>
              <w:t>فی ما یجب فیه الخمس</w:t>
            </w:r>
            <w:r>
              <w:rPr>
                <w:rStyle w:val="IndexLink"/>
                <w:rtl w:val="true"/>
              </w:rPr>
              <w:t>]</w:t>
              <w:tab/>
            </w:r>
            <w:r>
              <w:rPr>
                <w:rStyle w:val="IndexLink"/>
              </w:rPr>
              <w:t>358</w:t>
            </w:r>
          </w:hyperlink>
        </w:p>
        <w:p>
          <w:pPr>
            <w:pStyle w:val="Contents4"/>
            <w:tabs>
              <w:tab w:val="clear" w:pos="8176"/>
              <w:tab w:val="right" w:pos="9026" w:leader="dot"/>
            </w:tabs>
            <w:rPr/>
          </w:pPr>
          <w:hyperlink w:anchor="__RefHeading___Toc2028005_2314609296">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2028007_2314609296">
            <w:r>
              <w:rPr>
                <w:webHidden/>
                <w:rStyle w:val="IndexLink"/>
                <w:rtl w:val="true"/>
              </w:rPr>
              <w:t>الأول</w:t>
            </w:r>
            <w:r>
              <w:rPr>
                <w:rStyle w:val="IndexLink"/>
                <w:rtl w:val="true"/>
              </w:rPr>
              <w:t>: «</w:t>
            </w:r>
            <w:r>
              <w:rPr>
                <w:rStyle w:val="IndexLink"/>
                <w:rtl w:val="true"/>
              </w:rPr>
              <w:t>الغنیمة</w:t>
            </w:r>
            <w:r>
              <w:rPr>
                <w:rStyle w:val="IndexLink"/>
                <w:rtl w:val="true"/>
              </w:rPr>
              <w:t>» :</w:t>
              <w:tab/>
            </w:r>
            <w:r>
              <w:rPr>
                <w:rStyle w:val="IndexLink"/>
              </w:rPr>
              <w:t>358</w:t>
            </w:r>
          </w:hyperlink>
        </w:p>
        <w:p>
          <w:pPr>
            <w:pStyle w:val="Contents4"/>
            <w:tabs>
              <w:tab w:val="clear" w:pos="8176"/>
              <w:tab w:val="right" w:pos="9026" w:leader="dot"/>
            </w:tabs>
            <w:rPr/>
          </w:pPr>
          <w:hyperlink w:anchor="__RefHeading___Toc2028009_2314609296">
            <w:r>
              <w:rPr>
                <w:webHidden/>
                <w:rStyle w:val="IndexLink"/>
                <w:rtl w:val="true"/>
              </w:rPr>
              <w:t>«</w:t>
            </w:r>
            <w:r>
              <w:rPr>
                <w:rStyle w:val="IndexLink"/>
                <w:rtl w:val="true"/>
              </w:rPr>
              <w:t>و</w:t>
            </w:r>
            <w:r>
              <w:rPr>
                <w:rStyle w:val="IndexLink"/>
                <w:rtl w:val="true"/>
              </w:rPr>
              <w:t xml:space="preserve">» </w:t>
            </w:r>
            <w:r>
              <w:rPr>
                <w:rStyle w:val="IndexLink"/>
                <w:rtl w:val="true"/>
              </w:rPr>
              <w:t>الثانی</w:t>
            </w:r>
            <w:r>
              <w:rPr>
                <w:rStyle w:val="IndexLink"/>
                <w:rtl w:val="true"/>
              </w:rPr>
              <w:t>: «</w:t>
            </w:r>
            <w:r>
              <w:rPr>
                <w:rStyle w:val="IndexLink"/>
                <w:rtl w:val="true"/>
              </w:rPr>
              <w:t>المعدِن</w:t>
            </w:r>
            <w:r>
              <w:rPr>
                <w:rStyle w:val="IndexLink"/>
                <w:rtl w:val="true"/>
              </w:rPr>
              <w:t>» :</w:t>
              <w:tab/>
            </w:r>
            <w:r>
              <w:rPr>
                <w:rStyle w:val="IndexLink"/>
              </w:rPr>
              <w:t>359</w:t>
            </w:r>
          </w:hyperlink>
        </w:p>
        <w:p>
          <w:pPr>
            <w:pStyle w:val="Contents4"/>
            <w:tabs>
              <w:tab w:val="clear" w:pos="8176"/>
              <w:tab w:val="right" w:pos="9026" w:leader="dot"/>
            </w:tabs>
            <w:rPr/>
          </w:pPr>
          <w:hyperlink w:anchor="__RefHeading___Toc2028011_2314609296">
            <w:r>
              <w:rPr>
                <w:webHidden/>
                <w:rStyle w:val="IndexLink"/>
                <w:rtl w:val="true"/>
              </w:rPr>
              <w:t>«</w:t>
            </w:r>
            <w:r>
              <w:rPr>
                <w:rStyle w:val="IndexLink"/>
                <w:rtl w:val="true"/>
              </w:rPr>
              <w:t>و</w:t>
            </w:r>
            <w:r>
              <w:rPr>
                <w:rStyle w:val="IndexLink"/>
                <w:rtl w:val="true"/>
              </w:rPr>
              <w:t xml:space="preserve">» </w:t>
            </w:r>
            <w:r>
              <w:rPr>
                <w:rStyle w:val="IndexLink"/>
                <w:rtl w:val="true"/>
              </w:rPr>
              <w:t>الثالث</w:t>
            </w:r>
            <w:r>
              <w:rPr>
                <w:rStyle w:val="IndexLink"/>
                <w:rtl w:val="true"/>
              </w:rPr>
              <w:t>: «</w:t>
            </w:r>
            <w:r>
              <w:rPr>
                <w:rStyle w:val="IndexLink"/>
                <w:rtl w:val="true"/>
              </w:rPr>
              <w:t>الغوص</w:t>
            </w:r>
            <w:r>
              <w:rPr>
                <w:rStyle w:val="IndexLink"/>
                <w:rtl w:val="true"/>
              </w:rPr>
              <w:t>» :</w:t>
              <w:tab/>
            </w:r>
            <w:r>
              <w:rPr>
                <w:rStyle w:val="IndexLink"/>
              </w:rPr>
              <w:t>359</w:t>
            </w:r>
          </w:hyperlink>
        </w:p>
        <w:p>
          <w:pPr>
            <w:pStyle w:val="Contents4"/>
            <w:tabs>
              <w:tab w:val="clear" w:pos="8176"/>
              <w:tab w:val="right" w:pos="9026" w:leader="dot"/>
            </w:tabs>
            <w:rPr/>
          </w:pPr>
          <w:hyperlink w:anchor="__RefHeading___Toc2028013_2314609296">
            <w:r>
              <w:rPr>
                <w:webHidden/>
                <w:rStyle w:val="IndexLink"/>
                <w:rtl w:val="true"/>
              </w:rPr>
              <w:t>«</w:t>
            </w:r>
            <w:r>
              <w:rPr>
                <w:rStyle w:val="IndexLink"/>
                <w:rtl w:val="true"/>
              </w:rPr>
              <w:t>و</w:t>
            </w:r>
            <w:r>
              <w:rPr>
                <w:rStyle w:val="IndexLink"/>
                <w:rtl w:val="true"/>
              </w:rPr>
              <w:t xml:space="preserve">» </w:t>
            </w:r>
            <w:r>
              <w:rPr>
                <w:rStyle w:val="IndexLink"/>
                <w:rtl w:val="true"/>
              </w:rPr>
              <w:t>الرابع</w:t>
            </w:r>
            <w:r>
              <w:rPr>
                <w:rStyle w:val="IndexLink"/>
                <w:rtl w:val="true"/>
              </w:rPr>
              <w:t>: «</w:t>
            </w:r>
            <w:r>
              <w:rPr>
                <w:rStyle w:val="IndexLink"/>
                <w:rtl w:val="true"/>
              </w:rPr>
              <w:t>أرباح المکاسب</w:t>
            </w:r>
            <w:r>
              <w:rPr>
                <w:rStyle w:val="IndexLink"/>
                <w:rtl w:val="true"/>
              </w:rPr>
              <w:t>»</w:t>
              <w:tab/>
            </w:r>
            <w:r>
              <w:rPr>
                <w:rStyle w:val="IndexLink"/>
              </w:rPr>
              <w:t>360</w:t>
            </w:r>
          </w:hyperlink>
        </w:p>
        <w:p>
          <w:pPr>
            <w:pStyle w:val="Contents4"/>
            <w:tabs>
              <w:tab w:val="clear" w:pos="8176"/>
              <w:tab w:val="right" w:pos="9026" w:leader="dot"/>
            </w:tabs>
            <w:rPr/>
          </w:pPr>
          <w:hyperlink w:anchor="__RefHeading___Toc2028015_2314609296">
            <w:r>
              <w:rPr>
                <w:webHidden/>
                <w:rStyle w:val="IndexLink"/>
                <w:rtl w:val="true"/>
              </w:rPr>
              <w:t>«</w:t>
            </w:r>
            <w:r>
              <w:rPr>
                <w:rStyle w:val="IndexLink"/>
                <w:rtl w:val="true"/>
              </w:rPr>
              <w:t>و</w:t>
            </w:r>
            <w:r>
              <w:rPr>
                <w:rStyle w:val="IndexLink"/>
                <w:rtl w:val="true"/>
              </w:rPr>
              <w:t xml:space="preserve">» </w:t>
            </w:r>
            <w:r>
              <w:rPr>
                <w:rStyle w:val="IndexLink"/>
                <w:rtl w:val="true"/>
              </w:rPr>
              <w:t>الخامس</w:t>
            </w:r>
            <w:r>
              <w:rPr>
                <w:rStyle w:val="IndexLink"/>
                <w:rtl w:val="true"/>
              </w:rPr>
              <w:t>: «</w:t>
            </w:r>
            <w:r>
              <w:rPr>
                <w:rStyle w:val="IndexLink"/>
                <w:rtl w:val="true"/>
              </w:rPr>
              <w:t>الحلال المختلط بالحرام</w:t>
            </w:r>
            <w:r>
              <w:rPr>
                <w:rStyle w:val="IndexLink"/>
                <w:rtl w:val="true"/>
              </w:rPr>
              <w:t>»</w:t>
              <w:tab/>
            </w:r>
            <w:r>
              <w:rPr>
                <w:rStyle w:val="IndexLink"/>
              </w:rPr>
              <w:t>360</w:t>
            </w:r>
          </w:hyperlink>
        </w:p>
        <w:p>
          <w:pPr>
            <w:pStyle w:val="Contents4"/>
            <w:tabs>
              <w:tab w:val="clear" w:pos="8176"/>
              <w:tab w:val="right" w:pos="9026" w:leader="dot"/>
            </w:tabs>
            <w:rPr/>
          </w:pPr>
          <w:hyperlink w:anchor="__RefHeading___Toc2028017_2314609296">
            <w:r>
              <w:rPr>
                <w:webHidden/>
                <w:rStyle w:val="IndexLink"/>
                <w:rtl w:val="true"/>
              </w:rPr>
              <w:t>«</w:t>
            </w:r>
            <w:r>
              <w:rPr>
                <w:rStyle w:val="IndexLink"/>
                <w:rtl w:val="true"/>
              </w:rPr>
              <w:t>و</w:t>
            </w:r>
            <w:r>
              <w:rPr>
                <w:rStyle w:val="IndexLink"/>
                <w:rtl w:val="true"/>
              </w:rPr>
              <w:t xml:space="preserve">» </w:t>
            </w:r>
            <w:r>
              <w:rPr>
                <w:rStyle w:val="IndexLink"/>
                <w:rtl w:val="true"/>
              </w:rPr>
              <w:t>السادس</w:t>
            </w:r>
            <w:r>
              <w:rPr>
                <w:rStyle w:val="IndexLink"/>
                <w:rtl w:val="true"/>
              </w:rPr>
              <w:t>: «</w:t>
            </w:r>
            <w:r>
              <w:rPr>
                <w:rStyle w:val="IndexLink"/>
                <w:rtl w:val="true"/>
              </w:rPr>
              <w:t>الکنز</w:t>
            </w:r>
            <w:r>
              <w:rPr>
                <w:rStyle w:val="IndexLink"/>
                <w:rtl w:val="true"/>
              </w:rPr>
              <w:t>»</w:t>
              <w:tab/>
            </w:r>
            <w:r>
              <w:rPr>
                <w:rStyle w:val="IndexLink"/>
              </w:rPr>
              <w:t>361</w:t>
            </w:r>
          </w:hyperlink>
        </w:p>
        <w:p>
          <w:pPr>
            <w:pStyle w:val="Contents4"/>
            <w:tabs>
              <w:tab w:val="clear" w:pos="8176"/>
              <w:tab w:val="right" w:pos="9026" w:leader="dot"/>
            </w:tabs>
            <w:rPr/>
          </w:pPr>
          <w:hyperlink w:anchor="__RefHeading___Toc2028019_2314609296">
            <w:r>
              <w:rPr>
                <w:webHidden/>
                <w:rStyle w:val="IndexLink"/>
                <w:rtl w:val="true"/>
              </w:rPr>
              <w:t>«</w:t>
            </w:r>
            <w:r>
              <w:rPr>
                <w:rStyle w:val="IndexLink"/>
                <w:rtl w:val="true"/>
              </w:rPr>
              <w:t>و</w:t>
            </w:r>
            <w:r>
              <w:rPr>
                <w:rStyle w:val="IndexLink"/>
                <w:rtl w:val="true"/>
              </w:rPr>
              <w:t xml:space="preserve">» </w:t>
            </w:r>
            <w:r>
              <w:rPr>
                <w:rStyle w:val="IndexLink"/>
                <w:rtl w:val="true"/>
              </w:rPr>
              <w:t>السابع</w:t>
            </w:r>
            <w:r>
              <w:rPr>
                <w:rStyle w:val="IndexLink"/>
                <w:rtl w:val="true"/>
              </w:rPr>
              <w:t>: «</w:t>
            </w:r>
            <w:r>
              <w:rPr>
                <w:rStyle w:val="IndexLink"/>
                <w:rtl w:val="true"/>
              </w:rPr>
              <w:t>أرض الذمّی المنتقلة إلیه من مسلم</w:t>
            </w:r>
            <w:r>
              <w:rPr>
                <w:rStyle w:val="IndexLink"/>
                <w:rtl w:val="true"/>
              </w:rPr>
              <w:t>»</w:t>
              <w:tab/>
            </w:r>
            <w:r>
              <w:rPr>
                <w:rStyle w:val="IndexLink"/>
              </w:rPr>
              <w:t>363</w:t>
            </w:r>
          </w:hyperlink>
        </w:p>
        <w:p>
          <w:pPr>
            <w:pStyle w:val="Contents3"/>
            <w:tabs>
              <w:tab w:val="clear" w:pos="8459"/>
              <w:tab w:val="right" w:pos="9026" w:leader="dot"/>
            </w:tabs>
            <w:rPr/>
          </w:pPr>
          <w:hyperlink w:anchor="__RefHeading___Toc2028021_2314609296">
            <w:r>
              <w:rPr>
                <w:webHidden/>
                <w:rStyle w:val="IndexLink"/>
                <w:rtl w:val="true"/>
              </w:rPr>
              <w:t>[</w:t>
            </w:r>
            <w:r>
              <w:rPr>
                <w:rStyle w:val="IndexLink"/>
                <w:rtl w:val="true"/>
              </w:rPr>
              <w:t xml:space="preserve">فی ما یعتبر فی وجوب الخمس </w:t>
            </w:r>
            <w:r>
              <w:rPr>
                <w:rStyle w:val="IndexLink"/>
                <w:rtl w:val="true"/>
              </w:rPr>
              <w:t>]</w:t>
              <w:tab/>
            </w:r>
            <w:r>
              <w:rPr>
                <w:rStyle w:val="IndexLink"/>
              </w:rPr>
              <w:t>366</w:t>
            </w:r>
          </w:hyperlink>
        </w:p>
        <w:p>
          <w:pPr>
            <w:pStyle w:val="Contents3"/>
            <w:tabs>
              <w:tab w:val="clear" w:pos="8459"/>
              <w:tab w:val="right" w:pos="9026" w:leader="dot"/>
            </w:tabs>
            <w:rPr/>
          </w:pPr>
          <w:hyperlink w:anchor="__RefHeading___Toc2028023_2314609296">
            <w:r>
              <w:rPr>
                <w:webHidden/>
                <w:rStyle w:val="IndexLink"/>
                <w:rtl w:val="true"/>
              </w:rPr>
              <w:t>[</w:t>
            </w:r>
            <w:r>
              <w:rPr>
                <w:rStyle w:val="IndexLink"/>
                <w:rtl w:val="true"/>
              </w:rPr>
              <w:t>وأمّا الأنفال</w:t>
            </w:r>
            <w:r>
              <w:rPr>
                <w:rStyle w:val="IndexLink"/>
                <w:rtl w:val="true"/>
              </w:rPr>
              <w:t>]</w:t>
              <w:tab/>
            </w:r>
            <w:r>
              <w:rPr>
                <w:rStyle w:val="IndexLink"/>
              </w:rPr>
              <w:t>371</w:t>
            </w:r>
          </w:hyperlink>
        </w:p>
        <w:p>
          <w:pPr>
            <w:pStyle w:val="Contents2"/>
            <w:tabs>
              <w:tab w:val="clear" w:pos="8743"/>
              <w:tab w:val="right" w:pos="9026" w:leader="dot"/>
            </w:tabs>
            <w:rPr/>
          </w:pPr>
          <w:hyperlink w:anchor="__RefHeading___Toc2028025_2314609296">
            <w:r>
              <w:rPr>
                <w:webHidden/>
                <w:rStyle w:val="IndexLink"/>
                <w:rtl w:val="true"/>
              </w:rPr>
              <w:t>کتاب الصوم</w:t>
            </w:r>
            <w:r>
              <w:rPr>
                <w:rStyle w:val="IndexLink"/>
                <w:rtl w:val="true"/>
              </w:rPr>
              <w:tab/>
            </w:r>
            <w:r>
              <w:rPr>
                <w:rStyle w:val="IndexLink"/>
              </w:rPr>
              <w:t>374</w:t>
            </w:r>
          </w:hyperlink>
        </w:p>
        <w:p>
          <w:pPr>
            <w:pStyle w:val="Contents3"/>
            <w:tabs>
              <w:tab w:val="clear" w:pos="8459"/>
              <w:tab w:val="right" w:pos="9026" w:leader="dot"/>
            </w:tabs>
            <w:rPr/>
          </w:pPr>
          <w:hyperlink w:anchor="__RefHeading___Toc2028027_2314609296">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2028029_2314609296">
            <w:r>
              <w:rPr>
                <w:webHidden/>
                <w:rStyle w:val="IndexLink"/>
                <w:rtl w:val="true"/>
              </w:rPr>
              <w:t>[</w:t>
            </w:r>
            <w:r>
              <w:rPr>
                <w:rStyle w:val="IndexLink"/>
                <w:rtl w:val="true"/>
              </w:rPr>
              <w:t>المفطرات</w:t>
            </w:r>
            <w:r>
              <w:rPr>
                <w:rStyle w:val="IndexLink"/>
                <w:rtl w:val="true"/>
              </w:rPr>
              <w:t>]</w:t>
              <w:tab/>
            </w:r>
            <w:r>
              <w:rPr>
                <w:rStyle w:val="IndexLink"/>
              </w:rPr>
              <w:t>375</w:t>
            </w:r>
          </w:hyperlink>
        </w:p>
        <w:p>
          <w:pPr>
            <w:pStyle w:val="Contents3"/>
            <w:tabs>
              <w:tab w:val="clear" w:pos="8459"/>
              <w:tab w:val="right" w:pos="9026" w:leader="dot"/>
            </w:tabs>
            <w:rPr/>
          </w:pPr>
          <w:hyperlink w:anchor="__RefHeading___Toc2028031_2314609296">
            <w:r>
              <w:rPr>
                <w:webHidden/>
                <w:rStyle w:val="IndexLink"/>
                <w:rtl w:val="true"/>
              </w:rPr>
              <w:t>«</w:t>
            </w:r>
            <w:r>
              <w:rPr>
                <w:rStyle w:val="IndexLink"/>
                <w:rtl w:val="true"/>
              </w:rPr>
              <w:t>القول فی شروطه</w:t>
            </w:r>
            <w:r>
              <w:rPr>
                <w:rStyle w:val="IndexLink"/>
                <w:rtl w:val="true"/>
              </w:rPr>
              <w:t>»</w:t>
              <w:tab/>
            </w:r>
            <w:r>
              <w:rPr>
                <w:rStyle w:val="IndexLink"/>
              </w:rPr>
              <w:t>384</w:t>
            </w:r>
          </w:hyperlink>
        </w:p>
        <w:p>
          <w:pPr>
            <w:pStyle w:val="Contents3"/>
            <w:tabs>
              <w:tab w:val="clear" w:pos="8459"/>
              <w:tab w:val="right" w:pos="9026" w:leader="dot"/>
            </w:tabs>
            <w:rPr/>
          </w:pPr>
          <w:hyperlink w:anchor="__RefHeading___Toc2028033_2314609296">
            <w:r>
              <w:rPr>
                <w:webHidden/>
                <w:rStyle w:val="IndexLink"/>
                <w:rtl w:val="true"/>
              </w:rPr>
              <w:t>[</w:t>
            </w:r>
            <w:r>
              <w:rPr>
                <w:rStyle w:val="IndexLink"/>
                <w:rtl w:val="true"/>
              </w:rPr>
              <w:t>طریق ثبوت شهر رمضان</w:t>
            </w:r>
            <w:r>
              <w:rPr>
                <w:rStyle w:val="IndexLink"/>
                <w:rtl w:val="true"/>
              </w:rPr>
              <w:t>]</w:t>
              <w:tab/>
            </w:r>
            <w:r>
              <w:rPr>
                <w:rStyle w:val="IndexLink"/>
              </w:rPr>
              <w:t>391</w:t>
            </w:r>
          </w:hyperlink>
        </w:p>
        <w:p>
          <w:pPr>
            <w:pStyle w:val="Contents3"/>
            <w:tabs>
              <w:tab w:val="clear" w:pos="8459"/>
              <w:tab w:val="right" w:pos="9026" w:leader="dot"/>
            </w:tabs>
            <w:rPr/>
          </w:pPr>
          <w:hyperlink w:anchor="__RefHeading___Toc2028035_2314609296">
            <w:r>
              <w:rPr>
                <w:webHidden/>
                <w:rStyle w:val="IndexLink"/>
                <w:rtl w:val="true"/>
              </w:rPr>
              <w:t>«</w:t>
            </w:r>
            <w:r>
              <w:rPr>
                <w:rStyle w:val="IndexLink"/>
                <w:rtl w:val="true"/>
              </w:rPr>
              <w:t>مسائل</w:t>
            </w:r>
            <w:r>
              <w:rPr>
                <w:rStyle w:val="IndexLink"/>
                <w:rtl w:val="true"/>
              </w:rPr>
              <w:t>»</w:t>
              <w:tab/>
            </w:r>
            <w:r>
              <w:rPr>
                <w:rStyle w:val="IndexLink"/>
              </w:rPr>
              <w:t>395</w:t>
            </w:r>
          </w:hyperlink>
        </w:p>
        <w:p>
          <w:pPr>
            <w:pStyle w:val="Contents4"/>
            <w:tabs>
              <w:tab w:val="clear" w:pos="8176"/>
              <w:tab w:val="right" w:pos="9026" w:leader="dot"/>
            </w:tabs>
            <w:rPr/>
          </w:pPr>
          <w:hyperlink w:anchor="__RefHeading___Toc2028037_2314609296">
            <w:r>
              <w:rPr>
                <w:webHidden/>
                <w:rStyle w:val="IndexLink"/>
                <w:rtl w:val="true"/>
              </w:rPr>
              <w:t>الاُولی</w:t>
            </w:r>
            <w:r>
              <w:rPr>
                <w:rStyle w:val="IndexLink"/>
                <w:rtl w:val="true"/>
              </w:rPr>
              <w:t>: «</w:t>
            </w:r>
            <w:r>
              <w:rPr>
                <w:rStyle w:val="IndexLink"/>
                <w:rtl w:val="true"/>
              </w:rPr>
              <w:t>من نسی غسل الجنابة قضی الصلاة والصوم فی الأشهر</w:t>
            </w:r>
            <w:r>
              <w:rPr>
                <w:rStyle w:val="IndexLink"/>
                <w:rtl w:val="true"/>
              </w:rPr>
              <w:t>»</w:t>
              <w:tab/>
            </w:r>
            <w:r>
              <w:rPr>
                <w:rStyle w:val="IndexLink"/>
              </w:rPr>
              <w:t>395</w:t>
            </w:r>
          </w:hyperlink>
        </w:p>
        <w:p>
          <w:pPr>
            <w:pStyle w:val="Contents5"/>
            <w:tabs>
              <w:tab w:val="clear" w:pos="7892"/>
              <w:tab w:val="right" w:pos="9026" w:leader="dot"/>
            </w:tabs>
            <w:rPr/>
          </w:pPr>
          <w:hyperlink w:anchor="__RefHeading___Toc2028039_2314609296">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2028041_2314609296">
            <w:r>
              <w:rPr>
                <w:webHidden/>
                <w:rStyle w:val="IndexLink"/>
                <w:rtl w:val="true"/>
              </w:rPr>
              <w:t>[</w:t>
            </w:r>
            <w:r>
              <w:rPr>
                <w:rStyle w:val="IndexLink"/>
                <w:rtl w:val="true"/>
              </w:rPr>
              <w:t>حکم صوم القضاء</w:t>
            </w:r>
            <w:r>
              <w:rPr>
                <w:rStyle w:val="IndexLink"/>
                <w:rtl w:val="true"/>
              </w:rPr>
              <w:t>]</w:t>
              <w:tab/>
            </w:r>
            <w:r>
              <w:rPr>
                <w:rStyle w:val="IndexLink"/>
              </w:rPr>
              <w:t>396</w:t>
            </w:r>
          </w:hyperlink>
        </w:p>
        <w:p>
          <w:pPr>
            <w:pStyle w:val="Contents4"/>
            <w:tabs>
              <w:tab w:val="clear" w:pos="8176"/>
              <w:tab w:val="right" w:pos="9026" w:leader="dot"/>
            </w:tabs>
            <w:rPr/>
          </w:pPr>
          <w:hyperlink w:anchor="__RefHeading___Toc2028043_2314609296">
            <w:r>
              <w:rPr>
                <w:webHidden/>
                <w:rStyle w:val="IndexLink"/>
                <w:rtl w:val="true"/>
              </w:rPr>
              <w:t>«</w:t>
            </w:r>
            <w:r>
              <w:rPr>
                <w:rStyle w:val="IndexLink"/>
                <w:rtl w:val="true"/>
              </w:rPr>
              <w:t>الثانیة</w:t>
            </w:r>
            <w:r>
              <w:rPr>
                <w:rStyle w:val="IndexLink"/>
                <w:rtl w:val="true"/>
              </w:rPr>
              <w:t>» : «</w:t>
            </w:r>
            <w:r>
              <w:rPr>
                <w:rStyle w:val="IndexLink"/>
                <w:rtl w:val="true"/>
              </w:rPr>
              <w:t>الکفّارة فی شهر رمضان والنذر المعیّن والعهد</w:t>
            </w:r>
            <w:r>
              <w:rPr>
                <w:rStyle w:val="IndexLink"/>
                <w:rtl w:val="true"/>
              </w:rPr>
              <w:t>»</w:t>
              <w:tab/>
            </w:r>
            <w:r>
              <w:rPr>
                <w:rStyle w:val="IndexLink"/>
              </w:rPr>
              <w:t>397</w:t>
            </w:r>
          </w:hyperlink>
        </w:p>
        <w:p>
          <w:pPr>
            <w:pStyle w:val="Contents4"/>
            <w:tabs>
              <w:tab w:val="clear" w:pos="8176"/>
              <w:tab w:val="right" w:pos="9026" w:leader="dot"/>
            </w:tabs>
            <w:rPr/>
          </w:pPr>
          <w:hyperlink w:anchor="__RefHeading___Toc2028045_2314609296">
            <w:r>
              <w:rPr>
                <w:webHidden/>
                <w:rStyle w:val="IndexLink"/>
                <w:rtl w:val="true"/>
              </w:rPr>
              <w:t>«</w:t>
            </w:r>
            <w:r>
              <w:rPr>
                <w:rStyle w:val="IndexLink"/>
                <w:rtl w:val="true"/>
              </w:rPr>
              <w:t>الثالثة</w:t>
            </w:r>
            <w:r>
              <w:rPr>
                <w:rStyle w:val="IndexLink"/>
                <w:rtl w:val="true"/>
              </w:rPr>
              <w:t>» : «</w:t>
            </w:r>
            <w:r>
              <w:rPr>
                <w:rStyle w:val="IndexLink"/>
                <w:rtl w:val="true"/>
              </w:rPr>
              <w:t>لو استمرّ المرض</w:t>
            </w:r>
            <w:r>
              <w:rPr>
                <w:rStyle w:val="IndexLink"/>
                <w:rtl w:val="true"/>
              </w:rPr>
              <w:t>»</w:t>
              <w:tab/>
            </w:r>
            <w:r>
              <w:rPr>
                <w:rStyle w:val="IndexLink"/>
              </w:rPr>
              <w:t>399</w:t>
            </w:r>
          </w:hyperlink>
        </w:p>
        <w:p>
          <w:pPr>
            <w:pStyle w:val="Contents4"/>
            <w:tabs>
              <w:tab w:val="clear" w:pos="8176"/>
              <w:tab w:val="right" w:pos="9026" w:leader="dot"/>
            </w:tabs>
            <w:rPr/>
          </w:pPr>
          <w:hyperlink w:anchor="__RefHeading___Toc2028047_2314609296">
            <w:r>
              <w:rPr>
                <w:webHidden/>
                <w:rStyle w:val="IndexLink"/>
                <w:rtl w:val="true"/>
              </w:rPr>
              <w:t>«</w:t>
            </w:r>
            <w:r>
              <w:rPr>
                <w:rStyle w:val="IndexLink"/>
                <w:rtl w:val="true"/>
              </w:rPr>
              <w:t>الرابعة</w:t>
            </w:r>
            <w:r>
              <w:rPr>
                <w:rStyle w:val="IndexLink"/>
                <w:rtl w:val="true"/>
              </w:rPr>
              <w:t>» : «</w:t>
            </w:r>
            <w:r>
              <w:rPr>
                <w:rStyle w:val="IndexLink"/>
                <w:rtl w:val="true"/>
              </w:rPr>
              <w:t>إذا تمکّن من القضاء ثمّ مات قضی عنه أکبر ولده الذکور</w:t>
            </w:r>
            <w:r>
              <w:rPr>
                <w:rStyle w:val="IndexLink"/>
                <w:rtl w:val="true"/>
              </w:rPr>
              <w:t>»</w:t>
              <w:tab/>
            </w:r>
            <w:r>
              <w:rPr>
                <w:rStyle w:val="IndexLink"/>
              </w:rPr>
              <w:t>400</w:t>
            </w:r>
          </w:hyperlink>
        </w:p>
        <w:p>
          <w:pPr>
            <w:pStyle w:val="Contents4"/>
            <w:tabs>
              <w:tab w:val="clear" w:pos="8176"/>
              <w:tab w:val="right" w:pos="9026" w:leader="dot"/>
            </w:tabs>
            <w:rPr/>
          </w:pPr>
          <w:hyperlink w:anchor="__RefHeading___Toc2028049_2314609296">
            <w:r>
              <w:rPr>
                <w:webHidden/>
                <w:rStyle w:val="IndexLink"/>
                <w:rtl w:val="true"/>
              </w:rPr>
              <w:t>«</w:t>
            </w:r>
            <w:r>
              <w:rPr>
                <w:rStyle w:val="IndexLink"/>
                <w:rtl w:val="true"/>
              </w:rPr>
              <w:t>الخامسة</w:t>
            </w:r>
            <w:r>
              <w:rPr>
                <w:rStyle w:val="IndexLink"/>
                <w:rtl w:val="true"/>
              </w:rPr>
              <w:t>» : «</w:t>
            </w:r>
            <w:r>
              <w:rPr>
                <w:rStyle w:val="IndexLink"/>
                <w:rtl w:val="true"/>
              </w:rPr>
              <w:t>لو صام المسافر</w:t>
            </w:r>
            <w:r>
              <w:rPr>
                <w:rStyle w:val="IndexLink"/>
                <w:rtl w:val="true"/>
              </w:rPr>
              <w:t>»</w:t>
              <w:tab/>
            </w:r>
            <w:r>
              <w:rPr>
                <w:rStyle w:val="IndexLink"/>
              </w:rPr>
              <w:t>402</w:t>
            </w:r>
          </w:hyperlink>
        </w:p>
        <w:p>
          <w:pPr>
            <w:pStyle w:val="Contents4"/>
            <w:tabs>
              <w:tab w:val="clear" w:pos="8176"/>
              <w:tab w:val="right" w:pos="9026" w:leader="dot"/>
            </w:tabs>
            <w:rPr/>
          </w:pPr>
          <w:hyperlink w:anchor="__RefHeading___Toc2028051_2314609296">
            <w:r>
              <w:rPr>
                <w:webHidden/>
                <w:rStyle w:val="IndexLink"/>
                <w:rtl w:val="true"/>
              </w:rPr>
              <w:t>«</w:t>
            </w:r>
            <w:r>
              <w:rPr>
                <w:rStyle w:val="IndexLink"/>
                <w:rtl w:val="true"/>
              </w:rPr>
              <w:t>السادسة</w:t>
            </w:r>
            <w:r>
              <w:rPr>
                <w:rStyle w:val="IndexLink"/>
                <w:rtl w:val="true"/>
              </w:rPr>
              <w:t>» : «</w:t>
            </w:r>
            <w:r>
              <w:rPr>
                <w:rStyle w:val="IndexLink"/>
                <w:rtl w:val="true"/>
              </w:rPr>
              <w:t>الشیخان</w:t>
            </w:r>
            <w:r>
              <w:rPr>
                <w:rStyle w:val="IndexLink"/>
                <w:rtl w:val="true"/>
              </w:rPr>
              <w:t>»</w:t>
              <w:tab/>
            </w:r>
            <w:r>
              <w:rPr>
                <w:rStyle w:val="IndexLink"/>
              </w:rPr>
              <w:t>403</w:t>
            </w:r>
          </w:hyperlink>
        </w:p>
        <w:p>
          <w:pPr>
            <w:pStyle w:val="Contents4"/>
            <w:tabs>
              <w:tab w:val="clear" w:pos="8176"/>
              <w:tab w:val="right" w:pos="9026" w:leader="dot"/>
            </w:tabs>
            <w:rPr/>
          </w:pPr>
          <w:hyperlink w:anchor="__RefHeading___Toc2028053_2314609296">
            <w:r>
              <w:rPr>
                <w:webHidden/>
                <w:rStyle w:val="IndexLink"/>
                <w:rtl w:val="true"/>
              </w:rPr>
              <w:t>«</w:t>
            </w:r>
            <w:r>
              <w:rPr>
                <w:rStyle w:val="IndexLink"/>
                <w:rtl w:val="true"/>
              </w:rPr>
              <w:t>السابعة</w:t>
            </w:r>
            <w:r>
              <w:rPr>
                <w:rStyle w:val="IndexLink"/>
                <w:rtl w:val="true"/>
              </w:rPr>
              <w:t>» : «</w:t>
            </w:r>
            <w:r>
              <w:rPr>
                <w:rStyle w:val="IndexLink"/>
                <w:rtl w:val="true"/>
              </w:rPr>
              <w:t>الحامل المُقْرِب والمرضع القلیلة اللبن</w:t>
            </w:r>
            <w:r>
              <w:rPr>
                <w:rStyle w:val="IndexLink"/>
                <w:rtl w:val="true"/>
              </w:rPr>
              <w:t>»</w:t>
              <w:tab/>
            </w:r>
            <w:r>
              <w:rPr>
                <w:rStyle w:val="IndexLink"/>
              </w:rPr>
              <w:t>404</w:t>
            </w:r>
          </w:hyperlink>
        </w:p>
        <w:p>
          <w:pPr>
            <w:pStyle w:val="Contents4"/>
            <w:tabs>
              <w:tab w:val="clear" w:pos="8176"/>
              <w:tab w:val="right" w:pos="9026" w:leader="dot"/>
            </w:tabs>
            <w:rPr/>
          </w:pPr>
          <w:hyperlink w:anchor="__RefHeading___Toc2028055_2314609296">
            <w:r>
              <w:rPr>
                <w:webHidden/>
                <w:rStyle w:val="IndexLink"/>
                <w:rtl w:val="true"/>
              </w:rPr>
              <w:t>«</w:t>
            </w:r>
            <w:r>
              <w:rPr>
                <w:rStyle w:val="IndexLink"/>
                <w:rtl w:val="true"/>
              </w:rPr>
              <w:t>الثامنة</w:t>
            </w:r>
            <w:r>
              <w:rPr>
                <w:rStyle w:val="IndexLink"/>
                <w:rtl w:val="true"/>
              </w:rPr>
              <w:t>» : «</w:t>
            </w:r>
            <w:r>
              <w:rPr>
                <w:rStyle w:val="IndexLink"/>
                <w:rtl w:val="true"/>
              </w:rPr>
              <w:t>یجب تتابع الصوم</w:t>
            </w:r>
            <w:r>
              <w:rPr>
                <w:rStyle w:val="IndexLink"/>
                <w:rtl w:val="true"/>
              </w:rPr>
              <w:t>»</w:t>
              <w:tab/>
            </w:r>
            <w:r>
              <w:rPr>
                <w:rStyle w:val="IndexLink"/>
              </w:rPr>
              <w:t>406</w:t>
            </w:r>
          </w:hyperlink>
        </w:p>
        <w:p>
          <w:pPr>
            <w:pStyle w:val="Contents4"/>
            <w:tabs>
              <w:tab w:val="clear" w:pos="8176"/>
              <w:tab w:val="right" w:pos="9026" w:leader="dot"/>
            </w:tabs>
            <w:rPr/>
          </w:pPr>
          <w:hyperlink w:anchor="__RefHeading___Toc2028057_2314609296">
            <w:r>
              <w:rPr>
                <w:webHidden/>
                <w:rStyle w:val="IndexLink"/>
                <w:rtl w:val="true"/>
              </w:rPr>
              <w:t>«</w:t>
            </w:r>
            <w:r>
              <w:rPr>
                <w:rStyle w:val="IndexLink"/>
                <w:rtl w:val="true"/>
              </w:rPr>
              <w:t>التاسعة</w:t>
            </w:r>
            <w:r>
              <w:rPr>
                <w:rStyle w:val="IndexLink"/>
                <w:rtl w:val="true"/>
              </w:rPr>
              <w:t>» : «</w:t>
            </w:r>
            <w:r>
              <w:rPr>
                <w:rStyle w:val="IndexLink"/>
                <w:rtl w:val="true"/>
              </w:rPr>
              <w:t>لا یفسد الصیام بمصّ الخاتم</w:t>
            </w:r>
            <w:r>
              <w:rPr>
                <w:rStyle w:val="IndexLink"/>
                <w:rtl w:val="true"/>
              </w:rPr>
              <w:t>»</w:t>
              <w:tab/>
            </w:r>
            <w:r>
              <w:rPr>
                <w:rStyle w:val="IndexLink"/>
              </w:rPr>
              <w:t>407</w:t>
            </w:r>
          </w:hyperlink>
        </w:p>
        <w:p>
          <w:pPr>
            <w:pStyle w:val="Contents4"/>
            <w:tabs>
              <w:tab w:val="clear" w:pos="8176"/>
              <w:tab w:val="right" w:pos="9026" w:leader="dot"/>
            </w:tabs>
            <w:rPr/>
          </w:pPr>
          <w:hyperlink w:anchor="__RefHeading___Toc2028059_2314609296">
            <w:r>
              <w:rPr>
                <w:webHidden/>
                <w:rStyle w:val="IndexLink"/>
                <w:rtl w:val="true"/>
              </w:rPr>
              <w:t>«</w:t>
            </w:r>
            <w:r>
              <w:rPr>
                <w:rStyle w:val="IndexLink"/>
                <w:rtl w:val="true"/>
              </w:rPr>
              <w:t>العاشرة</w:t>
            </w:r>
            <w:r>
              <w:rPr>
                <w:rStyle w:val="IndexLink"/>
                <w:rtl w:val="true"/>
              </w:rPr>
              <w:t>» : «</w:t>
            </w:r>
            <w:r>
              <w:rPr>
                <w:rStyle w:val="IndexLink"/>
                <w:rtl w:val="true"/>
              </w:rPr>
              <w:t>یستحبّ من الصوم</w:t>
            </w:r>
            <w:r>
              <w:rPr>
                <w:rStyle w:val="IndexLink"/>
                <w:rtl w:val="true"/>
              </w:rPr>
              <w:t>»</w:t>
              <w:tab/>
            </w:r>
            <w:r>
              <w:rPr>
                <w:rStyle w:val="IndexLink"/>
              </w:rPr>
              <w:t>408</w:t>
            </w:r>
          </w:hyperlink>
        </w:p>
        <w:p>
          <w:pPr>
            <w:pStyle w:val="Contents4"/>
            <w:tabs>
              <w:tab w:val="clear" w:pos="8176"/>
              <w:tab w:val="right" w:pos="9026" w:leader="dot"/>
            </w:tabs>
            <w:rPr/>
          </w:pPr>
          <w:hyperlink w:anchor="__RefHeading___Toc2028061_2314609296">
            <w:r>
              <w:rPr>
                <w:webHidden/>
                <w:rStyle w:val="IndexLink"/>
                <w:rtl w:val="true"/>
              </w:rPr>
              <w:t>«</w:t>
            </w:r>
            <w:r>
              <w:rPr>
                <w:rStyle w:val="IndexLink"/>
                <w:rtl w:val="true"/>
              </w:rPr>
              <w:t>الحادیة عشرة</w:t>
            </w:r>
            <w:r>
              <w:rPr>
                <w:rStyle w:val="IndexLink"/>
                <w:rtl w:val="true"/>
              </w:rPr>
              <w:t>» : «</w:t>
            </w:r>
            <w:r>
              <w:rPr>
                <w:rStyle w:val="IndexLink"/>
                <w:rtl w:val="true"/>
              </w:rPr>
              <w:t>یستحبّ الإمساک</w:t>
            </w:r>
            <w:r>
              <w:rPr>
                <w:rStyle w:val="IndexLink"/>
                <w:rtl w:val="true"/>
              </w:rPr>
              <w:t>»</w:t>
              <w:tab/>
            </w:r>
            <w:r>
              <w:rPr>
                <w:rStyle w:val="IndexLink"/>
              </w:rPr>
              <w:t>410</w:t>
            </w:r>
          </w:hyperlink>
        </w:p>
        <w:p>
          <w:pPr>
            <w:pStyle w:val="Contents4"/>
            <w:tabs>
              <w:tab w:val="clear" w:pos="8176"/>
              <w:tab w:val="right" w:pos="9026" w:leader="dot"/>
            </w:tabs>
            <w:rPr/>
          </w:pPr>
          <w:hyperlink w:anchor="__RefHeading___Toc2028063_2314609296">
            <w:r>
              <w:rPr>
                <w:webHidden/>
                <w:rStyle w:val="IndexLink"/>
                <w:rtl w:val="true"/>
              </w:rPr>
              <w:t>الثانیة عشرة</w:t>
            </w:r>
            <w:r>
              <w:rPr>
                <w:rStyle w:val="IndexLink"/>
                <w:rtl w:val="true"/>
              </w:rPr>
              <w:t>» : «</w:t>
            </w:r>
            <w:r>
              <w:rPr>
                <w:rStyle w:val="IndexLink"/>
                <w:rtl w:val="true"/>
              </w:rPr>
              <w:t>لا یصوم الضیف بدون إذن مضیّفه</w:t>
            </w:r>
            <w:r>
              <w:rPr>
                <w:rStyle w:val="IndexLink"/>
                <w:rtl w:val="true"/>
              </w:rPr>
              <w:t>»</w:t>
              <w:tab/>
            </w:r>
            <w:r>
              <w:rPr>
                <w:rStyle w:val="IndexLink"/>
              </w:rPr>
              <w:t>411</w:t>
            </w:r>
          </w:hyperlink>
        </w:p>
        <w:p>
          <w:pPr>
            <w:pStyle w:val="Contents4"/>
            <w:tabs>
              <w:tab w:val="clear" w:pos="8176"/>
              <w:tab w:val="right" w:pos="9026" w:leader="dot"/>
            </w:tabs>
            <w:rPr/>
          </w:pPr>
          <w:hyperlink w:anchor="__RefHeading___Toc2028065_2314609296">
            <w:r>
              <w:rPr>
                <w:webHidden/>
                <w:rStyle w:val="IndexLink"/>
                <w:rtl w:val="true"/>
              </w:rPr>
              <w:t>«</w:t>
            </w:r>
            <w:r>
              <w:rPr>
                <w:rStyle w:val="IndexLink"/>
                <w:rtl w:val="true"/>
              </w:rPr>
              <w:t>الثالثة عشرة</w:t>
            </w:r>
            <w:r>
              <w:rPr>
                <w:rStyle w:val="IndexLink"/>
                <w:rtl w:val="true"/>
              </w:rPr>
              <w:t>» : «</w:t>
            </w:r>
            <w:r>
              <w:rPr>
                <w:rStyle w:val="IndexLink"/>
                <w:rtl w:val="true"/>
              </w:rPr>
              <w:t>یحرم صوم العیدین</w:t>
            </w:r>
            <w:r>
              <w:rPr>
                <w:rStyle w:val="IndexLink"/>
                <w:rtl w:val="true"/>
              </w:rPr>
              <w:t>»</w:t>
              <w:tab/>
            </w:r>
            <w:r>
              <w:rPr>
                <w:rStyle w:val="IndexLink"/>
              </w:rPr>
              <w:t>411</w:t>
            </w:r>
          </w:hyperlink>
        </w:p>
        <w:p>
          <w:pPr>
            <w:pStyle w:val="Contents4"/>
            <w:tabs>
              <w:tab w:val="clear" w:pos="8176"/>
              <w:tab w:val="right" w:pos="9026" w:leader="dot"/>
            </w:tabs>
            <w:rPr/>
          </w:pPr>
          <w:hyperlink w:anchor="__RefHeading___Toc2028067_2314609296">
            <w:r>
              <w:rPr>
                <w:webHidden/>
                <w:rStyle w:val="IndexLink"/>
                <w:rtl w:val="true"/>
              </w:rPr>
              <w:t>«</w:t>
            </w:r>
            <w:r>
              <w:rPr>
                <w:rStyle w:val="IndexLink"/>
                <w:rtl w:val="true"/>
              </w:rPr>
              <w:t>الرابعة عشرة</w:t>
            </w:r>
            <w:r>
              <w:rPr>
                <w:rStyle w:val="IndexLink"/>
                <w:rtl w:val="true"/>
              </w:rPr>
              <w:t xml:space="preserve">» : </w:t>
            </w:r>
            <w:r>
              <w:rPr>
                <w:rStyle w:val="IndexLink"/>
                <w:rtl w:val="true"/>
              </w:rPr>
              <w:t>یعزَّر من أفطر فی شهر رمضان عامداً عالماً</w:t>
            </w:r>
            <w:r>
              <w:rPr>
                <w:rStyle w:val="IndexLink"/>
                <w:rtl w:val="true"/>
              </w:rPr>
              <w:t>»</w:t>
              <w:tab/>
            </w:r>
            <w:r>
              <w:rPr>
                <w:rStyle w:val="IndexLink"/>
              </w:rPr>
              <w:t>414</w:t>
            </w:r>
          </w:hyperlink>
        </w:p>
        <w:p>
          <w:pPr>
            <w:pStyle w:val="Contents4"/>
            <w:tabs>
              <w:tab w:val="clear" w:pos="8176"/>
              <w:tab w:val="right" w:pos="9026" w:leader="dot"/>
            </w:tabs>
            <w:rPr/>
          </w:pPr>
          <w:hyperlink w:anchor="__RefHeading___Toc2028069_2314609296">
            <w:r>
              <w:rPr>
                <w:webHidden/>
                <w:rStyle w:val="IndexLink"/>
                <w:rtl w:val="true"/>
              </w:rPr>
              <w:t>«</w:t>
            </w:r>
            <w:r>
              <w:rPr>
                <w:rStyle w:val="IndexLink"/>
                <w:rtl w:val="true"/>
              </w:rPr>
              <w:t>الخامسة عشرة</w:t>
            </w:r>
            <w:r>
              <w:rPr>
                <w:rStyle w:val="IndexLink"/>
                <w:rtl w:val="true"/>
              </w:rPr>
              <w:t>» : «</w:t>
            </w:r>
            <w:r>
              <w:rPr>
                <w:rStyle w:val="IndexLink"/>
                <w:rtl w:val="true"/>
              </w:rPr>
              <w:t>البلوغ الذی یجب معه العبادة</w:t>
            </w:r>
            <w:r>
              <w:rPr>
                <w:rStyle w:val="IndexLink"/>
                <w:rtl w:val="true"/>
              </w:rPr>
              <w:t xml:space="preserve">: </w:t>
            </w:r>
            <w:r>
              <w:rPr>
                <w:rStyle w:val="IndexLink"/>
                <w:rtl w:val="true"/>
              </w:rPr>
              <w:t>الاحتلام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2028071_2314609296">
            <w:r>
              <w:rPr>
                <w:webHidden/>
                <w:rStyle w:val="IndexLink"/>
                <w:rtl w:val="true"/>
              </w:rPr>
              <w:t>«</w:t>
            </w:r>
            <w:r>
              <w:rPr>
                <w:rStyle w:val="IndexLink"/>
                <w:rtl w:val="true"/>
              </w:rPr>
              <w:t>ویلحق بذلک الاعتکاف</w:t>
            </w:r>
            <w:r>
              <w:rPr>
                <w:rStyle w:val="IndexLink"/>
                <w:rtl w:val="true"/>
              </w:rPr>
              <w:t>»</w:t>
              <w:tab/>
            </w:r>
            <w:r>
              <w:rPr>
                <w:rStyle w:val="IndexLink"/>
              </w:rPr>
              <w:t>417</w:t>
            </w:r>
          </w:hyperlink>
        </w:p>
        <w:p>
          <w:pPr>
            <w:pStyle w:val="Contents4"/>
            <w:tabs>
              <w:tab w:val="clear" w:pos="8176"/>
              <w:tab w:val="right" w:pos="9026" w:leader="dot"/>
            </w:tabs>
            <w:rPr/>
          </w:pPr>
          <w:hyperlink w:anchor="__RefHeading___Toc2028073_2314609296">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2028075_2314609296">
            <w:r>
              <w:rPr>
                <w:webHidden/>
                <w:rStyle w:val="IndexLink"/>
                <w:rtl w:val="true"/>
              </w:rPr>
              <w:t>[</w:t>
            </w:r>
            <w:r>
              <w:rPr>
                <w:rStyle w:val="IndexLink"/>
                <w:rtl w:val="true"/>
              </w:rPr>
              <w:t>شروط صحة الاعتکاف</w:t>
            </w:r>
            <w:r>
              <w:rPr>
                <w:rStyle w:val="IndexLink"/>
                <w:rtl w:val="true"/>
              </w:rPr>
              <w:t>]</w:t>
              <w:tab/>
            </w:r>
            <w:r>
              <w:rPr>
                <w:rStyle w:val="IndexLink"/>
              </w:rPr>
              <w:t>417</w:t>
            </w:r>
          </w:hyperlink>
        </w:p>
        <w:p>
          <w:pPr>
            <w:pStyle w:val="Contents4"/>
            <w:tabs>
              <w:tab w:val="clear" w:pos="8176"/>
              <w:tab w:val="right" w:pos="9026" w:leader="dot"/>
            </w:tabs>
            <w:rPr/>
          </w:pPr>
          <w:hyperlink w:anchor="__RefHeading___Toc2028077_2314609296">
            <w:r>
              <w:rPr>
                <w:webHidden/>
                <w:rStyle w:val="IndexLink"/>
                <w:rtl w:val="true"/>
              </w:rPr>
              <w:t>[</w:t>
            </w:r>
            <w:r>
              <w:rPr>
                <w:rStyle w:val="IndexLink"/>
                <w:rtl w:val="true"/>
              </w:rPr>
              <w:t xml:space="preserve">فی ما یفسد الاعتکاف </w:t>
            </w:r>
            <w:r>
              <w:rPr>
                <w:rStyle w:val="IndexLink"/>
                <w:rtl w:val="true"/>
              </w:rPr>
              <w:t>]</w:t>
              <w:tab/>
            </w:r>
            <w:r>
              <w:rPr>
                <w:rStyle w:val="IndexLink"/>
              </w:rPr>
              <w:t>422</w:t>
            </w:r>
          </w:hyperlink>
        </w:p>
        <w:p>
          <w:pPr>
            <w:pStyle w:val="Contents2"/>
            <w:tabs>
              <w:tab w:val="clear" w:pos="8743"/>
              <w:tab w:val="right" w:pos="9026" w:leader="dot"/>
            </w:tabs>
            <w:rPr/>
          </w:pPr>
          <w:hyperlink w:anchor="__RefHeading___Toc2028079_2314609296">
            <w:r>
              <w:rPr>
                <w:webHidden/>
                <w:rStyle w:val="IndexLink"/>
                <w:rtl w:val="true"/>
              </w:rPr>
              <w:t>کتاب الحجّ</w:t>
            </w:r>
            <w:r>
              <w:rPr>
                <w:rStyle w:val="IndexLink"/>
                <w:rtl w:val="true"/>
              </w:rPr>
              <w:tab/>
            </w:r>
            <w:r>
              <w:rPr>
                <w:rStyle w:val="IndexLink"/>
              </w:rPr>
              <w:t>425</w:t>
            </w:r>
          </w:hyperlink>
        </w:p>
        <w:p>
          <w:pPr>
            <w:pStyle w:val="Contents3"/>
            <w:tabs>
              <w:tab w:val="clear" w:pos="8459"/>
              <w:tab w:val="right" w:pos="9026" w:leader="dot"/>
            </w:tabs>
            <w:rPr/>
          </w:pPr>
          <w:hyperlink w:anchor="__RefHeading___Toc2028081_2314609296">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2028083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فی شرائطه وأسبابه</w:t>
            </w:r>
            <w:r>
              <w:rPr>
                <w:rStyle w:val="IndexLink"/>
                <w:rtl w:val="true"/>
              </w:rPr>
              <w:t>»</w:t>
              <w:tab/>
            </w:r>
            <w:r>
              <w:rPr>
                <w:rStyle w:val="IndexLink"/>
              </w:rPr>
              <w:t>426</w:t>
            </w:r>
          </w:hyperlink>
        </w:p>
        <w:p>
          <w:pPr>
            <w:pStyle w:val="Contents4"/>
            <w:tabs>
              <w:tab w:val="clear" w:pos="8176"/>
              <w:tab w:val="right" w:pos="9026" w:leader="dot"/>
            </w:tabs>
            <w:rPr/>
          </w:pPr>
          <w:hyperlink w:anchor="__RefHeading___Toc2028085_2314609296">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2028087_2314609296">
            <w:r>
              <w:rPr>
                <w:webHidden/>
                <w:rStyle w:val="IndexLink"/>
                <w:rtl w:val="true"/>
              </w:rPr>
              <w:t>[</w:t>
            </w:r>
            <w:r>
              <w:rPr>
                <w:rStyle w:val="IndexLink"/>
                <w:rtl w:val="true"/>
              </w:rPr>
              <w:t>حکم من مات بعد الاحرام</w:t>
            </w:r>
            <w:r>
              <w:rPr>
                <w:rStyle w:val="IndexLink"/>
                <w:rtl w:val="true"/>
              </w:rPr>
              <w:t>]</w:t>
              <w:tab/>
            </w:r>
            <w:r>
              <w:rPr>
                <w:rStyle w:val="IndexLink"/>
              </w:rPr>
              <w:t>433</w:t>
            </w:r>
          </w:hyperlink>
        </w:p>
        <w:p>
          <w:pPr>
            <w:pStyle w:val="Contents4"/>
            <w:tabs>
              <w:tab w:val="clear" w:pos="8176"/>
              <w:tab w:val="right" w:pos="9026" w:leader="dot"/>
            </w:tabs>
            <w:rPr/>
          </w:pPr>
          <w:hyperlink w:anchor="__RefHeading___Toc2028089_2314609296">
            <w:r>
              <w:rPr>
                <w:webHidden/>
                <w:rStyle w:val="IndexLink"/>
                <w:rtl w:val="true"/>
              </w:rPr>
              <w:t>«</w:t>
            </w:r>
            <w:r>
              <w:rPr>
                <w:rStyle w:val="IndexLink"/>
                <w:rtl w:val="true"/>
              </w:rPr>
              <w:t>ولو حجّ</w:t>
            </w:r>
            <w:r>
              <w:rPr>
                <w:rStyle w:val="IndexLink"/>
                <w:rtl w:val="true"/>
              </w:rPr>
              <w:t xml:space="preserve">» </w:t>
            </w:r>
            <w:r>
              <w:rPr>
                <w:rStyle w:val="IndexLink"/>
                <w:rtl w:val="true"/>
              </w:rPr>
              <w:t xml:space="preserve">مسلماً </w:t>
            </w:r>
            <w:r>
              <w:rPr>
                <w:rStyle w:val="IndexLink"/>
                <w:rtl w:val="true"/>
              </w:rPr>
              <w:t>«</w:t>
            </w:r>
            <w:r>
              <w:rPr>
                <w:rStyle w:val="IndexLink"/>
                <w:rtl w:val="true"/>
              </w:rPr>
              <w:t>ثم ارتدّ، ثم عاد</w:t>
            </w:r>
            <w:r>
              <w:rPr>
                <w:rStyle w:val="IndexLink"/>
                <w:rtl w:val="true"/>
              </w:rPr>
              <w:t>»</w:t>
              <w:tab/>
            </w:r>
            <w:r>
              <w:rPr>
                <w:rStyle w:val="IndexLink"/>
              </w:rPr>
              <w:t>435</w:t>
            </w:r>
          </w:hyperlink>
        </w:p>
        <w:p>
          <w:pPr>
            <w:pStyle w:val="Contents4"/>
            <w:tabs>
              <w:tab w:val="clear" w:pos="8176"/>
              <w:tab w:val="right" w:pos="9026" w:leader="dot"/>
            </w:tabs>
            <w:rPr/>
          </w:pPr>
          <w:hyperlink w:anchor="__RefHeading___Toc2028091_2314609296">
            <w:r>
              <w:rPr>
                <w:webHidden/>
                <w:rStyle w:val="IndexLink"/>
                <w:rtl w:val="true"/>
              </w:rPr>
              <w:t>«</w:t>
            </w:r>
            <w:r>
              <w:rPr>
                <w:rStyle w:val="IndexLink"/>
                <w:rtl w:val="true"/>
              </w:rPr>
              <w:t>ولو حجّ مخالفاً ثمّ استبصر لم یُعد، إلّاأن یخلّ برکن</w:t>
            </w:r>
            <w:r>
              <w:rPr>
                <w:rStyle w:val="IndexLink"/>
                <w:rtl w:val="true"/>
              </w:rPr>
              <w:t>»</w:t>
              <w:tab/>
            </w:r>
            <w:r>
              <w:rPr>
                <w:rStyle w:val="IndexLink"/>
              </w:rPr>
              <w:t>436</w:t>
            </w:r>
          </w:hyperlink>
        </w:p>
        <w:p>
          <w:pPr>
            <w:pStyle w:val="Contents4"/>
            <w:tabs>
              <w:tab w:val="clear" w:pos="8176"/>
              <w:tab w:val="right" w:pos="9026" w:leader="dot"/>
            </w:tabs>
            <w:rPr/>
          </w:pPr>
          <w:hyperlink w:anchor="__RefHeading___Toc2028093_2314609296">
            <w:r>
              <w:rPr>
                <w:webHidden/>
                <w:rStyle w:val="IndexLink"/>
                <w:rtl w:val="true"/>
              </w:rPr>
              <w:t>«</w:t>
            </w:r>
            <w:r>
              <w:rPr>
                <w:rStyle w:val="IndexLink"/>
                <w:rtl w:val="true"/>
              </w:rPr>
              <w:t>القول فی حجّ الأسباب</w:t>
            </w:r>
            <w:r>
              <w:rPr>
                <w:rStyle w:val="IndexLink"/>
                <w:rtl w:val="true"/>
              </w:rPr>
              <w:t xml:space="preserve">» </w:t>
            </w:r>
            <w:r>
              <w:rPr>
                <w:rStyle w:val="IndexLink"/>
                <w:rtl w:val="true"/>
              </w:rPr>
              <w:t>بالنذر وشبهه والنیابة</w:t>
            </w:r>
            <w:r>
              <w:rPr>
                <w:rStyle w:val="IndexLink"/>
                <w:rtl w:val="true"/>
              </w:rPr>
              <w:tab/>
            </w:r>
            <w:r>
              <w:rPr>
                <w:rStyle w:val="IndexLink"/>
              </w:rPr>
              <w:t>438</w:t>
            </w:r>
          </w:hyperlink>
        </w:p>
        <w:p>
          <w:pPr>
            <w:pStyle w:val="Contents4"/>
            <w:tabs>
              <w:tab w:val="clear" w:pos="8176"/>
              <w:tab w:val="right" w:pos="9026" w:leader="dot"/>
            </w:tabs>
            <w:rPr/>
          </w:pPr>
          <w:hyperlink w:anchor="__RefHeading___Toc2028095_2314609296">
            <w:r>
              <w:rPr>
                <w:webHidden/>
                <w:rStyle w:val="IndexLink"/>
                <w:rtl w:val="true"/>
              </w:rPr>
              <w:t>«</w:t>
            </w:r>
            <w:r>
              <w:rPr>
                <w:rStyle w:val="IndexLink"/>
                <w:rtl w:val="true"/>
              </w:rPr>
              <w:t>ویشترط فی النائب</w:t>
            </w:r>
            <w:r>
              <w:rPr>
                <w:rStyle w:val="IndexLink"/>
                <w:rtl w:val="true"/>
              </w:rPr>
              <w:t xml:space="preserve">» </w:t>
            </w:r>
            <w:r>
              <w:rPr>
                <w:rStyle w:val="IndexLink"/>
                <w:rtl w:val="true"/>
              </w:rPr>
              <w:t>فی الحج</w:t>
            </w:r>
            <w:r>
              <w:rPr>
                <w:rStyle w:val="IndexLink"/>
                <w:rtl w:val="true"/>
              </w:rPr>
              <w:tab/>
            </w:r>
            <w:r>
              <w:rPr>
                <w:rStyle w:val="IndexLink"/>
              </w:rPr>
              <w:t>442</w:t>
            </w:r>
          </w:hyperlink>
        </w:p>
        <w:p>
          <w:pPr>
            <w:pStyle w:val="Contents4"/>
            <w:tabs>
              <w:tab w:val="clear" w:pos="8176"/>
              <w:tab w:val="right" w:pos="9026" w:leader="dot"/>
            </w:tabs>
            <w:rPr/>
          </w:pPr>
          <w:hyperlink w:anchor="__RefHeading___Toc2028097_2314609296">
            <w:r>
              <w:rPr>
                <w:webHidden/>
                <w:rStyle w:val="IndexLink"/>
                <w:rtl w:val="true"/>
              </w:rPr>
              <w:t>«</w:t>
            </w:r>
            <w:r>
              <w:rPr>
                <w:rStyle w:val="IndexLink"/>
                <w:rtl w:val="true"/>
              </w:rPr>
              <w:t>ویشترط نیّة النیابة</w:t>
            </w:r>
            <w:r>
              <w:rPr>
                <w:rStyle w:val="IndexLink"/>
                <w:rtl w:val="true"/>
              </w:rPr>
              <w:t>»</w:t>
              <w:tab/>
            </w:r>
            <w:r>
              <w:rPr>
                <w:rStyle w:val="IndexLink"/>
              </w:rPr>
              <w:t>443</w:t>
            </w:r>
          </w:hyperlink>
        </w:p>
        <w:p>
          <w:pPr>
            <w:pStyle w:val="Contents4"/>
            <w:tabs>
              <w:tab w:val="clear" w:pos="8176"/>
              <w:tab w:val="right" w:pos="9026" w:leader="dot"/>
            </w:tabs>
            <w:rPr/>
          </w:pPr>
          <w:hyperlink w:anchor="__RefHeading___Toc2028099_2314609296">
            <w:r>
              <w:rPr>
                <w:webHidden/>
                <w:rStyle w:val="IndexLink"/>
                <w:rtl w:val="true"/>
              </w:rPr>
              <w:t>«</w:t>
            </w:r>
            <w:r>
              <w:rPr>
                <w:rStyle w:val="IndexLink"/>
                <w:rtl w:val="true"/>
              </w:rPr>
              <w:t>والوصیّة بالحجّ</w:t>
            </w:r>
            <w:r>
              <w:rPr>
                <w:rStyle w:val="IndexLink"/>
                <w:rtl w:val="true"/>
              </w:rPr>
              <w:t>»</w:t>
              <w:tab/>
            </w:r>
            <w:r>
              <w:rPr>
                <w:rStyle w:val="IndexLink"/>
              </w:rPr>
              <w:t>450</w:t>
            </w:r>
          </w:hyperlink>
        </w:p>
        <w:p>
          <w:pPr>
            <w:pStyle w:val="Contents3"/>
            <w:tabs>
              <w:tab w:val="clear" w:pos="8459"/>
              <w:tab w:val="right" w:pos="9026" w:leader="dot"/>
            </w:tabs>
            <w:rPr/>
          </w:pPr>
          <w:hyperlink w:anchor="__RefHeading___Toc2028101_2314609296">
            <w:r>
              <w:rPr>
                <w:webHidden/>
                <w:rStyle w:val="IndexLink"/>
                <w:rtl w:val="true"/>
              </w:rPr>
              <w:t>«</w:t>
            </w:r>
            <w:r>
              <w:rPr>
                <w:rStyle w:val="IndexLink"/>
                <w:rtl w:val="true"/>
              </w:rPr>
              <w:t>الفصل الثانی</w:t>
            </w:r>
            <w:r>
              <w:rPr>
                <w:rStyle w:val="IndexLink"/>
                <w:rtl w:val="true"/>
              </w:rPr>
              <w:t>» «</w:t>
            </w:r>
            <w:r>
              <w:rPr>
                <w:rStyle w:val="IndexLink"/>
                <w:rtl w:val="true"/>
              </w:rPr>
              <w:t>فی أنواع الحجّ</w:t>
            </w:r>
            <w:r>
              <w:rPr>
                <w:rStyle w:val="IndexLink"/>
                <w:rtl w:val="true"/>
              </w:rPr>
              <w:t>»</w:t>
              <w:tab/>
            </w:r>
            <w:r>
              <w:rPr>
                <w:rStyle w:val="IndexLink"/>
              </w:rPr>
              <w:t>454</w:t>
            </w:r>
          </w:hyperlink>
        </w:p>
        <w:p>
          <w:pPr>
            <w:pStyle w:val="Contents4"/>
            <w:tabs>
              <w:tab w:val="clear" w:pos="8176"/>
              <w:tab w:val="right" w:pos="9026" w:leader="dot"/>
            </w:tabs>
            <w:rPr/>
          </w:pPr>
          <w:hyperlink w:anchor="__RefHeading___Toc2028103_2314609296">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2028105_2314609296">
            <w:r>
              <w:rPr>
                <w:webHidden/>
                <w:rStyle w:val="IndexLink"/>
                <w:rtl w:val="true"/>
              </w:rPr>
              <w:t>«</w:t>
            </w:r>
            <w:r>
              <w:rPr>
                <w:rStyle w:val="IndexLink"/>
                <w:rtl w:val="true"/>
              </w:rPr>
              <w:t>مسائل</w:t>
            </w:r>
            <w:r>
              <w:rPr>
                <w:rStyle w:val="IndexLink"/>
                <w:rtl w:val="true"/>
              </w:rPr>
              <w:t>»</w:t>
              <w:tab/>
            </w:r>
            <w:r>
              <w:rPr>
                <w:rStyle w:val="IndexLink"/>
              </w:rPr>
              <w:t>460</w:t>
            </w:r>
          </w:hyperlink>
        </w:p>
        <w:p>
          <w:pPr>
            <w:pStyle w:val="Contents5"/>
            <w:tabs>
              <w:tab w:val="clear" w:pos="7892"/>
              <w:tab w:val="right" w:pos="9026" w:leader="dot"/>
            </w:tabs>
            <w:rPr/>
          </w:pPr>
          <w:hyperlink w:anchor="__RefHeading___Toc2028107_2314609296">
            <w:r>
              <w:rPr>
                <w:webHidden/>
                <w:rStyle w:val="IndexLink"/>
                <w:rtl w:val="true"/>
              </w:rPr>
              <w:t>«</w:t>
            </w:r>
            <w:r>
              <w:rPr>
                <w:rStyle w:val="IndexLink"/>
                <w:rtl w:val="true"/>
              </w:rPr>
              <w:t>الاُولی</w:t>
            </w:r>
            <w:r>
              <w:rPr>
                <w:rStyle w:val="IndexLink"/>
                <w:rtl w:val="true"/>
              </w:rPr>
              <w:t>» : «</w:t>
            </w:r>
            <w:r>
              <w:rPr>
                <w:rStyle w:val="IndexLink"/>
                <w:rtl w:val="true"/>
              </w:rPr>
              <w:t>یجوز لمن حجّ ندباً مفرداً العدول إلی</w:t>
            </w:r>
            <w:r>
              <w:rPr>
                <w:rStyle w:val="IndexLink"/>
                <w:rtl w:val="true"/>
              </w:rPr>
              <w:t>»</w:t>
              <w:tab/>
            </w:r>
            <w:r>
              <w:rPr>
                <w:rStyle w:val="IndexLink"/>
              </w:rPr>
              <w:t>460</w:t>
            </w:r>
          </w:hyperlink>
        </w:p>
        <w:p>
          <w:pPr>
            <w:pStyle w:val="Contents5"/>
            <w:tabs>
              <w:tab w:val="clear" w:pos="7892"/>
              <w:tab w:val="right" w:pos="9026" w:leader="dot"/>
            </w:tabs>
            <w:rPr/>
          </w:pPr>
          <w:hyperlink w:anchor="__RefHeading___Toc2028109_2314609296">
            <w:r>
              <w:rPr>
                <w:webHidden/>
                <w:rStyle w:val="IndexLink"/>
                <w:rtl w:val="true"/>
              </w:rPr>
              <w:t>الثانیة یجوز للقارن والمفرد إذا دخلا مکّة الطواف والسعی</w:t>
            </w:r>
            <w:r>
              <w:rPr>
                <w:rStyle w:val="IndexLink"/>
                <w:rtl w:val="true"/>
              </w:rPr>
              <w:t>»</w:t>
              <w:tab/>
            </w:r>
            <w:r>
              <w:rPr>
                <w:rStyle w:val="IndexLink"/>
              </w:rPr>
              <w:t>462</w:t>
            </w:r>
          </w:hyperlink>
        </w:p>
        <w:p>
          <w:pPr>
            <w:pStyle w:val="Contents5"/>
            <w:tabs>
              <w:tab w:val="clear" w:pos="7892"/>
              <w:tab w:val="right" w:pos="9026" w:leader="dot"/>
            </w:tabs>
            <w:rPr/>
          </w:pPr>
          <w:hyperlink w:anchor="__RefHeading___Toc2028111_2314609296">
            <w:r>
              <w:rPr>
                <w:webHidden/>
                <w:rStyle w:val="IndexLink"/>
                <w:rtl w:val="true"/>
              </w:rPr>
              <w:t>«</w:t>
            </w:r>
            <w:r>
              <w:rPr>
                <w:rStyle w:val="IndexLink"/>
                <w:rtl w:val="true"/>
              </w:rPr>
              <w:t>الثالثة</w:t>
            </w:r>
            <w:r>
              <w:rPr>
                <w:rStyle w:val="IndexLink"/>
                <w:rtl w:val="true"/>
              </w:rPr>
              <w:t>» : «</w:t>
            </w:r>
            <w:r>
              <w:rPr>
                <w:rStyle w:val="IndexLink"/>
                <w:rtl w:val="true"/>
              </w:rPr>
              <w:t>لو بَعُد المکّی</w:t>
            </w:r>
            <w:r>
              <w:rPr>
                <w:rStyle w:val="IndexLink"/>
                <w:rtl w:val="true"/>
              </w:rPr>
              <w:t>»</w:t>
              <w:tab/>
            </w:r>
            <w:r>
              <w:rPr>
                <w:rStyle w:val="IndexLink"/>
              </w:rPr>
              <w:t>463</w:t>
            </w:r>
          </w:hyperlink>
        </w:p>
        <w:p>
          <w:pPr>
            <w:pStyle w:val="Contents5"/>
            <w:tabs>
              <w:tab w:val="clear" w:pos="7892"/>
              <w:tab w:val="right" w:pos="9026" w:leader="dot"/>
            </w:tabs>
            <w:rPr/>
          </w:pPr>
          <w:hyperlink w:anchor="__RefHeading___Toc2028113_2314609296">
            <w:r>
              <w:rPr>
                <w:webHidden/>
                <w:rStyle w:val="IndexLink"/>
                <w:rtl w:val="true"/>
              </w:rPr>
              <w:t>الرابعةلا یجوز الجمع بین النسکین</w:t>
            </w:r>
            <w:r>
              <w:rPr>
                <w:rStyle w:val="IndexLink"/>
                <w:rtl w:val="true"/>
              </w:rPr>
              <w:tab/>
            </w:r>
            <w:r>
              <w:rPr>
                <w:rStyle w:val="IndexLink"/>
              </w:rPr>
              <w:t>465</w:t>
            </w:r>
          </w:hyperlink>
        </w:p>
        <w:p>
          <w:pPr>
            <w:pStyle w:val="Contents3"/>
            <w:tabs>
              <w:tab w:val="clear" w:pos="8459"/>
              <w:tab w:val="right" w:pos="9026" w:leader="dot"/>
            </w:tabs>
            <w:rPr/>
          </w:pPr>
          <w:hyperlink w:anchor="__RefHeading___Toc2028115_2314609296">
            <w:r>
              <w:rPr>
                <w:webHidden/>
                <w:rStyle w:val="IndexLink"/>
                <w:rtl w:val="true"/>
              </w:rPr>
              <w:t>«</w:t>
            </w:r>
            <w:r>
              <w:rPr>
                <w:rStyle w:val="IndexLink"/>
                <w:rtl w:val="true"/>
              </w:rPr>
              <w:t>الفصل الثالث</w:t>
            </w:r>
            <w:r>
              <w:rPr>
                <w:rStyle w:val="IndexLink"/>
                <w:rtl w:val="true"/>
              </w:rPr>
              <w:t>» «</w:t>
            </w:r>
            <w:r>
              <w:rPr>
                <w:rStyle w:val="IndexLink"/>
                <w:rtl w:val="true"/>
              </w:rPr>
              <w:t>فی المواقیت</w:t>
            </w:r>
            <w:r>
              <w:rPr>
                <w:rStyle w:val="IndexLink"/>
                <w:rtl w:val="true"/>
              </w:rPr>
              <w:t>»</w:t>
              <w:tab/>
            </w:r>
            <w:r>
              <w:rPr>
                <w:rStyle w:val="IndexLink"/>
              </w:rPr>
              <w:t>468</w:t>
            </w:r>
          </w:hyperlink>
        </w:p>
        <w:p>
          <w:pPr>
            <w:pStyle w:val="Contents3"/>
            <w:tabs>
              <w:tab w:val="clear" w:pos="8459"/>
              <w:tab w:val="right" w:pos="9026" w:leader="dot"/>
            </w:tabs>
            <w:rPr/>
          </w:pPr>
          <w:hyperlink w:anchor="__RefHeading___Toc2028117_2314609296">
            <w:r>
              <w:rPr>
                <w:webHidden/>
                <w:rStyle w:val="IndexLink"/>
                <w:rtl w:val="true"/>
              </w:rPr>
              <w:t>«</w:t>
            </w:r>
            <w:r>
              <w:rPr>
                <w:rStyle w:val="IndexLink"/>
                <w:rtl w:val="true"/>
              </w:rPr>
              <w:t>الفصل الرابع</w:t>
            </w:r>
            <w:r>
              <w:rPr>
                <w:rStyle w:val="IndexLink"/>
                <w:rtl w:val="true"/>
              </w:rPr>
              <w:t>» «</w:t>
            </w:r>
            <w:r>
              <w:rPr>
                <w:rStyle w:val="IndexLink"/>
                <w:rtl w:val="true"/>
              </w:rPr>
              <w:t>فی أفعال العمرة</w:t>
            </w:r>
            <w:r>
              <w:rPr>
                <w:rStyle w:val="IndexLink"/>
                <w:rtl w:val="true"/>
              </w:rPr>
              <w:t xml:space="preserve">» </w:t>
            </w:r>
            <w:r>
              <w:rPr>
                <w:rStyle w:val="IndexLink"/>
                <w:rtl w:val="true"/>
              </w:rPr>
              <w:t>المطلقة</w:t>
            </w:r>
            <w:r>
              <w:rPr>
                <w:rStyle w:val="IndexLink"/>
                <w:rtl w:val="true"/>
              </w:rPr>
              <w:tab/>
            </w:r>
            <w:r>
              <w:rPr>
                <w:rStyle w:val="IndexLink"/>
              </w:rPr>
              <w:t>473</w:t>
            </w:r>
          </w:hyperlink>
        </w:p>
        <w:p>
          <w:pPr>
            <w:pStyle w:val="Contents4"/>
            <w:tabs>
              <w:tab w:val="clear" w:pos="8176"/>
              <w:tab w:val="right" w:pos="9026" w:leader="dot"/>
            </w:tabs>
            <w:rPr/>
          </w:pPr>
          <w:hyperlink w:anchor="__RefHeading___Toc2028119_2314609296">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2028121_2314609296">
            <w:r>
              <w:rPr>
                <w:webHidden/>
                <w:rStyle w:val="IndexLink"/>
                <w:rtl w:val="true"/>
              </w:rPr>
              <w:t>«</w:t>
            </w:r>
            <w:r>
              <w:rPr>
                <w:rStyle w:val="IndexLink"/>
                <w:rtl w:val="true"/>
              </w:rPr>
              <w:t>القول فی الإحرام</w:t>
            </w:r>
            <w:r>
              <w:rPr>
                <w:rStyle w:val="IndexLink"/>
                <w:rtl w:val="true"/>
              </w:rPr>
              <w:t>»</w:t>
              <w:tab/>
            </w:r>
            <w:r>
              <w:rPr>
                <w:rStyle w:val="IndexLink"/>
              </w:rPr>
              <w:t>474</w:t>
            </w:r>
          </w:hyperlink>
        </w:p>
        <w:p>
          <w:pPr>
            <w:pStyle w:val="Contents5"/>
            <w:tabs>
              <w:tab w:val="clear" w:pos="7892"/>
              <w:tab w:val="right" w:pos="9026" w:leader="dot"/>
            </w:tabs>
            <w:rPr/>
          </w:pPr>
          <w:hyperlink w:anchor="__RefHeading___Toc2028123_2314609296">
            <w:r>
              <w:rPr>
                <w:webHidden/>
                <w:rStyle w:val="IndexLink"/>
                <w:rtl w:val="true"/>
              </w:rPr>
              <w:t>[</w:t>
            </w:r>
            <w:r>
              <w:rPr>
                <w:rStyle w:val="IndexLink"/>
                <w:rtl w:val="true"/>
              </w:rPr>
              <w:t>مستحباته و واجباته</w:t>
            </w:r>
            <w:r>
              <w:rPr>
                <w:rStyle w:val="IndexLink"/>
                <w:rtl w:val="true"/>
              </w:rPr>
              <w:t>]</w:t>
              <w:tab/>
            </w:r>
            <w:r>
              <w:rPr>
                <w:rStyle w:val="IndexLink"/>
              </w:rPr>
              <w:t>474</w:t>
            </w:r>
          </w:hyperlink>
        </w:p>
        <w:p>
          <w:pPr>
            <w:pStyle w:val="Contents5"/>
            <w:tabs>
              <w:tab w:val="clear" w:pos="7892"/>
              <w:tab w:val="right" w:pos="9026" w:leader="dot"/>
            </w:tabs>
            <w:rPr/>
          </w:pPr>
          <w:hyperlink w:anchor="__RefHeading___Toc2028125_2314609296">
            <w:r>
              <w:rPr>
                <w:webHidden/>
                <w:rStyle w:val="IndexLink"/>
                <w:rtl w:val="true"/>
              </w:rPr>
              <w:t>[</w:t>
            </w:r>
            <w:r>
              <w:rPr>
                <w:rStyle w:val="IndexLink"/>
                <w:rtl w:val="true"/>
              </w:rPr>
              <w:t>تروک الاحرام</w:t>
            </w:r>
            <w:r>
              <w:rPr>
                <w:rStyle w:val="IndexLink"/>
                <w:rtl w:val="true"/>
              </w:rPr>
              <w:t>]</w:t>
              <w:tab/>
            </w:r>
            <w:r>
              <w:rPr>
                <w:rStyle w:val="IndexLink"/>
              </w:rPr>
              <w:t>480</w:t>
            </w:r>
          </w:hyperlink>
        </w:p>
        <w:p>
          <w:pPr>
            <w:pStyle w:val="Contents4"/>
            <w:tabs>
              <w:tab w:val="clear" w:pos="8176"/>
              <w:tab w:val="right" w:pos="9026" w:leader="dot"/>
            </w:tabs>
            <w:rPr/>
          </w:pPr>
          <w:hyperlink w:anchor="__RefHeading___Toc2028127_2314609296">
            <w:r>
              <w:rPr>
                <w:webHidden/>
                <w:rStyle w:val="IndexLink"/>
                <w:rtl w:val="true"/>
              </w:rPr>
              <w:t>«</w:t>
            </w:r>
            <w:r>
              <w:rPr>
                <w:rStyle w:val="IndexLink"/>
                <w:rtl w:val="true"/>
              </w:rPr>
              <w:t>القول فی الطواف</w:t>
            </w:r>
            <w:r>
              <w:rPr>
                <w:rStyle w:val="IndexLink"/>
                <w:rtl w:val="true"/>
              </w:rPr>
              <w:t>»</w:t>
              <w:tab/>
            </w:r>
            <w:r>
              <w:rPr>
                <w:rStyle w:val="IndexLink"/>
              </w:rPr>
              <w:t>487</w:t>
            </w:r>
          </w:hyperlink>
        </w:p>
        <w:p>
          <w:pPr>
            <w:pStyle w:val="Contents5"/>
            <w:tabs>
              <w:tab w:val="clear" w:pos="7892"/>
              <w:tab w:val="right" w:pos="9026" w:leader="dot"/>
            </w:tabs>
            <w:rPr/>
          </w:pPr>
          <w:hyperlink w:anchor="__RefHeading___Toc2028129_2314609296">
            <w:r>
              <w:rPr>
                <w:webHidden/>
                <w:rStyle w:val="IndexLink"/>
                <w:rtl w:val="true"/>
              </w:rPr>
              <w:t>[</w:t>
            </w:r>
            <w:r>
              <w:rPr>
                <w:rStyle w:val="IndexLink"/>
                <w:rtl w:val="true"/>
              </w:rPr>
              <w:t>شروطه و واجباته</w:t>
            </w:r>
            <w:r>
              <w:rPr>
                <w:rStyle w:val="IndexLink"/>
                <w:rtl w:val="true"/>
              </w:rPr>
              <w:t>]</w:t>
              <w:tab/>
            </w:r>
            <w:r>
              <w:rPr>
                <w:rStyle w:val="IndexLink"/>
              </w:rPr>
              <w:t>487</w:t>
            </w:r>
          </w:hyperlink>
        </w:p>
        <w:p>
          <w:pPr>
            <w:pStyle w:val="Contents5"/>
            <w:tabs>
              <w:tab w:val="clear" w:pos="7892"/>
              <w:tab w:val="right" w:pos="9026" w:leader="dot"/>
            </w:tabs>
            <w:rPr/>
          </w:pPr>
          <w:hyperlink w:anchor="__RefHeading___Toc2028131_2314609296">
            <w:r>
              <w:rPr>
                <w:webHidden/>
                <w:rStyle w:val="IndexLink"/>
                <w:rtl w:val="true"/>
              </w:rPr>
              <w:t>[</w:t>
            </w:r>
            <w:r>
              <w:rPr>
                <w:rStyle w:val="IndexLink"/>
                <w:rtl w:val="true"/>
              </w:rPr>
              <w:t>سننه</w:t>
            </w:r>
            <w:r>
              <w:rPr>
                <w:rStyle w:val="IndexLink"/>
                <w:rtl w:val="true"/>
              </w:rPr>
              <w:t>]</w:t>
              <w:tab/>
            </w:r>
            <w:r>
              <w:rPr>
                <w:rStyle w:val="IndexLink"/>
              </w:rPr>
              <w:t>491</w:t>
            </w:r>
          </w:hyperlink>
        </w:p>
        <w:p>
          <w:pPr>
            <w:pStyle w:val="Contents4"/>
            <w:tabs>
              <w:tab w:val="clear" w:pos="8176"/>
              <w:tab w:val="right" w:pos="9026" w:leader="dot"/>
            </w:tabs>
            <w:rPr/>
          </w:pPr>
          <w:hyperlink w:anchor="__RefHeading___Toc2028133_2314609296">
            <w:r>
              <w:rPr>
                <w:webHidden/>
                <w:rStyle w:val="IndexLink"/>
                <w:rtl w:val="true"/>
              </w:rPr>
              <w:t>«</w:t>
            </w:r>
            <w:r>
              <w:rPr>
                <w:rStyle w:val="IndexLink"/>
                <w:rtl w:val="true"/>
              </w:rPr>
              <w:t>مسائل</w:t>
            </w:r>
            <w:r>
              <w:rPr>
                <w:rStyle w:val="IndexLink"/>
                <w:rtl w:val="true"/>
              </w:rPr>
              <w:t>»</w:t>
              <w:tab/>
            </w:r>
            <w:r>
              <w:rPr>
                <w:rStyle w:val="IndexLink"/>
              </w:rPr>
              <w:t>494</w:t>
            </w:r>
          </w:hyperlink>
        </w:p>
        <w:p>
          <w:pPr>
            <w:pStyle w:val="Contents5"/>
            <w:tabs>
              <w:tab w:val="clear" w:pos="7892"/>
              <w:tab w:val="right" w:pos="9026" w:leader="dot"/>
            </w:tabs>
            <w:rPr/>
          </w:pPr>
          <w:hyperlink w:anchor="__RefHeading___Toc2028135_2314609296">
            <w:r>
              <w:rPr>
                <w:webHidden/>
                <w:rStyle w:val="IndexLink"/>
                <w:rtl w:val="true"/>
              </w:rPr>
              <w:t>الاُولی</w:t>
            </w:r>
            <w:r>
              <w:rPr>
                <w:rStyle w:val="IndexLink"/>
                <w:rtl w:val="true"/>
              </w:rPr>
              <w:t>: [</w:t>
            </w:r>
            <w:r>
              <w:rPr>
                <w:rStyle w:val="IndexLink"/>
                <w:rtl w:val="true"/>
              </w:rPr>
              <w:t xml:space="preserve">رکنیة الطواف </w:t>
            </w:r>
            <w:r>
              <w:rPr>
                <w:rStyle w:val="IndexLink"/>
                <w:rtl w:val="true"/>
              </w:rPr>
              <w:t>]</w:t>
              <w:tab/>
            </w:r>
            <w:r>
              <w:rPr>
                <w:rStyle w:val="IndexLink"/>
              </w:rPr>
              <w:t>494</w:t>
            </w:r>
          </w:hyperlink>
        </w:p>
        <w:p>
          <w:pPr>
            <w:pStyle w:val="Contents5"/>
            <w:tabs>
              <w:tab w:val="clear" w:pos="7892"/>
              <w:tab w:val="right" w:pos="9026" w:leader="dot"/>
            </w:tabs>
            <w:rPr/>
          </w:pPr>
          <w:hyperlink w:anchor="__RefHeading___Toc2028137_2314609296">
            <w:r>
              <w:rPr>
                <w:webHidden/>
                <w:rStyle w:val="IndexLink"/>
                <w:rtl w:val="true"/>
              </w:rPr>
              <w:t>«</w:t>
            </w:r>
            <w:r>
              <w:rPr>
                <w:rStyle w:val="IndexLink"/>
                <w:rtl w:val="true"/>
              </w:rPr>
              <w:t>الثانیة</w:t>
            </w:r>
            <w:r>
              <w:rPr>
                <w:rStyle w:val="IndexLink"/>
                <w:rtl w:val="true"/>
              </w:rPr>
              <w:t>» : [</w:t>
            </w:r>
            <w:r>
              <w:rPr>
                <w:rStyle w:val="IndexLink"/>
                <w:rtl w:val="true"/>
              </w:rPr>
              <w:t>حکم تقدیم طواف الحج و سعیه علی الوقوف</w:t>
            </w:r>
            <w:r>
              <w:rPr>
                <w:rStyle w:val="IndexLink"/>
                <w:rtl w:val="true"/>
              </w:rPr>
              <w:t>]</w:t>
              <w:tab/>
            </w:r>
            <w:r>
              <w:rPr>
                <w:rStyle w:val="IndexLink"/>
              </w:rPr>
              <w:t>495</w:t>
            </w:r>
          </w:hyperlink>
        </w:p>
        <w:p>
          <w:pPr>
            <w:pStyle w:val="Contents5"/>
            <w:tabs>
              <w:tab w:val="clear" w:pos="7892"/>
              <w:tab w:val="right" w:pos="9026" w:leader="dot"/>
            </w:tabs>
            <w:rPr/>
          </w:pPr>
          <w:hyperlink w:anchor="__RefHeading___Toc2028139_2314609296">
            <w:r>
              <w:rPr>
                <w:webHidden/>
                <w:rStyle w:val="IndexLink"/>
                <w:rtl w:val="true"/>
              </w:rPr>
              <w:t>«</w:t>
            </w:r>
            <w:r>
              <w:rPr>
                <w:rStyle w:val="IndexLink"/>
                <w:rtl w:val="true"/>
              </w:rPr>
              <w:t>الثالثة</w:t>
            </w:r>
            <w:r>
              <w:rPr>
                <w:rStyle w:val="IndexLink"/>
                <w:rtl w:val="true"/>
              </w:rPr>
              <w:t>» : [</w:t>
            </w:r>
            <w:r>
              <w:rPr>
                <w:rStyle w:val="IndexLink"/>
                <w:rtl w:val="true"/>
              </w:rPr>
              <w:t>حکم لبس البرطلة فی الطواف</w:t>
            </w:r>
            <w:r>
              <w:rPr>
                <w:rStyle w:val="IndexLink"/>
                <w:rtl w:val="true"/>
              </w:rPr>
              <w:t>]</w:t>
              <w:tab/>
            </w:r>
            <w:r>
              <w:rPr>
                <w:rStyle w:val="IndexLink"/>
              </w:rPr>
              <w:t>496</w:t>
            </w:r>
          </w:hyperlink>
        </w:p>
        <w:p>
          <w:pPr>
            <w:pStyle w:val="Contents5"/>
            <w:tabs>
              <w:tab w:val="clear" w:pos="7892"/>
              <w:tab w:val="right" w:pos="9026" w:leader="dot"/>
            </w:tabs>
            <w:rPr/>
          </w:pPr>
          <w:hyperlink w:anchor="__RefHeading___Toc2028141_2314609296">
            <w:r>
              <w:rPr>
                <w:webHidden/>
                <w:rStyle w:val="IndexLink"/>
                <w:rtl w:val="true"/>
              </w:rPr>
              <w:t>«</w:t>
            </w:r>
            <w:r>
              <w:rPr>
                <w:rStyle w:val="IndexLink"/>
                <w:rtl w:val="true"/>
              </w:rPr>
              <w:t>الرابعة</w:t>
            </w:r>
            <w:r>
              <w:rPr>
                <w:rStyle w:val="IndexLink"/>
                <w:rtl w:val="true"/>
              </w:rPr>
              <w:t>» : [</w:t>
            </w:r>
            <w:r>
              <w:rPr>
                <w:rStyle w:val="IndexLink"/>
                <w:rtl w:val="true"/>
              </w:rPr>
              <w:t>حکم نذر الطواف علی اربع</w:t>
            </w:r>
            <w:r>
              <w:rPr>
                <w:rStyle w:val="IndexLink"/>
                <w:rtl w:val="true"/>
              </w:rPr>
              <w:t>]</w:t>
              <w:tab/>
            </w:r>
            <w:r>
              <w:rPr>
                <w:rStyle w:val="IndexLink"/>
              </w:rPr>
              <w:t>497</w:t>
            </w:r>
          </w:hyperlink>
        </w:p>
        <w:p>
          <w:pPr>
            <w:pStyle w:val="Contents5"/>
            <w:tabs>
              <w:tab w:val="clear" w:pos="7892"/>
              <w:tab w:val="right" w:pos="9026" w:leader="dot"/>
            </w:tabs>
            <w:rPr/>
          </w:pPr>
          <w:hyperlink w:anchor="__RefHeading___Toc2028143_2314609296">
            <w:r>
              <w:rPr>
                <w:webHidden/>
                <w:rStyle w:val="IndexLink"/>
                <w:rtl w:val="true"/>
              </w:rPr>
              <w:t>«</w:t>
            </w:r>
            <w:r>
              <w:rPr>
                <w:rStyle w:val="IndexLink"/>
                <w:rtl w:val="true"/>
              </w:rPr>
              <w:t>الخامسة</w:t>
            </w:r>
            <w:r>
              <w:rPr>
                <w:rStyle w:val="IndexLink"/>
                <w:rtl w:val="true"/>
              </w:rPr>
              <w:t>» : [</w:t>
            </w:r>
            <w:r>
              <w:rPr>
                <w:rStyle w:val="IndexLink"/>
                <w:rtl w:val="true"/>
              </w:rPr>
              <w:t xml:space="preserve">استحباب اکثار الطواف </w:t>
            </w:r>
            <w:r>
              <w:rPr>
                <w:rStyle w:val="IndexLink"/>
                <w:rtl w:val="true"/>
              </w:rPr>
              <w:t>]</w:t>
              <w:tab/>
            </w:r>
            <w:r>
              <w:rPr>
                <w:rStyle w:val="IndexLink"/>
              </w:rPr>
              <w:t>498</w:t>
            </w:r>
          </w:hyperlink>
        </w:p>
        <w:p>
          <w:pPr>
            <w:pStyle w:val="Contents5"/>
            <w:tabs>
              <w:tab w:val="clear" w:pos="7892"/>
              <w:tab w:val="right" w:pos="9026" w:leader="dot"/>
            </w:tabs>
            <w:rPr/>
          </w:pPr>
          <w:hyperlink w:anchor="__RefHeading___Toc2028145_2314609296">
            <w:r>
              <w:rPr>
                <w:webHidden/>
                <w:rStyle w:val="IndexLink"/>
                <w:rtl w:val="true"/>
              </w:rPr>
              <w:t>«</w:t>
            </w:r>
            <w:r>
              <w:rPr>
                <w:rStyle w:val="IndexLink"/>
                <w:rtl w:val="true"/>
              </w:rPr>
              <w:t>السادسة</w:t>
            </w:r>
            <w:r>
              <w:rPr>
                <w:rStyle w:val="IndexLink"/>
                <w:rtl w:val="true"/>
              </w:rPr>
              <w:t>» : [</w:t>
            </w:r>
            <w:r>
              <w:rPr>
                <w:rStyle w:val="IndexLink"/>
                <w:rtl w:val="true"/>
              </w:rPr>
              <w:t xml:space="preserve">حکم القران بین اسبوعین فی الطواف </w:t>
            </w:r>
            <w:r>
              <w:rPr>
                <w:rStyle w:val="IndexLink"/>
                <w:rtl w:val="true"/>
              </w:rPr>
              <w:t>]</w:t>
              <w:tab/>
            </w:r>
            <w:r>
              <w:rPr>
                <w:rStyle w:val="IndexLink"/>
              </w:rPr>
              <w:t>499</w:t>
            </w:r>
          </w:hyperlink>
        </w:p>
        <w:p>
          <w:pPr>
            <w:pStyle w:val="Contents4"/>
            <w:tabs>
              <w:tab w:val="clear" w:pos="8176"/>
              <w:tab w:val="right" w:pos="9026" w:leader="dot"/>
            </w:tabs>
            <w:rPr/>
          </w:pPr>
          <w:hyperlink w:anchor="__RefHeading___Toc2028147_2314609296">
            <w:r>
              <w:rPr>
                <w:webHidden/>
                <w:rStyle w:val="IndexLink"/>
                <w:rtl w:val="true"/>
              </w:rPr>
              <w:t>«</w:t>
            </w:r>
            <w:r>
              <w:rPr>
                <w:rStyle w:val="IndexLink"/>
                <w:rtl w:val="true"/>
              </w:rPr>
              <w:t>القول فی السعی والتقصیر</w:t>
            </w:r>
            <w:r>
              <w:rPr>
                <w:rStyle w:val="IndexLink"/>
                <w:rtl w:val="true"/>
              </w:rPr>
              <w:t>»</w:t>
              <w:tab/>
            </w:r>
            <w:r>
              <w:rPr>
                <w:rStyle w:val="IndexLink"/>
              </w:rPr>
              <w:t>500</w:t>
            </w:r>
          </w:hyperlink>
        </w:p>
        <w:p>
          <w:pPr>
            <w:pStyle w:val="Contents3"/>
            <w:tabs>
              <w:tab w:val="clear" w:pos="8459"/>
              <w:tab w:val="right" w:pos="9026" w:leader="dot"/>
            </w:tabs>
            <w:rPr/>
          </w:pPr>
          <w:hyperlink w:anchor="__RefHeading___Toc2028149_2314609296">
            <w:r>
              <w:rPr>
                <w:webHidden/>
                <w:rStyle w:val="IndexLink"/>
                <w:rtl w:val="true"/>
              </w:rPr>
              <w:t>«</w:t>
            </w:r>
            <w:r>
              <w:rPr>
                <w:rStyle w:val="IndexLink"/>
                <w:rtl w:val="true"/>
              </w:rPr>
              <w:t>الفصل الخامس</w:t>
            </w:r>
            <w:r>
              <w:rPr>
                <w:rStyle w:val="IndexLink"/>
                <w:rtl w:val="true"/>
              </w:rPr>
              <w:t>» «</w:t>
            </w:r>
            <w:r>
              <w:rPr>
                <w:rStyle w:val="IndexLink"/>
                <w:rtl w:val="true"/>
              </w:rPr>
              <w:t>فی أفعال الحجّ</w:t>
            </w:r>
            <w:r>
              <w:rPr>
                <w:rStyle w:val="IndexLink"/>
                <w:rtl w:val="true"/>
              </w:rPr>
              <w:t>»</w:t>
              <w:tab/>
            </w:r>
            <w:r>
              <w:rPr>
                <w:rStyle w:val="IndexLink"/>
              </w:rPr>
              <w:t>505</w:t>
            </w:r>
          </w:hyperlink>
        </w:p>
        <w:p>
          <w:pPr>
            <w:pStyle w:val="Contents4"/>
            <w:tabs>
              <w:tab w:val="clear" w:pos="8176"/>
              <w:tab w:val="right" w:pos="9026" w:leader="dot"/>
            </w:tabs>
            <w:rPr/>
          </w:pPr>
          <w:hyperlink w:anchor="__RefHeading___Toc2028151_2314609296">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2028153_2314609296">
            <w:r>
              <w:rPr>
                <w:webHidden/>
                <w:rStyle w:val="IndexLink"/>
                <w:rtl w:val="true"/>
              </w:rPr>
              <w:t>«</w:t>
            </w:r>
            <w:r>
              <w:rPr>
                <w:rStyle w:val="IndexLink"/>
                <w:rtl w:val="true"/>
              </w:rPr>
              <w:t>القول فی الإحرام والوقوفین</w:t>
            </w:r>
            <w:r>
              <w:rPr>
                <w:rStyle w:val="IndexLink"/>
                <w:rtl w:val="true"/>
              </w:rPr>
              <w:t>»</w:t>
              <w:tab/>
            </w:r>
            <w:r>
              <w:rPr>
                <w:rStyle w:val="IndexLink"/>
              </w:rPr>
              <w:t>505</w:t>
            </w:r>
          </w:hyperlink>
        </w:p>
        <w:p>
          <w:pPr>
            <w:pStyle w:val="Contents5"/>
            <w:tabs>
              <w:tab w:val="clear" w:pos="7892"/>
              <w:tab w:val="right" w:pos="9026" w:leader="dot"/>
            </w:tabs>
            <w:rPr/>
          </w:pPr>
          <w:hyperlink w:anchor="__RefHeading___Toc2028155_2314609296">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2028157_2314609296">
            <w:r>
              <w:rPr>
                <w:webHidden/>
                <w:rStyle w:val="IndexLink"/>
                <w:rtl w:val="true"/>
              </w:rPr>
              <w:t>«</w:t>
            </w:r>
            <w:r>
              <w:rPr>
                <w:rStyle w:val="IndexLink"/>
                <w:rtl w:val="true"/>
              </w:rPr>
              <w:t>مسائل</w:t>
            </w:r>
            <w:r>
              <w:rPr>
                <w:rStyle w:val="IndexLink"/>
                <w:rtl w:val="true"/>
              </w:rPr>
              <w:t>» :</w:t>
              <w:tab/>
            </w:r>
            <w:r>
              <w:rPr>
                <w:rStyle w:val="IndexLink"/>
              </w:rPr>
              <w:t>510</w:t>
            </w:r>
          </w:hyperlink>
        </w:p>
        <w:p>
          <w:pPr>
            <w:pStyle w:val="Contents4"/>
            <w:tabs>
              <w:tab w:val="clear" w:pos="8176"/>
              <w:tab w:val="right" w:pos="9026" w:leader="dot"/>
            </w:tabs>
            <w:rPr/>
          </w:pPr>
          <w:hyperlink w:anchor="__RefHeading___Toc2028159_2314609296">
            <w:r>
              <w:rPr>
                <w:webHidden/>
                <w:rStyle w:val="IndexLink"/>
                <w:rtl w:val="true"/>
              </w:rPr>
              <w:t>«</w:t>
            </w:r>
            <w:r>
              <w:rPr>
                <w:rStyle w:val="IndexLink"/>
                <w:rtl w:val="true"/>
              </w:rPr>
              <w:t>القول فی مناسک منی</w:t>
            </w:r>
            <w:r>
              <w:rPr>
                <w:rStyle w:val="IndexLink"/>
                <w:rtl w:val="true"/>
              </w:rPr>
              <w:t>»</w:t>
              <w:tab/>
            </w:r>
            <w:r>
              <w:rPr>
                <w:rStyle w:val="IndexLink"/>
              </w:rPr>
              <w:t>513</w:t>
            </w:r>
          </w:hyperlink>
        </w:p>
        <w:p>
          <w:pPr>
            <w:pStyle w:val="Contents4"/>
            <w:tabs>
              <w:tab w:val="clear" w:pos="8176"/>
              <w:tab w:val="right" w:pos="9026" w:leader="dot"/>
            </w:tabs>
            <w:rPr/>
          </w:pPr>
          <w:hyperlink w:anchor="__RefHeading___Toc2028161_2314609296">
            <w:r>
              <w:rPr>
                <w:webHidden/>
                <w:rStyle w:val="IndexLink"/>
                <w:rtl w:val="true"/>
              </w:rPr>
              <w:t>«</w:t>
            </w:r>
            <w:r>
              <w:rPr>
                <w:rStyle w:val="IndexLink"/>
                <w:rtl w:val="true"/>
              </w:rPr>
              <w:t>القول فی العود إلی مکّة للطوافین والسعی</w:t>
            </w:r>
            <w:r>
              <w:rPr>
                <w:rStyle w:val="IndexLink"/>
                <w:rtl w:val="true"/>
              </w:rPr>
              <w:t>»</w:t>
              <w:tab/>
            </w:r>
            <w:r>
              <w:rPr>
                <w:rStyle w:val="IndexLink"/>
              </w:rPr>
              <w:t>531</w:t>
            </w:r>
          </w:hyperlink>
        </w:p>
        <w:p>
          <w:pPr>
            <w:pStyle w:val="Contents4"/>
            <w:tabs>
              <w:tab w:val="clear" w:pos="8176"/>
              <w:tab w:val="right" w:pos="9026" w:leader="dot"/>
            </w:tabs>
            <w:rPr/>
          </w:pPr>
          <w:hyperlink w:anchor="__RefHeading___Toc2028163_2314609296">
            <w:r>
              <w:rPr>
                <w:webHidden/>
                <w:rStyle w:val="IndexLink"/>
                <w:rtl w:val="true"/>
              </w:rPr>
              <w:t>«</w:t>
            </w:r>
            <w:r>
              <w:rPr>
                <w:rStyle w:val="IndexLink"/>
                <w:rtl w:val="true"/>
              </w:rPr>
              <w:t>القول فی العود إلی منی</w:t>
            </w:r>
            <w:r>
              <w:rPr>
                <w:rStyle w:val="IndexLink"/>
                <w:rtl w:val="true"/>
              </w:rPr>
              <w:t>»</w:t>
              <w:tab/>
            </w:r>
            <w:r>
              <w:rPr>
                <w:rStyle w:val="IndexLink"/>
              </w:rPr>
              <w:t>532</w:t>
            </w:r>
          </w:hyperlink>
        </w:p>
        <w:p>
          <w:pPr>
            <w:pStyle w:val="Contents5"/>
            <w:tabs>
              <w:tab w:val="clear" w:pos="7892"/>
              <w:tab w:val="right" w:pos="9026" w:leader="dot"/>
            </w:tabs>
            <w:rPr/>
          </w:pPr>
          <w:hyperlink w:anchor="__RefHeading___Toc2028165_2314609296">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2028167_2314609296">
            <w:r>
              <w:rPr>
                <w:webHidden/>
                <w:rStyle w:val="IndexLink"/>
                <w:rtl w:val="true"/>
              </w:rPr>
              <w:t>[</w:t>
            </w:r>
            <w:r>
              <w:rPr>
                <w:rStyle w:val="IndexLink"/>
                <w:rtl w:val="true"/>
              </w:rPr>
              <w:t>استحباب العود الی مکة لطواف الوداع</w:t>
            </w:r>
            <w:r>
              <w:rPr>
                <w:rStyle w:val="IndexLink"/>
                <w:rtl w:val="true"/>
              </w:rPr>
              <w:t>]</w:t>
              <w:tab/>
            </w:r>
            <w:r>
              <w:rPr>
                <w:rStyle w:val="IndexLink"/>
              </w:rPr>
              <w:t>537</w:t>
            </w:r>
          </w:hyperlink>
        </w:p>
        <w:p>
          <w:pPr>
            <w:pStyle w:val="Contents5"/>
            <w:tabs>
              <w:tab w:val="clear" w:pos="7892"/>
              <w:tab w:val="right" w:pos="9026" w:leader="dot"/>
            </w:tabs>
            <w:rPr/>
          </w:pPr>
          <w:hyperlink w:anchor="__RefHeading___Toc2028169_2314609296">
            <w:r>
              <w:rPr>
                <w:webHidden/>
                <w:rStyle w:val="IndexLink"/>
                <w:rtl w:val="true"/>
              </w:rPr>
              <w:t>[</w:t>
            </w:r>
            <w:r>
              <w:rPr>
                <w:rStyle w:val="IndexLink"/>
                <w:rtl w:val="true"/>
              </w:rPr>
              <w:t xml:space="preserve">حرمة اخراج الملتجی الی الحرم </w:t>
            </w:r>
            <w:r>
              <w:rPr>
                <w:rStyle w:val="IndexLink"/>
                <w:rtl w:val="true"/>
              </w:rPr>
              <w:t>]</w:t>
              <w:tab/>
            </w:r>
            <w:r>
              <w:rPr>
                <w:rStyle w:val="IndexLink"/>
              </w:rPr>
              <w:t>540</w:t>
            </w:r>
          </w:hyperlink>
        </w:p>
        <w:p>
          <w:pPr>
            <w:pStyle w:val="Contents3"/>
            <w:tabs>
              <w:tab w:val="clear" w:pos="8459"/>
              <w:tab w:val="right" w:pos="9026" w:leader="dot"/>
            </w:tabs>
            <w:rPr/>
          </w:pPr>
          <w:hyperlink w:anchor="__RefHeading___Toc2028171_2314609296">
            <w:r>
              <w:rPr>
                <w:webHidden/>
                <w:rStyle w:val="IndexLink"/>
                <w:rtl w:val="true"/>
              </w:rPr>
              <w:t>«</w:t>
            </w:r>
            <w:r>
              <w:rPr>
                <w:rStyle w:val="IndexLink"/>
                <w:rtl w:val="true"/>
              </w:rPr>
              <w:t>الفصل السادس</w:t>
            </w:r>
            <w:r>
              <w:rPr>
                <w:rStyle w:val="IndexLink"/>
                <w:rtl w:val="true"/>
              </w:rPr>
              <w:t>» «</w:t>
            </w:r>
            <w:r>
              <w:rPr>
                <w:rStyle w:val="IndexLink"/>
                <w:rtl w:val="true"/>
              </w:rPr>
              <w:t>فی کفّارات الإحرام</w:t>
            </w:r>
            <w:r>
              <w:rPr>
                <w:rStyle w:val="IndexLink"/>
                <w:rtl w:val="true"/>
              </w:rPr>
              <w:t xml:space="preserve">» </w:t>
            </w:r>
            <w:r>
              <w:rPr>
                <w:rStyle w:val="IndexLink"/>
                <w:rtl w:val="true"/>
              </w:rPr>
              <w:t>اللاحقة بفعل شیء من محرّماته</w:t>
            </w:r>
            <w:r>
              <w:rPr>
                <w:rStyle w:val="IndexLink"/>
                <w:rtl w:val="true"/>
              </w:rPr>
              <w:tab/>
            </w:r>
            <w:r>
              <w:rPr>
                <w:rStyle w:val="IndexLink"/>
              </w:rPr>
              <w:t>542</w:t>
            </w:r>
          </w:hyperlink>
        </w:p>
        <w:p>
          <w:pPr>
            <w:pStyle w:val="Contents4"/>
            <w:tabs>
              <w:tab w:val="clear" w:pos="8176"/>
              <w:tab w:val="right" w:pos="9026" w:leader="dot"/>
            </w:tabs>
            <w:rPr/>
          </w:pPr>
          <w:hyperlink w:anchor="__RefHeading___Toc2028173_2314609296">
            <w:r>
              <w:rPr>
                <w:webHidden/>
                <w:rStyle w:val="IndexLink"/>
                <w:rtl w:val="true"/>
              </w:rPr>
              <w:t>اشارة</w:t>
            </w:r>
            <w:r>
              <w:rPr>
                <w:rStyle w:val="IndexLink"/>
                <w:rtl w:val="true"/>
              </w:rPr>
              <w:tab/>
            </w:r>
            <w:r>
              <w:rPr>
                <w:rStyle w:val="IndexLink"/>
              </w:rPr>
              <w:t>542</w:t>
            </w:r>
          </w:hyperlink>
        </w:p>
        <w:p>
          <w:pPr>
            <w:pStyle w:val="Contents4"/>
            <w:tabs>
              <w:tab w:val="clear" w:pos="8176"/>
              <w:tab w:val="right" w:pos="9026" w:leader="dot"/>
            </w:tabs>
            <w:rPr/>
          </w:pPr>
          <w:hyperlink w:anchor="__RefHeading___Toc2028175_2314609296">
            <w:r>
              <w:rPr>
                <w:webHidden/>
                <w:rStyle w:val="IndexLink"/>
                <w:rtl w:val="true"/>
              </w:rPr>
              <w:t>«</w:t>
            </w:r>
            <w:r>
              <w:rPr>
                <w:rStyle w:val="IndexLink"/>
                <w:rtl w:val="true"/>
              </w:rPr>
              <w:t>الأوّل فی</w:t>
            </w:r>
            <w:r>
              <w:rPr>
                <w:rStyle w:val="IndexLink"/>
                <w:rtl w:val="true"/>
              </w:rPr>
              <w:t xml:space="preserve">» </w:t>
            </w:r>
            <w:r>
              <w:rPr>
                <w:rStyle w:val="IndexLink"/>
                <w:rtl w:val="true"/>
              </w:rPr>
              <w:t xml:space="preserve">کفّارة </w:t>
            </w:r>
            <w:r>
              <w:rPr>
                <w:rStyle w:val="IndexLink"/>
                <w:rtl w:val="true"/>
              </w:rPr>
              <w:t>«</w:t>
            </w:r>
            <w:r>
              <w:rPr>
                <w:rStyle w:val="IndexLink"/>
                <w:rtl w:val="true"/>
              </w:rPr>
              <w:t>الصید</w:t>
            </w:r>
            <w:r>
              <w:rPr>
                <w:rStyle w:val="IndexLink"/>
                <w:rtl w:val="true"/>
              </w:rPr>
              <w:t>»</w:t>
              <w:tab/>
            </w:r>
            <w:r>
              <w:rPr>
                <w:rStyle w:val="IndexLink"/>
              </w:rPr>
              <w:t>542</w:t>
            </w:r>
          </w:hyperlink>
        </w:p>
        <w:p>
          <w:pPr>
            <w:pStyle w:val="Contents4"/>
            <w:tabs>
              <w:tab w:val="clear" w:pos="8176"/>
              <w:tab w:val="right" w:pos="9026" w:leader="dot"/>
            </w:tabs>
            <w:rPr/>
          </w:pPr>
          <w:hyperlink w:anchor="__RefHeading___Toc2028177_2314609296">
            <w:r>
              <w:rPr>
                <w:webHidden/>
                <w:rStyle w:val="IndexLink"/>
                <w:rtl w:val="true"/>
              </w:rPr>
              <w:t>«</w:t>
            </w:r>
            <w:r>
              <w:rPr>
                <w:rStyle w:val="IndexLink"/>
                <w:rtl w:val="true"/>
              </w:rPr>
              <w:t>البحث الثانی</w:t>
            </w:r>
            <w:r>
              <w:rPr>
                <w:rStyle w:val="IndexLink"/>
                <w:rtl w:val="true"/>
              </w:rPr>
              <w:t>» «</w:t>
            </w:r>
            <w:r>
              <w:rPr>
                <w:rStyle w:val="IndexLink"/>
                <w:rtl w:val="true"/>
              </w:rPr>
              <w:t>فی</w:t>
            </w:r>
            <w:r>
              <w:rPr>
                <w:rStyle w:val="IndexLink"/>
                <w:rtl w:val="true"/>
              </w:rPr>
              <w:t xml:space="preserve">» </w:t>
            </w:r>
            <w:r>
              <w:rPr>
                <w:rStyle w:val="IndexLink"/>
                <w:rtl w:val="true"/>
              </w:rPr>
              <w:t xml:space="preserve">کفّارة </w:t>
            </w:r>
            <w:r>
              <w:rPr>
                <w:rStyle w:val="IndexLink"/>
                <w:rtl w:val="true"/>
              </w:rPr>
              <w:t>«</w:t>
            </w:r>
            <w:r>
              <w:rPr>
                <w:rStyle w:val="IndexLink"/>
                <w:rtl w:val="true"/>
              </w:rPr>
              <w:t>باقی المحرّمات</w:t>
            </w:r>
            <w:r>
              <w:rPr>
                <w:rStyle w:val="IndexLink"/>
                <w:rtl w:val="true"/>
              </w:rPr>
              <w:t>»</w:t>
              <w:tab/>
            </w:r>
            <w:r>
              <w:rPr>
                <w:rStyle w:val="IndexLink"/>
              </w:rPr>
              <w:t>555</w:t>
            </w:r>
          </w:hyperlink>
        </w:p>
        <w:p>
          <w:pPr>
            <w:pStyle w:val="Contents3"/>
            <w:tabs>
              <w:tab w:val="clear" w:pos="8459"/>
              <w:tab w:val="right" w:pos="9026" w:leader="dot"/>
            </w:tabs>
            <w:rPr/>
          </w:pPr>
          <w:hyperlink w:anchor="__RefHeading___Toc2028179_2314609296">
            <w:r>
              <w:rPr>
                <w:webHidden/>
                <w:rStyle w:val="IndexLink"/>
                <w:rtl w:val="true"/>
              </w:rPr>
              <w:t>«</w:t>
            </w:r>
            <w:r>
              <w:rPr>
                <w:rStyle w:val="IndexLink"/>
                <w:rtl w:val="true"/>
              </w:rPr>
              <w:t>الفصل السابع</w:t>
            </w:r>
            <w:r>
              <w:rPr>
                <w:rStyle w:val="IndexLink"/>
                <w:rtl w:val="true"/>
              </w:rPr>
              <w:t>» «</w:t>
            </w:r>
            <w:r>
              <w:rPr>
                <w:rStyle w:val="IndexLink"/>
                <w:rtl w:val="true"/>
              </w:rPr>
              <w:t>فی الإحصار والصدّ</w:t>
            </w:r>
            <w:r>
              <w:rPr>
                <w:rStyle w:val="IndexLink"/>
                <w:rtl w:val="true"/>
              </w:rPr>
              <w:t>»</w:t>
              <w:tab/>
            </w:r>
            <w:r>
              <w:rPr>
                <w:rStyle w:val="IndexLink"/>
              </w:rPr>
              <w:t>566</w:t>
            </w:r>
          </w:hyperlink>
        </w:p>
        <w:p>
          <w:pPr>
            <w:pStyle w:val="Contents3"/>
            <w:tabs>
              <w:tab w:val="clear" w:pos="8459"/>
              <w:tab w:val="right" w:pos="9026" w:leader="dot"/>
            </w:tabs>
            <w:rPr/>
          </w:pPr>
          <w:hyperlink w:anchor="__RefHeading___Toc2028181_2314609296">
            <w:r>
              <w:rPr>
                <w:webHidden/>
                <w:rStyle w:val="IndexLink"/>
                <w:rtl w:val="true"/>
              </w:rPr>
              <w:t>«</w:t>
            </w:r>
            <w:r>
              <w:rPr>
                <w:rStyle w:val="IndexLink"/>
                <w:rtl w:val="true"/>
              </w:rPr>
              <w:t xml:space="preserve">خاتمة </w:t>
            </w:r>
            <w:r>
              <w:rPr>
                <w:rStyle w:val="IndexLink"/>
                <w:rtl w:val="true"/>
              </w:rPr>
              <w:t>[</w:t>
            </w:r>
            <w:r>
              <w:rPr>
                <w:rStyle w:val="IndexLink"/>
                <w:rtl w:val="true"/>
              </w:rPr>
              <w:t>موارد وجوب العمرة و استحبابها</w:t>
            </w:r>
            <w:r>
              <w:rPr>
                <w:rStyle w:val="IndexLink"/>
                <w:rtl w:val="true"/>
              </w:rPr>
              <w:t>] »</w:t>
              <w:tab/>
            </w:r>
            <w:r>
              <w:rPr>
                <w:rStyle w:val="IndexLink"/>
              </w:rPr>
              <w:t>571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06_203221"/>
      <w:bookmarkStart w:id="1" w:name="pg19806_203221"/>
      <w:bookmarkEnd w:id="1"/>
    </w:p>
    <w:p>
      <w:pPr>
        <w:pStyle w:val="Heading2"/>
        <w:numPr>
          <w:ilvl w:val="1"/>
          <w:numId w:val="1"/>
        </w:numPr>
        <w:rPr/>
      </w:pPr>
      <w:bookmarkStart w:id="2" w:name="pg19806_203221"/>
      <w:bookmarkStart w:id="3" w:name="__RefHeading___Toc2027707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 ، زین‌الدین‌بن علی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زین‌الدین العاملی ؛ المولف مجمع الفکر الاسلامی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‌۸۰۲۱۵۵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7709_2314609296"/>
      <w:bookmarkStart w:id="6" w:name="_Toc2"/>
      <w:bookmarkEnd w:id="5"/>
      <w:r>
        <w:rPr>
          <w:rtl w:val="true"/>
        </w:rPr>
        <w:t>اشارة</w:t>
      </w:r>
      <w:bookmarkStart w:id="7" w:name="pg19806_203227"/>
      <w:bookmarkEnd w:id="6"/>
    </w:p>
    <w:p>
      <w:pPr>
        <w:pStyle w:val="Heading2"/>
        <w:numPr>
          <w:ilvl w:val="1"/>
          <w:numId w:val="1"/>
        </w:numPr>
        <w:rPr/>
      </w:pPr>
      <w:bookmarkStart w:id="8" w:name="__RefHeading___Toc2027711_2314609296"/>
      <w:bookmarkStart w:id="9" w:name="_Toc3"/>
      <w:bookmarkEnd w:id="7"/>
      <w:bookmarkEnd w:id="8"/>
      <w:r>
        <w:rPr>
          <w:rtl w:val="true"/>
        </w:rPr>
        <w:t>مقدمة الناشر</w:t>
      </w:r>
      <w:bookmarkEnd w:id="9"/>
    </w:p>
    <w:p>
      <w:pPr>
        <w:pStyle w:val="Heading3"/>
        <w:numPr>
          <w:ilvl w:val="2"/>
          <w:numId w:val="1"/>
        </w:numPr>
        <w:rPr/>
      </w:pPr>
      <w:bookmarkStart w:id="10" w:name="__RefHeading___Toc2027713_2314609296"/>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للّٰه‌علی نعمائه وآلائه، والصلاة والسلام علی رسله وأنبیائه ولا سیّما سیّدهم وخاتمهم محمّد المصطفی، وعلی آله المطهّرین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 الباحثین سعة الفقه الشیعی الإمامی وشمولیّته ودقّته بالرغم من کلّ الصعوبات والتحدّیات التی واجهها من قبل السلطات الحاکمة علی طول التاریخ؛ ولممیّزاته الخاصّة وقف شامخاً أمامها وأمام المدارس الفقهیّة الاُخری بل والمدارس الوضعیّة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للتطوّر السریع فی نواحی الحیاة کافّة جاءت الحاجة إلی حرکة جدیدة فی عرض التراث الفقهی بما یواکب روح هذا العصر وذوقه لیوطّد الأواصر بینه وبین القرّاء والباحثین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شهدت ساحة التحقیق والتألیف الفقهی فی السنوات الأخیرة نهضة سریعة ساهم فیها مجمع الفکر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نشاطاته الاُخری فی حقول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إسهاماً بارزاً یُکشف من خلال مجموعة آثار انبثقت عنه، نذکر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 تراث الشیخ الأعظم الأنصاری قدس سره، وتحقیق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لعلمین من أعلام الفقه</w:t>
      </w:r>
    </w:p>
    <w:p>
      <w:pPr>
        <w:pStyle w:val="BookText"/>
        <w:rPr/>
      </w:pPr>
      <w:r>
        <w:rPr>
          <w:rFonts w:ascii="IRNazanin" w:hAnsi="IRNazanin" w:eastAsia="IRNazanin"/>
          <w:color w:val="111111"/>
          <w:sz w:val="28"/>
          <w:sz w:val="28"/>
          <w:szCs w:val="28"/>
          <w:rtl w:val="true"/>
          <w:lang w:bidi="fa-IR"/>
        </w:rPr>
        <w:t>الإمامی هما الشهیدان رضوان اللّٰه تعالی علیهما اللذان لهما الفضل الکبیر فی تنمیة هذا العلم وإعلاء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تحقیق وطبع الکتاب بسعی واهتمام بعض العلماء إلّاأنّ اُسرة المجمع رأت تجدید تحقیقه وطبعه لدواعٍ سیتبیّنها القارئ عند مراجعته، وسنشیر إلیها عند الحدیث عن ممیّزات تحقیقنا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فنشکر جمیع من ساهم فی تحقیق وإخراج الکتاب، ونسأل اللّٰه تعالی أن یمنّ علیهم وعلینا بمزید من التوفیق فی خدمة الدین الحنیف، إنّه خیر معین</w:t>
      </w:r>
      <w:r>
        <w:rPr>
          <w:rFonts w:eastAsia="IRNazanin" w:cs="IRNazanin"/>
          <w:color w:val="111111"/>
          <w:sz w:val="28"/>
          <w:szCs w:val="28"/>
          <w:rtl w:val="true"/>
          <w:lang w:bidi="fa-IR"/>
        </w:rPr>
        <w:t>.</w:t>
      </w:r>
      <w:bookmarkStart w:id="12" w:name="pg19806_203229"/>
    </w:p>
    <w:p>
      <w:pPr>
        <w:pStyle w:val="Heading3"/>
        <w:numPr>
          <w:ilvl w:val="2"/>
          <w:numId w:val="1"/>
        </w:numPr>
        <w:rPr/>
      </w:pPr>
      <w:bookmarkStart w:id="13" w:name="__RefHeading___Toc2027715_2314609296"/>
      <w:bookmarkStart w:id="14" w:name="_Toc5"/>
      <w:bookmarkEnd w:id="12"/>
      <w:bookmarkEnd w:id="13"/>
      <w:r>
        <w:rPr>
          <w:rtl w:val="true"/>
        </w:rPr>
        <w:t>الشهید الأوّل</w:t>
      </w:r>
      <w:bookmarkEnd w:id="14"/>
    </w:p>
    <w:p>
      <w:pPr>
        <w:pStyle w:val="Heading4"/>
        <w:numPr>
          <w:ilvl w:val="3"/>
          <w:numId w:val="1"/>
        </w:numPr>
        <w:rPr/>
      </w:pPr>
      <w:bookmarkStart w:id="15" w:name="__RefHeading___Toc2027717_2314609296"/>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أبو عبد اللّٰه شمس الدین محمّد بن مکّی العاملی </w:t>
      </w:r>
      <w:r>
        <w:rPr>
          <w:rStyle w:val="FootnoteAnchor"/>
          <w:rtl w:val="true"/>
        </w:rPr>
        <w:footnoteReference w:id="2"/>
      </w:r>
      <w:r>
        <w:rPr>
          <w:rFonts w:ascii="IRNazanin" w:hAnsi="IRNazanin" w:eastAsia="IRNazanin"/>
          <w:color w:val="111111"/>
          <w:sz w:val="28"/>
          <w:sz w:val="28"/>
          <w:szCs w:val="28"/>
          <w:rtl w:val="true"/>
          <w:lang w:bidi="fa-IR"/>
        </w:rPr>
        <w:t xml:space="preserve">، المعروف بالشهید، والشهید الأوّل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جزین بجبل عامل فی لبنان سنة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
      </w:r>
      <w:r>
        <w:rPr>
          <w:rFonts w:ascii="IRNazanin" w:hAnsi="IRNazanin" w:eastAsia="IRNazanin"/>
          <w:color w:val="111111"/>
          <w:sz w:val="28"/>
          <w:sz w:val="28"/>
          <w:szCs w:val="28"/>
          <w:rtl w:val="true"/>
          <w:lang w:bidi="fa-IR"/>
        </w:rPr>
        <w:t>، فی بیت علمٍ وتقوی، وکان والده من علماء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شوطاً علمیّاً فی بلده، ورحل إلی کثیر من معاهد العلم فی الأقطار الإسلامیّة،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الحلّة، وبغداد، ودمشق، ومکّة المکرّمة، والمدینة المنوّرة، وبیت المقدس، والخلیل، ومصر، والتقی علماءها، إلّاأ نّه بقی فی الحلّة أکثر من غیرها علی ما یبدو؛ لأنّها کانت معهداً کبیراً للعلوم الإسلامیّة، وخاصّة فی المذهب الشیعی الإمامی، وقد تخرّج فیها کبار فقهائهم،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والمحقّق، والعلّامة الحلّی وولده فخر الدین، وغیرهم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أدرک جماعة من تلامذة العلّامة الحلّی، وکان أفضلهم ولده فخر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فتربّی علی یدیه تربیة علمیّة وروحیّة عالیة جدّاً، وکانت للشهید منزلة عظیمة عنده، حتّی قال فی إجازته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الإمام العلّامة</w:t>
      </w:r>
    </w:p>
    <w:p>
      <w:pPr>
        <w:pStyle w:val="BookText"/>
        <w:rPr/>
      </w:pPr>
      <w:r>
        <w:rPr>
          <w:rFonts w:ascii="IRNazanin" w:hAnsi="IRNazanin" w:eastAsia="IRNazanin"/>
          <w:color w:val="111111"/>
          <w:sz w:val="28"/>
          <w:sz w:val="28"/>
          <w:szCs w:val="28"/>
          <w:rtl w:val="true"/>
          <w:lang w:bidi="fa-IR"/>
        </w:rPr>
        <w:t>الأعظم، أفضل علماء العالم، سیّد فضلاء بنی آدم، مولانا شمس الحقّ والدین محمّد بن مکّی بن محمّد بن حامد أدام اللّٰه أیّامه</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استفدت منه أکثر ممّا استفاد منّی</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الدین بمکانته العلمیّة وورعه وتقواه لا یقول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امتاز الشهید الأوّل بدقّة نظره وعمقه، وإحاطته بالفروع الفقهیّة ومصادرها من الکتاب والسنّة، وترکیزه فی کتبه الفقهیّة علی الفقه الإمامی رغم إحاطته الکاملة بفقه سائر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ممیّزاته أیضاً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علی کثیر من القواعد الفقهیّة، والاُصولیّة، وقواعد اللغة، وقد أشار إلیه فی إجازته لابن الخازن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یعمل للأصحاب مثله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وحذا حذوه تلمیذه الفاضل المقداد فنظمه وسمّاه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والشهید الثانی فأ 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هکذا من تأخّر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وتخرّج علیه جماعة من العلماء والفقهاء متأثّرین بمنهجه فی بحوثه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تفوّقه علی الفقه والاُصول، بل امتدّ إلی سائر حقول المعرفة الإسلامیّة والأدبیّة، کما یظهر لمن تتبّع ذلک فی تألیفاته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واعترف بفضله وتفوّقه کلّ من ترجم له، فقال عنه أحد مشایخه من العامّة، وهو شمس الدین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الشیعة والمجتهد فی مذهبهم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وإمام فی الفقه،</w:t>
      </w:r>
      <w:bookmarkStart w:id="17" w:name="pg19806_203231"/>
    </w:p>
    <w:p>
      <w:pPr>
        <w:pStyle w:val="BookText"/>
        <w:rPr/>
      </w:pPr>
      <w:bookmarkEnd w:id="17"/>
      <w:r>
        <w:rPr>
          <w:rFonts w:ascii="IRNazanin" w:hAnsi="IRNazanin" w:eastAsia="IRNazanin"/>
          <w:color w:val="111111"/>
          <w:sz w:val="28"/>
          <w:sz w:val="28"/>
          <w:szCs w:val="28"/>
          <w:rtl w:val="true"/>
          <w:lang w:bidi="fa-IR"/>
        </w:rPr>
        <w:t>والنحو، والقراءة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صحبنی مدّة مدیدة فلم أسمع منه ما یخالف السنّة</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العلماء، علم الفقهاء، قدوة المحقّقین والمدقّقین، أفضل المتقدّمین والمتأخّرین</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الرئیس الفائق بتحقیقاته علی جمیع المتقدّمین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وبمثل هذه التعبیرات ترجمه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 فی آخر حیاته بموطنه جزین مشتغلاً بتربیة جیل من العلماء ومزاولة نشاطاته الاجتماعیّة والفکریّة والثقافیّة العامّة رغم صعوبة الظروف السیاسیّة التی کانت تحکم المنطقة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وعوامل اُخری حیکت ضدّه مؤامرات من قبل حاسدیه، وتعرّض لمضایقة السلطات ومراقبتها وفرضت علیه الإقامة الجبریّة مدّة عام واحد، استشهد فی التاسع من جمادی الاُولی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ثمّ صُلب ثمّ اُحرق بأمر الحاکم فی دمشق من قبل برقوق أحد ممالیک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السلام والرحمة والرضوان یوم ولد، ویوم استشهد، ویوم یبعث حیّاً</w:t>
      </w:r>
      <w:r>
        <w:rPr>
          <w:rFonts w:eastAsia="IRNazanin" w:cs="IRNazanin"/>
          <w:color w:val="111111"/>
          <w:sz w:val="28"/>
          <w:szCs w:val="28"/>
          <w:rtl w:val="true"/>
          <w:lang w:bidi="fa-IR"/>
        </w:rPr>
        <w:t>.</w:t>
      </w:r>
    </w:p>
    <w:p>
      <w:pPr>
        <w:pStyle w:val="Heading4"/>
        <w:numPr>
          <w:ilvl w:val="3"/>
          <w:numId w:val="1"/>
        </w:numPr>
        <w:rPr/>
      </w:pPr>
      <w:bookmarkStart w:id="18" w:name="__RefHeading___Toc2027719_2314609296"/>
      <w:bookmarkStart w:id="19" w:name="_Toc7"/>
      <w:bookmarkEnd w:id="18"/>
      <w:r>
        <w:rPr>
          <w:rtl w:val="true"/>
        </w:rPr>
        <w:t>أساتذته ومشایخه فی الروایة</w:t>
      </w:r>
      <w:r>
        <w:rPr>
          <w:rtl w:val="true"/>
        </w:rPr>
        <w:t>:</w:t>
      </w:r>
      <w:bookmarkEnd w:id="19"/>
    </w:p>
    <w:p>
      <w:pPr>
        <w:pStyle w:val="BookText"/>
        <w:rPr/>
      </w:pPr>
      <w:r>
        <w:rPr>
          <w:rFonts w:ascii="IRNazanin" w:hAnsi="IRNazanin" w:eastAsia="IRNazanin"/>
          <w:color w:val="111111"/>
          <w:sz w:val="28"/>
          <w:sz w:val="28"/>
          <w:szCs w:val="28"/>
          <w:rtl w:val="true"/>
          <w:lang w:bidi="fa-IR"/>
        </w:rPr>
        <w:t>أخذ وروی عن کبار علماء الشیعة وأهل السنّة فی مختلف البلاد، وأجازه عدیدون، فمن الإمامیّة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المحقّقین محمّد بن حسن بن یوسف الحلّی، ولد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أجازه فی الحلّة سنة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0" w:name="pg19806_203232"/>
    </w:p>
    <w:p>
      <w:pPr>
        <w:pStyle w:val="BookText"/>
        <w:rPr/>
      </w:pPr>
      <w:bookmarkEnd w:id="2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عمید الدین عبد المطّلب بن الأعرج الحسینی، ابن اُخت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أجازه فی کربلاء والحلّة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تاج الدین محمّد بن القاسم المعروف بابن مُعَیّة الدیباجی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أجازه فی الحلّة سنة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قطب الدین الرازی البویهی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اتّفق اجتماع قطب الدین معه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بدمشق وأجازه فی السنة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أحمد بن طرّاد المطارآبادی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جمال الدین أحمد الحلّی المعروف بابن المزیدی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أبی إبراهیم محمّد بن زهرة الحلبی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أحمد بن أبی المعالی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السنّة نحو أربعین شیخاً فی مکّة والمدینة وبغداد ودمشق وبیت المقدس،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جماعة وقاضی القضاة عبد العزیز بن جماعة وعبد الصمد بن خلیل البغدادی</w:t>
      </w:r>
      <w:r>
        <w:rPr>
          <w:rFonts w:eastAsia="IRNazanin" w:cs="IRNazanin"/>
          <w:color w:val="111111"/>
          <w:sz w:val="28"/>
          <w:szCs w:val="28"/>
          <w:rtl w:val="true"/>
          <w:lang w:bidi="fa-IR"/>
        </w:rPr>
        <w:t>.</w:t>
      </w:r>
    </w:p>
    <w:p>
      <w:pPr>
        <w:pStyle w:val="Heading4"/>
        <w:numPr>
          <w:ilvl w:val="3"/>
          <w:numId w:val="1"/>
        </w:numPr>
        <w:rPr/>
      </w:pPr>
      <w:bookmarkStart w:id="21" w:name="__RefHeading___Toc2027721_2314609296"/>
      <w:bookmarkStart w:id="22" w:name="_Toc8"/>
      <w:bookmarkEnd w:id="21"/>
      <w:r>
        <w:rPr>
          <w:rtl w:val="true"/>
        </w:rPr>
        <w:t>تلامذته والراوون عنه</w:t>
      </w:r>
      <w:r>
        <w:rPr>
          <w:rtl w:val="true"/>
        </w:rPr>
        <w:t>:</w:t>
      </w:r>
      <w:bookmarkEnd w:id="22"/>
    </w:p>
    <w:p>
      <w:pPr>
        <w:pStyle w:val="BookText"/>
        <w:rPr/>
      </w:pPr>
      <w:r>
        <w:rPr>
          <w:rFonts w:ascii="IRNazanin" w:hAnsi="IRNazanin" w:eastAsia="IRNazanin"/>
          <w:color w:val="111111"/>
          <w:sz w:val="28"/>
          <w:sz w:val="28"/>
          <w:szCs w:val="28"/>
          <w:rtl w:val="true"/>
          <w:lang w:bidi="fa-IR"/>
        </w:rPr>
        <w:t>استقلّ الشهید الأوّل بالتدریس فی الحلّة وجزین، کما مارسه فی رحلاته إلی الحجاز ومصر وسوریة وفلسطین، فقرأ علیه وروی عنه علماء کثیرون، منهم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23" w:name="pg19806_203233"/>
    </w:p>
    <w:p>
      <w:pPr>
        <w:pStyle w:val="BookText"/>
        <w:rPr/>
      </w:pPr>
      <w:bookmarkEnd w:id="2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العلی بن نجدة الکرکی، أجازه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بن محمّد الخازن الحائری، أجازه فی دمشق سنة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موسی بن الضحّاک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بشارة العاملی الشقراوی الحنّاط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 بن حسین الکروانی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هلال الکرکی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زهرة الحسینی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بن محمّد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الحسن فاطمة بنت الشهید الملقّبة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المشایخ</w:t>
      </w:r>
      <w:r>
        <w:rPr>
          <w:rFonts w:eastAsia="IRNazanin" w:cs="IRNazanin"/>
          <w:color w:val="111111"/>
          <w:sz w:val="28"/>
          <w:szCs w:val="28"/>
          <w:rtl w:val="true"/>
          <w:lang w:bidi="fa-IR"/>
        </w:rPr>
        <w:t>) .</w:t>
      </w:r>
    </w:p>
    <w:p>
      <w:pPr>
        <w:pStyle w:val="Heading4"/>
        <w:numPr>
          <w:ilvl w:val="3"/>
          <w:numId w:val="1"/>
        </w:numPr>
        <w:rPr/>
      </w:pPr>
      <w:bookmarkStart w:id="24" w:name="__RefHeading___Toc2027723_2314609296"/>
      <w:bookmarkStart w:id="25" w:name="_Toc9"/>
      <w:bookmarkEnd w:id="24"/>
      <w:r>
        <w:rPr>
          <w:rtl w:val="true"/>
        </w:rPr>
        <w:t>مؤلّفاته</w:t>
      </w:r>
      <w:r>
        <w:rPr>
          <w:rtl w:val="true"/>
        </w:rPr>
        <w:t>:</w:t>
      </w:r>
      <w:bookmarkEnd w:id="25"/>
    </w:p>
    <w:p>
      <w:pPr>
        <w:pStyle w:val="BookText"/>
        <w:rPr/>
      </w:pPr>
      <w:r>
        <w:rPr>
          <w:rFonts w:ascii="IRNazanin" w:hAnsi="IRNazanin" w:eastAsia="IRNazanin"/>
          <w:color w:val="111111"/>
          <w:sz w:val="28"/>
          <w:sz w:val="28"/>
          <w:szCs w:val="28"/>
          <w:rtl w:val="true"/>
          <w:lang w:bidi="fa-IR"/>
        </w:rPr>
        <w:t>أ لّف الشهید الأوّل فی غضون عمره القصیر کتباً ورسائل کثیرة فی مختلف العلوم الإسلامیّة کالفقه والاُصول والحدیث والکلام، وفیما یلی سرد بأسمائها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ابن نجم الدین الأطراوی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الفاضل المقداد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الأموات من الوصیّة إلی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الباقیات الصالحات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 من فوائد الشرحین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إبداع السفر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الاعتبار فی الحجّ والاعتمار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 فی فقه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الألفیّة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النفلیّة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الشهفینی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 فی شرح نکت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 فی فقه الإمامیّة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الأربعینیّة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التکلیفیّة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بأربع وعشرین خصلة</w:t>
      </w:r>
      <w:r>
        <w:rPr>
          <w:rFonts w:eastAsia="IRNazanin" w:cs="IRNazanin"/>
          <w:color w:val="111111"/>
          <w:sz w:val="28"/>
          <w:szCs w:val="28"/>
          <w:rtl w:val="true"/>
          <w:lang w:bidi="fa-IR"/>
        </w:rPr>
        <w:t>.</w:t>
      </w:r>
      <w:bookmarkStart w:id="26" w:name="pg19806_203235"/>
    </w:p>
    <w:p>
      <w:pPr>
        <w:pStyle w:val="Heading4"/>
        <w:numPr>
          <w:ilvl w:val="3"/>
          <w:numId w:val="1"/>
        </w:numPr>
        <w:rPr/>
      </w:pPr>
      <w:bookmarkStart w:id="27" w:name="__RefHeading___Toc2027725_2314609296"/>
      <w:bookmarkStart w:id="28" w:name="_Toc10"/>
      <w:bookmarkEnd w:id="26"/>
      <w:bookmarkEnd w:id="27"/>
      <w:r>
        <w:rPr>
          <w:rtl w:val="true"/>
        </w:rPr>
        <w:t>اللمعة الدمشقیّة</w:t>
      </w:r>
      <w:r>
        <w:rPr>
          <w:rtl w:val="true"/>
        </w:rPr>
        <w:t>:</w:t>
      </w:r>
      <w:bookmarkEnd w:id="28"/>
    </w:p>
    <w:p>
      <w:pPr>
        <w:pStyle w:val="BookText"/>
        <w:rPr/>
      </w:pPr>
      <w:r>
        <w:rPr>
          <w:rFonts w:ascii="IRNazanin" w:hAnsi="IRNazanin" w:eastAsia="IRNazanin"/>
          <w:color w:val="111111"/>
          <w:sz w:val="28"/>
          <w:sz w:val="28"/>
          <w:szCs w:val="28"/>
          <w:rtl w:val="true"/>
          <w:lang w:bidi="fa-IR"/>
        </w:rPr>
        <w:t>کتاب فقهی یشمل جمیع الأبواب الفقهیّة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لّفه الشهید الأوّل فی سبعة أیّام </w:t>
      </w:r>
      <w:r>
        <w:rPr>
          <w:rStyle w:val="FootnoteAnchor"/>
          <w:rtl w:val="true"/>
        </w:rPr>
        <w:footnoteReference w:id="11"/>
      </w:r>
      <w:r>
        <w:rPr>
          <w:rFonts w:ascii="IRNazanin" w:hAnsi="IRNazanin" w:eastAsia="IRNazanin"/>
          <w:color w:val="111111"/>
          <w:sz w:val="28"/>
          <w:sz w:val="28"/>
          <w:szCs w:val="28"/>
          <w:rtl w:val="true"/>
          <w:lang w:bidi="fa-IR"/>
        </w:rPr>
        <w:t>ولم یکن عنده غیر المختصر النافع للمحقّق الحلّی، فجاء متّسماً بالإحاطة والاستیعاب والاختصار وحسن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یمتاز الکتاب بالعمق والمتانة؛ لأنّ الشهید أ لّفه فی اُخریات حیاته؛ ولذلک حظی باستقبال وافرٍ من قِبل العلماء، کانت حصیلته شروحاً وتعالیق کثیرة من أهمّها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w:t>
      </w:r>
    </w:p>
    <w:p>
      <w:pPr>
        <w:pStyle w:val="Heading3"/>
        <w:numPr>
          <w:ilvl w:val="2"/>
          <w:numId w:val="1"/>
        </w:numPr>
        <w:rPr/>
      </w:pPr>
      <w:bookmarkStart w:id="29" w:name="__RefHeading___Toc2027727_2314609296"/>
      <w:bookmarkStart w:id="30" w:name="_Toc11"/>
      <w:bookmarkEnd w:id="29"/>
      <w:r>
        <w:rPr>
          <w:rtl w:val="true"/>
        </w:rPr>
        <w:t>الشهید الثانی</w:t>
      </w:r>
      <w:bookmarkEnd w:id="30"/>
    </w:p>
    <w:p>
      <w:pPr>
        <w:pStyle w:val="Heading4"/>
        <w:numPr>
          <w:ilvl w:val="3"/>
          <w:numId w:val="1"/>
        </w:numPr>
        <w:rPr/>
      </w:pPr>
      <w:bookmarkStart w:id="31" w:name="__RefHeading___Toc2027729_2314609296"/>
      <w:bookmarkStart w:id="32" w:name="_Toc12"/>
      <w:bookmarkEnd w:id="31"/>
      <w:r>
        <w:rPr>
          <w:rtl w:val="true"/>
        </w:rPr>
        <w:t>اشارة</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زین الدین بن علی بن أحمد العاملی المعروف بالشهید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بقریة جبع من قری جبل عامل فی لبنان </w:t>
      </w:r>
      <w:r>
        <w:rPr>
          <w:rStyle w:val="FootnoteAnchor"/>
          <w:rtl w:val="true"/>
        </w:rPr>
        <w:footnoteReference w:id="12"/>
      </w:r>
      <w:r>
        <w:rPr>
          <w:rFonts w:ascii="IRNazanin" w:hAnsi="IRNazanin" w:eastAsia="IRNazanin"/>
          <w:color w:val="111111"/>
          <w:sz w:val="28"/>
          <w:sz w:val="28"/>
          <w:szCs w:val="28"/>
          <w:rtl w:val="true"/>
          <w:lang w:bidi="fa-IR"/>
        </w:rPr>
        <w:t>فی بیت سادة العلم والتقوی عدّة قرون قبل ولادته وبعدها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علوم اللغة والأدب العربی والفقه علی والده إلی أن توفّی سنة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3"/>
      </w:r>
      <w:r>
        <w:rPr>
          <w:rFonts w:ascii="IRNazanin" w:hAnsi="IRNazanin" w:eastAsia="IRNazanin"/>
          <w:color w:val="111111"/>
          <w:sz w:val="28"/>
          <w:sz w:val="28"/>
          <w:szCs w:val="28"/>
          <w:rtl w:val="true"/>
          <w:lang w:bidi="fa-IR"/>
        </w:rPr>
        <w:t>، ثمّ انتقل إلی میس لیتمّ دراسته عند الشیخ علی بن عبد العالی الکرکی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غادرها إلی کرک نوح، ثمّ رجع إلی موطنه، ثمّ غادره إلی دمشق، ثمّ عاد إلی موطنه، وهکذا کانت له رحلات إلی مصر، ومکّة المکرّمة، والمدینة المنوّرة، والقسطنطینیّة، والعتبات المقدّسة فی العراق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والتقی العلماء فی کلّ هذه المواطن وشاهد منهم التکریم والحفاوة البالغة، وتعرّف المناهج الدراسیّة السائدة فیها؛ ولذلک کلّه وغیره امتاز الشهید الثانی بکونه موسوعیّاً فی دراسته، استوعب کثیراً من معارف عصره وثقافته، کالأدب العربی، والفقه، والاُصول، والفلسفة، والتفسیر، والریاضیّات، وغیرها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له إحاطة کاملة بسائر المذاهب الإسلامیّة، بل کان یدرّسها فی بعلبک بعد رجوعه من القسطنطینیّة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کان سبباً فی امتیاز الشهید الثانی بالعمق فی الفکرة والوضوح فی التعبیر، والسلاسة فی صیاغة الألفاظ، وحسن السلیقة فی التبویب، مضافاً إلی التنوّع فی کتاباته ومؤلّفاته، مع ما کان علیه من الخوف والقلق من سفک دمه علی</w:t>
      </w:r>
      <w:bookmarkStart w:id="33" w:name="pg19806_203237"/>
    </w:p>
    <w:p>
      <w:pPr>
        <w:pStyle w:val="BookText"/>
        <w:rPr/>
      </w:pPr>
      <w:bookmarkEnd w:id="33"/>
      <w:r>
        <w:rPr>
          <w:rFonts w:ascii="IRNazanin" w:hAnsi="IRNazanin" w:eastAsia="IRNazanin"/>
          <w:color w:val="111111"/>
          <w:sz w:val="28"/>
          <w:sz w:val="28"/>
          <w:szCs w:val="28"/>
          <w:rtl w:val="true"/>
          <w:lang w:bidi="fa-IR"/>
        </w:rPr>
        <w:t>أیدی الطغاة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غرو أن یقول فیه الحرّ العاملی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فقیهاً نحویّاً قارئاً متکلّماً حکیماً جامعاً لفنون العلم، وهو أوّل من صنّف من الإمامیّة فی درایة الحدیث</w:t>
      </w:r>
      <w:r>
        <w:rPr>
          <w:rFonts w:eastAsia="Amiri" w:cs="Amiri" w:ascii="Amiri" w:hAnsi="Amiri"/>
          <w:color w:val="111111"/>
          <w:sz w:val="28"/>
          <w:szCs w:val="28"/>
          <w:rtl w:val="true"/>
          <w:lang w:bidi="ar-SA"/>
        </w:rPr>
        <w:t xml:space="preserve">. .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هکذا عاش الشهید حیاته التی لم تتجاوز العقد السادس حتّی حیکت له مؤامرة کما حیکت للشهید الأوّل من ذی قبل، فاُخذ من مکّة المکرّمة مخفوراً إلی مرکز الحکومة العثمانیّة، واستشهد فی الطریق </w:t>
      </w:r>
      <w:r>
        <w:rPr>
          <w:rStyle w:val="FootnoteAnchor"/>
          <w:rtl w:val="true"/>
        </w:rPr>
        <w:footnoteReference w:id="18"/>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فالسلام علیه والرحمة والرضوان یوم ولد ویوم استشهد ویوم یُبعث حیّاً</w:t>
      </w:r>
      <w:r>
        <w:rPr>
          <w:rFonts w:eastAsia="IRNazanin" w:cs="IRNazanin"/>
          <w:color w:val="111111"/>
          <w:sz w:val="28"/>
          <w:szCs w:val="28"/>
          <w:rtl w:val="true"/>
          <w:lang w:bidi="fa-IR"/>
        </w:rPr>
        <w:t>.</w:t>
      </w:r>
    </w:p>
    <w:p>
      <w:pPr>
        <w:pStyle w:val="Heading4"/>
        <w:numPr>
          <w:ilvl w:val="3"/>
          <w:numId w:val="1"/>
        </w:numPr>
        <w:rPr/>
      </w:pPr>
      <w:bookmarkStart w:id="34" w:name="__RefHeading___Toc2027731_2314609296"/>
      <w:bookmarkStart w:id="35" w:name="_Toc13"/>
      <w:bookmarkEnd w:id="34"/>
      <w:r>
        <w:rPr>
          <w:rtl w:val="true"/>
        </w:rPr>
        <w:t>أساتذته</w:t>
      </w:r>
      <w:r>
        <w:rPr>
          <w:rtl w:val="true"/>
        </w:rPr>
        <w:t>:</w:t>
      </w:r>
      <w:bookmarkEnd w:id="35"/>
    </w:p>
    <w:p>
      <w:pPr>
        <w:pStyle w:val="BookText"/>
        <w:rPr/>
      </w:pPr>
      <w:r>
        <w:rPr>
          <w:rFonts w:ascii="IRNazanin" w:hAnsi="IRNazanin" w:eastAsia="IRNazanin"/>
          <w:color w:val="111111"/>
          <w:sz w:val="28"/>
          <w:sz w:val="28"/>
          <w:szCs w:val="28"/>
          <w:rtl w:val="true"/>
          <w:lang w:bidi="fa-IR"/>
        </w:rPr>
        <w:t>قرأ قدس سره مختلف العلوم من فقه وحدیث وکلام وفلسفة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علماء کثیرین من الشیعة وأهل السنّة تجاوز عددهم العشرین، ومنحه أغلبهم إجازة الروایة عنه، 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علیّ بن أحمد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العالی المیسی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بن جعفر الأعرجی الکرکی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الرملی الشافعی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البکری</w:t>
      </w:r>
      <w:r>
        <w:rPr>
          <w:rFonts w:eastAsia="IRNazanin" w:cs="IRNazanin"/>
          <w:color w:val="111111"/>
          <w:sz w:val="28"/>
          <w:szCs w:val="28"/>
          <w:rtl w:val="true"/>
          <w:lang w:bidi="fa-IR"/>
        </w:rPr>
        <w:t>.</w:t>
      </w:r>
      <w:bookmarkStart w:id="36" w:name="pg19806_203238"/>
    </w:p>
    <w:p>
      <w:pPr>
        <w:pStyle w:val="BookText"/>
        <w:rPr/>
      </w:pPr>
      <w:bookmarkEnd w:id="3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بن طولون الدمشقی الشافعی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الدین محمّد بن مکّی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بن النجّار الحنفی</w:t>
      </w:r>
      <w:r>
        <w:rPr>
          <w:rFonts w:eastAsia="IRNazanin" w:cs="IRNazanin"/>
          <w:color w:val="111111"/>
          <w:sz w:val="28"/>
          <w:szCs w:val="28"/>
          <w:rtl w:val="true"/>
          <w:lang w:bidi="fa-IR"/>
        </w:rPr>
        <w:t>.</w:t>
      </w:r>
    </w:p>
    <w:p>
      <w:pPr>
        <w:pStyle w:val="Heading4"/>
        <w:numPr>
          <w:ilvl w:val="3"/>
          <w:numId w:val="1"/>
        </w:numPr>
        <w:rPr/>
      </w:pPr>
      <w:bookmarkStart w:id="37" w:name="__RefHeading___Toc2027733_2314609296"/>
      <w:bookmarkStart w:id="38" w:name="_Toc14"/>
      <w:bookmarkEnd w:id="37"/>
      <w:r>
        <w:rPr>
          <w:rtl w:val="true"/>
        </w:rPr>
        <w:t>تلامذته والراوون عنه</w:t>
      </w:r>
      <w:r>
        <w:rPr>
          <w:rtl w:val="true"/>
        </w:rPr>
        <w:t>:</w:t>
      </w:r>
      <w:bookmarkEnd w:id="38"/>
    </w:p>
    <w:p>
      <w:pPr>
        <w:pStyle w:val="BookText"/>
        <w:rPr/>
      </w:pPr>
      <w:r>
        <w:rPr>
          <w:rFonts w:ascii="IRNazanin" w:hAnsi="IRNazanin" w:eastAsia="IRNazanin"/>
          <w:color w:val="111111"/>
          <w:sz w:val="28"/>
          <w:sz w:val="28"/>
          <w:szCs w:val="28"/>
          <w:rtl w:val="true"/>
          <w:lang w:bidi="fa-IR"/>
        </w:rPr>
        <w:t>تتلمذ له وروی عنه عدید من الشخصیّات العلمیّة البارزة، نتطرّق فیما یلی إلی أسماء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حسین بن عبد الصمد العاملی، والد الشیخ البهائی، أجازه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بن زهرة الجبعی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بن حسین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صاحب المدارک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عطاء اللّٰه بن بدر الدین الحسینی الموسوی، أجازه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بن محمّد اللاهیجانی، منحه إجازة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بن الصائغ العاملی، أجازه سنة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الحسن العودی الجزینی، وهو من تلامذته وخواصّه، أ لّف کتاباً فی ترجمة اُستاذه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فی الکشف عن أحوال الشیخ زین الدین الشهید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بن محمّد العاملی، أجازه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مسلم العاملی، ابن مشعر العاملی</w:t>
      </w:r>
      <w:r>
        <w:rPr>
          <w:rFonts w:eastAsia="IRNazanin" w:cs="IRNazanin"/>
          <w:color w:val="111111"/>
          <w:sz w:val="28"/>
          <w:szCs w:val="28"/>
          <w:rtl w:val="true"/>
          <w:lang w:bidi="fa-IR"/>
        </w:rPr>
        <w:t>.</w:t>
      </w:r>
    </w:p>
    <w:p>
      <w:pPr>
        <w:pStyle w:val="Heading4"/>
        <w:numPr>
          <w:ilvl w:val="3"/>
          <w:numId w:val="1"/>
        </w:numPr>
        <w:rPr/>
      </w:pPr>
      <w:bookmarkStart w:id="39" w:name="__RefHeading___Toc2027735_2314609296"/>
      <w:bookmarkStart w:id="40" w:name="_Toc15"/>
      <w:bookmarkEnd w:id="39"/>
      <w:r>
        <w:rPr>
          <w:rtl w:val="true"/>
        </w:rPr>
        <w:t>مؤلّفاته</w:t>
      </w:r>
      <w:r>
        <w:rPr>
          <w:rtl w:val="true"/>
        </w:rPr>
        <w:t>:</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الشهید الثانی ما یناهز سبعین کتاباً ورسالة قیّمة شکّل أغلبها ینبوعاً</w:t>
      </w:r>
    </w:p>
    <w:p>
      <w:pPr>
        <w:pStyle w:val="BookText"/>
        <w:rPr/>
      </w:pPr>
      <w:r>
        <w:rPr>
          <w:rFonts w:ascii="IRNazanin" w:hAnsi="IRNazanin" w:eastAsia="IRNazanin"/>
          <w:color w:val="111111"/>
          <w:sz w:val="28"/>
          <w:sz w:val="28"/>
          <w:szCs w:val="28"/>
          <w:rtl w:val="true"/>
          <w:lang w:bidi="fa-IR"/>
        </w:rPr>
        <w:t>ثرّاً للفقهاء العظام، واُدرج بعضها فی منهج التدریس الفقهی للأوساط العلمیّة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فُقِد قسم منها، وطُبع آخر، وبقی قسم ثالث مخطوطاً فی مکتبات مختلفة ینتظر دوره لرؤیة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والقائمة الآتیة عرض لمجموعة،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السماکیّة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یجب معرفته من أحکام الحجّ والعمرة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مختصر منیة المرید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الإجماع فی زمن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البسملة، فرغ منه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تمهید القواعد الاُصولیّة والعربیّة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لّفه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التنبیهات العلیّة علی وظائف الصلاة القلبیّة، أ لّفها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الألفیّة، أ لّفها قبل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خلاصة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عدم جواز تقلید المیّت، أ لّفها سنة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عشرة مباحث من عشرة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وجوب صلاة الجمعة، أ لّفها سنة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فی شرح إرشاد الأذهان، فرغ من بعضه سنة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البهیّة فی شرح اللمعة الدمشقیّة، فرغ منها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البدایة فی علم الدرایة، أ لّفه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القاصدین فی معرفة اصطلاح المحدّثین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الملیّة لشرح الرسالة النفلیّة</w:t>
      </w:r>
      <w:r>
        <w:rPr>
          <w:rFonts w:eastAsia="IRNazanin" w:cs="IRNazanin"/>
          <w:color w:val="111111"/>
          <w:sz w:val="28"/>
          <w:szCs w:val="28"/>
          <w:rtl w:val="true"/>
          <w:lang w:bidi="fa-IR"/>
        </w:rPr>
        <w:t>.</w:t>
      </w:r>
      <w:bookmarkStart w:id="41" w:name="pg19806_203240"/>
    </w:p>
    <w:p>
      <w:pPr>
        <w:pStyle w:val="BookText"/>
        <w:rPr/>
      </w:pPr>
      <w:bookmarkEnd w:id="41"/>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الریبة عن أحکام الغیبة، أ لّفه سنة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الأکباد مختصر مسکّن 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الفؤاد عند فقد الأحبّة والأولاد، أ لّفه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 فی شرح الرسالة الألفیّة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 فی أسرار معالم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الحجّ والعمرة، أ لّفه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فی أدب المفید والمستفید، أ لّفها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نیّات الحجّ والعمرة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027737_2314609296"/>
      <w:bookmarkStart w:id="43" w:name="_Toc16"/>
      <w:bookmarkEnd w:id="42"/>
      <w:r>
        <w:rPr>
          <w:rtl w:val="true"/>
        </w:rPr>
        <w:t>نحن والروضة البهیّة</w:t>
      </w:r>
      <w:r>
        <w:rPr>
          <w:rtl w:val="true"/>
        </w:rPr>
        <w:t>:</w:t>
      </w:r>
      <w:bookmarkEnd w:id="43"/>
    </w:p>
    <w:p>
      <w:pPr>
        <w:pStyle w:val="BookText"/>
        <w:rPr/>
      </w:pPr>
      <w:r>
        <w:rPr>
          <w:rFonts w:ascii="IRNazanin" w:hAnsi="IRNazanin" w:eastAsia="IRNazanin"/>
          <w:color w:val="111111"/>
          <w:sz w:val="28"/>
          <w:sz w:val="28"/>
          <w:szCs w:val="28"/>
          <w:rtl w:val="true"/>
          <w:lang w:bidi="fa-IR"/>
        </w:rPr>
        <w:t xml:space="preserve">من أشهر مصنّفات الشهید الثانی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شرح مزجی للّمعة الدمشقیّة، یمتاز باستیعاب المطالب وشمولها مع الاحتفاظ بالاختصار وسلاسة التعبیر وتجنّب التعقید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فیه إلی بعض الأدلّة وانتقد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الشهید الأوّل، وذکر رأیه الخاصّ أو بعض الآراء أحیاناً، انتهی من تألیفه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حظی الکتاب باستقبال العلماء والطلبة له منذ بدایة ظهوره، وصار منهجاً دراسیّاً علی مدی عدّة قرون حتّی یومنا هذا؛ ولذلک غدا محوراً لشروح العلماء وتعالیقهم علیه، ومن أهمّ تلک الشروح والتعالیق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الفاضل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جمال الدین محمّد بن حسین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التعلیقة الأنیقة لمحمّد عباس بن علی أکبر الموسوی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حاشیة الملّا أحمد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حاشیة السیّد محمّد جواد العاملی صاحب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حاشیة السیّد حسین بن محمّد المرعشی،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حاشیة المؤلّف نفسه علی الروضة وهی التی أدرجناها فی هامش الکتاب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محمّد صالح بن أحمد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44" w:name="pg19806_203242"/>
    </w:p>
    <w:p>
      <w:pPr>
        <w:pStyle w:val="Heading3"/>
        <w:numPr>
          <w:ilvl w:val="2"/>
          <w:numId w:val="1"/>
        </w:numPr>
        <w:rPr/>
      </w:pPr>
      <w:bookmarkStart w:id="45" w:name="__RefHeading___Toc2027739_2314609296"/>
      <w:bookmarkStart w:id="46" w:name="_Toc17"/>
      <w:bookmarkEnd w:id="44"/>
      <w:bookmarkEnd w:id="45"/>
      <w:r>
        <w:rPr>
          <w:rtl w:val="true"/>
        </w:rPr>
        <w:t>تحقیق الکتاب</w:t>
      </w:r>
      <w:bookmarkEnd w:id="46"/>
    </w:p>
    <w:p>
      <w:pPr>
        <w:pStyle w:val="Heading4"/>
        <w:numPr>
          <w:ilvl w:val="3"/>
          <w:numId w:val="1"/>
        </w:numPr>
        <w:rPr/>
      </w:pPr>
      <w:bookmarkStart w:id="47" w:name="__RefHeading___Toc2027741_2314609296"/>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اعتمد منهجنا فی تحقیق شرح اللمعة الدمشقیّة علی محاور أساسیّة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مقابلة النسخ الخطّیّة، وتخریج المصادر، ومراجعتها، وتقویم النصوص، والمراجعة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وشکّلنا لجاناً تتولّی السیر علی النهج الذی ارتأیناه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السطور الآتیة تفصیل لبعض ما أجملناه عن طریقة التحقیق</w:t>
      </w:r>
      <w:r>
        <w:rPr>
          <w:rFonts w:eastAsia="IRNazanin" w:cs="IRNazanin"/>
          <w:color w:val="111111"/>
          <w:sz w:val="28"/>
          <w:szCs w:val="28"/>
          <w:rtl w:val="true"/>
          <w:lang w:bidi="fa-IR"/>
        </w:rPr>
        <w:t>:</w:t>
      </w:r>
    </w:p>
    <w:p>
      <w:pPr>
        <w:pStyle w:val="Heading4"/>
        <w:numPr>
          <w:ilvl w:val="3"/>
          <w:numId w:val="1"/>
        </w:numPr>
        <w:rPr/>
      </w:pPr>
      <w:bookmarkStart w:id="49" w:name="__RefHeading___Toc2027743_2314609296"/>
      <w:bookmarkStart w:id="50" w:name="_Toc19"/>
      <w:bookmarkEnd w:id="49"/>
      <w:r>
        <w:rPr>
          <w:rtl w:val="true"/>
        </w:rPr>
        <w:t>أوّلاً</w:t>
      </w:r>
      <w:r>
        <w:rPr>
          <w:rtl w:val="true"/>
        </w:rPr>
        <w:t>-</w:t>
      </w:r>
      <w:r>
        <w:rPr>
          <w:rtl w:val="true"/>
        </w:rPr>
        <w:t>النسخ الخطّیّة</w:t>
      </w:r>
      <w:r>
        <w:rPr>
          <w:rtl w:val="true"/>
        </w:rPr>
        <w:t>:</w:t>
      </w:r>
      <w:bookmarkEnd w:id="50"/>
    </w:p>
    <w:p>
      <w:pPr>
        <w:pStyle w:val="BookText"/>
        <w:rPr/>
      </w:pPr>
      <w:r>
        <w:rPr>
          <w:rFonts w:ascii="IRNazanin" w:hAnsi="IRNazanin" w:eastAsia="IRNazanin"/>
          <w:color w:val="111111"/>
          <w:sz w:val="28"/>
          <w:sz w:val="28"/>
          <w:szCs w:val="28"/>
          <w:rtl w:val="true"/>
          <w:lang w:bidi="fa-IR"/>
        </w:rPr>
        <w:t>قسّمنا مخطوطات الکتاب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یتعلّق بمتن اللمعة، والآخر بشرحها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فقوبل المتن بنسختی مکتبة الإمام الرضا علیه السلام بمدینة مشهد،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المخطوطة المستنسخة بتاریخ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المخطوطة المستنسخة بتاریخ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تمتاز إحداهما علی الاُخری سوی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متقدّمة بتاریخ استنساخها،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 مع المتن المصاحب لنسخ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وقوبل شرح المتن بثلاث نسخ خطّیة وطبعة حجریّة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والتوضیح التالی یبیّن أهمّ خصائصها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مکتبة آیة اللّٰه السیّد المرعشی العامّة فی قم برقم </w:t>
      </w:r>
      <w:r>
        <w:rPr>
          <w:rFonts w:eastAsia="IRNazanin" w:cs="IRNazanin"/>
          <w:color w:val="111111"/>
          <w:sz w:val="28"/>
          <w:szCs w:val="28"/>
          <w:lang w:bidi="fa-IR"/>
        </w:rPr>
        <w:t>8903</w:t>
      </w:r>
      <w:r>
        <w:rPr>
          <w:rFonts w:ascii="IRNazanin" w:hAnsi="IRNazanin" w:eastAsia="IRNazanin"/>
          <w:color w:val="111111"/>
          <w:sz w:val="28"/>
          <w:sz w:val="28"/>
          <w:szCs w:val="28"/>
          <w:rtl w:val="true"/>
          <w:lang w:bidi="fa-IR"/>
        </w:rPr>
        <w:t xml:space="preserve">، وتاریخ استنساخها هو یوم السبت من العشرة الأخیرة لشهر ذی القعدة الحرام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وتمتاز بأ 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 وذات خطّ جیّد مقروء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بدقّة مع نسخة المؤلّف استناداً إلی مواضع متعدّدة منها صرّحت</w:t>
      </w:r>
    </w:p>
    <w:p>
      <w:pPr>
        <w:pStyle w:val="BookText"/>
        <w:rPr/>
      </w:pPr>
      <w:r>
        <w:rPr>
          <w:rFonts w:ascii="IRNazanin" w:hAnsi="IRNazanin" w:eastAsia="IRNazanin"/>
          <w:color w:val="111111"/>
          <w:sz w:val="28"/>
          <w:sz w:val="28"/>
          <w:szCs w:val="28"/>
          <w:rtl w:val="true"/>
          <w:lang w:bidi="fa-IR"/>
        </w:rPr>
        <w:t xml:space="preserve">بذلک، ولا سیّما فی الورقة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الجزء الأوّل؛ لذلک قلّت أخطاؤها، واعتمدنا علیها أکثر من سائر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تحتوی هوامشها علی حواشی المؤلّف بإنشائه مختومة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جاء فیها أحیاناً حاشیة سلطان العلماء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مکتبة السیّد المرعشی العامّة برقم </w:t>
      </w:r>
      <w:r>
        <w:rPr>
          <w:rFonts w:eastAsia="IRNazanin" w:cs="IRNazanin"/>
          <w:color w:val="111111"/>
          <w:sz w:val="28"/>
          <w:szCs w:val="28"/>
          <w:lang w:bidi="fa-IR"/>
        </w:rPr>
        <w:t>10093</w:t>
      </w:r>
      <w:r>
        <w:rPr>
          <w:rFonts w:ascii="IRNazanin" w:hAnsi="IRNazanin" w:eastAsia="IRNazanin"/>
          <w:color w:val="111111"/>
          <w:sz w:val="28"/>
          <w:sz w:val="28"/>
          <w:szCs w:val="28"/>
          <w:rtl w:val="true"/>
          <w:lang w:bidi="fa-IR"/>
        </w:rPr>
        <w:t>، ولا یُعلم تاریخ استنساخها، واُشیر فی آخرها إلی تاریخین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یتعلّق بکتابة شرح اللمعة، وهو یوم الثلاثاء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والآخر یتعلّق بکتابة هوامشها، وهو یوم السبت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وتمتاز بأ 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الجزء الأوّل لشرح اللمعة من کتاب الطهارة إلی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وفقاً لمخطوطة مستنسخة علی الأصل، ومقروءة علی المؤلّف، وقارئها ولده الشیخ حسن 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تحتوی علی خطأ وسهو فی الاستنساخ؛ لأنّها غیر مقابلة بنسخة المؤلّف، وهی أقلّ اعتباراً ووثاقة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مکتبة الإمام الرضا علیه السلام برقم </w:t>
      </w:r>
      <w:r>
        <w:rPr>
          <w:rFonts w:eastAsia="IRNazanin" w:cs="IRNazanin"/>
          <w:color w:val="111111"/>
          <w:sz w:val="28"/>
          <w:szCs w:val="28"/>
          <w:lang w:bidi="fa-IR"/>
        </w:rPr>
        <w:t>2769</w:t>
      </w:r>
      <w:r>
        <w:rPr>
          <w:rFonts w:ascii="IRNazanin" w:hAnsi="IRNazanin" w:eastAsia="IRNazanin"/>
          <w:color w:val="111111"/>
          <w:sz w:val="28"/>
          <w:sz w:val="28"/>
          <w:szCs w:val="28"/>
          <w:rtl w:val="true"/>
          <w:lang w:bidi="fa-IR"/>
        </w:rPr>
        <w:t xml:space="preserve">، مستنسخة فی شهر جمادی الثانیة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ولم نعتبرها مخطوطة مستقلّة فهی مکمّلة للنسخة السابقة؛ لذلک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وتمتاز بأ 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الجزء الثانی لشرح اللمعة من کتاب الإجارة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وفقاً لنسخة معتمدة، ومقابلة بها، ومقروءة علی العلّامة محمّد باقر بن محمّد تقی المجلسی الذی أجاز لقارئها روایتها عنه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مکتبة المدرسة الفیضیّة فی قم المقدّسة، وتاریخ استنساخ جزئها الأوّل هو یوم الثلاثاء غرّة جمادی الاُولی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ورمزنا لها</w:t>
      </w:r>
      <w:bookmarkStart w:id="51" w:name="pg19806_203244"/>
    </w:p>
    <w:p>
      <w:pPr>
        <w:pStyle w:val="BookText"/>
        <w:rPr/>
      </w:pPr>
      <w:bookmarkEnd w:id="5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وتمتاز بأ 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 ذات جزأین وبخطّ مقروء نسبیّاً وخالیة من الهوامش إلّانادراً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وفقاً لنسخة مقروءة علی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الحجریّة المتداولة فی الحوزات العلمیّة، وقد طبعت لأوّل مرّة بمدینة تبریز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بالقطع الرحلی مشحونة بالحواشی وبخطّ عبد الرحیم ابن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p>
    <w:p>
      <w:pPr>
        <w:pStyle w:val="Heading4"/>
        <w:numPr>
          <w:ilvl w:val="3"/>
          <w:numId w:val="1"/>
        </w:numPr>
        <w:rPr/>
      </w:pPr>
      <w:bookmarkStart w:id="52" w:name="__RefHeading___Toc2027745_2314609296"/>
      <w:bookmarkStart w:id="53" w:name="_Toc20"/>
      <w:bookmarkEnd w:id="52"/>
      <w:r>
        <w:rPr>
          <w:rtl w:val="true"/>
        </w:rPr>
        <w:t>ثانیاً</w:t>
      </w:r>
      <w:r>
        <w:rPr>
          <w:rtl w:val="true"/>
        </w:rPr>
        <w:t>-</w:t>
      </w:r>
      <w:r>
        <w:rPr>
          <w:rtl w:val="true"/>
        </w:rPr>
        <w:t>السمات الأساسیّة لخطّة العمل</w:t>
      </w:r>
      <w:r>
        <w:rPr>
          <w:rtl w:val="true"/>
        </w:rPr>
        <w:t>:</w:t>
      </w:r>
      <w:bookmarkEnd w:id="53"/>
    </w:p>
    <w:p>
      <w:pPr>
        <w:pStyle w:val="BookText"/>
        <w:rPr/>
      </w:pPr>
      <w:r>
        <w:rPr>
          <w:rFonts w:ascii="IRNazanin" w:hAnsi="IRNazanin" w:eastAsia="IRNazanin"/>
          <w:color w:val="111111"/>
          <w:sz w:val="28"/>
          <w:sz w:val="28"/>
          <w:szCs w:val="28"/>
          <w:rtl w:val="true"/>
          <w:lang w:bidi="fa-IR"/>
        </w:rPr>
        <w:t>برزت بعض الملاحظات المهمّة خلال عملیّة تحقیق الکتاب، تشکّل بمجموعها السمات الأساسیّة التی أضفت علی عملنا طابعه الخاصّ به،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امتازت نسخ الکتاب بقلّة الاختلاف بینها، وهو شیء لافت للنظر لم نعثر علی نظیره طوال عملنا فی تحقیق المصنّفات التراثیّة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اکتفینا بالنسخ المذکورة لشرح اللمعة؛ لأنّها الأفضل علی ما یبدو، وأنّ تکثیر النسخ ودرج الاختلاف بینها موجب لتحیّر القارئ وارتیابه ولإتلاف الوقت والجهد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اتّخذنا الاعتدال منهجاً فی الإشارة إلی اختلاف النسخ، فتجنّبنا ذکر الاختلافات الیسیرة والأخطاء الواضحة أو المظنونة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رجّحنا ما وافق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العثور علی اختلاف فی المتن المصاحب لنسخ الشرح، وذکرنا المرجوح فی الهامش إذا لم یثبت خطؤه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الاختلاف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أنفسهما نستند إلی ما جاء فی نسخ الشرح</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أشرنا إلی الاختلاف بین نسختی المتن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تمییزاً من نسخ الشرح المشار إلیها بالأرقام</w:t>
      </w:r>
      <w:r>
        <w:rPr>
          <w:rFonts w:eastAsia="IRNazanin" w:cs="IRNazanin"/>
          <w:color w:val="111111"/>
          <w:sz w:val="28"/>
          <w:szCs w:val="28"/>
          <w:rtl w:val="true"/>
          <w:lang w:bidi="fa-IR"/>
        </w:rPr>
        <w:t>.</w:t>
      </w:r>
      <w:bookmarkStart w:id="54" w:name="pg19806_203245"/>
    </w:p>
    <w:p>
      <w:pPr>
        <w:pStyle w:val="BookText"/>
        <w:rPr/>
      </w:pPr>
      <w:bookmarkEnd w:id="5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الأصل المعتمد لدینا، ورجّحنا فی موارد کثیرة ما وافق هذه النسخة إلّافی الخطأ المظنون ومخالفة قواعد اللغة العربیّة السلیمة، فأثبتنا فی المتن ما لم یخالفها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رجّحنا أحیاناً بعض ما جاء فی سائر النسخ لأسباب أدبیّة وبلاغیّة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وأنزلنا إلی الهامش ما انفردت به وکان مرجوحاً لدینا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نذکر ما انفردت النسخ الاُخری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کان صحیحاً، إلّا إذا کان مغیّراً للمعنی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ثبّتنا فی هامش کتابنا حواشی المؤلّف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رمزها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لأنّنا مطمئنّون بانتسابها إلی المؤلّف، وأهملنا الحواشی المنسوبة إلی المؤلّف فی الطبعة الحجریّة علی کثرتها؛ لشکّنا فی صدورها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 بعض الموارد المجملة فی الکتاب، وذلک بالاعتماد علی سائر کتب الشهید الثانی أو علی مصادر اُخری، ومن نماذجه المهمّة هی أنّ الشارح رمی کثیراً من الروایات بضعف السند دون بیان علّته، فأثبتنا علّة ذلک ووضّحناها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 ببعض ما کتبه الشیخ محمّد الفاضل الإصفهانی فی المناهج السویّة من تعلیقات علی الشرح ابتداءً من بحث الطهارة إلی آخر الصوم، وأدرجنا فی هذا الکتاب قسماً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زوّدنا نسختنا المحقّقة بهوامش توضیحیّة وفقاً لما تقتضیه الضرورة؛ تسهیلاً لفهم عبارات الکتاب</w:t>
      </w:r>
      <w:r>
        <w:rPr>
          <w:rFonts w:eastAsia="IRNazanin" w:cs="IRNazanin"/>
          <w:color w:val="111111"/>
          <w:sz w:val="28"/>
          <w:szCs w:val="28"/>
          <w:rtl w:val="true"/>
          <w:lang w:bidi="fa-IR"/>
        </w:rPr>
        <w:t>.</w:t>
      </w:r>
    </w:p>
    <w:p>
      <w:pPr>
        <w:pStyle w:val="Heading4"/>
        <w:numPr>
          <w:ilvl w:val="3"/>
          <w:numId w:val="1"/>
        </w:numPr>
        <w:rPr/>
      </w:pPr>
      <w:bookmarkStart w:id="55" w:name="__RefHeading___Toc2027747_2314609296"/>
      <w:bookmarkStart w:id="56" w:name="_Toc21"/>
      <w:bookmarkEnd w:id="55"/>
      <w:r>
        <w:rPr>
          <w:rtl w:val="true"/>
        </w:rPr>
        <w:t>ثالثاً</w:t>
      </w:r>
      <w:r>
        <w:rPr>
          <w:rtl w:val="true"/>
        </w:rPr>
        <w:t>-</w:t>
      </w:r>
      <w:r>
        <w:rPr>
          <w:rtl w:val="true"/>
        </w:rPr>
        <w:t>مراحل التحقیق والمتصدّون له</w:t>
      </w:r>
      <w:r>
        <w:rPr>
          <w:rtl w:val="true"/>
        </w:rPr>
        <w:t>:</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 والمشارکون فیها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یترکّز العمل فی هذه المرحلة علی مقابلة المخطوطات ببعضها، وتسجیل الاختلافات بینها فی النسخة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وأنجزت هذه المهمّة اللجنة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جواد الشفیعی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محمّد تقی الراشدی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صادق الحسّون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رعد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المصادر والمشارکون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یتمّ تخریج مصادر النصوص من آیاتٍ وروایات وأقوال مختلفة، وتدوین عناوینها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وتشکّلت اللجنة التی اُوکل إلیها هذا العمل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جواد الشفیعی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حافظ موسی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یحیی الحسینی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صادق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رحمة اللّٰه الرحمتی الأراکی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التخریج والمشارکون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العمل فی هذه المحطّة هو مراجعة التخریجات المختلفة بدقّة للتأکّد من سلامتها، وإکمال ما تبقّی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وأعضاء لجنة المراجعة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رحمة اللّٰه الرحمتی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صادق الکاشانی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محمّد باقر حسن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جواد الشفیعی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محمّد حسین الأحمدی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یحیی الحسینی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حافظ موسی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محمّد رضی الحسینی الإشکوری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النصوص والمشارکون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والهدف الحسّاس فی المرحلة الرابعة هو تقویم نصوص الکتاب، وتصحیحها من خلال مجموع النسخ، والإشارة إلی مواضع الاختلاف؛ کلّ ذلک للتوصّل إلی أقرب صورة للنصّ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 لّفت لجنة التقویم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رحمة اللّٰه الرحمتی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محمّد حسین الأحمدی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 النهائیة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والمتوخّی هنا هو التأکّد من سلامة سیر مراحل العمل، ومن دقّة العمل نفسه کوحدة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وتولّی ذلک حجّة الإسلام والمسلمین الشیخ مجتبی المحمودی، وساعده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حافظ موسی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السیّد محمّد رضی الحسینی الإشکوری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صلاح العبیدی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نوجّه شکرنا الوافر إلی من قام بإعداد مقدّمة الکتاب،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محمّد علی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أمر اللّٰه الشجاعی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رحمة اللّٰه الرحمتی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والمسلمین الشیخ صادق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صلاح العبیدی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نهایة المطاف نشیر إلی أنّ غایتنا الأساسیّة فی عملنا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نیل رضا البارئ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عرض تراثنا الفقهی بأدقّ وأفضل صورة تتوصّل إلیها جهودنا المحدودة، ولا نحسب أ نّنا بلغنا أقصی درجات الکمال والسلامة من النقص والخطأ، فإن سُجّل علینا بعض ما یخلّ بتلک الدقّة فنرجو تنبیهنا إلیه لنتفاداه فی الطبعات اللاحقة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نرجو من المولی القدیر سبحانه أن یتقبّل شکرنا الجزیل لتوفیقه إیّانا، ویتقبّل هذا العمل بقبول حسن، ویظلّلنا وکلّ المؤمنین برحمته، إنّه سمیع الدعاء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الفکر الإسلامی</w:t>
      </w:r>
      <w:bookmarkStart w:id="57" w:name="pg19806_203249"/>
    </w:p>
    <w:p>
      <w:pPr>
        <w:pStyle w:val="Heading2"/>
        <w:numPr>
          <w:ilvl w:val="1"/>
          <w:numId w:val="1"/>
        </w:numPr>
        <w:rPr/>
      </w:pPr>
      <w:bookmarkStart w:id="58" w:name="__RefHeading___Toc2027749_2314609296"/>
      <w:bookmarkStart w:id="59" w:name="_Toc22"/>
      <w:bookmarkEnd w:id="57"/>
      <w:bookmarkEnd w:id="58"/>
      <w:r>
        <w:rPr>
          <w:rtl w:val="true"/>
        </w:rPr>
        <w:t>خطبة الکتاب</w:t>
      </w:r>
      <w:bookmarkEnd w:id="5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للّٰه‌الذی شرح صدورنا بلُمعةٍ </w:t>
      </w:r>
      <w:r>
        <w:rPr>
          <w:rStyle w:val="FootnoteAnchor"/>
          <w:rtl w:val="true"/>
        </w:rPr>
        <w:footnoteReference w:id="20"/>
      </w:r>
      <w:r>
        <w:rPr>
          <w:rFonts w:ascii="IRNazanin" w:hAnsi="IRNazanin" w:eastAsia="IRNazanin"/>
          <w:color w:val="111111"/>
          <w:sz w:val="28"/>
          <w:sz w:val="28"/>
          <w:szCs w:val="28"/>
          <w:rtl w:val="true"/>
          <w:lang w:bidi="fa-IR"/>
        </w:rPr>
        <w:t>من شرائع الإسلام، کافیةٍ فی بیان</w:t>
      </w:r>
    </w:p>
    <w:p>
      <w:pPr>
        <w:pStyle w:val="BookText"/>
        <w:rPr/>
      </w:pPr>
      <w:r>
        <w:rPr>
          <w:rFonts w:ascii="IRNazanin" w:hAnsi="IRNazanin" w:eastAsia="IRNazanin"/>
          <w:color w:val="111111"/>
          <w:sz w:val="28"/>
          <w:sz w:val="28"/>
          <w:szCs w:val="28"/>
          <w:rtl w:val="true"/>
          <w:lang w:bidi="fa-IR"/>
        </w:rPr>
        <w:t>الخطاب، ونوّر قلوبنا من لوامع دروس الأحکام، بما فیه تذکرةٌ وذکری لاُولی الألباب، وکرّمنا بقبول منتهی نهایة الإرشاد وغایة المراد فی المعاش والمآب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علی من اُرسل لتحریر قواعد الدین وتهذیب مدارک الصواب، محمّدٍ الکامل فی مقام الفخار، الجامع من سرائر الاستبصار للعجب العُجاب، وعلی آله الأئمّة النجباء، وأصحابه الأجلّة الأتقیاء، خیر آلٍ وأصحاب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ونسألک اللّهم أن تنوّر قلوبنا بأنوار هدایتک، وتلحظ وجودنا بعین عنایتک، إنّک أنت الوهّاب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فهذه تعلیقةٌ لطیفة وفوائد خفیفة، أضفتها إلی المختصر الشریف والمولَّف المنیف، المشتمل علی اُمّهات المطالب الشرعیّة،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 شیخنا وإمامنا المحقّق البَدل </w:t>
      </w:r>
      <w:r>
        <w:rPr>
          <w:rStyle w:val="FootnoteAnchor"/>
          <w:rtl w:val="true"/>
        </w:rPr>
        <w:footnoteReference w:id="21"/>
      </w:r>
      <w:r>
        <w:rPr>
          <w:rFonts w:ascii="IRNazanin" w:hAnsi="IRNazanin" w:eastAsia="IRNazanin"/>
          <w:color w:val="111111"/>
          <w:sz w:val="28"/>
          <w:sz w:val="28"/>
          <w:szCs w:val="28"/>
          <w:rtl w:val="true"/>
          <w:lang w:bidi="fa-IR"/>
        </w:rPr>
        <w:t xml:space="preserve">النحریر </w:t>
      </w:r>
      <w:r>
        <w:rPr>
          <w:rStyle w:val="FootnoteAnchor"/>
          <w:rtl w:val="true"/>
        </w:rPr>
        <w:footnoteReference w:id="22"/>
      </w:r>
      <w:r>
        <w:rPr>
          <w:rFonts w:ascii="IRNazanin" w:hAnsi="IRNazanin" w:eastAsia="IRNazanin"/>
          <w:color w:val="111111"/>
          <w:sz w:val="28"/>
          <w:sz w:val="28"/>
          <w:szCs w:val="28"/>
          <w:rtl w:val="true"/>
          <w:lang w:bidi="fa-IR"/>
        </w:rPr>
        <w:t>المدقّق، الجامع بین منقبة العلم والسعادة ومرتبة العمل والشهادة، الإمام السعید أبی عبد اللّٰه</w:t>
      </w:r>
    </w:p>
    <w:p>
      <w:pPr>
        <w:pStyle w:val="BookText"/>
        <w:rPr/>
      </w:pPr>
      <w:r>
        <w:rPr>
          <w:rFonts w:ascii="IRNazanin" w:hAnsi="IRNazanin" w:eastAsia="IRNazanin"/>
          <w:color w:val="111111"/>
          <w:sz w:val="28"/>
          <w:sz w:val="28"/>
          <w:szCs w:val="28"/>
          <w:rtl w:val="true"/>
          <w:lang w:bidi="fa-IR"/>
        </w:rPr>
        <w:t xml:space="preserve">الشهید </w:t>
      </w:r>
      <w:r>
        <w:rPr>
          <w:rStyle w:val="FootnoteAnchor"/>
          <w:rtl w:val="true"/>
        </w:rPr>
        <w:footnoteReference w:id="23"/>
      </w:r>
      <w:r>
        <w:rPr>
          <w:rFonts w:ascii="Amiri" w:hAnsi="Amiri" w:eastAsia="Amiri" w:cs="Amiri"/>
          <w:color w:val="111111"/>
          <w:sz w:val="28"/>
          <w:sz w:val="28"/>
          <w:szCs w:val="28"/>
          <w:rtl w:val="true"/>
          <w:lang w:bidi="ar-SA"/>
        </w:rPr>
        <w:t>محمّد بن مکّی، أعلی اللّٰه درجته، کما شرّف خاتمته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جعلتها جاریةً له مجری الشرح الفاتح لمغلقه، والمقیِّد لمطلقه، والمتمِّم لفوائده، والمهذِّب لقواعده، ینتفع به المبتدئ، ویستمدّ منه المتوسّط والمنتهی، تقرّبت بوضعه إلی ربّ الأرباب، وأجبت به ملتمس بعض فضلاء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یّدهم اللّٰه‌تعالی بمعونته، ووفّقهم لطاعته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اقتصرت فیه علی بَحْت </w:t>
      </w:r>
      <w:r>
        <w:rPr>
          <w:rStyle w:val="FootnoteAnchor"/>
          <w:rtl w:val="true"/>
        </w:rPr>
        <w:footnoteReference w:id="24"/>
      </w:r>
      <w:r>
        <w:rPr>
          <w:rFonts w:ascii="IRNazanin" w:hAnsi="IRNazanin" w:eastAsia="IRNazanin"/>
          <w:color w:val="111111"/>
          <w:sz w:val="28"/>
          <w:sz w:val="28"/>
          <w:szCs w:val="28"/>
          <w:rtl w:val="true"/>
          <w:lang w:bidi="fa-IR"/>
        </w:rPr>
        <w:t>الفوائد، وجعلتهما ککتابٍ واحد، وسمّیته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 من اللّٰه جلّ اسمه أن یکتبه فی صحائف الحسنات، وأن یجعله وسیلةً إلی رفع الدرجات، ویُقرنه برضاه، ویجعله خالصاً من شَوْب سواه، فهو حسبی ونعم الوکیل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لطیفه </w:t>
      </w:r>
      <w:r>
        <w:rPr>
          <w:rStyle w:val="FootnoteAnchor"/>
          <w:rtl w:val="true"/>
        </w:rPr>
        <w:footnoteReference w:id="25"/>
      </w:r>
      <w:r>
        <w:rPr>
          <w:rFonts w:ascii="IRNazanin" w:hAnsi="IRNazanin" w:eastAsia="IRNazanin"/>
          <w:color w:val="111111"/>
          <w:sz w:val="28"/>
          <w:sz w:val="28"/>
          <w:szCs w:val="28"/>
          <w:rtl w:val="true"/>
          <w:lang w:bidi="fa-IR"/>
        </w:rPr>
        <w:t>وأجزل تشریفه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للملابسة، والظرف مستقرٌّ حالٌ من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أبتدئ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بثیاب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للاستعانة والظرف لغوٌ </w:t>
      </w:r>
      <w:r>
        <w:rPr>
          <w:rStyle w:val="FootnoteAnchor"/>
          <w:rtl w:val="true"/>
        </w:rPr>
        <w:footnoteReference w:id="26"/>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أدخل فی التعظیم، والثانی لتمام</w:t>
      </w:r>
    </w:p>
    <w:p>
      <w:pPr>
        <w:pStyle w:val="BookText"/>
        <w:rPr/>
      </w:pPr>
      <w:r>
        <w:rPr>
          <w:rFonts w:ascii="IRNazanin" w:hAnsi="IRNazanin" w:eastAsia="IRNazanin"/>
          <w:color w:val="111111"/>
          <w:sz w:val="28"/>
          <w:sz w:val="28"/>
          <w:szCs w:val="28"/>
          <w:rtl w:val="true"/>
          <w:lang w:bidi="fa-IR"/>
        </w:rPr>
        <w:t>الانقطاع؛ لإشعاره بأنّ الفعل لا یتمّ بدون اسمه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دون باقی أسمائه؛ لأنّها معانٍ وصفات، وفی التبرّک بالاسم أو الاستعانة به کمال التعظیم للمسمّی، فلا یدلّ علی اتّحادهما، بل ربّما دلّت الإضافة علی تغایرهما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اسمان بُنیا للمبالغة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والأوّل أبلغ؛ لأنّ زیادة اللفظ تدلّ علی زیادة المعنی، ومختصٌّ به تعالی، لا لأنّه من الصفات الغالبة؛ لأنّه یقتضی جواز استعماله فی غیره تعالی بحسب الوضع ولیس کذلک، بل لأنّ معناه المنعم الحقیقی البالغ فی الرحمة غایتها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وتعقیبه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التتمیم، فإنّه لمّا دلّ علی جلائل النعم واُصولها،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لیتناول ما خرج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بین التسمیة والتحمید فی الابتداء جریاً علی قضیّة الأمر فی کلّ أمرٍ ذی بال </w:t>
      </w:r>
      <w:r>
        <w:rPr>
          <w:rStyle w:val="FootnoteAnchor"/>
          <w:rtl w:val="true"/>
        </w:rPr>
        <w:footnoteReference w:id="27"/>
      </w:r>
      <w:r>
        <w:rPr>
          <w:rFonts w:ascii="IRNazanin" w:hAnsi="IRNazanin" w:eastAsia="IRNazanin"/>
          <w:color w:val="111111"/>
          <w:sz w:val="28"/>
          <w:sz w:val="28"/>
          <w:szCs w:val="28"/>
          <w:rtl w:val="true"/>
          <w:lang w:bidi="fa-IR"/>
        </w:rPr>
        <w:t xml:space="preserve">فإنّ الابتداء یعتبر فی العرف ممتدّاً من حین الأخذ فی التصنیف إلی الشروع فی المقصود، فیقارنه التسمیة والتحمید ونحوهما؛ ولهذا یقدّر الفعل المحذوف فی أوائل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اعتبر الظرف مستقرّاً أم لغواً؛ لأنّ فیه امتثالاً للحدیث لفظاً ومعنیً، وفی تقدیر غیره معنیً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التسمیة اقتفاءً لما نطق به الکتاب واتّفق علیه اُولو الألباب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وابتدأ فی اللفظ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لمناسبة مرتبته فی الوجود العینی؛ لأنّه الأوّل فیه، فناسب کون اللفظی ونحوه کذلک، وقدّم ما هو الأهمّ وإن کان حقّه التأخّر</w:t>
      </w:r>
    </w:p>
    <w:p>
      <w:pPr>
        <w:pStyle w:val="BookText"/>
        <w:rPr/>
      </w:pPr>
      <w:r>
        <w:rPr>
          <w:rFonts w:ascii="Amiri" w:hAnsi="Amiri" w:eastAsia="Amiri" w:cs="Amiri"/>
          <w:color w:val="111111"/>
          <w:sz w:val="28"/>
          <w:sz w:val="28"/>
          <w:szCs w:val="28"/>
          <w:rtl w:val="true"/>
          <w:lang w:bidi="ar-SA"/>
        </w:rPr>
        <w:t>باعتبار المعمولیّة؛ للتنبیه علی إفادة الحصر علی طریقة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ونَسَبَ الحمد إلیه تعالی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اسمٌ للذات المقدّسة، بخلاف باقی أسمائه تعالی؛ لأنّها </w:t>
      </w:r>
      <w:r>
        <w:rPr>
          <w:rStyle w:val="FootnoteAnchor"/>
          <w:rtl w:val="true"/>
        </w:rPr>
        <w:footnoteReference w:id="28"/>
      </w:r>
      <w:r>
        <w:rPr>
          <w:rFonts w:ascii="IRNazanin" w:hAnsi="IRNazanin" w:eastAsia="IRNazanin"/>
          <w:color w:val="111111"/>
          <w:sz w:val="28"/>
          <w:sz w:val="28"/>
          <w:szCs w:val="28"/>
          <w:rtl w:val="true"/>
          <w:lang w:bidi="fa-IR"/>
        </w:rPr>
        <w:t>صفات کما مرّ؛ ولهذا یُحمل علیه ولا یُحمل علی شیءٍ منها، ونسبة الحمد إلی الذات باعتبار وصف تُشعر بعلّیّته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جملة الحمد فعلیّةً لتجدّده حالاً فحالاً بحسب تجدّد المحمود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خبریّة لفظاً إنشائیّةٌ معنیً للثناء علی اللّٰه تعالی بصفات کماله ونعوت جلاله، وما ذکر فردٌ من أفراده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کان المحمود مختاراً مستحقّاً للحمد علی الإطلاق اختار الحمد علی المدح والشکر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استتماماً لنعمته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المفعول له، تنبیهاً علی کونه من غایات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هنا الشکر؛ لأنّه رأسُه </w:t>
      </w:r>
      <w:r>
        <w:rPr>
          <w:rStyle w:val="FootnoteAnchor"/>
          <w:rtl w:val="true"/>
        </w:rPr>
        <w:footnoteReference w:id="29"/>
      </w:r>
      <w:r>
        <w:rPr>
          <w:rFonts w:ascii="Amiri" w:hAnsi="Amiri" w:eastAsia="Amiri" w:cs="Amiri"/>
          <w:color w:val="111111"/>
          <w:sz w:val="28"/>
          <w:sz w:val="28"/>
          <w:szCs w:val="28"/>
          <w:rtl w:val="true"/>
          <w:lang w:bidi="ar-SA"/>
        </w:rPr>
        <w:t>وأظهر أفراده، وهو ناظر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لأنّ الاستتمام طلب التمام، وهو مستلزم للزیادة، وذلک باعث علی رجاء المزید، وهذه اللفظة مأخوذةٌ من کلام علیّ علیه السلام فی بعض خطبه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المنفعة الواصلة إلی الغیر علی جهة الإحسان إلیه، وهی موجبة للشکر المستلزم للمزید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ووحّدها للتنبیه علی أن نعم اللّٰه تعالی أعظم من</w:t>
      </w:r>
    </w:p>
    <w:p>
      <w:pPr>
        <w:pStyle w:val="BookText"/>
        <w:rPr/>
      </w:pPr>
      <w:r>
        <w:rPr>
          <w:rFonts w:ascii="IRNazanin" w:hAnsi="IRNazanin" w:eastAsia="IRNazanin"/>
          <w:color w:val="111111"/>
          <w:sz w:val="28"/>
          <w:sz w:val="28"/>
          <w:szCs w:val="28"/>
          <w:rtl w:val="true"/>
          <w:lang w:bidi="fa-IR"/>
        </w:rPr>
        <w:t>أن تُستتمّ علی عبدٍ؛ فإنّ فیضه غیر متناهٍ کمّاً ولا کیفاً، وفیها یتصوّر طلب تمام النعمة التی تصل إلی القوابل بحسب استعدادهم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w:t>
      </w:r>
      <w:r>
        <w:rPr>
          <w:rStyle w:val="FootnoteAnchor"/>
          <w:rtl w:val="true"/>
        </w:rPr>
        <w:footnoteReference w:id="32"/>
      </w:r>
      <w:r>
        <w:rPr>
          <w:rFonts w:ascii="IRNazanin" w:hAnsi="IRNazanin" w:eastAsia="IRNazanin"/>
          <w:color w:val="111111"/>
          <w:sz w:val="28"/>
          <w:sz w:val="28"/>
          <w:szCs w:val="28"/>
          <w:rtl w:val="true"/>
          <w:lang w:bidi="fa-IR"/>
        </w:rPr>
        <w:t>إلی العجز عن القیام بحقّ النعمة؛ لأنّ الحمد إذا کان من جملة فضله فیستحقّ علیه حمداً وشکراً، فلا ینقضی ما یستحقّه من المحامد؛ لعدم تناهی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الذکری وهو المحمود به أوّلاً، والذهنی الصادر عنه أو عن جمیع الحامدین، وللاستغراق لانتهائه مطلقاً إلیه بواسطةٍ أو بدونها فیکون کلّه قطرة من قطرات بحار فضله ونفحة </w:t>
      </w:r>
      <w:r>
        <w:rPr>
          <w:rStyle w:val="FootnoteAnchor"/>
          <w:rtl w:val="true"/>
        </w:rPr>
        <w:footnoteReference w:id="33"/>
      </w:r>
      <w:r>
        <w:rPr>
          <w:rFonts w:ascii="IRNazanin" w:hAnsi="IRNazanin" w:eastAsia="IRNazanin"/>
          <w:color w:val="111111"/>
          <w:sz w:val="28"/>
          <w:sz w:val="28"/>
          <w:szCs w:val="28"/>
          <w:rtl w:val="true"/>
          <w:lang w:bidi="fa-IR"/>
        </w:rPr>
        <w:t>من نفحات جوده، والجنس وهو راجع إلی السابق باعتبار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 یّاه أشکر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ما تقدّم من الترکیب المفید لانحصار الشکر فیه، لرجوع النعم کلّها إلیه وإن قیل للعبد فعل اختیاریّ؛ لأنّ آلاته وأسبابه التی یقتدر بها علی الفعل لا بدّ أن ینتهی إلیه، فهو الحقیق بجمیع أفراد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وأردف الحمد بالشکر مع أ نّه لامحٌ له أوّلاً؛ للتنبیه علیه بالخصوصیّة ولمح تمام الآیة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انقیاداً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غایةٌ اُخری للشکر کما مرّ، فإنّ العبد یستعدّ بکمال الشکر لمعرفة المشکور، وهی مستلزمة للانقیاد لعزّته والخضوع لعظمته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ناظر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لما تشتمل</w:t>
      </w:r>
    </w:p>
    <w:p>
      <w:pPr>
        <w:pStyle w:val="BookText"/>
        <w:rPr/>
      </w:pPr>
      <w:r>
        <w:rPr>
          <w:rFonts w:ascii="IRNazanin" w:hAnsi="IRNazanin" w:eastAsia="IRNazanin"/>
          <w:color w:val="111111"/>
          <w:sz w:val="28"/>
          <w:sz w:val="28"/>
          <w:szCs w:val="28"/>
          <w:rtl w:val="true"/>
          <w:lang w:bidi="fa-IR"/>
        </w:rPr>
        <w:t>علیه الآیة من التخویف المانع من مقابلة نعمة اللّٰه بالکفران، فقد جمع صدرها وعجزها بین رتبتی الخوف 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الرجاء؛ لأنّه سوط النفس الناطقة المحرّک لها نحو الطماح، والخوف زمامها العاطف بها عن الجماح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والشکر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فضله الواسع ومنّه السابغ، فإنّ کلّ ما نتعاطاه من أفعالنا مستندٌ إلی جوارحنا وقدرتنا وإرادتنا وسائر أسباب حرکاتنا، وهی بأسرها مستندةٌ إلی جوده ومستفادة من نعمه، وکذلک ما یصدر عنّا من الشکر وسائر العبادات نعمة منه، فکیف نقابل </w:t>
      </w:r>
      <w:r>
        <w:rPr>
          <w:rStyle w:val="FootnoteAnchor"/>
          <w:rtl w:val="true"/>
        </w:rPr>
        <w:footnoteReference w:id="36"/>
      </w:r>
      <w:r>
        <w:rPr>
          <w:rFonts w:ascii="IRNazanin" w:hAnsi="IRNazanin" w:eastAsia="IRNazanin"/>
          <w:color w:val="111111"/>
          <w:sz w:val="28"/>
          <w:sz w:val="28"/>
          <w:szCs w:val="28"/>
          <w:rtl w:val="true"/>
          <w:lang w:bidi="fa-IR"/>
        </w:rPr>
        <w:t>نعمته بنعمته؟</w:t>
      </w:r>
    </w:p>
    <w:p>
      <w:pPr>
        <w:pStyle w:val="BookText"/>
        <w:rPr/>
      </w:pPr>
      <w:r>
        <w:rPr>
          <w:rFonts w:ascii="IRNazanin" w:hAnsi="IRNazanin" w:eastAsia="IRNazanin"/>
          <w:color w:val="111111"/>
          <w:sz w:val="28"/>
          <w:sz w:val="28"/>
          <w:szCs w:val="28"/>
          <w:rtl w:val="true"/>
          <w:lang w:bidi="fa-IR"/>
        </w:rPr>
        <w:t>وقد روی أنّ هذا الخاطر خطر لداود علیه السلام وکذلک لموسی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کیف أشکرک وأنا لا أستطیع أن أشکرک إلّابنعمةٍ ثانیةٍ من نعمک؟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وشکری لک نعمةٌ اُخری توجب علیّ الشکر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هذا فقد شکرتنی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أنّ النعم منّی رضیتُ منک بذلک شکراً</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وشکراً کثیراً کما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الترکیب زائدة،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لأنّ الغرض حمده بما هو أهله، لا بحمدٍ یشابه الحمد الذی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صلتها وعائدها،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والشکر الذی هو أهله، مع منافرة تنکیرهما لجعل الموصول صفة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نکرةٌ موصوفةٌ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وشکراً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یلزم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زائدة،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وشکراً هو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تشبیه؛ اعتباراً بأنّ الحمد الذی هو أهله لا یقدر علیه هذا الحامد ولا غیره، بل لا یقدر علیه إلّااللّٰه تعالی، کما أشار إلیه النبیّ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اُحصی ثناءً علیک، أنت کما أثنیت علی نفسک</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وفی التشبیه حینئذٍ سؤال أن یلحقه اللّٰه تعالی بذلک الفرد الکامل من الحمد تفضّلاً منه تعالی، مثله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وشکراً مِلء السماوات والأرض</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یفوق حمد الحامدین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الحمد بهذه الکلمة؛ لما روی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أهله، شغل کُتّاب السماء،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الغیب،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اکتبوها کما قالها عبدی وعلیّ ثوابها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وأسأله تسهیل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الشیء، وهو العلم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حمله وتعلیم ما لا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الشرعیّ 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وأستعینه علی القیام بما یبقی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الدوام؛ لأنّ ثوابه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أُکُلُهٰا دٰائِمٌ وَ ظِلُّهٰا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ویحسن فی الملأ الأعلی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الأشراف والرؤساء الذین</w:t>
      </w:r>
    </w:p>
    <w:p>
      <w:pPr>
        <w:pStyle w:val="BookText"/>
        <w:rPr/>
      </w:pPr>
      <w:r>
        <w:rPr>
          <w:rFonts w:ascii="Amiri" w:hAnsi="Amiri" w:eastAsia="Amiri" w:cs="Amiri"/>
          <w:color w:val="111111"/>
          <w:sz w:val="28"/>
          <w:sz w:val="28"/>
          <w:szCs w:val="28"/>
          <w:rtl w:val="true"/>
          <w:lang w:bidi="ar-SA"/>
        </w:rPr>
        <w:t xml:space="preserve">یُرجع </w:t>
      </w:r>
      <w:r>
        <w:rPr>
          <w:rStyle w:val="FootnoteAnchor"/>
          <w:rtl w:val="true"/>
        </w:rPr>
        <w:footnoteReference w:id="44"/>
      </w:r>
      <w:r>
        <w:rPr>
          <w:rFonts w:ascii="Amiri" w:hAnsi="Amiri" w:eastAsia="Amiri" w:cs="Amiri"/>
          <w:color w:val="111111"/>
          <w:sz w:val="28"/>
          <w:sz w:val="28"/>
          <w:szCs w:val="28"/>
          <w:rtl w:val="true"/>
          <w:lang w:bidi="ar-SA"/>
        </w:rPr>
        <w:t>إلی قولهم،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اَلْمَلَإِ مِنْ بَنِی إِسْرٰائِیلَ</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قیل لهم ذلک؛ لأنّهم مِلاءٌ بالرأی والغنا، أو أ نّهم یملؤون العین أو القلب </w:t>
      </w:r>
      <w:r>
        <w:rPr>
          <w:rStyle w:val="FootnoteAnchor"/>
          <w:rtl w:val="true"/>
        </w:rPr>
        <w:footnoteReference w:id="46"/>
      </w: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وتُرجی مثوبته وذخره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ذلک إشارةٌ إلی الترغیب فیما هو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تصنیف العلم الشرعیّ وتحقیقه وبذل الجهد فی تعلیمه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بما قد دلّ علیه الحمد السابق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 هذه الکلمة؛ لأنّها أعلی کلمةٍ وأشرف لفظةٍ نُطق بها فی التوحید، منطبقةٍ علی جمیع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هی النافیة للجنس،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لا ینفی إمکان إلهٍ معبودٍ بالحقّ غیره تعالی؛ لأنّ الإمکان أعمّ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یقتضی وجوده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یدلّ علی نفی التعدّد مطلقاً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المحقّقون إلی عدم الاحتیاج إلی الخبر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إذ کان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اُرید الحصر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إله ومعبودٌ بالحقّ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 نّها نقلت شرعاً إلی نفی الإمکان والوجود عن</w:t>
      </w:r>
    </w:p>
    <w:p>
      <w:pPr>
        <w:pStyle w:val="BookText"/>
        <w:rPr/>
      </w:pPr>
      <w:r>
        <w:rPr>
          <w:rFonts w:ascii="IRNazanin" w:hAnsi="IRNazanin" w:eastAsia="IRNazanin"/>
          <w:color w:val="111111"/>
          <w:sz w:val="28"/>
          <w:sz w:val="28"/>
          <w:szCs w:val="28"/>
          <w:rtl w:val="true"/>
          <w:lang w:bidi="fa-IR"/>
        </w:rPr>
        <w:t>إلهٍ سوی اللّٰه مع الدلالة علی وجوده تعالی وإن لم تدلّ علیه 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لما قد استفید من التوحید الخالص، حَسُنَ ذکره فی هذا المقام لمزید الاهتمام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نبیٌّ 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الشهادة بالرسالة بشهادة التوحید؛ لأ نّها بمنزلة الباب لها، وقد شرّف اللّٰه نبیّنا صلی الله علیه و آله بکونه لا یُذکر إلّاویذکر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الشهادتین فی الخطبة؛ لما 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خطبةٍ لیس فیها تشهّدٌ فهی کالید الجذماء</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منقول من اسم المفعول المضعّف، وسمّی به نبیّنا صلی الله علیه و آله إلهاماً من اللّٰه تعالی وتفاؤلاً بأ نّه یَکثر حمدُ الخلق له لکثرة خصاله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لجدّه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سمّاه فی یوم سابع ولادته، لموت أبیه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ابنک محمّداً ولیس من أسماء آبائک ولا قومک؟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رجوتُ أن یُحمد فی السماء والأرض</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وقد حقّق اللّٰه رجاءه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الخبر؛ لأنّ النبیّ مخبرٌ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 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تخفیفاً من المهموز بقلب همزته یاءً، أو أنّ 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النون وسکون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الرفعة؛ لأنّ النبیّ مرفوع الرتبة علی غیره من الخلق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جمعه بین النبوّة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أعمّ مطلقاً؛ لأ نّه إنسانٌ اُوحی إلیه بشرعٍ وإن لم یؤمر بتبلیغه، فإن اُمر بذلک فرسولٌ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اُمر بتبلیغه وإن لم یکن له کتاب أو نسخٌ لبعض شرع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کیوشع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له ذلک فرسولٌ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بمعنی </w:t>
      </w:r>
      <w:r>
        <w:rPr>
          <w:rStyle w:val="FootnoteAnchor"/>
          <w:rtl w:val="true"/>
        </w:rPr>
        <w:footnoteReference w:id="51"/>
      </w:r>
      <w:r>
        <w:rPr>
          <w:rFonts w:ascii="IRNazanin" w:hAnsi="IRNazanin" w:eastAsia="IRNazanin"/>
          <w:color w:val="111111"/>
          <w:sz w:val="28"/>
          <w:sz w:val="28"/>
          <w:szCs w:val="28"/>
          <w:rtl w:val="true"/>
          <w:lang w:bidi="fa-IR"/>
        </w:rPr>
        <w:t>وهو معنی الرسول علی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لما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کالخاتم والقالب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فی ما یُعلم به الصانع، وهو کلّ ما سواه من الجواهر والأعراض، فإنّها لإمکانها وافتقارها إلی مؤثّرٍ واجبٍ لذاته تدلّ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لیشمل ما تحته من الأجناس المختلفة، وغلّب العقلاء منهم فجمعه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أوصافهم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وضع لذوی العلم من الملائکة والثقلین </w:t>
      </w:r>
      <w:r>
        <w:rPr>
          <w:rStyle w:val="FootnoteAnchor"/>
          <w:rtl w:val="true"/>
        </w:rPr>
        <w:footnoteReference w:id="53"/>
      </w:r>
      <w:r>
        <w:rPr>
          <w:rFonts w:ascii="IRNazanin" w:hAnsi="IRNazanin" w:eastAsia="IRNazanin"/>
          <w:color w:val="111111"/>
          <w:sz w:val="28"/>
          <w:sz w:val="28"/>
          <w:szCs w:val="28"/>
          <w:rtl w:val="true"/>
          <w:lang w:bidi="fa-IR"/>
        </w:rPr>
        <w:t>وتناوله لغیرهم علی سبیل الاستتباع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الناس ها هنا </w:t>
      </w:r>
      <w:r>
        <w:rPr>
          <w:rStyle w:val="FootnoteAnchor"/>
          <w:rtl w:val="true"/>
        </w:rPr>
        <w:footnoteReference w:id="54"/>
      </w:r>
      <w:r>
        <w:rPr>
          <w:rFonts w:ascii="IRNazanin" w:hAnsi="IRNazanin" w:eastAsia="IRNazanin"/>
          <w:color w:val="111111"/>
          <w:sz w:val="28"/>
          <w:sz w:val="28"/>
          <w:szCs w:val="28"/>
          <w:rtl w:val="true"/>
          <w:lang w:bidi="fa-IR"/>
        </w:rPr>
        <w:t>فإنّ کلّ واحدٍ منهم عالَمٌ أصغر، من حیث إنّه یشتمل علی نظائر ما فی العالَم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الجواهر والأعراض التی یعلم بها الصانع، کما یعلم بما أبدعه فی العالم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أجمعین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المأمور بها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وأصلها الدعاء، لکنّها منه تعالی مجاز فی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w:t>
      </w:r>
    </w:p>
    <w:p>
      <w:pPr>
        <w:pStyle w:val="BookText"/>
        <w:rPr/>
      </w:pPr>
      <w:r>
        <w:rPr>
          <w:rFonts w:ascii="IRNazanin" w:hAnsi="IRNazanin" w:eastAsia="IRNazanin"/>
          <w:color w:val="111111"/>
          <w:sz w:val="28"/>
          <w:sz w:val="28"/>
          <w:szCs w:val="28"/>
          <w:rtl w:val="true"/>
          <w:lang w:bidi="fa-IR"/>
        </w:rPr>
        <w:t xml:space="preserve">السؤال بها عائدٌ إلی المصلّی؛ لأنّ اللّٰه تعالی قد أعطی نبیّه صلی الله علیه و آله من المنزلة والزلفی لدیه ما لا تؤثّر فیه صلاةُ مصلٍّ، کما نطقت به الأخبار </w:t>
      </w:r>
      <w:r>
        <w:rPr>
          <w:rStyle w:val="FootnoteAnchor"/>
          <w:rtl w:val="true"/>
        </w:rPr>
        <w:footnoteReference w:id="56"/>
      </w:r>
      <w:r>
        <w:rPr>
          <w:rFonts w:ascii="IRNazanin" w:hAnsi="IRNazanin" w:eastAsia="IRNazanin"/>
          <w:color w:val="111111"/>
          <w:sz w:val="28"/>
          <w:sz w:val="28"/>
          <w:szCs w:val="28"/>
          <w:rtl w:val="true"/>
          <w:lang w:bidi="fa-IR"/>
        </w:rPr>
        <w:t xml:space="preserve">وصرّح به العلماء الأخیار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ینبغی إتباعها بالسلام عملاً بظاهر الأمر </w:t>
      </w:r>
      <w:r>
        <w:rPr>
          <w:rStyle w:val="FootnoteAnchor"/>
          <w:rtl w:val="true"/>
        </w:rPr>
        <w:footnoteReference w:id="58"/>
      </w:r>
      <w:r>
        <w:rPr>
          <w:rFonts w:ascii="IRNazanin" w:hAnsi="IRNazanin" w:eastAsia="IRNazanin"/>
          <w:color w:val="111111"/>
          <w:sz w:val="28"/>
          <w:sz w:val="28"/>
          <w:szCs w:val="28"/>
          <w:rtl w:val="true"/>
          <w:lang w:bidi="fa-IR"/>
        </w:rPr>
        <w:t>وإنّما ترکه للتنبیه علی عدم تحتّم إرادته من الآیة، لجواز کون المراد به الانقیاد، بخلاف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w:t>
      </w:r>
      <w:r>
        <w:rPr>
          <w:rStyle w:val="FootnoteAnchor"/>
          <w:rtl w:val="true"/>
        </w:rPr>
        <w:footnoteReference w:id="59"/>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والحسنان، ویطلق تغلیباً علی باقی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ونبّه علی اختصاصهم علیهم السلام بهذا الاسم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حفظوا ما حَمَله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أحکام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وعقلوا عنه </w:t>
      </w:r>
      <w:r>
        <w:rPr>
          <w:rStyle w:val="FootnoteAnchor"/>
          <w:rtl w:val="true"/>
        </w:rPr>
        <w:footnoteReference w:id="60"/>
      </w:r>
      <w:r>
        <w:rPr>
          <w:rFonts w:ascii="IRNazanin" w:hAnsi="IRNazanin" w:eastAsia="IRNazanin"/>
          <w:color w:val="111111"/>
          <w:sz w:val="28"/>
          <w:sz w:val="28"/>
          <w:szCs w:val="28"/>
          <w:rtl w:val="true"/>
          <w:lang w:bidi="fa-IR"/>
        </w:rPr>
        <w:t>صلی الله علیه و آله ما عن جبرئیل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یتوهّم مساواتهم له بذلک فی الفضیلة؛ لاختصاصه صلی الله علیه و آله عنهم بمزایا اُخر تصیر بها نسبتهم إلیه کنسبة غیرهم علیهم السلام من الرعیّة إلیهم؛ لأنّهم علیهم السلام فی وقته صلی الله علیه و آله من جملة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ما أوجب فضیلتهم وتخصیصهم بالذکر بعده صلی الله علیه و آله بقوله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عود الضمیر المستکن إلی النبیّ صلی الله علیه و آله لأنّه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وبین محکم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عوده إلی اللّٰه تعالی؛ لأنّ إخبار النبیّ صلی الله علیه و آله بذلک مستندٌ إلی الوحی الإلهی؛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Style w:val="FootnoteAnchor"/>
          <w:rtl w:val="true"/>
        </w:rPr>
        <w:footnoteReference w:id="62"/>
      </w:r>
      <w:r>
        <w:rPr>
          <w:rFonts w:ascii="Amiri" w:hAnsi="Amiri" w:eastAsia="Amiri" w:cs="Amiri"/>
          <w:color w:val="111111"/>
          <w:sz w:val="28"/>
          <w:sz w:val="28"/>
          <w:szCs w:val="28"/>
          <w:rtl w:val="true"/>
          <w:lang w:bidi="ar-SA"/>
        </w:rPr>
        <w:t>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وهو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وجعلهم قدوةً لاُولی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جاعل ذلک هو اللّٰه تعالی، مع جواز أن یراد به النبیّ صلی الله علیه و آله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 ذویهم؛ لأنّهم المنتفعون بالعبر المقتفون لسدید الأثر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دائمةً بدوام 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والقاف، وهو الدهر،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أَمْضِیَ حُقُباً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بدوام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وسکون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ثمانون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مثل قُفٍّ وقِفاف، نصّ علیه الجوهری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فیها معنی الشرط؛ ولهذا کانت الفاء لازمةً فی جوابها، والتقدیر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یکن من شیءٍ بعد الحمد والصلاة فهو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اسمٍ هو المبتدأ وفعلٍ هو الشرط، وتضمّنت معناهما، فلزمها لصوق الاسم اللازم للمبتدأ للأوّل؛ إبقاءً له بحسب الإمکان، ولزمها الفاء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زمانیّ </w:t>
      </w:r>
      <w:r>
        <w:rPr>
          <w:rStyle w:val="FootnoteAnchor"/>
          <w:rtl w:val="true"/>
        </w:rPr>
        <w:footnoteReference w:id="66"/>
      </w:r>
      <w:r>
        <w:rPr>
          <w:rFonts w:ascii="IRNazanin" w:hAnsi="IRNazanin" w:eastAsia="IRNazanin"/>
          <w:color w:val="111111"/>
          <w:sz w:val="28"/>
          <w:sz w:val="28"/>
          <w:szCs w:val="28"/>
          <w:rtl w:val="true"/>
          <w:lang w:bidi="fa-IR"/>
        </w:rPr>
        <w:t>وکثیراً ما یحذف منه المضاف إلیه ویُنوی معناه، فیبنی علی الضمّ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العبارات الذهنیّة التی یرید کتابتها إن کان وضع الخطبة قبل التصنیف، أو کَتَبها إن کان بعده، نزّلها منزلة الشخص المشاهَد</w:t>
      </w:r>
    </w:p>
    <w:p>
      <w:pPr>
        <w:pStyle w:val="BookText"/>
        <w:rPr/>
      </w:pPr>
      <w:r>
        <w:rPr>
          <w:rFonts w:ascii="IRNazanin" w:hAnsi="IRNazanin" w:eastAsia="IRNazanin"/>
          <w:color w:val="111111"/>
          <w:sz w:val="28"/>
          <w:sz w:val="28"/>
          <w:szCs w:val="28"/>
          <w:rtl w:val="true"/>
          <w:lang w:bidi="fa-IR"/>
        </w:rPr>
        <w:t xml:space="preserve">المحسوس، فأشار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للمشار إلیه المحسوس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وهی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البقعة من الکلأ </w:t>
      </w:r>
      <w:r>
        <w:rPr>
          <w:rStyle w:val="FootnoteAnchor"/>
          <w:rtl w:val="true"/>
        </w:rPr>
        <w:footnoteReference w:id="67"/>
      </w:r>
      <w:r>
        <w:rPr>
          <w:rFonts w:ascii="IRNazanin" w:hAnsi="IRNazanin" w:eastAsia="IRNazanin"/>
          <w:color w:val="111111"/>
          <w:sz w:val="28"/>
          <w:sz w:val="28"/>
          <w:szCs w:val="28"/>
          <w:rtl w:val="true"/>
          <w:lang w:bidi="fa-IR"/>
        </w:rPr>
        <w:t xml:space="preserve">إذا یبست وصار لها بیاض، وأصلها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الإضاءة والبریق؛ لأنّ البقعة من الأرض ذات الکلأ المذکور کأ نّها تضیء دون سائر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وعُدّی ذلک إلی محاسن الکلام وبلیغه، لاستنارة الأذهان به، ولتمیّزه عن سائر الکلام، فکأ نّه فی نفسه ذو ضیاءٍ ونور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الدال وفتح المیم، نسبها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المعروفة </w:t>
      </w:r>
      <w:r>
        <w:rPr>
          <w:rStyle w:val="FootnoteAnchor"/>
          <w:rtl w:val="true"/>
        </w:rPr>
        <w:footnoteReference w:id="68"/>
      </w:r>
      <w:r>
        <w:rPr>
          <w:rFonts w:ascii="IRNazanin" w:hAnsi="IRNazanin" w:eastAsia="IRNazanin"/>
          <w:color w:val="111111"/>
          <w:sz w:val="28"/>
          <w:sz w:val="28"/>
          <w:szCs w:val="28"/>
          <w:rtl w:val="true"/>
          <w:lang w:bidi="fa-IR"/>
        </w:rPr>
        <w:t xml:space="preserve">لأنّه صنّفها بها فی بعض أوقات إقامته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 عشریّة، أیّدهم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المفعول لأجله، والعامل محذوف، أی صنّفتها 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المساوی من مثله ولو بالادّعاء کما فی أبواب الخطابة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الدیّانین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المطیعین للّٰه‌فی أمره ونهیه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البعض هو شمس الدین محمّد الآوی </w:t>
      </w:r>
      <w:r>
        <w:rPr>
          <w:rStyle w:val="FootnoteAnchor"/>
          <w:rtl w:val="true"/>
        </w:rPr>
        <w:footnoteReference w:id="69"/>
      </w:r>
      <w:r>
        <w:rPr>
          <w:rFonts w:ascii="IRNazanin" w:hAnsi="IRNazanin" w:eastAsia="IRNazanin"/>
          <w:color w:val="111111"/>
          <w:sz w:val="28"/>
          <w:sz w:val="28"/>
          <w:szCs w:val="28"/>
          <w:rtl w:val="true"/>
          <w:lang w:bidi="fa-IR"/>
        </w:rPr>
        <w:t xml:space="preserve">من أصحاب السلطان علیّ ابن مؤیّد </w:t>
      </w:r>
      <w:r>
        <w:rPr>
          <w:rStyle w:val="FootnoteAnchor"/>
          <w:rtl w:val="true"/>
        </w:rPr>
        <w:footnoteReference w:id="70"/>
      </w:r>
      <w:r>
        <w:rPr>
          <w:rFonts w:ascii="IRNazanin" w:hAnsi="IRNazanin" w:eastAsia="IRNazanin"/>
          <w:color w:val="111111"/>
          <w:sz w:val="28"/>
          <w:sz w:val="28"/>
          <w:szCs w:val="28"/>
          <w:rtl w:val="true"/>
          <w:lang w:bidi="fa-IR"/>
        </w:rPr>
        <w:t>ملک خراسان وما والاها فی ذلک الوقت، إلی أن استولی علی بلاده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معه قَسراً، إلی أن توفّی فی حدود سنة خمس وتسعین وسبعمئة، بعد أن استشهد المصنّف قدس سره بتسع سنین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بینه وبین المصنّف قدس سره مودّة ومکاتبة علی البُعد إلی العراق ثمّ إلی الشام، وطلب منه أخیراً التوجّه إلی بلاده فی مکاتبة شریفة </w:t>
      </w:r>
      <w:r>
        <w:rPr>
          <w:rStyle w:val="FootnoteAnchor"/>
          <w:rtl w:val="true"/>
        </w:rPr>
        <w:footnoteReference w:id="71"/>
      </w:r>
      <w:r>
        <w:rPr>
          <w:rFonts w:ascii="IRNazanin" w:hAnsi="IRNazanin" w:eastAsia="IRNazanin"/>
          <w:color w:val="111111"/>
          <w:sz w:val="28"/>
          <w:sz w:val="28"/>
          <w:szCs w:val="28"/>
          <w:rtl w:val="true"/>
          <w:lang w:bidi="fa-IR"/>
        </w:rPr>
        <w:t>أکثر فیها من</w:t>
      </w:r>
    </w:p>
    <w:p>
      <w:pPr>
        <w:pStyle w:val="BookText"/>
        <w:rPr/>
      </w:pPr>
      <w:r>
        <w:rPr>
          <w:rFonts w:ascii="IRNazanin" w:hAnsi="IRNazanin" w:eastAsia="IRNazanin"/>
          <w:color w:val="111111"/>
          <w:sz w:val="28"/>
          <w:sz w:val="28"/>
          <w:szCs w:val="28"/>
          <w:rtl w:val="true"/>
          <w:lang w:bidi="fa-IR"/>
        </w:rPr>
        <w:t>التلطّف والتعظیم والحثّ للمصنّف رحمه الله علی ذلک، فأبی واعتذر إلیه، وصنّف له هذا الکتاب بدمشق فی سبعة أیّام لا غیر، علی ما نقله عنه ولده المبرور أبو طالب محمّد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شمس الدین الآوی نسخة الأصل، ولم یتمکّن أحدٌ من نسخها منه لضنّه بها، وإنّما نسخها بعض الطلبة </w:t>
      </w:r>
      <w:r>
        <w:rPr>
          <w:rStyle w:val="FootnoteAnchor"/>
          <w:rtl w:val="true"/>
        </w:rPr>
        <w:footnoteReference w:id="72"/>
      </w:r>
      <w:r>
        <w:rPr>
          <w:rFonts w:ascii="IRNazanin" w:hAnsi="IRNazanin" w:eastAsia="IRNazanin"/>
          <w:color w:val="111111"/>
          <w:sz w:val="28"/>
          <w:sz w:val="28"/>
          <w:szCs w:val="28"/>
          <w:rtl w:val="true"/>
          <w:lang w:bidi="fa-IR"/>
        </w:rPr>
        <w:t>وهی فی ید الرسول تعظیماً لها، وسافر بها قبل المقابلة فوقع فیها بسبب ذلک خلل، ثمّ أصلحه المصنّف بعد ذلک بما یناسب</w:t>
      </w:r>
    </w:p>
    <w:p>
      <w:pPr>
        <w:pStyle w:val="BookText"/>
        <w:rPr/>
      </w:pPr>
      <w:r>
        <w:rPr>
          <w:rFonts w:ascii="IRNazanin" w:hAnsi="IRNazanin" w:eastAsia="IRNazanin"/>
          <w:color w:val="111111"/>
          <w:sz w:val="28"/>
          <w:sz w:val="28"/>
          <w:szCs w:val="28"/>
          <w:rtl w:val="true"/>
          <w:lang w:bidi="fa-IR"/>
        </w:rPr>
        <w:t>المقام، وربّما کان مغایراً للأصل بحسب اللفظ، وذلک فی سنة اثنین وثمانین وسبعمئة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المصنّف رحمه الله أن مجلسه بدمشق فی ذلک الوقت ما کان یخلو غالباً من علماء الجمهور لخلطته بهم وصحبته 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شرعت فی تصنیف هذا الکتاب کنت أخاف أن یدخل علیّ أحدٌ منهم فیراه، فما دخل علیّ أحدٌ منذ شرعت فی تصنیفه إلی أن فرغت منه، وکان ذلک من خفیّ الألطاف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جملة کراماته، قدّس اللّٰه روحه ونوّر ضریحه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محسبنا وکافینا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ونعم الوکیل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إمّا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المعطوفة خبریّة، بتقدیر المبتدأ مع ما یوجبه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فی حقّه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بتقدیر المعطوف علیها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خبر المعطوف علیها خاصّة، فتقع الجملة الإنشائیّة خبر المبتدأ، فیکون عطفَ مفرد متعلّقه جملة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الجملة التی لها محلٌّ من الإعراب لا حرج فی عطفها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تجعل الواو معترضة لا عاطفة، مع أنّ جماعةً من النحاة أجازوا عطف الإنشائیّة علی الخبریّة وبالعکس </w:t>
      </w:r>
      <w:r>
        <w:rPr>
          <w:rStyle w:val="FootnoteAnchor"/>
          <w:rtl w:val="true"/>
        </w:rPr>
        <w:footnoteReference w:id="74"/>
      </w:r>
      <w:r>
        <w:rPr>
          <w:rFonts w:ascii="IRNazanin" w:hAnsi="IRNazanin" w:eastAsia="IRNazanin"/>
          <w:color w:val="111111"/>
          <w:sz w:val="28"/>
          <w:sz w:val="28"/>
          <w:szCs w:val="28"/>
          <w:rtl w:val="true"/>
          <w:lang w:bidi="fa-IR"/>
        </w:rPr>
        <w:t xml:space="preserve">واستشهدوا علیه بآیات قرآنیّة وشواهد شعریّة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مرتّبة، أو ما هو أعمّ من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التاء وسکونها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سمّی به المکتوب المخصوص لجمعه المسائل المتکثّرة، والکتاب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مزیدٌ مشتقٌّ من المجرّد، لموافقته له فی حروفه الأصلیّة ومعناه</w:t>
      </w:r>
      <w:r>
        <w:rPr>
          <w:rFonts w:eastAsia="IRNazanin" w:cs="IRNazanin"/>
          <w:color w:val="111111"/>
          <w:sz w:val="28"/>
          <w:szCs w:val="28"/>
          <w:rtl w:val="true"/>
          <w:lang w:bidi="fa-IR"/>
        </w:rPr>
        <w:t>.</w:t>
      </w:r>
      <w:bookmarkStart w:id="60" w:name="pg19806_203267"/>
    </w:p>
    <w:p>
      <w:pPr>
        <w:pStyle w:val="Heading2"/>
        <w:numPr>
          <w:ilvl w:val="1"/>
          <w:numId w:val="1"/>
        </w:numPr>
        <w:rPr/>
      </w:pPr>
      <w:bookmarkStart w:id="61" w:name="__RefHeading___Toc2027751_2314609296"/>
      <w:bookmarkStart w:id="62" w:name="_Toc23"/>
      <w:bookmarkEnd w:id="60"/>
      <w:bookmarkEnd w:id="61"/>
      <w:r>
        <w:rPr>
          <w:rtl w:val="true"/>
        </w:rPr>
        <w:t>کتاب الطهارة</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027753_2314609296"/>
      <w:bookmarkStart w:id="64" w:name="_Toc24"/>
      <w:bookmarkEnd w:id="63"/>
      <w:r>
        <w:rPr>
          <w:rtl w:val="true"/>
        </w:rPr>
        <w:t>اشارة</w:t>
      </w:r>
      <w:bookmarkStart w:id="65" w:name="pg19806_203269"/>
      <w:bookmarkEnd w:id="64"/>
    </w:p>
    <w:p>
      <w:pPr>
        <w:pStyle w:val="Heading3"/>
        <w:numPr>
          <w:ilvl w:val="2"/>
          <w:numId w:val="1"/>
        </w:numPr>
        <w:rPr/>
      </w:pPr>
      <w:bookmarkStart w:id="66" w:name="__RefHeading___Toc2027755_2314609296"/>
      <w:bookmarkStart w:id="67" w:name="_Toc25"/>
      <w:bookmarkEnd w:id="65"/>
      <w:bookmarkEnd w:id="66"/>
      <w:r>
        <w:rPr>
          <w:rtl w:val="true"/>
        </w:rPr>
        <w:t>[</w:t>
      </w:r>
      <w:r>
        <w:rPr>
          <w:rtl w:val="true"/>
        </w:rPr>
        <w:t>تعریف الطهارة</w:t>
      </w:r>
      <w:r>
        <w:rPr>
          <w:rtl w:val="true"/>
        </w:rPr>
        <w:t>]</w:t>
      </w:r>
      <w:bookmarkEnd w:id="67"/>
    </w:p>
    <w:p>
      <w:pPr>
        <w:pStyle w:val="BookText"/>
        <w:rPr/>
      </w:pP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وفتحها، والاسم الطُهر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والنزاهة من الأدناس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ثبوت الحقائق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طهورٍ مشروطٌ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فالاستعمال بمنزلة الجنس، والطهور مبالغةٌ فی الطاهر، والمراد منه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 فی نفسه المطهِّر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بحسب الاستعمال متعدّیاً وإن کان بحسب الوضع اللغوی لازماً، کالأکول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النجاسة عن الثوب والبدن وغیرهما، فإنّ النیّة لیست شرطاً فی تحقّقه وإن اشترطت فی کماله وترتّب الثواب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الطهارات الثلاث مندرجة فی التعریف، واجبةً ومندوبة، مبیحةً وغیر مبیحة إن اُرید بالطهور مطلق الماء والأرض، کما هو الظاهر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أنّ المراد منها ما هو أعمّ من المبیح للصلاة، وهو خلاف اصطلاح الأکثرین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المصنّف فی غیر هذا الکتاب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ینتقض فی 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بالغسل المندوب، والوضوء غیر الرافع منه، والتیمّم بدلاً منهما</w:t>
      </w:r>
      <w:bookmarkStart w:id="68" w:name="pg19806_203270"/>
    </w:p>
    <w:p>
      <w:pPr>
        <w:pStyle w:val="BookText"/>
        <w:rPr/>
      </w:pPr>
      <w:bookmarkEnd w:id="68"/>
      <w:r>
        <w:rPr>
          <w:rFonts w:ascii="IRNazanin" w:hAnsi="IRNazanin" w:eastAsia="IRNazanin"/>
          <w:color w:val="111111"/>
          <w:sz w:val="28"/>
          <w:sz w:val="28"/>
          <w:szCs w:val="28"/>
          <w:rtl w:val="true"/>
          <w:lang w:bidi="fa-IR"/>
        </w:rPr>
        <w:t xml:space="preserve">إن قیل به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وینتقض فی طرده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بأبعاض کلّ واحدٍ من الثلاثة مطلقاً؛ فإنّه استعمال طهورٍ </w:t>
      </w:r>
      <w:r>
        <w:rPr>
          <w:rStyle w:val="FootnoteAnchor"/>
          <w:rtl w:val="true"/>
        </w:rPr>
        <w:footnoteReference w:id="79"/>
      </w:r>
      <w:r>
        <w:rPr>
          <w:rFonts w:ascii="IRNazanin" w:hAnsi="IRNazanin" w:eastAsia="IRNazanin"/>
          <w:color w:val="111111"/>
          <w:sz w:val="28"/>
          <w:sz w:val="28"/>
          <w:szCs w:val="28"/>
          <w:rtl w:val="true"/>
          <w:lang w:bidi="fa-IR"/>
        </w:rPr>
        <w:t xml:space="preserve">مشروطٌ بالنیّة مع أ نّه لا یسمّی طهارة، وبما لو نذر تطهیرَ الثوب ونحوه من النجاسة </w:t>
      </w:r>
      <w:r>
        <w:rPr>
          <w:rStyle w:val="FootnoteAnchor"/>
          <w:rtl w:val="true"/>
        </w:rPr>
        <w:footnoteReference w:id="80"/>
      </w:r>
      <w:r>
        <w:rPr>
          <w:rFonts w:ascii="Amiri" w:hAnsi="Amiri" w:eastAsia="Amiri" w:cs="Amiri"/>
          <w:color w:val="111111"/>
          <w:sz w:val="28"/>
          <w:sz w:val="28"/>
          <w:szCs w:val="28"/>
          <w:rtl w:val="true"/>
          <w:lang w:bidi="ar-SA"/>
        </w:rPr>
        <w:t>ناویاً، فإنّ النذر منعقدٌ؛ لرجحانه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ذلک فهو من أجود التعریفات؛ لکثرة ما یرد علیها من النقوض فی هذا الباب</w:t>
      </w:r>
      <w:r>
        <w:rPr>
          <w:rFonts w:eastAsia="IRNazanin" w:cs="IRNazanin"/>
          <w:color w:val="111111"/>
          <w:sz w:val="28"/>
          <w:szCs w:val="28"/>
          <w:rtl w:val="true"/>
          <w:lang w:bidi="fa-IR"/>
        </w:rPr>
        <w:t>.</w:t>
      </w:r>
    </w:p>
    <w:p>
      <w:pPr>
        <w:pStyle w:val="Heading3"/>
        <w:numPr>
          <w:ilvl w:val="2"/>
          <w:numId w:val="1"/>
        </w:numPr>
        <w:rPr/>
      </w:pPr>
      <w:bookmarkStart w:id="69" w:name="__RefHeading___Toc2027757_2314609296"/>
      <w:bookmarkStart w:id="70" w:name="_Toc26"/>
      <w:bookmarkEnd w:id="69"/>
      <w:r>
        <w:rPr>
          <w:rtl w:val="true"/>
        </w:rPr>
        <w:t>[</w:t>
      </w:r>
      <w:r>
        <w:rPr>
          <w:rtl w:val="true"/>
        </w:rPr>
        <w:t>بعض احکام الماء</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الماء والتراب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دلیل طهوریّة الماء، 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جهة العلو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لی الأرض مسجِداً و </w:t>
      </w:r>
      <w:r>
        <w:rPr>
          <w:rStyle w:val="FootnoteAnchor"/>
          <w:rtl w:val="true"/>
        </w:rPr>
        <w:footnoteReference w:id="82"/>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IRNazanin" w:hAnsi="IRNazanin" w:eastAsia="IRNazanin"/>
          <w:color w:val="111111"/>
          <w:sz w:val="28"/>
          <w:sz w:val="28"/>
          <w:szCs w:val="28"/>
          <w:rtl w:val="true"/>
          <w:lang w:bidi="fa-IR"/>
        </w:rPr>
        <w:t>وهو دلیل طهوریّة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الأولی إبداله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الخبر، خصوصاً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التیمّم بغیر التراب من أصناف الأرض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الأثر الحاصل للمکلّف وشبهه </w:t>
      </w:r>
      <w:r>
        <w:rPr>
          <w:rStyle w:val="FootnoteAnchor"/>
          <w:rtl w:val="true"/>
        </w:rPr>
        <w:footnoteReference w:id="86"/>
      </w:r>
      <w:r>
        <w:rPr>
          <w:rFonts w:ascii="IRNazanin" w:hAnsi="IRNazanin" w:eastAsia="IRNazanin"/>
          <w:color w:val="111111"/>
          <w:sz w:val="28"/>
          <w:sz w:val="28"/>
          <w:szCs w:val="28"/>
          <w:rtl w:val="true"/>
          <w:lang w:bidi="fa-IR"/>
        </w:rPr>
        <w:t xml:space="preserve">عند عروض أحد أسباب الوضوء والغسل، المانعِ من الصلاة، المتوقّفِ رفعه علی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ینجَس </w:t>
      </w:r>
      <w:r>
        <w:rPr>
          <w:rStyle w:val="FootnoteAnchor"/>
          <w:rtl w:val="true"/>
        </w:rPr>
        <w:footnoteReference w:id="87"/>
      </w:r>
      <w:r>
        <w:rPr>
          <w:rFonts w:ascii="IRNazanin" w:hAnsi="IRNazanin" w:eastAsia="IRNazanin"/>
          <w:color w:val="111111"/>
          <w:sz w:val="28"/>
          <w:sz w:val="28"/>
          <w:szCs w:val="28"/>
          <w:rtl w:val="true"/>
          <w:lang w:bidi="fa-IR"/>
        </w:rPr>
        <w:t>فهو نجِس بالکسر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بالتغیّر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أوصافه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والطعم والریح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غیرها من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تغیّره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لو تغیّر بالمتنجّس خاصّةً، فإنّه لا ینجس بذلک، کما لو تغیّر طعمه بالدبس النجس </w:t>
      </w:r>
      <w:r>
        <w:rPr>
          <w:rStyle w:val="FootnoteAnchor"/>
          <w:rtl w:val="true"/>
        </w:rPr>
        <w:footnoteReference w:id="88"/>
      </w:r>
      <w:r>
        <w:rPr>
          <w:rFonts w:ascii="IRNazanin" w:hAnsi="IRNazanin" w:eastAsia="IRNazanin"/>
          <w:color w:val="111111"/>
          <w:sz w:val="28"/>
          <w:sz w:val="28"/>
          <w:szCs w:val="28"/>
          <w:rtl w:val="true"/>
          <w:lang w:bidi="fa-IR"/>
        </w:rPr>
        <w:t>من غیر أن تؤثّر نجاسته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من </w:t>
      </w:r>
      <w:r>
        <w:rPr>
          <w:rStyle w:val="FootnoteAnchor"/>
          <w:rtl w:val="true"/>
        </w:rPr>
        <w:footnoteReference w:id="89"/>
      </w:r>
      <w:r>
        <w:rPr>
          <w:rFonts w:ascii="IRNazanin" w:hAnsi="IRNazanin" w:eastAsia="IRNazanin"/>
          <w:color w:val="111111"/>
          <w:sz w:val="28"/>
          <w:sz w:val="28"/>
          <w:szCs w:val="28"/>
          <w:rtl w:val="true"/>
          <w:lang w:bidi="fa-IR"/>
        </w:rPr>
        <w:t>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 لا التقدیری علی الأقوی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بزوال التغیّر ولو بنفسه أو بعلاج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النابعُ من الأرض مطلقاً غیرُ البئر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المصنّف فی الدروس فیه دوامَ نبعه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العلّامة </w:t>
      </w:r>
      <w:r>
        <w:rPr>
          <w:rStyle w:val="FootnoteAnchor"/>
          <w:rtl w:val="true"/>
        </w:rPr>
        <w:footnoteReference w:id="91"/>
      </w:r>
      <w:r>
        <w:rPr>
          <w:rFonts w:ascii="Amiri" w:hAnsi="Amiri" w:eastAsia="Amiri" w:cs="Amiri"/>
          <w:color w:val="111111"/>
          <w:sz w:val="28"/>
          <w:sz w:val="28"/>
          <w:szCs w:val="28"/>
          <w:rtl w:val="true"/>
          <w:lang w:bidi="ar-SA"/>
        </w:rPr>
        <w:t xml:space="preserve">وجماعة </w:t>
      </w:r>
      <w:r>
        <w:rPr>
          <w:rStyle w:val="FootnoteAnchor"/>
          <w:rtl w:val="true"/>
        </w:rPr>
        <w:footnoteReference w:id="92"/>
      </w:r>
      <w:r>
        <w:rPr>
          <w:rFonts w:ascii="IRNazanin" w:hAnsi="IRNazanin" w:eastAsia="IRNazanin"/>
          <w:color w:val="111111"/>
          <w:sz w:val="28"/>
          <w:sz w:val="28"/>
          <w:szCs w:val="28"/>
          <w:rtl w:val="true"/>
          <w:lang w:bidi="fa-IR"/>
        </w:rPr>
        <w:t>کغیره فی انفعاله بمجرّد الملاقاة مع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والدلیل النقلی یعضده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وعدمِ </w:t>
      </w:r>
      <w:r>
        <w:rPr>
          <w:rStyle w:val="FootnoteAnchor"/>
          <w:rtl w:val="true"/>
        </w:rPr>
        <w:footnoteReference w:id="94"/>
      </w:r>
      <w:r>
        <w:rPr>
          <w:rFonts w:ascii="IRNazanin" w:hAnsi="IRNazanin" w:eastAsia="IRNazanin"/>
          <w:color w:val="111111"/>
          <w:sz w:val="28"/>
          <w:sz w:val="28"/>
          <w:szCs w:val="28"/>
          <w:rtl w:val="true"/>
          <w:lang w:bidi="fa-IR"/>
        </w:rPr>
        <w:t>طهره بزوال التغیّر مطلقاً، بل بما نبّه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لاقی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غیر الجاری لا بدّ فی طهره مع زوال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ملاقاته کرّاً طاهراً بعد زوال التغیّر أو معه، وإن کان إطلاق العبارة قد یتناول ما لیس بمراد، وهو طهره مع زوال التغیّر وملاقاته الکرّ کیف اتّفق، وکذا الجاری علی القول الآخر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تغیّر بعض الماء وکان الباقی کرّاً طهر المتغیّر بزواله أیضاً کالجاری عنده، ویمکن دخوله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لاقی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ملاقاته للباقی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لاقی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 نّه لا یشترط فی طهره به وقوعه علیه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بین المتأخّرین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تکفی ملاقاته له مطلقاً؛ لصیرورتهما بالملاقاة ماءً واحداً، ولأنّ الدفعة لا یتحقّق لها معنی؛ لتعذّر الحقیقیّة وعدم الدلیل</w:t>
      </w:r>
      <w:bookmarkStart w:id="71" w:name="pg19806_203273"/>
    </w:p>
    <w:p>
      <w:pPr>
        <w:pStyle w:val="BookText"/>
        <w:rPr/>
      </w:pPr>
      <w:bookmarkEnd w:id="71"/>
      <w:r>
        <w:rPr>
          <w:rFonts w:ascii="IRNazanin" w:hAnsi="IRNazanin" w:eastAsia="IRNazanin"/>
          <w:color w:val="111111"/>
          <w:sz w:val="28"/>
          <w:sz w:val="28"/>
          <w:szCs w:val="28"/>
          <w:rtl w:val="true"/>
          <w:lang w:bidi="fa-IR"/>
        </w:rPr>
        <w:t>علی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یعتبر ممازجته له، بل یکفی مطلق الملاقاة؛ لأنّ ممازجة جمیع الأجزاء لا تتّفق، واعتبار بعضها دون بعض تحکّمٌ، والاتّحاد مع الملاقاة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ویشمل إطلاق الملاقاة ما لو تساوی سطحاهما واختلف، مع علوّ المطهِّر علی النجس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والمصنّف رحمه الله لا یری الاجتزاء بالإطلاق فی باقی کتبه </w:t>
      </w:r>
      <w:r>
        <w:rPr>
          <w:rStyle w:val="FootnoteAnchor"/>
          <w:rtl w:val="true"/>
        </w:rPr>
        <w:footnoteReference w:id="97"/>
      </w:r>
      <w:r>
        <w:rPr>
          <w:rFonts w:ascii="IRNazanin" w:hAnsi="IRNazanin" w:eastAsia="IRNazanin"/>
          <w:color w:val="111111"/>
          <w:sz w:val="28"/>
          <w:sz w:val="28"/>
          <w:szCs w:val="28"/>
          <w:rtl w:val="true"/>
          <w:lang w:bidi="fa-IR"/>
        </w:rPr>
        <w:t>بل یعتبر الدفعة، والممازجة، وعلوّ المطهّر أو مساواته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الأخیر ظاهرٌ دون الأوّلین، إلّامع عدم صدق الوحدة عرفاً</w:t>
      </w:r>
      <w:r>
        <w:rPr>
          <w:rFonts w:eastAsia="IRNazanin" w:cs="IRNazanin"/>
          <w:color w:val="111111"/>
          <w:sz w:val="28"/>
          <w:szCs w:val="28"/>
          <w:rtl w:val="true"/>
          <w:lang w:bidi="fa-IR"/>
        </w:rPr>
        <w:t>.</w:t>
      </w:r>
    </w:p>
    <w:p>
      <w:pPr>
        <w:pStyle w:val="Heading3"/>
        <w:numPr>
          <w:ilvl w:val="2"/>
          <w:numId w:val="1"/>
        </w:numPr>
        <w:rPr/>
      </w:pPr>
      <w:bookmarkStart w:id="72" w:name="__RefHeading___Toc2027759_2314609296"/>
      <w:bookmarkStart w:id="73" w:name="_Toc27"/>
      <w:bookmarkEnd w:id="72"/>
      <w:r>
        <w:rPr>
          <w:rtl w:val="true"/>
        </w:rPr>
        <w:t>[</w:t>
      </w:r>
      <w:r>
        <w:rPr>
          <w:rtl w:val="true"/>
        </w:rPr>
        <w:t xml:space="preserve">الکلام فی الکر </w:t>
      </w:r>
      <w:r>
        <w:rPr>
          <w:rtl w:val="true"/>
        </w:rPr>
        <w:t>]</w:t>
      </w:r>
      <w:bookmarkEnd w:id="73"/>
    </w:p>
    <w:p>
      <w:pPr>
        <w:pStyle w:val="BookText"/>
        <w:rPr/>
      </w:pPr>
      <w:r>
        <w:rPr>
          <w:rFonts w:ascii="IRNazanin" w:hAnsi="IRNazanin" w:eastAsia="IRNazanin"/>
          <w:color w:val="111111"/>
          <w:sz w:val="28"/>
          <w:sz w:val="28"/>
          <w:szCs w:val="28"/>
          <w:rtl w:val="true"/>
          <w:lang w:bidi="fa-IR"/>
        </w:rPr>
        <w:t xml:space="preserve">والکرّ المعتبرُ فی الطهارة وعدم الانفعال بالملاقاة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Style w:val="FootnoteAnchor"/>
          <w:rtl w:val="true"/>
        </w:rPr>
        <w:footnoteReference w:id="98"/>
      </w:r>
      <w:r>
        <w:rPr>
          <w:rFonts w:ascii="IRNazanin" w:hAnsi="IRNazanin" w:eastAsia="IRNazanin"/>
          <w:color w:val="111111"/>
          <w:sz w:val="28"/>
          <w:sz w:val="28"/>
          <w:szCs w:val="28"/>
          <w:rtl w:val="true"/>
          <w:lang w:bidi="fa-IR"/>
        </w:rPr>
        <w:t>ألف ومئتا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علی الأفصح وفتحها علی 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وقدره مئة وثلاثون درهماً علی المشهور فیهما </w:t>
      </w:r>
      <w:r>
        <w:rPr>
          <w:rStyle w:val="FootnoteAnchor"/>
          <w:rtl w:val="true"/>
        </w:rPr>
        <w:footnoteReference w:id="99"/>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وبالمساحة ما بلغ مکسّره اثنین وأربعین شبراً وسبعة أثمان شبر مستوی</w:t>
      </w:r>
      <w:bookmarkStart w:id="74" w:name="pg19806_203274"/>
    </w:p>
    <w:p>
      <w:pPr>
        <w:pStyle w:val="BookText"/>
        <w:rPr/>
      </w:pPr>
      <w:bookmarkEnd w:id="74"/>
      <w:r>
        <w:rPr>
          <w:rFonts w:ascii="Amiri" w:hAnsi="Amiri" w:eastAsia="Amiri" w:cs="Amiri"/>
          <w:color w:val="111111"/>
          <w:sz w:val="28"/>
          <w:sz w:val="28"/>
          <w:szCs w:val="28"/>
          <w:rtl w:val="true"/>
          <w:lang w:bidi="ar-SA"/>
        </w:rPr>
        <w:t xml:space="preserve">الخلقة </w:t>
      </w:r>
      <w:r>
        <w:rPr>
          <w:rStyle w:val="FootnoteAnchor"/>
          <w:rtl w:val="true"/>
        </w:rPr>
        <w:footnoteReference w:id="101"/>
      </w:r>
      <w:r>
        <w:rPr>
          <w:rFonts w:ascii="IRNazanin" w:hAnsi="IRNazanin" w:eastAsia="IRNazanin"/>
          <w:color w:val="111111"/>
          <w:sz w:val="28"/>
          <w:sz w:val="28"/>
          <w:szCs w:val="28"/>
          <w:rtl w:val="true"/>
          <w:lang w:bidi="fa-IR"/>
        </w:rPr>
        <w:t xml:space="preserve">علی المشهور والمختار عند المصنّف </w:t>
      </w:r>
      <w:r>
        <w:rPr>
          <w:rStyle w:val="FootnoteAnchor"/>
          <w:rtl w:val="true"/>
        </w:rPr>
        <w:footnoteReference w:id="102"/>
      </w:r>
      <w:r>
        <w:rPr>
          <w:rFonts w:ascii="IRNazanin" w:hAnsi="IRNazanin" w:eastAsia="IRNazanin"/>
          <w:color w:val="111111"/>
          <w:sz w:val="28"/>
          <w:sz w:val="28"/>
          <w:szCs w:val="28"/>
          <w:rtl w:val="true"/>
          <w:lang w:bidi="fa-IR"/>
        </w:rPr>
        <w:t xml:space="preserve">وفی الاکتفاء بسبعةٍ وعشرین قولٌ قویّ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027761_2314609296"/>
      <w:bookmarkStart w:id="76" w:name="_Toc28"/>
      <w:bookmarkEnd w:id="75"/>
      <w:r>
        <w:rPr>
          <w:rtl w:val="true"/>
        </w:rPr>
        <w:t>[</w:t>
      </w:r>
      <w:r>
        <w:rPr>
          <w:rtl w:val="true"/>
        </w:rPr>
        <w:t xml:space="preserve">الکلام فی الماء القلیل </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دون الکرّ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ماءٍ نابعٍ من الأرض لا یتعدّاها غالباً ولا یخرج عن مسمّاها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فیهما بل کاد أن یکون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 القلیل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ملاقاته الکرّ علی الوجه السابق، وکذا یطهر بملاقاة الجاری مساویاً له أو عالیاً علیه وإن لم یکن کرّاً عند المصنّف ومن یقول بمقالته فیه وبوقوع الغیث علیه إجماعاً</w:t>
      </w:r>
      <w:r>
        <w:rPr>
          <w:rFonts w:eastAsia="IRNazanin" w:cs="IRNazanin"/>
          <w:color w:val="111111"/>
          <w:sz w:val="28"/>
          <w:szCs w:val="28"/>
          <w:rtl w:val="true"/>
          <w:lang w:bidi="fa-IR"/>
        </w:rPr>
        <w:t>.</w:t>
      </w:r>
    </w:p>
    <w:p>
      <w:pPr>
        <w:pStyle w:val="Heading3"/>
        <w:numPr>
          <w:ilvl w:val="2"/>
          <w:numId w:val="1"/>
        </w:numPr>
        <w:rPr/>
      </w:pPr>
      <w:bookmarkStart w:id="77" w:name="__RefHeading___Toc2027763_2314609296"/>
      <w:bookmarkStart w:id="78" w:name="_Toc29"/>
      <w:bookmarkEnd w:id="77"/>
      <w:r>
        <w:rPr>
          <w:rtl w:val="true"/>
        </w:rPr>
        <w:t>[</w:t>
      </w:r>
      <w:r>
        <w:rPr>
          <w:rtl w:val="true"/>
        </w:rPr>
        <w:t xml:space="preserve">الکلام فی البئر و نزحه </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بمطهِّر غیره مطلقاً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بنزح جمیعه للبعیر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الإ بل بمنزلة الإنسان یشمل الذکر والاُنثی، الصغیر والکبیر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نجاسته المستندةُ إلی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ذکر البقر </w:t>
      </w:r>
      <w:r>
        <w:rPr>
          <w:rStyle w:val="FootnoteAnchor"/>
          <w:rtl w:val="true"/>
        </w:rPr>
        <w:footnoteReference w:id="104"/>
      </w:r>
      <w:r>
        <w:rPr>
          <w:rFonts w:ascii="IRNazanin" w:hAnsi="IRNazanin" w:eastAsia="IRNazanin"/>
          <w:color w:val="111111"/>
          <w:sz w:val="28"/>
          <w:sz w:val="28"/>
          <w:szCs w:val="28"/>
          <w:rtl w:val="true"/>
          <w:lang w:bidi="fa-IR"/>
        </w:rPr>
        <w:t xml:space="preserve">والأولی اعتبار اطلاق اسمه عرفاً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قلیله وکثیره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المائع بالأصالة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الدماء الثلاثة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 المصنّف فی الذکری العصیر العنبی بعد اشتداده بالغلیان قبل ذهاب ثلثیه </w:t>
      </w:r>
      <w:r>
        <w:rPr>
          <w:rStyle w:val="FootnoteAnchor"/>
          <w:rtl w:val="true"/>
        </w:rPr>
        <w:footnoteReference w:id="105"/>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یذکر هنا المنیّ ممّا له نفسٌ </w:t>
      </w:r>
      <w:r>
        <w:rPr>
          <w:rStyle w:val="FootnoteAnchor"/>
          <w:rtl w:val="true"/>
        </w:rPr>
        <w:footnoteReference w:id="106"/>
      </w:r>
      <w:r>
        <w:rPr>
          <w:rFonts w:ascii="IRNazanin" w:hAnsi="IRNazanin" w:eastAsia="IRNazanin"/>
          <w:color w:val="111111"/>
          <w:sz w:val="28"/>
          <w:sz w:val="28"/>
          <w:szCs w:val="28"/>
          <w:rtl w:val="true"/>
          <w:lang w:bidi="fa-IR"/>
        </w:rPr>
        <w:t>والمشهور فیه ذلک، وبه قطع المصنّف فی</w:t>
      </w:r>
    </w:p>
    <w:p>
      <w:pPr>
        <w:pStyle w:val="BookText"/>
        <w:rPr/>
      </w:pPr>
      <w:r>
        <w:rPr>
          <w:rFonts w:ascii="IRNazanin" w:hAnsi="IRNazanin" w:eastAsia="IRNazanin"/>
          <w:color w:val="111111"/>
          <w:sz w:val="28"/>
          <w:sz w:val="28"/>
          <w:szCs w:val="28"/>
          <w:rtl w:val="true"/>
          <w:lang w:bidi="fa-IR"/>
        </w:rPr>
        <w:t xml:space="preserve">المختصرین </w:t>
      </w:r>
      <w:r>
        <w:rPr>
          <w:rStyle w:val="FootnoteAnchor"/>
          <w:rtl w:val="true"/>
        </w:rPr>
        <w:footnoteReference w:id="107"/>
      </w:r>
      <w:r>
        <w:rPr>
          <w:rFonts w:ascii="IRNazanin" w:hAnsi="IRNazanin" w:eastAsia="IRNazanin"/>
          <w:color w:val="111111"/>
          <w:sz w:val="28"/>
          <w:sz w:val="28"/>
          <w:szCs w:val="28"/>
          <w:rtl w:val="true"/>
          <w:lang w:bidi="fa-IR"/>
        </w:rPr>
        <w:t xml:space="preserve">ونسبه فی الذکری إلی المشهور معترفاً فیه بعدم النصّ </w:t>
      </w:r>
      <w:r>
        <w:rPr>
          <w:rStyle w:val="FootnoteAnchor"/>
          <w:rtl w:val="true"/>
        </w:rPr>
        <w:footnoteReference w:id="108"/>
      </w:r>
      <w:r>
        <w:rPr>
          <w:rFonts w:ascii="IRNazanin" w:hAnsi="IRNazanin" w:eastAsia="IRNazanin"/>
          <w:color w:val="111111"/>
          <w:sz w:val="28"/>
          <w:sz w:val="28"/>
          <w:szCs w:val="28"/>
          <w:rtl w:val="true"/>
          <w:lang w:bidi="fa-IR"/>
        </w:rPr>
        <w:t>ولعلّه السبب فی ترکه هنا، لکن دم الحدث کذلک، فلا وجه لإفراده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 یجاب الجمیع لما لا نصّ فیه یشملهما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هنا حصر المنصوص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للدابّة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والحمار والبقرة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کتبه الثلاثة البغل </w:t>
      </w:r>
      <w:r>
        <w:rPr>
          <w:rStyle w:val="FootnoteAnchor"/>
          <w:rtl w:val="true"/>
        </w:rPr>
        <w:footnoteReference w:id="109"/>
      </w:r>
      <w:r>
        <w:rPr>
          <w:rFonts w:ascii="IRNazanin" w:hAnsi="IRNazanin" w:eastAsia="IRNazanin"/>
          <w:color w:val="111111"/>
          <w:sz w:val="28"/>
          <w:sz w:val="28"/>
          <w:szCs w:val="28"/>
          <w:rtl w:val="true"/>
          <w:lang w:bidi="fa-IR"/>
        </w:rPr>
        <w:t>والمراد من نجاستها المستندة إلی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والمنصوص منها مع ضعف طریقه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والبغل </w:t>
      </w:r>
      <w:r>
        <w:rPr>
          <w:rStyle w:val="FootnoteAnchor"/>
          <w:rtl w:val="true"/>
        </w:rPr>
        <w:footnoteReference w:id="111"/>
      </w:r>
      <w:r>
        <w:rPr>
          <w:rFonts w:ascii="IRNazanin" w:hAnsi="IRNazanin" w:eastAsia="IRNazanin"/>
          <w:color w:val="111111"/>
          <w:sz w:val="28"/>
          <w:sz w:val="28"/>
          <w:szCs w:val="28"/>
          <w:rtl w:val="true"/>
          <w:lang w:bidi="fa-IR"/>
        </w:rPr>
        <w:t xml:space="preserve">وغایته أن یُجبر </w:t>
      </w:r>
      <w:r>
        <w:rPr>
          <w:rStyle w:val="FootnoteAnchor"/>
          <w:rtl w:val="true"/>
        </w:rPr>
        <w:footnoteReference w:id="112"/>
      </w:r>
      <w:r>
        <w:rPr>
          <w:rFonts w:ascii="IRNazanin" w:hAnsi="IRNazanin" w:eastAsia="IRNazanin"/>
          <w:color w:val="111111"/>
          <w:sz w:val="28"/>
          <w:sz w:val="28"/>
          <w:szCs w:val="28"/>
          <w:rtl w:val="true"/>
          <w:lang w:bidi="fa-IR"/>
        </w:rPr>
        <w:t>ضعفه بعمل الأصحاب، فیبقی إلحاق الدابّة والبقرة بما لا نصّ فیه أولی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دلواً 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البئر، فإن اختلفت فالأغلب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لنجاسته المستندة إلی موته، سواء فی ذلک الذکر</w:t>
      </w:r>
    </w:p>
    <w:p>
      <w:pPr>
        <w:pStyle w:val="BookText"/>
        <w:rPr/>
      </w:pPr>
      <w:r>
        <w:rPr>
          <w:rFonts w:ascii="IRNazanin" w:hAnsi="IRNazanin" w:eastAsia="IRNazanin"/>
          <w:color w:val="111111"/>
          <w:sz w:val="28"/>
          <w:sz w:val="28"/>
          <w:szCs w:val="28"/>
          <w:rtl w:val="true"/>
          <w:lang w:bidi="fa-IR"/>
        </w:rPr>
        <w:t>والاُنثی والصغیر والکبیر والمسلم والکافر إن لم نوجب الجمیع لما لا نصّ فیه، وإلّا اختصّ بالمسلم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للدم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کدم الشاة المذبوحة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الدماء الثلاثة؛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دم نجس العین بها وجه مخرَّج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والعذرة الرطبة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فضلة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والمرویّ اعتبار ذوبانها </w:t>
      </w:r>
      <w:r>
        <w:rPr>
          <w:rStyle w:val="FootnoteAnchor"/>
          <w:rtl w:val="true"/>
        </w:rPr>
        <w:footnoteReference w:id="114"/>
      </w:r>
      <w:r>
        <w:rPr>
          <w:rFonts w:ascii="IRNazanin" w:hAnsi="IRNazanin" w:eastAsia="IRNazanin"/>
          <w:color w:val="111111"/>
          <w:sz w:val="28"/>
          <w:sz w:val="28"/>
          <w:szCs w:val="28"/>
          <w:rtl w:val="true"/>
          <w:lang w:bidi="fa-IR"/>
        </w:rPr>
        <w:t>وهو تفرّق أجزائها وشیوعها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الرطوبة فلا نصّ علی اعتبارها، لکن ذکرها الشیخ </w:t>
      </w:r>
      <w:r>
        <w:rPr>
          <w:rStyle w:val="FootnoteAnchor"/>
          <w:rtl w:val="true"/>
        </w:rPr>
        <w:footnoteReference w:id="115"/>
      </w:r>
      <w:r>
        <w:rPr>
          <w:rFonts w:ascii="Amiri" w:hAnsi="Amiri" w:eastAsia="Amiri" w:cs="Amiri"/>
          <w:color w:val="111111"/>
          <w:sz w:val="28"/>
          <w:sz w:val="28"/>
          <w:szCs w:val="28"/>
          <w:rtl w:val="true"/>
          <w:lang w:bidi="ar-SA"/>
        </w:rPr>
        <w:t xml:space="preserve">وتبعه المصنّف وجماعة </w:t>
      </w:r>
      <w:r>
        <w:rPr>
          <w:rStyle w:val="FootnoteAnchor"/>
          <w:rtl w:val="true"/>
        </w:rPr>
        <w:footnoteReference w:id="116"/>
      </w:r>
      <w:r>
        <w:rPr>
          <w:rFonts w:ascii="IRNazanin" w:hAnsi="IRNazanin" w:eastAsia="IRNazanin"/>
          <w:color w:val="111111"/>
          <w:sz w:val="28"/>
          <w:sz w:val="28"/>
          <w:szCs w:val="28"/>
          <w:rtl w:val="true"/>
          <w:lang w:bidi="fa-IR"/>
        </w:rPr>
        <w:t xml:space="preserve">واکتفی فی الدروس بکلٍّ منهما </w:t>
      </w:r>
      <w:r>
        <w:rPr>
          <w:rStyle w:val="FootnoteAnchor"/>
          <w:rtl w:val="true"/>
        </w:rPr>
        <w:footnoteReference w:id="117"/>
      </w:r>
      <w:r>
        <w:rPr>
          <w:rFonts w:ascii="IRNazanin" w:hAnsi="IRNazanin" w:eastAsia="IRNazanin"/>
          <w:color w:val="111111"/>
          <w:sz w:val="28"/>
          <w:sz w:val="28"/>
          <w:szCs w:val="28"/>
          <w:rtl w:val="true"/>
          <w:lang w:bidi="fa-IR"/>
        </w:rPr>
        <w:t>وکذلک تعیّن الخمسین، 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أو خمسون </w:t>
      </w:r>
      <w:r>
        <w:rPr>
          <w:rStyle w:val="FootnoteAnchor"/>
          <w:rtl w:val="true"/>
        </w:rPr>
        <w:footnoteReference w:id="118"/>
      </w:r>
      <w:r>
        <w:rPr>
          <w:rFonts w:ascii="IRNazanin" w:hAnsi="IRNazanin" w:eastAsia="IRNazanin"/>
          <w:color w:val="111111"/>
          <w:sz w:val="28"/>
          <w:sz w:val="28"/>
          <w:szCs w:val="28"/>
          <w:rtl w:val="true"/>
          <w:lang w:bidi="fa-IR"/>
        </w:rPr>
        <w:t>وهو یقتضی التخییر، وإن کان اعتبار الأکثر أحوط أو أفضل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للثعلب والأرنب والشاة والخنزیر والکلب والهرّ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وشبه ذلک، والمراد من نجاسته بالموت </w:t>
      </w:r>
      <w:r>
        <w:rPr>
          <w:rStyle w:val="FootnoteAnchor"/>
          <w:rtl w:val="true"/>
        </w:rPr>
        <w:footnoteReference w:id="119"/>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ضعیف </w:t>
      </w:r>
      <w:r>
        <w:rPr>
          <w:rStyle w:val="FootnoteAnchor"/>
          <w:rtl w:val="true"/>
        </w:rPr>
        <w:footnoteReference w:id="120"/>
      </w:r>
      <w:r>
        <w:rPr>
          <w:rFonts w:ascii="IRNazanin" w:hAnsi="IRNazanin" w:eastAsia="IRNazanin"/>
          <w:color w:val="111111"/>
          <w:sz w:val="28"/>
          <w:sz w:val="28"/>
          <w:szCs w:val="28"/>
          <w:rtl w:val="true"/>
          <w:lang w:bidi="fa-IR"/>
        </w:rPr>
        <w:t xml:space="preserve">والشهرة جابرة علی ما زعموا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w:t>
      </w:r>
      <w:r>
        <w:rPr>
          <w:rStyle w:val="FootnoteAnchor"/>
          <w:rtl w:val="true"/>
        </w:rPr>
        <w:footnoteReference w:id="121"/>
      </w:r>
      <w:r>
        <w:rPr>
          <w:rFonts w:ascii="IRNazanin" w:hAnsi="IRNazanin" w:eastAsia="IRNazanin"/>
          <w:color w:val="111111"/>
          <w:sz w:val="28"/>
          <w:sz w:val="28"/>
          <w:szCs w:val="28"/>
          <w:rtl w:val="true"/>
          <w:lang w:bidi="fa-IR"/>
        </w:rPr>
        <w:t>وشهرةً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المسلم والکافر، وتخرج المرأة والخنثی، فیلحق بولهما بما لا نصّ فیه، وکذا بول الصبیّة، أمّا الصبی فسیأتی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فیما لا نصّ فیه بنزح ثلاثین أو أربعین وجب فی بول الخنثی أکثر الأمرین منه ومن بول الرجل، مع احتمال الاجتزاء بالأقلّ؛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لماء المطر المخالط للبول والعذرة وخُرء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والمستند روایةٌ مجهولة الراوی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 یجاب خمسین للعذرة وأربعین لبعض الأبوال والجمیع للبعض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کالأخیر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ینافی وجوب ثلاثین له مجتمعاً مخالطاً للماء؛ لأنّ مبنی حکم البئر علی جمع المختلف وتفریق المتّفق </w:t>
      </w:r>
      <w:r>
        <w:rPr>
          <w:rStyle w:val="FootnoteAnchor"/>
          <w:rtl w:val="true"/>
        </w:rPr>
        <w:footnoteReference w:id="123"/>
      </w:r>
      <w:r>
        <w:rPr>
          <w:rFonts w:ascii="IRNazanin" w:hAnsi="IRNazanin" w:eastAsia="IRNazanin"/>
          <w:color w:val="111111"/>
          <w:sz w:val="28"/>
          <w:sz w:val="28"/>
          <w:szCs w:val="28"/>
          <w:rtl w:val="true"/>
          <w:lang w:bidi="fa-IR"/>
        </w:rPr>
        <w:t>فجاز إضعاف ماء المطر لحکمه وإن لم تذهب أعیان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خالط أحدها کفت الثلاثون إن لم یکن له مقدّر، أو کان وهو أکثر أو مساوٍ، ولو کان أقلّ اقتصر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بعضها کالکلّ </w:t>
      </w:r>
      <w:r>
        <w:rPr>
          <w:rStyle w:val="FootnoteAnchor"/>
          <w:rtl w:val="true"/>
        </w:rPr>
        <w:footnoteReference w:id="124"/>
      </w:r>
      <w:r>
        <w:rPr>
          <w:rFonts w:ascii="Amiri" w:hAnsi="Amiri" w:eastAsia="Amiri" w:cs="Amiri"/>
          <w:color w:val="111111"/>
          <w:sz w:val="28"/>
          <w:sz w:val="28"/>
          <w:szCs w:val="28"/>
          <w:rtl w:val="true"/>
          <w:lang w:bidi="ar-SA"/>
        </w:rPr>
        <w:t>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الحکم معلّق </w:t>
      </w:r>
      <w:r>
        <w:rPr>
          <w:rStyle w:val="FootnoteAnchor"/>
          <w:rtl w:val="true"/>
        </w:rPr>
        <w:footnoteReference w:id="125"/>
      </w:r>
      <w:r>
        <w:rPr>
          <w:rFonts w:ascii="IRNazanin" w:hAnsi="IRNazanin" w:eastAsia="IRNazanin"/>
          <w:color w:val="111111"/>
          <w:sz w:val="28"/>
          <w:sz w:val="28"/>
          <w:szCs w:val="28"/>
          <w:rtl w:val="true"/>
          <w:lang w:bidi="fa-IR"/>
        </w:rPr>
        <w:t xml:space="preserve">بالجمیع </w:t>
      </w:r>
      <w:r>
        <w:rPr>
          <w:rStyle w:val="FootnoteAnchor"/>
          <w:rtl w:val="true"/>
        </w:rPr>
        <w:footnoteReference w:id="126"/>
      </w:r>
      <w:r>
        <w:rPr>
          <w:rFonts w:ascii="IRNazanin" w:hAnsi="IRNazanin" w:eastAsia="IRNazanin"/>
          <w:color w:val="111111"/>
          <w:sz w:val="28"/>
          <w:sz w:val="28"/>
          <w:szCs w:val="28"/>
          <w:rtl w:val="true"/>
          <w:lang w:bidi="fa-IR"/>
        </w:rPr>
        <w:t>فیجب لغیره مقدّره أو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أجود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لیابس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ذائبها، أو رطبها، أو هما علی الأقوال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کدم الدجاجة المذبوحة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دلاء یسیرة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وفسّرت بالعشر؛ لأنّه أکثر عددٍ یضاف إلی هذا الجمع، أو لأنّه أقلّ جمع الکثرة </w:t>
      </w:r>
      <w:r>
        <w:rPr>
          <w:rStyle w:val="FootnoteAnchor"/>
          <w:rtl w:val="true"/>
        </w:rPr>
        <w:footnoteReference w:id="129"/>
      </w:r>
      <w:r>
        <w:rPr>
          <w:rFonts w:ascii="IRNazanin" w:hAnsi="IRNazanin" w:eastAsia="IRNazanin"/>
          <w:color w:val="111111"/>
          <w:sz w:val="28"/>
          <w:sz w:val="28"/>
          <w:szCs w:val="28"/>
          <w:rtl w:val="true"/>
          <w:lang w:bidi="fa-IR"/>
        </w:rPr>
        <w:t>وفیهما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الحمامة فما فوقها، أی لنجاسة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والفأرة مع انتفاخها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والمرویّ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تفسّخها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الذی زاد سنّه عن حولین ولم یبلغ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الرضیع الذی یغلب أکله علی رضاعه أو یساویه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 بدنه من نجاسةٍ 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النصّ نجاسة الماء بذلک لا سلب الطهوریّة، وعلی هذا فإن اغتسل مرتمساً طهر بدنه من الحدث ونجس بالخبث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اغتسل مرتّباً ففی نجاسة الماء بعد غسل الجزء الأوّل مع اتّصاله به أو وصول الماء إلیه، أو توقفه علی إکمال الغسل،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بالجنب غیره ممّن یجب علیه الغسل؛ عملاً بالأصل، مع احتماله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وخروج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به الخنزیر، بل بما لا نصّ فیه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لذرق الدجاج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الدال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نصّ علیه ظاهراً، فیجب تقییده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 المصنّف فی البیان </w:t>
      </w:r>
      <w:r>
        <w:rPr>
          <w:rStyle w:val="FootnoteAnchor"/>
          <w:rtl w:val="true"/>
        </w:rPr>
        <w:footnoteReference w:id="131"/>
      </w:r>
      <w:r>
        <w:rPr>
          <w:rFonts w:ascii="IRNazanin" w:hAnsi="IRNazanin" w:eastAsia="IRNazanin"/>
          <w:color w:val="111111"/>
          <w:sz w:val="28"/>
          <w:sz w:val="28"/>
          <w:szCs w:val="28"/>
          <w:rtl w:val="true"/>
          <w:lang w:bidi="fa-IR"/>
        </w:rPr>
        <w:t>لیکون</w:t>
      </w:r>
    </w:p>
    <w:p>
      <w:pPr>
        <w:pStyle w:val="BookText"/>
        <w:rPr/>
      </w:pPr>
      <w:r>
        <w:rPr>
          <w:rFonts w:ascii="IRNazanin" w:hAnsi="IRNazanin" w:eastAsia="IRNazanin"/>
          <w:color w:val="111111"/>
          <w:sz w:val="28"/>
          <w:sz w:val="28"/>
          <w:szCs w:val="28"/>
          <w:rtl w:val="true"/>
          <w:lang w:bidi="fa-IR"/>
        </w:rPr>
        <w:t>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نزح الجمیع إلحاقاً له بما لا نصّ فیه إن لم یثبت الإ جماع علی خلافه، وعشرٍ إدخالاً له فی العذرة، والخمسِ للإ جماع علی عدم الزائد إن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 صرّح بإرادة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التخصیص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والمأخذ فیها ضعیف </w:t>
      </w:r>
      <w:r>
        <w:rPr>
          <w:rStyle w:val="FootnoteAnchor"/>
          <w:rtl w:val="true"/>
        </w:rPr>
        <w:footnoteReference w:id="133"/>
      </w:r>
      <w:r>
        <w:rPr>
          <w:rFonts w:ascii="Amiri" w:hAnsi="Amiri" w:eastAsia="Amiri" w:cs="Amiri"/>
          <w:color w:val="111111"/>
          <w:sz w:val="28"/>
          <w:sz w:val="28"/>
          <w:szCs w:val="28"/>
          <w:rtl w:val="true"/>
          <w:lang w:bidi="ar-SA"/>
        </w:rPr>
        <w:t>وعُلّل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لها نفساً فتکون میتتها نجسة </w:t>
      </w:r>
      <w:r>
        <w:rPr>
          <w:rStyle w:val="FootnoteAnchor"/>
          <w:rtl w:val="true"/>
        </w:rPr>
        <w:footnoteReference w:id="134"/>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استلزامه للمدّعی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شاهد له کما اعترف به المصنّف فی غیر البیان </w:t>
      </w:r>
      <w:r>
        <w:rPr>
          <w:rStyle w:val="FootnoteAnchor"/>
          <w:rtl w:val="true"/>
        </w:rPr>
        <w:footnoteReference w:id="135"/>
      </w:r>
      <w:r>
        <w:rPr>
          <w:rFonts w:ascii="IRNazanin" w:hAnsi="IRNazanin" w:eastAsia="IRNazanin"/>
          <w:color w:val="111111"/>
          <w:sz w:val="28"/>
          <w:sz w:val="28"/>
          <w:szCs w:val="28"/>
          <w:rtl w:val="true"/>
          <w:lang w:bidi="fa-IR"/>
        </w:rPr>
        <w:t xml:space="preserve">وقطع بالحکم فیه </w:t>
      </w:r>
      <w:r>
        <w:rPr>
          <w:rStyle w:val="FootnoteAnchor"/>
          <w:rtl w:val="true"/>
        </w:rPr>
        <w:footnoteReference w:id="136"/>
      </w:r>
      <w:r>
        <w:rPr>
          <w:rFonts w:ascii="IRNazanin" w:hAnsi="IRNazanin" w:eastAsia="IRNazanin"/>
          <w:color w:val="111111"/>
          <w:sz w:val="28"/>
          <w:sz w:val="28"/>
          <w:szCs w:val="28"/>
          <w:rtl w:val="true"/>
          <w:lang w:bidi="fa-IR"/>
        </w:rPr>
        <w:t>کما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بها العقرب، وربّما قیل بالاستحباب </w:t>
      </w:r>
      <w:r>
        <w:rPr>
          <w:rStyle w:val="FootnoteAnchor"/>
          <w:rtl w:val="true"/>
        </w:rPr>
        <w:footnoteReference w:id="137"/>
      </w:r>
      <w:r>
        <w:rPr>
          <w:rFonts w:ascii="Amiri" w:hAnsi="Amiri" w:eastAsia="Amiri" w:cs="Amiri"/>
          <w:color w:val="111111"/>
          <w:sz w:val="28"/>
          <w:sz w:val="28"/>
          <w:szCs w:val="28"/>
          <w:rtl w:val="true"/>
          <w:lang w:bidi="ar-SA"/>
        </w:rPr>
        <w:t>لعدم النجاسة، ولعلّه لدفع وَهْم السمّ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ودلو للعُصفور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عینه، وهو ما دون الحمامة، سواء کان مأکول اللحم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 المصنّف فی الثلاثة </w:t>
      </w:r>
      <w:r>
        <w:rPr>
          <w:rStyle w:val="FootnoteAnchor"/>
          <w:rtl w:val="true"/>
        </w:rPr>
        <w:footnoteReference w:id="138"/>
      </w:r>
      <w:r>
        <w:rPr>
          <w:rFonts w:ascii="IRNazanin" w:hAnsi="IRNazanin" w:eastAsia="IRNazanin"/>
          <w:color w:val="111111"/>
          <w:sz w:val="28"/>
          <w:sz w:val="28"/>
          <w:szCs w:val="28"/>
          <w:rtl w:val="true"/>
          <w:lang w:bidi="fa-IR"/>
        </w:rPr>
        <w:t>بولَ الرضیع قبل اغتذائه بالطعام فی</w:t>
      </w:r>
    </w:p>
    <w:p>
      <w:pPr>
        <w:pStyle w:val="BookText"/>
        <w:rPr/>
      </w:pPr>
      <w:r>
        <w:rPr>
          <w:rFonts w:ascii="IRNazanin" w:hAnsi="IRNazanin" w:eastAsia="IRNazanin"/>
          <w:color w:val="111111"/>
          <w:sz w:val="28"/>
          <w:sz w:val="28"/>
          <w:szCs w:val="28"/>
          <w:rtl w:val="true"/>
          <w:lang w:bidi="fa-IR"/>
        </w:rPr>
        <w:t xml:space="preserve">الحولین، وقیّده فی البیان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ترکه هنا لعدم النصّ، مع أ نّه فی الشهرة کغیره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أکثر مستند هذه المقدرات ضعیفٌ، لکن العمل به مشهور، بل لا قائل بغیره علی تقدیر القول بالنجاسة، فإنّ اللازم من اطّراحه کونه ممّا لا نصّ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التراوحُ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Style w:val="FootnoteAnchor"/>
          <w:rtl w:val="true"/>
        </w:rPr>
        <w:footnoteReference w:id="139"/>
      </w:r>
      <w:r>
        <w:rPr>
          <w:rFonts w:ascii="IRNazanin" w:hAnsi="IRNazanin" w:eastAsia="IRNazanin"/>
          <w:color w:val="111111"/>
          <w:sz w:val="28"/>
          <w:sz w:val="28"/>
          <w:szCs w:val="28"/>
          <w:rtl w:val="true"/>
          <w:lang w:bidi="fa-IR"/>
        </w:rPr>
        <w:t xml:space="preserve">کلّ اثنین منها یُریحان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من أوّل النهار إلی اللیل، سواء فی ذلک الطویل والقصیر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تعذّر نزح الجمیع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المانعة من نزحه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نزح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الأسباب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إدخال جزءٍ من اللیل متقدّماً ومتأخّراً من باب المقدّمة وتهیئة الأسباب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یجزئ مقدار الیوم من اللیل والملفّق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ویجزئ ما زاد عن الأربعة دون ما نقص وإن نهض بعملها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لهم الصلاة جماعةً لا جمیعاً بدونها، ولا الأکل کذلک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ونبّه بإلحاق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إجزاء غیر الذکور، ولکن لم یدلّ علی اعتبار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المصنّف فی غیر الکتاب </w:t>
      </w:r>
      <w:r>
        <w:rPr>
          <w:rStyle w:val="FootnoteAnchor"/>
          <w:rtl w:val="true"/>
        </w:rPr>
        <w:footnoteReference w:id="140"/>
      </w:r>
      <w:r>
        <w:rPr>
          <w:rFonts w:ascii="IRNazanin" w:hAnsi="IRNazanin" w:eastAsia="IRNazanin"/>
          <w:color w:val="111111"/>
          <w:sz w:val="28"/>
          <w:sz w:val="28"/>
          <w:szCs w:val="28"/>
          <w:rtl w:val="true"/>
          <w:lang w:bidi="fa-IR"/>
        </w:rPr>
        <w:t xml:space="preserve">باعتباره، وهو حسن، عملاً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w:t>
      </w:r>
      <w:r>
        <w:rPr>
          <w:rStyle w:val="FootnoteAnchor"/>
          <w:rtl w:val="true"/>
        </w:rPr>
        <w:footnoteReference w:id="141"/>
      </w:r>
      <w:r>
        <w:rPr>
          <w:rFonts w:ascii="IRNazanin" w:hAnsi="IRNazanin" w:eastAsia="IRNazanin"/>
          <w:color w:val="111111"/>
          <w:sz w:val="28"/>
          <w:sz w:val="28"/>
          <w:szCs w:val="28"/>
          <w:rtl w:val="true"/>
          <w:lang w:bidi="fa-IR"/>
        </w:rPr>
        <w:t xml:space="preserve">خلافاً للمحقّق حیث اجتزأ بالنساء والصبیان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79" w:name="pg19806_203282"/>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بوقوع نجاسةٍ لها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المقدّر وزوال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وجوب أکثر الأمرین، جمعاً بین المنصوص </w:t>
      </w:r>
      <w:r>
        <w:rPr>
          <w:rStyle w:val="FootnoteAnchor"/>
          <w:rtl w:val="true"/>
        </w:rPr>
        <w:footnoteReference w:id="143"/>
      </w:r>
      <w:r>
        <w:rPr>
          <w:rFonts w:ascii="IRNazanin" w:hAnsi="IRNazanin" w:eastAsia="IRNazanin"/>
          <w:color w:val="111111"/>
          <w:sz w:val="28"/>
          <w:sz w:val="28"/>
          <w:szCs w:val="28"/>
          <w:rtl w:val="true"/>
          <w:lang w:bidi="fa-IR"/>
        </w:rPr>
        <w:t>وزوال التغیّر المعتبر فی طهارة ما لا ینفعل کثیره، 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یکن لها مقدّر ففی الاکتفاء بمزیل التغیّر، أو وجوب نزح الجمیع والتراوح مع تعذّره، قولان، أجودهما الثانی </w:t>
      </w:r>
      <w:r>
        <w:rPr>
          <w:rStyle w:val="FootnoteAnchor"/>
          <w:rtl w:val="true"/>
        </w:rPr>
        <w:footnoteReference w:id="144"/>
      </w:r>
      <w:r>
        <w:rPr>
          <w:rFonts w:ascii="IRNazanin" w:hAnsi="IRNazanin" w:eastAsia="IRNazanin"/>
          <w:color w:val="111111"/>
          <w:sz w:val="28"/>
          <w:sz w:val="28"/>
          <w:szCs w:val="28"/>
          <w:rtl w:val="true"/>
          <w:lang w:bidi="fa-IR"/>
        </w:rPr>
        <w:t>ولو أوجبنا فیه ثلاثین أو أربعین اعتبر أکثر الأمرین أیضاً</w:t>
      </w:r>
      <w:r>
        <w:rPr>
          <w:rFonts w:eastAsia="IRNazanin" w:cs="IRNazanin"/>
          <w:color w:val="111111"/>
          <w:sz w:val="28"/>
          <w:szCs w:val="28"/>
          <w:rtl w:val="true"/>
          <w:lang w:bidi="fa-IR"/>
        </w:rPr>
        <w:t>.</w:t>
      </w:r>
    </w:p>
    <w:p>
      <w:pPr>
        <w:pStyle w:val="Heading3"/>
        <w:numPr>
          <w:ilvl w:val="2"/>
          <w:numId w:val="1"/>
        </w:numPr>
        <w:rPr/>
      </w:pPr>
      <w:bookmarkStart w:id="80" w:name="__RefHeading___Toc2027765_2314609296"/>
      <w:bookmarkStart w:id="81" w:name="_Toc30"/>
      <w:bookmarkEnd w:id="80"/>
      <w:r>
        <w:rPr>
          <w:rtl w:val="true"/>
        </w:rPr>
        <w:t>«</w:t>
      </w:r>
      <w:r>
        <w:rPr>
          <w:rtl w:val="true"/>
        </w:rPr>
        <w:t>مسائل</w:t>
      </w:r>
      <w:r>
        <w:rPr>
          <w:rtl w:val="true"/>
        </w:rPr>
        <w:t>»</w:t>
      </w:r>
      <w:bookmarkEnd w:id="81"/>
    </w:p>
    <w:p>
      <w:pPr>
        <w:pStyle w:val="Heading4"/>
        <w:numPr>
          <w:ilvl w:val="3"/>
          <w:numId w:val="1"/>
        </w:numPr>
        <w:rPr/>
      </w:pPr>
      <w:bookmarkStart w:id="82" w:name="__RefHeading___Toc2027767_2314609296"/>
      <w:bookmarkStart w:id="83" w:name="_Toc31"/>
      <w:bookmarkEnd w:id="82"/>
      <w:r>
        <w:rPr>
          <w:rtl w:val="true"/>
        </w:rPr>
        <w:t>الاُولی</w:t>
      </w:r>
      <w:r>
        <w:rPr>
          <w:rtl w:val="true"/>
        </w:rPr>
        <w:t xml:space="preserve">: </w:t>
      </w:r>
      <w:r>
        <w:rPr>
          <w:rtl w:val="true"/>
        </w:rPr>
        <w:t xml:space="preserve">الماء </w:t>
      </w:r>
      <w:r>
        <w:rPr>
          <w:rtl w:val="true"/>
        </w:rPr>
        <w:t>«</w:t>
      </w:r>
      <w:r>
        <w:rPr>
          <w:rtl w:val="true"/>
        </w:rPr>
        <w:t>المضاف ما</w:t>
      </w:r>
      <w:r>
        <w:rPr>
          <w:rtl w:val="true"/>
        </w:rPr>
        <w:t>»</w:t>
      </w:r>
      <w:bookmarkEnd w:id="83"/>
    </w:p>
    <w:p>
      <w:pPr>
        <w:pStyle w:val="BookText"/>
        <w:rPr/>
      </w:pPr>
      <w:r>
        <w:rPr>
          <w:rFonts w:ascii="IRNazanin" w:hAnsi="IRNazanin" w:eastAsia="IRNazanin"/>
          <w:color w:val="111111"/>
          <w:sz w:val="28"/>
          <w:sz w:val="28"/>
          <w:szCs w:val="28"/>
          <w:rtl w:val="true"/>
          <w:lang w:bidi="fa-IR"/>
        </w:rPr>
        <w:t xml:space="preserve">أی الشیء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علیه اسم الماء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صدقه علیه مع القید، کالمعتصَر من الأجسام، والممتزج بها مزجاً یسلبه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الممتزج علی وجهٍ لا یسلبه الاسم وإن تغیّر لونه کالممتزج بالتراب، أو طعمه کالممتزج بالملح، وإن اُضیف إلیهما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الماء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ذاته بحسب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 ولا خبث اختیاراً واضطراراً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الأصحّ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الصدوق بجواز الوضوء وغسل الجنابة بماء الورد </w:t>
      </w:r>
      <w:r>
        <w:rPr>
          <w:rStyle w:val="FootnoteAnchor"/>
          <w:rtl w:val="true"/>
        </w:rPr>
        <w:footnoteReference w:id="146"/>
      </w:r>
      <w:r>
        <w:rPr>
          <w:rFonts w:ascii="IRNazanin" w:hAnsi="IRNazanin" w:eastAsia="IRNazanin"/>
          <w:color w:val="111111"/>
          <w:sz w:val="28"/>
          <w:sz w:val="28"/>
          <w:szCs w:val="28"/>
          <w:rtl w:val="true"/>
          <w:lang w:bidi="fa-IR"/>
        </w:rPr>
        <w:t xml:space="preserve">استناداً إلی روایةٍ مردودة </w:t>
      </w:r>
      <w:r>
        <w:rPr>
          <w:rStyle w:val="FootnoteAnchor"/>
          <w:rtl w:val="true"/>
        </w:rPr>
        <w:footnoteReference w:id="147"/>
      </w:r>
      <w:r>
        <w:rPr>
          <w:rFonts w:ascii="IRNazanin" w:hAnsi="IRNazanin" w:eastAsia="IRNazanin"/>
          <w:color w:val="111111"/>
          <w:sz w:val="28"/>
          <w:sz w:val="28"/>
          <w:szCs w:val="28"/>
          <w:rtl w:val="true"/>
          <w:lang w:bidi="fa-IR"/>
        </w:rPr>
        <w:t xml:space="preserve">وقول المرتضی برفعه مطلقاً الخبث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وإن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بالاتّصال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وطُهرُه إذا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اتّصاله بالکثیر المطلق لا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طُهره بأغلبیّة الکثیر المطلق علیه وزوال أوصافه </w:t>
      </w:r>
      <w:r>
        <w:rPr>
          <w:rStyle w:val="FootnoteAnchor"/>
          <w:rtl w:val="true"/>
        </w:rPr>
        <w:footnoteReference w:id="150"/>
      </w:r>
      <w:r>
        <w:rPr>
          <w:rFonts w:ascii="IRNazanin" w:hAnsi="IRNazanin" w:eastAsia="IRNazanin"/>
          <w:color w:val="111111"/>
          <w:sz w:val="28"/>
          <w:sz w:val="28"/>
          <w:szCs w:val="28"/>
          <w:rtl w:val="true"/>
          <w:lang w:bidi="fa-IR"/>
        </w:rPr>
        <w:t xml:space="preserve">وطهره بمطلق الاتّصال به وإن بقی الاسم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أصالة بقاء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المطهِّر لغیر الماء شرطه وصول الماء إلی کلّ جزءٍ من النجس، وما دام مضافاً لا یتصوّر وصول الماء إلی جمیع أجزائه النجسة، وإلّا لما بقی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له تحقیق آخر فی</w:t>
      </w:r>
      <w:bookmarkStart w:id="84" w:name="pg19806_203284"/>
    </w:p>
    <w:p>
      <w:pPr>
        <w:pStyle w:val="BookText"/>
        <w:rPr/>
      </w:pPr>
      <w:bookmarkEnd w:id="84"/>
      <w:r>
        <w:rPr>
          <w:rFonts w:ascii="Amiri" w:hAnsi="Amiri" w:eastAsia="Amiri" w:cs="Amiri"/>
          <w:color w:val="111111"/>
          <w:sz w:val="28"/>
          <w:sz w:val="28"/>
          <w:szCs w:val="28"/>
          <w:rtl w:val="true"/>
          <w:lang w:bidi="ar-SA"/>
        </w:rPr>
        <w:t>باب الأطعمة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القلیل الذی باشره جسم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باشره فی الطهارة والنجاسة والکراهة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سؤر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المغتذی بعذرة الإنسان محضاً إلی أن ینبت علیها لحمه واشتدّ عظمه، أو سمّی فی العرف جلّالاً، قبل أن یُستبرأ بما یزیل الجَلَل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وآکل الجِیَف مع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خلوّ موضع الملاقاة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المتّهمة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التنزّه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بها المصنّف فی البیان کل متّهمٍ بها </w:t>
      </w:r>
      <w:r>
        <w:rPr>
          <w:rStyle w:val="FootnoteAnchor"/>
          <w:rtl w:val="true"/>
        </w:rPr>
        <w:footnoteReference w:id="152"/>
      </w:r>
      <w:r>
        <w:rPr>
          <w:rFonts w:ascii="IRNazanin" w:hAnsi="IRNazanin" w:eastAsia="IRNazanin"/>
          <w:color w:val="111111"/>
          <w:sz w:val="28"/>
          <w:sz w:val="28"/>
          <w:szCs w:val="28"/>
          <w:rtl w:val="true"/>
          <w:lang w:bidi="fa-IR"/>
        </w:rPr>
        <w:t xml:space="preserve">وهو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 والحمار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داخلان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الحیوان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فی الکراهة، وإنّما خصّهما لتأکّد الکراهة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والحیّة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لا یؤکل لحمه إلّاالهرّ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بلوغه، أو بعده مع إظهاره للإسلام</w:t>
      </w:r>
      <w:r>
        <w:rPr>
          <w:rFonts w:eastAsia="IRNazanin" w:cs="IRNazanin"/>
          <w:color w:val="111111"/>
          <w:sz w:val="28"/>
          <w:szCs w:val="28"/>
          <w:rtl w:val="true"/>
          <w:lang w:bidi="fa-IR"/>
        </w:rPr>
        <w:t>.</w:t>
      </w:r>
    </w:p>
    <w:p>
      <w:pPr>
        <w:pStyle w:val="Heading4"/>
        <w:numPr>
          <w:ilvl w:val="3"/>
          <w:numId w:val="1"/>
        </w:numPr>
        <w:rPr/>
      </w:pPr>
      <w:bookmarkStart w:id="85" w:name="__RefHeading___Toc2027769_2314609296"/>
      <w:bookmarkStart w:id="86" w:name="_Toc32"/>
      <w:bookmarkEnd w:id="85"/>
      <w:r>
        <w:rPr>
          <w:rtl w:val="true"/>
        </w:rPr>
        <w:t>«</w:t>
      </w:r>
      <w:r>
        <w:rPr>
          <w:rtl w:val="true"/>
        </w:rPr>
        <w:t>الثانیة</w:t>
      </w:r>
      <w:r>
        <w:rPr>
          <w:rtl w:val="true"/>
        </w:rPr>
        <w:t>» : «</w:t>
      </w:r>
      <w:r>
        <w:rPr>
          <w:rtl w:val="true"/>
        </w:rPr>
        <w:t>یستحبّ التباعد بین البئر والبالوعة</w:t>
      </w:r>
      <w:r>
        <w:rPr>
          <w:rtl w:val="true"/>
        </w:rPr>
        <w:t>»</w:t>
      </w:r>
      <w:bookmarkEnd w:id="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یرمی فیها ماء النزح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 أذرعٍ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الصاد وسکون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قرار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بأن کانت الأرض رَخْوةً والبالوعة مساویةً للبئر قراراً أو مرتفعةً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أذرع</w:t>
      </w:r>
      <w:r>
        <w:rPr>
          <w:rFonts w:eastAsia="IRNazanin" w:cs="IRNazanin"/>
          <w:color w:val="111111"/>
          <w:sz w:val="28"/>
          <w:szCs w:val="28"/>
          <w:rtl w:val="true"/>
          <w:lang w:bidi="fa-IR"/>
        </w:rPr>
        <w:t>.</w:t>
      </w:r>
      <w:bookmarkStart w:id="87" w:name="pg19806_203285"/>
    </w:p>
    <w:p>
      <w:pPr>
        <w:pStyle w:val="BookText"/>
        <w:rPr/>
      </w:pPr>
      <w:bookmarkEnd w:id="87"/>
      <w:r>
        <w:rPr>
          <w:rFonts w:ascii="IRNazanin" w:hAnsi="IRNazanin" w:eastAsia="IRNazanin"/>
          <w:color w:val="111111"/>
          <w:sz w:val="28"/>
          <w:sz w:val="28"/>
          <w:szCs w:val="28"/>
          <w:rtl w:val="true"/>
          <w:lang w:bidi="fa-IR"/>
        </w:rPr>
        <w:t>فصور المسألة علی هذا التقدیر ستٌّ، یستحبّ التباعد فی أربع منها بخمس،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الصُّلبة مطلقاً والرَّخوة مع تحتیّة البالوعة، وبسبع فی صورتین،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مساواتهما وارتفاع البالوعة فی الأرض الرَّخوة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الفوقیّة المحسوسة الفوقیّة بالجهة، بأن یکون البئر فی جهة الشمال، فیکفی الخمس مع رخاوة الأرض وإن استوی القراران؛ لما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مجاری العیون من </w:t>
      </w:r>
      <w:r>
        <w:rPr>
          <w:rStyle w:val="FootnoteAnchor"/>
          <w:rtl w:val="true"/>
        </w:rPr>
        <w:footnoteReference w:id="155"/>
      </w:r>
      <w:r>
        <w:rPr>
          <w:rFonts w:ascii="Amiri" w:hAnsi="Amiri" w:eastAsia="Amiri" w:cs="Amiri"/>
          <w:color w:val="111111"/>
          <w:sz w:val="28"/>
          <w:sz w:val="28"/>
          <w:szCs w:val="28"/>
          <w:rtl w:val="true"/>
          <w:lang w:bidi="ar-SA"/>
        </w:rPr>
        <w:t>مهبّ الشمال</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بالبالوعة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تقاربتا، إلّامع العلم بالاتّصال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اتّصال ما بها من النجس بماء البئر؛ لأصالة الطهارة وعدم الاتّصال</w:t>
      </w:r>
      <w:r>
        <w:rPr>
          <w:rFonts w:eastAsia="IRNazanin" w:cs="IRNazanin"/>
          <w:color w:val="111111"/>
          <w:sz w:val="28"/>
          <w:szCs w:val="28"/>
          <w:rtl w:val="true"/>
          <w:lang w:bidi="fa-IR"/>
        </w:rPr>
        <w:t>.</w:t>
      </w:r>
    </w:p>
    <w:p>
      <w:pPr>
        <w:pStyle w:val="Heading4"/>
        <w:numPr>
          <w:ilvl w:val="3"/>
          <w:numId w:val="1"/>
        </w:numPr>
        <w:rPr/>
      </w:pPr>
      <w:bookmarkStart w:id="88" w:name="__RefHeading___Toc2027771_2314609296"/>
      <w:bookmarkStart w:id="89" w:name="_Toc33"/>
      <w:bookmarkEnd w:id="88"/>
      <w:r>
        <w:rPr>
          <w:rtl w:val="true"/>
        </w:rPr>
        <w:t>«</w:t>
      </w:r>
      <w:r>
        <w:rPr>
          <w:rtl w:val="true"/>
        </w:rPr>
        <w:t>الثالثة</w:t>
      </w:r>
      <w:r>
        <w:rPr>
          <w:rtl w:val="true"/>
        </w:rPr>
        <w:t>» : «</w:t>
      </w:r>
      <w:r>
        <w:rPr>
          <w:rtl w:val="true"/>
        </w:rPr>
        <w:t>النجاسة</w:t>
      </w:r>
      <w:r>
        <w:rPr>
          <w:rtl w:val="true"/>
        </w:rPr>
        <w:t>»</w:t>
      </w:r>
      <w:bookmarkEnd w:id="89"/>
    </w:p>
    <w:p>
      <w:pPr>
        <w:pStyle w:val="Heading5"/>
        <w:numPr>
          <w:ilvl w:val="4"/>
          <w:numId w:val="1"/>
        </w:numPr>
        <w:rPr/>
      </w:pPr>
      <w:bookmarkStart w:id="90" w:name="__RefHeading___Toc2027773_2314609296"/>
      <w:bookmarkStart w:id="91" w:name="_Toc34"/>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 xml:space="preserve">أی جنسها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والغائط من 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لحمه بالأصل أو العارض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الدم القویّ الذی یخرج من العِرق عند قطعه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 والمنیّ من ذی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آدمیّاً کان أم غیره، برّیّاً أم بحریّاً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والمیتة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ذی النفس وإن اُکل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والکلب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البرّیان، وأجزاؤهما وإن لم تحلّها الحیاة، وما تولّد</w:t>
      </w:r>
    </w:p>
    <w:p>
      <w:pPr>
        <w:pStyle w:val="BookText"/>
        <w:rPr/>
      </w:pPr>
      <w:r>
        <w:rPr>
          <w:rFonts w:ascii="IRNazanin" w:hAnsi="IRNazanin" w:eastAsia="IRNazanin"/>
          <w:color w:val="111111"/>
          <w:sz w:val="28"/>
          <w:sz w:val="28"/>
          <w:szCs w:val="28"/>
          <w:rtl w:val="true"/>
          <w:lang w:bidi="fa-IR"/>
        </w:rPr>
        <w:t>منهما وإن باینهما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المتولّد من أحدهما وطاهرٍ فإنّه یتبع فی الحکم الاسم ولو لغیرهما، فإن انتفی المماثل فالأقوی طهارته وإن حرم لحمه؛ للأصل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أصلیّاً ومرتدّاً وإن انتحل الإسلام مع جَحده لبعض ضروریّاته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الإلهیّة أو الرسالة أو بعض ما علم ثبوته من الدین 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المائع بالأصالة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 والأصل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من ماء الشعیر، لکن لمّا ورد الحکم فیه معلّقاً علی التسمیة ثبت لما اُطلق علیه اسمه مع حصول خاصیّته أو اشتباه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المصنّف هنا من النجاسات العصیر العنبی إذا غلا واشتدّ ولم یذهب ثلثاه؛ لعدم وقوفه علی دلیلٍ یقتضی نجاسته، کما اعترف به فی الذکری والبیان </w:t>
      </w:r>
      <w:r>
        <w:rPr>
          <w:rStyle w:val="FootnoteAnchor"/>
          <w:rtl w:val="true"/>
        </w:rPr>
        <w:footnoteReference w:id="157"/>
      </w:r>
      <w:r>
        <w:rPr>
          <w:rFonts w:ascii="Amiri" w:hAnsi="Amiri" w:eastAsia="Amiri" w:cs="Amiri"/>
          <w:color w:val="111111"/>
          <w:sz w:val="28"/>
          <w:sz w:val="28"/>
          <w:szCs w:val="28"/>
          <w:rtl w:val="true"/>
          <w:lang w:bidi="ar-SA"/>
        </w:rPr>
        <w:t xml:space="preserve">لکن سیأتی أنّ ذهاب ثلثیه مطهِّرٌ، وهو یدلّ علی حکمه بتنجّسه </w:t>
      </w:r>
      <w:r>
        <w:rPr>
          <w:rStyle w:val="FootnoteAnchor"/>
          <w:rtl w:val="true"/>
        </w:rPr>
        <w:footnoteReference w:id="158"/>
      </w:r>
      <w:r>
        <w:rPr>
          <w:rFonts w:ascii="IRNazanin" w:hAnsi="IRNazanin" w:eastAsia="IRNazanin"/>
          <w:color w:val="111111"/>
          <w:sz w:val="28"/>
          <w:sz w:val="28"/>
          <w:szCs w:val="28"/>
          <w:rtl w:val="true"/>
          <w:lang w:bidi="fa-IR"/>
        </w:rPr>
        <w:t>فلا عذر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فی حکم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فی بعض کتبه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دخوله فیه حیث یُطلَق، وإن دخل فی حکمه حیث یُذکَر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النجاسات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الجبهة، وعن الأوانی لاستعمالها فیما یتوقّف علی طهارتها،</w:t>
      </w:r>
      <w:bookmarkStart w:id="92" w:name="pg19806_203287"/>
    </w:p>
    <w:p>
      <w:pPr>
        <w:pStyle w:val="BookText"/>
        <w:rPr/>
      </w:pPr>
      <w:bookmarkEnd w:id="92"/>
      <w:r>
        <w:rPr>
          <w:rFonts w:ascii="Amiri" w:hAnsi="Amiri" w:eastAsia="Amiri" w:cs="Amiri"/>
          <w:color w:val="111111"/>
          <w:sz w:val="28"/>
          <w:sz w:val="28"/>
          <w:szCs w:val="28"/>
          <w:rtl w:val="true"/>
          <w:lang w:bidi="ar-SA"/>
        </w:rPr>
        <w:t>وعن المساجد والضرائح المقدّسة والمصاحف المشرّفة</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027775_2314609296"/>
      <w:bookmarkStart w:id="94" w:name="_Toc35"/>
      <w:bookmarkEnd w:id="93"/>
      <w:r>
        <w:rPr>
          <w:rtl w:val="true"/>
        </w:rPr>
        <w:t>[</w:t>
      </w:r>
      <w:r>
        <w:rPr>
          <w:rtl w:val="true"/>
        </w:rPr>
        <w:t>مقدار الدم المعفو عنه</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الثوب والبدن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دم الجروح والقروح مع السیلان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أو فی وقتٍ لا یسع زمن فواته </w:t>
      </w:r>
      <w:r>
        <w:rPr>
          <w:rStyle w:val="FootnoteAnchor"/>
          <w:rtl w:val="true"/>
        </w:rPr>
        <w:footnoteReference w:id="160"/>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انقطع وقتاً یسعها فقد استقرب المصنّف رحمه الله فی الذکری وجوب الإزالة لانتفاء الضرر </w:t>
      </w:r>
      <w:r>
        <w:rPr>
          <w:rStyle w:val="FootnoteAnchor"/>
          <w:rtl w:val="true"/>
        </w:rPr>
        <w:footnoteReference w:id="161"/>
      </w:r>
      <w:r>
        <w:rPr>
          <w:rFonts w:ascii="IRNazanin" w:hAnsi="IRNazanin" w:eastAsia="IRNazanin"/>
          <w:color w:val="111111"/>
          <w:sz w:val="28"/>
          <w:sz w:val="28"/>
          <w:szCs w:val="28"/>
          <w:rtl w:val="true"/>
          <w:lang w:bidi="fa-IR"/>
        </w:rPr>
        <w:t xml:space="preserve">والذی یستفاد من الأخبار </w:t>
      </w:r>
      <w:r>
        <w:rPr>
          <w:rStyle w:val="FootnoteAnchor"/>
          <w:rtl w:val="true"/>
        </w:rPr>
        <w:footnoteReference w:id="162"/>
      </w:r>
      <w:r>
        <w:rPr>
          <w:rFonts w:ascii="Amiri" w:hAnsi="Amiri" w:eastAsia="Amiri" w:cs="Amiri"/>
          <w:color w:val="111111"/>
          <w:sz w:val="28"/>
          <w:sz w:val="28"/>
          <w:szCs w:val="28"/>
          <w:rtl w:val="true"/>
          <w:lang w:bidi="ar-SA"/>
        </w:rPr>
        <w:t>عدم الوجوب مطلقاً حتی یَبرأ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دون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البَغلی </w:t>
      </w:r>
      <w:r>
        <w:rPr>
          <w:rStyle w:val="FootnoteAnchor"/>
          <w:rtl w:val="true"/>
        </w:rPr>
        <w:footnoteReference w:id="163"/>
      </w:r>
      <w:r>
        <w:rPr>
          <w:rFonts w:ascii="Amiri" w:hAnsi="Amiri" w:eastAsia="Amiri" w:cs="Amiri"/>
          <w:color w:val="111111"/>
          <w:sz w:val="28"/>
          <w:sz w:val="28"/>
          <w:szCs w:val="28"/>
          <w:rtl w:val="true"/>
          <w:lang w:bidi="ar-SA"/>
        </w:rPr>
        <w:t xml:space="preserve">سعةً، وقدّر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أخمُص الراحة</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الإ بهام العُلیا</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السبّابة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ولا منافاة؛ لأنّ مثل هذا الاختلاف یتّفق فی الدراهم بضربٍ واحد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یُغتفر هذا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w:t>
      </w:r>
    </w:p>
    <w:p>
      <w:pPr>
        <w:pStyle w:val="BookText"/>
        <w:rPr/>
      </w:pPr>
      <w:r>
        <w:rPr>
          <w:rFonts w:ascii="IRNazanin" w:hAnsi="IRNazanin" w:eastAsia="IRNazanin"/>
          <w:color w:val="111111"/>
          <w:sz w:val="28"/>
          <w:sz w:val="28"/>
          <w:szCs w:val="28"/>
          <w:rtl w:val="true"/>
          <w:lang w:bidi="fa-IR"/>
        </w:rPr>
        <w:t xml:space="preserve">بها بعضُ الأصحاب </w:t>
      </w:r>
      <w:r>
        <w:rPr>
          <w:rStyle w:val="FootnoteAnchor"/>
          <w:rtl w:val="true"/>
        </w:rPr>
        <w:footnoteReference w:id="167"/>
      </w:r>
      <w:r>
        <w:rPr>
          <w:rFonts w:ascii="IRNazanin" w:hAnsi="IRNazanin" w:eastAsia="IRNazanin"/>
          <w:color w:val="111111"/>
          <w:sz w:val="28"/>
          <w:sz w:val="28"/>
          <w:szCs w:val="28"/>
          <w:rtl w:val="true"/>
          <w:lang w:bidi="fa-IR"/>
        </w:rPr>
        <w:t>دمَ نجس العین؛ لتضاعف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نصّ فیه، وقضیّة الأصل تقتضی دخوله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والعفو عن هذا المقدار مع اجتماعه موضع وفاقٍ، ومع تفرّقه أقوال </w:t>
      </w:r>
      <w:r>
        <w:rPr>
          <w:rStyle w:val="FootnoteAnchor"/>
          <w:rtl w:val="true"/>
        </w:rPr>
        <w:footnoteReference w:id="168"/>
      </w:r>
      <w:r>
        <w:rPr>
          <w:rFonts w:ascii="IRNazanin" w:hAnsi="IRNazanin" w:eastAsia="IRNazanin"/>
          <w:color w:val="111111"/>
          <w:sz w:val="28"/>
          <w:sz w:val="28"/>
          <w:szCs w:val="28"/>
          <w:rtl w:val="true"/>
          <w:lang w:bidi="fa-IR"/>
        </w:rPr>
        <w:t>أجودها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إلحاقه بالمجتمع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الزائد عن المعفوّ عنه إزالة الزائد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والثوب والبدن یُضمّ بعضهما إلی بعض علی أصحّ القولین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أصاب الدم وجهی الثوب فإن تفشّی من جانبٍ إلی آخر فواحدٌ، وإلّا فإثنان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المصنّف فی الذکری فی الوحدة مع التفشّی رقّة الثوب، وإلّا تعدّد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أصابه مائعٌ طاهر، ففی بقاء العفو وعدمه قولان للمصنّف فی الذکری </w:t>
      </w:r>
      <w:r>
        <w:rPr>
          <w:rStyle w:val="FootnoteAnchor"/>
          <w:rtl w:val="true"/>
        </w:rPr>
        <w:footnoteReference w:id="171"/>
      </w:r>
      <w:r>
        <w:rPr>
          <w:rFonts w:ascii="IRNazanin" w:hAnsi="IRNazanin" w:eastAsia="IRNazanin"/>
          <w:color w:val="111111"/>
          <w:sz w:val="28"/>
          <w:sz w:val="28"/>
          <w:szCs w:val="28"/>
          <w:rtl w:val="true"/>
          <w:lang w:bidi="fa-IR"/>
        </w:rPr>
        <w:t xml:space="preserve">والبیان </w:t>
      </w:r>
      <w:r>
        <w:rPr>
          <w:rStyle w:val="FootnoteAnchor"/>
          <w:rtl w:val="true"/>
        </w:rPr>
        <w:footnoteReference w:id="172"/>
      </w:r>
      <w:r>
        <w:rPr>
          <w:rFonts w:ascii="IRNazanin" w:hAnsi="IRNazanin" w:eastAsia="IRNazanin"/>
          <w:color w:val="111111"/>
          <w:sz w:val="28"/>
          <w:sz w:val="28"/>
          <w:szCs w:val="28"/>
          <w:rtl w:val="true"/>
          <w:lang w:bidi="fa-IR"/>
        </w:rPr>
        <w:t>أجودهما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التقدیر بهما</w:t>
      </w:r>
      <w:r>
        <w:rPr>
          <w:rFonts w:eastAsia="IRNazanin" w:cs="IRNazanin"/>
          <w:color w:val="111111"/>
          <w:sz w:val="28"/>
          <w:szCs w:val="28"/>
          <w:rtl w:val="true"/>
          <w:lang w:bidi="fa-IR"/>
        </w:rPr>
        <w:t>.</w:t>
      </w:r>
      <w:bookmarkStart w:id="95" w:name="pg19806_203289"/>
    </w:p>
    <w:p>
      <w:pPr>
        <w:pStyle w:val="BookText"/>
        <w:rPr/>
      </w:pPr>
      <w:bookmarkEnd w:id="95"/>
      <w:r>
        <w:rPr>
          <w:rFonts w:ascii="IRNazanin" w:hAnsi="IRNazanin" w:eastAsia="IRNazanin"/>
          <w:color w:val="111111"/>
          <w:sz w:val="28"/>
          <w:sz w:val="28"/>
          <w:szCs w:val="28"/>
          <w:rtl w:val="true"/>
          <w:lang w:bidi="fa-IR"/>
        </w:rPr>
        <w:t>وبقی ممّا یعفی عن نجاسته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المربّیة للولد،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یَتمّ صلاة الرجل فیه وحده لکونه لا یستر عورتیه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حکم الأوّل فی لباس المصلّی </w:t>
      </w:r>
      <w:r>
        <w:rPr>
          <w:rStyle w:val="FootnoteAnchor"/>
          <w:rtl w:val="true"/>
        </w:rPr>
        <w:footnoteReference w:id="173"/>
      </w:r>
      <w:r>
        <w:rPr>
          <w:rFonts w:ascii="IRNazanin" w:hAnsi="IRNazanin" w:eastAsia="IRNazanin"/>
          <w:color w:val="111111"/>
          <w:sz w:val="28"/>
          <w:sz w:val="28"/>
          <w:szCs w:val="28"/>
          <w:rtl w:val="true"/>
          <w:lang w:bidi="fa-IR"/>
        </w:rPr>
        <w:t>وأمّا الثانی فلم یذکره؛ لأنّه لا یتعلّق ببدن المصلّی ولا ثوبه الذی هو شرط فی الصلاة، مع مراعاة الاختصار</w:t>
      </w:r>
      <w:r>
        <w:rPr>
          <w:rFonts w:eastAsia="IRNazanin" w:cs="IRNazanin"/>
          <w:color w:val="111111"/>
          <w:sz w:val="28"/>
          <w:szCs w:val="28"/>
          <w:rtl w:val="true"/>
          <w:lang w:bidi="fa-IR"/>
        </w:rPr>
        <w:t>.</w:t>
      </w:r>
    </w:p>
    <w:p>
      <w:pPr>
        <w:pStyle w:val="Heading5"/>
        <w:numPr>
          <w:ilvl w:val="4"/>
          <w:numId w:val="1"/>
        </w:numPr>
        <w:rPr/>
      </w:pPr>
      <w:bookmarkStart w:id="96" w:name="__RefHeading___Toc2027777_2314609296"/>
      <w:bookmarkStart w:id="97" w:name="_Toc36"/>
      <w:bookmarkEnd w:id="96"/>
      <w:r>
        <w:rPr>
          <w:rtl w:val="true"/>
        </w:rPr>
        <w:t>[</w:t>
      </w:r>
      <w:r>
        <w:rPr>
          <w:rtl w:val="true"/>
        </w:rPr>
        <w:t>کیفیة غسل الثوب و البدن و الاناء</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ویغسل الثوب مرّتین بینهما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الثوب بالمعتاد لإخراج الماء المغسول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یعتبر العصر بعدهما، ولا وجه لترکه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والتثنیة منصوصةٌ فی البول </w:t>
      </w:r>
      <w:r>
        <w:rPr>
          <w:rStyle w:val="FootnoteAnchor"/>
          <w:rtl w:val="true"/>
        </w:rPr>
        <w:footnoteReference w:id="174"/>
      </w:r>
      <w:r>
        <w:rPr>
          <w:rFonts w:ascii="Amiri" w:hAnsi="Amiri" w:eastAsia="Amiri" w:cs="Amiri"/>
          <w:color w:val="111111"/>
          <w:sz w:val="28"/>
          <w:sz w:val="28"/>
          <w:szCs w:val="28"/>
          <w:rtl w:val="true"/>
          <w:lang w:bidi="ar-SA"/>
        </w:rPr>
        <w:t xml:space="preserve">وحَمَل المصنّف </w:t>
      </w:r>
      <w:r>
        <w:rPr>
          <w:rStyle w:val="FootnoteAnchor"/>
          <w:rtl w:val="true"/>
        </w:rPr>
        <w:footnoteReference w:id="175"/>
      </w:r>
      <w:r>
        <w:rPr>
          <w:rFonts w:ascii="IRNazanin" w:hAnsi="IRNazanin" w:eastAsia="IRNazanin"/>
          <w:color w:val="111111"/>
          <w:sz w:val="28"/>
          <w:sz w:val="28"/>
          <w:szCs w:val="28"/>
          <w:rtl w:val="true"/>
          <w:lang w:bidi="fa-IR"/>
        </w:rPr>
        <w:t>غیره علیه من باب مفهوم الموافقة؛ لأنّ غیره أشدّ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ممنوع، بل هی إمّا مساویة أو أضعف حکماً، ومن ثَمّ عفی عن قلیل الدم دونه، فالاکتفاء بالمرّة فی غیر البول أقوی، عملاً بإطلاق الأمر، وهو اختیار المصنّف فی البیان جزماً، وفی الذکری والدروس </w:t>
      </w:r>
      <w:r>
        <w:rPr>
          <w:rStyle w:val="FootnoteAnchor"/>
          <w:rtl w:val="true"/>
        </w:rPr>
        <w:footnoteReference w:id="176"/>
      </w:r>
      <w:r>
        <w:rPr>
          <w:rFonts w:ascii="Amiri" w:hAnsi="Amiri" w:eastAsia="Amiri" w:cs="Amiri"/>
          <w:color w:val="111111"/>
          <w:sz w:val="28"/>
          <w:sz w:val="28"/>
          <w:szCs w:val="28"/>
          <w:rtl w:val="true"/>
          <w:lang w:bidi="ar-SA"/>
        </w:rPr>
        <w:t>بضربٍ من التردّد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ویُستثنی من ذلک بولُ الرضیع فلا یجب عصره ولا تعدّد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ثابتان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الکثیر والجاری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علی عدم اعتبار کثرته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فیسقطان فیهما، ویُکتفی بمجرّد وضعه فیهما مع إصابة الماء لمحلّ النجاسة وزوال عینها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ویُصبّ علی البدن مرّتین فی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اعتبار التعدّد مطلقاً،</w:t>
      </w:r>
    </w:p>
    <w:p>
      <w:pPr>
        <w:pStyle w:val="BookText"/>
        <w:rPr/>
      </w:pPr>
      <w:r>
        <w:rPr>
          <w:rFonts w:ascii="IRNazanin" w:hAnsi="IRNazanin" w:eastAsia="IRNazanin"/>
          <w:color w:val="111111"/>
          <w:sz w:val="28"/>
          <w:sz w:val="28"/>
          <w:szCs w:val="28"/>
          <w:rtl w:val="true"/>
          <w:lang w:bidi="fa-IR"/>
        </w:rPr>
        <w:t>وکذا ما أشبه البدن ممّا تنفصل الغسالة عنه بسهولة، کالحجر والخشب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أ نّه یکفی صبّ الماء فیه بحیث یصیب النجس وإفراغه منه ولو بآلةٍ لا تعود إلیه ثانیاً إلّاطاهرة، سواء فی ذلک المثبت وغیره وما یَشُقّ قلعه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وَلَغ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شرب ممّا فیه بلسانه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الغسلتین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مسحه </w:t>
      </w:r>
      <w:r>
        <w:rPr>
          <w:rStyle w:val="FootnoteAnchor"/>
          <w:rtl w:val="true"/>
        </w:rPr>
        <w:footnoteReference w:id="177"/>
      </w:r>
      <w:r>
        <w:rPr>
          <w:rFonts w:ascii="IRNazanin" w:hAnsi="IRNazanin" w:eastAsia="IRNazanin"/>
          <w:color w:val="111111"/>
          <w:sz w:val="28"/>
          <w:sz w:val="28"/>
          <w:szCs w:val="28"/>
          <w:rtl w:val="true"/>
          <w:lang w:bidi="fa-IR"/>
        </w:rPr>
        <w:t>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دون غیره ممّا أشبهه، وإن تعذّر أو خیف فساد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بالوُلوغ لطعه الإناء، دون مباشرته له بسائر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الوُلوغ تداخل کغیره من النجاسات المجتمعة، وفی الأثناء یُستأنف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غسله فی الکثیر کفت المرّة بعد التعفیر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فی الوُلوغ، خروجاً من خلاف من أوجبها </w:t>
      </w:r>
      <w:r>
        <w:rPr>
          <w:rStyle w:val="FootnoteAnchor"/>
          <w:rtl w:val="true"/>
        </w:rPr>
        <w:footnoteReference w:id="178"/>
      </w:r>
      <w:r>
        <w:rPr>
          <w:rFonts w:ascii="IRNazanin" w:hAnsi="IRNazanin" w:eastAsia="IRNazanin"/>
          <w:color w:val="111111"/>
          <w:sz w:val="28"/>
          <w:sz w:val="28"/>
          <w:szCs w:val="28"/>
          <w:rtl w:val="true"/>
          <w:lang w:bidi="fa-IR"/>
        </w:rPr>
        <w:t xml:space="preserve">وکذا یستحبّ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الفأرة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بها فی بعض الأخبار </w:t>
      </w:r>
      <w:r>
        <w:rPr>
          <w:rStyle w:val="FootnoteAnchor"/>
          <w:rtl w:val="true"/>
        </w:rPr>
        <w:footnoteReference w:id="179"/>
      </w:r>
      <w:r>
        <w:rPr>
          <w:rFonts w:ascii="IRNazanin" w:hAnsi="IRNazanin" w:eastAsia="IRNazanin"/>
          <w:color w:val="111111"/>
          <w:sz w:val="28"/>
          <w:sz w:val="28"/>
          <w:szCs w:val="28"/>
          <w:rtl w:val="true"/>
          <w:lang w:bidi="fa-IR"/>
        </w:rPr>
        <w:t>التی لم تنهض حجّةً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العبارة الاجتزاء فیهما بالمرّتین کغیرهما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فی وُلوغ الخنزیر وجوب السبع بالماء؛ لصحّة روایته </w:t>
      </w:r>
      <w:r>
        <w:rPr>
          <w:rStyle w:val="FootnoteAnchor"/>
          <w:rtl w:val="true"/>
        </w:rPr>
        <w:footnoteReference w:id="180"/>
      </w:r>
      <w:r>
        <w:rPr>
          <w:rFonts w:ascii="IRNazanin" w:hAnsi="IRNazanin" w:eastAsia="IRNazanin"/>
          <w:color w:val="111111"/>
          <w:sz w:val="28"/>
          <w:sz w:val="28"/>
          <w:szCs w:val="28"/>
          <w:rtl w:val="true"/>
          <w:lang w:bidi="fa-IR"/>
        </w:rPr>
        <w:t>وعلیه</w:t>
      </w:r>
      <w:bookmarkStart w:id="98" w:name="pg19806_203291"/>
    </w:p>
    <w:p>
      <w:pPr>
        <w:pStyle w:val="BookText"/>
        <w:rPr/>
      </w:pPr>
      <w:bookmarkEnd w:id="98"/>
      <w:r>
        <w:rPr>
          <w:rFonts w:ascii="IRNazanin" w:hAnsi="IRNazanin" w:eastAsia="IRNazanin"/>
          <w:color w:val="111111"/>
          <w:sz w:val="28"/>
          <w:sz w:val="28"/>
          <w:szCs w:val="28"/>
          <w:rtl w:val="true"/>
          <w:lang w:bidi="fa-IR"/>
        </w:rPr>
        <w:t xml:space="preserve">المصنّف فی باقی کتبه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النجاسات؛ للأمر به فی بعض الأخبار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2027779_2314609296"/>
      <w:bookmarkStart w:id="100" w:name="_Toc37"/>
      <w:bookmarkEnd w:id="99"/>
      <w:r>
        <w:rPr>
          <w:rtl w:val="true"/>
        </w:rPr>
        <w:t>[</w:t>
      </w:r>
      <w:r>
        <w:rPr>
          <w:rtl w:val="true"/>
        </w:rPr>
        <w:t>فی الغسالة</w:t>
      </w:r>
      <w:r>
        <w:rPr>
          <w:rtl w:val="true"/>
        </w:rPr>
        <w:t>]</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المنفصل عن المحلّ المغسول بنفسه أو بالعصر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کالمحلّ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خروج تلک الغسالة، فإن کانت من الغَسلة الاُولی وجب غَسل ما أصابته تمام العدد، أو من الثانیة فتنقص واحدة،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یتمّ فیما یُغسل مرّتین لا لخصوص النجاسة، أمّا المخصوص کالوُلوغ فلا؛ لأنّ الغسالة لا تسمّی وُلوغاً، ومن ثَمّ لو وقع لعابه فی الإناء بغیره لم یوجب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المصنّف أجود الأقوال فی المسألة،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الغسالة کالمحلّ قبل الغَسل مطلقاً </w:t>
      </w:r>
      <w:r>
        <w:rPr>
          <w:rStyle w:val="FootnoteAnchor"/>
          <w:rtl w:val="true"/>
        </w:rPr>
        <w:footnoteReference w:id="18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Style w:val="FootnoteAnchor"/>
          <w:rtl w:val="true"/>
        </w:rPr>
        <w:footnoteReference w:id="184"/>
      </w:r>
      <w:r>
        <w:rPr>
          <w:rFonts w:ascii="IRNazanin" w:hAnsi="IRNazanin" w:eastAsia="IRNazanin"/>
          <w:color w:val="111111"/>
          <w:sz w:val="28"/>
          <w:sz w:val="28"/>
          <w:szCs w:val="28"/>
          <w:rtl w:val="true"/>
          <w:lang w:bidi="fa-IR"/>
        </w:rPr>
        <w:t>فتکون طاهرة مطلقاً،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ویستثنی من ذلک ماء الاستنجاء، فغسالته طاهرةٌ مطلقاً ما لم تتغیّر بالنجاسة أو تُصَب </w:t>
      </w:r>
      <w:r>
        <w:rPr>
          <w:rStyle w:val="FootnoteAnchor"/>
          <w:rtl w:val="true"/>
        </w:rPr>
        <w:footnoteReference w:id="186"/>
      </w:r>
      <w:r>
        <w:rPr>
          <w:rFonts w:ascii="IRNazanin" w:hAnsi="IRNazanin" w:eastAsia="IRNazanin"/>
          <w:color w:val="111111"/>
          <w:sz w:val="28"/>
          <w:sz w:val="28"/>
          <w:szCs w:val="28"/>
          <w:rtl w:val="true"/>
          <w:lang w:bidi="fa-IR"/>
        </w:rPr>
        <w:t>نجاسة خارجة عن حقیقة الحدث المستنجی منه أو محلّه</w:t>
      </w:r>
      <w:r>
        <w:rPr>
          <w:rFonts w:eastAsia="IRNazanin" w:cs="IRNazanin"/>
          <w:color w:val="111111"/>
          <w:sz w:val="28"/>
          <w:szCs w:val="28"/>
          <w:rtl w:val="true"/>
          <w:lang w:bidi="fa-IR"/>
        </w:rPr>
        <w:t>.</w:t>
      </w:r>
      <w:bookmarkStart w:id="101" w:name="pg19806_203292"/>
    </w:p>
    <w:p>
      <w:pPr>
        <w:pStyle w:val="Heading4"/>
        <w:numPr>
          <w:ilvl w:val="3"/>
          <w:numId w:val="1"/>
        </w:numPr>
        <w:rPr/>
      </w:pPr>
      <w:bookmarkStart w:id="102" w:name="__RefHeading___Toc2027781_2314609296"/>
      <w:bookmarkStart w:id="103" w:name="_Toc38"/>
      <w:bookmarkEnd w:id="101"/>
      <w:bookmarkEnd w:id="102"/>
      <w:r>
        <w:rPr>
          <w:rtl w:val="true"/>
        </w:rPr>
        <w:t>«</w:t>
      </w:r>
      <w:r>
        <w:rPr>
          <w:rtl w:val="true"/>
        </w:rPr>
        <w:t>الرابعة</w:t>
      </w:r>
      <w:r>
        <w:rPr>
          <w:rtl w:val="true"/>
        </w:rPr>
        <w:t>» : «</w:t>
      </w:r>
      <w:r>
        <w:rPr>
          <w:rtl w:val="true"/>
        </w:rPr>
        <w:t>المطهِّر عشرة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المطهِّر عشرة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النجاسات التی تقبل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أسفله الملاصق للأرض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وأسفلَ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زوال عین النجاسة عنهما بها بمشی ودَلکٍ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والحجر والرمل من أصناف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للنجاسة جرمٌ ولا رطوبةٌ کفی مسمّی الإمساس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الأرض بین الجافّة والرطبة ما لم تخرج عن اسم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یشترط طهارتها؟ وجهان، وإطلاق النصّ </w:t>
      </w:r>
      <w:r>
        <w:rPr>
          <w:rStyle w:val="FootnoteAnchor"/>
          <w:rtl w:val="true"/>
        </w:rPr>
        <w:footnoteReference w:id="188"/>
      </w:r>
      <w:r>
        <w:rPr>
          <w:rFonts w:ascii="IRNazanin" w:hAnsi="IRNazanin" w:eastAsia="IRNazanin"/>
          <w:color w:val="111111"/>
          <w:sz w:val="28"/>
          <w:sz w:val="28"/>
          <w:szCs w:val="28"/>
          <w:rtl w:val="true"/>
          <w:lang w:bidi="fa-IR"/>
        </w:rPr>
        <w:t>والفتوی یقتضی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یجعل أسفل الرِجل للمشی وقایةً من الأرض ونحوها، ولو من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وخشبة الأقطَع کالنعل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والتراب فی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جزء علّةٍ للتطهیر، فهو مطهِّرٌ فی الجملة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والجسم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اللَزج ولا الصَقیل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المتعدّی من الغائط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ما جفّفته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بإشراقها علیه وزالت عین النجاسة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الحُصُر والبواری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 یُنقل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وأجزائها، والنبات </w:t>
      </w:r>
      <w:r>
        <w:rPr>
          <w:rStyle w:val="FootnoteAnchor"/>
          <w:rtl w:val="true"/>
        </w:rPr>
        <w:footnoteReference w:id="190"/>
      </w:r>
      <w:r>
        <w:rPr>
          <w:rFonts w:ascii="IRNazanin" w:hAnsi="IRNazanin" w:eastAsia="IRNazanin"/>
          <w:color w:val="111111"/>
          <w:sz w:val="28"/>
          <w:sz w:val="28"/>
          <w:szCs w:val="28"/>
          <w:rtl w:val="true"/>
          <w:lang w:bidi="fa-IR"/>
        </w:rPr>
        <w:t xml:space="preserve">والأخشاب، والأبواب المثبتة، والأوتاد الداخلة، والأشجار، والفواکه الباقیة علیها وإن حان أوان قطافها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یکفی تجفیف الحرارة؛ لأنّها لا تُسمّی شمساً، ولا الهواءُ المنفرد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یضرّ انضمامه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طهر الباطن الإشراق علی الظاهر مع جفاف الجمیع، بخلاف المتعدّد المتلاصق إذا أشرقت علی 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 ما أحالته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رَماداً أو دُخاناً </w:t>
      </w:r>
      <w:r>
        <w:rPr>
          <w:rStyle w:val="FootnoteAnchor"/>
          <w:rtl w:val="true"/>
        </w:rPr>
        <w:footnoteReference w:id="192"/>
      </w:r>
      <w:r>
        <w:rPr>
          <w:rFonts w:ascii="IRNazanin" w:hAnsi="IRNazanin" w:eastAsia="IRNazanin"/>
          <w:color w:val="111111"/>
          <w:sz w:val="28"/>
          <w:sz w:val="28"/>
          <w:szCs w:val="28"/>
          <w:rtl w:val="true"/>
          <w:lang w:bidi="fa-IR"/>
        </w:rPr>
        <w:t xml:space="preserve">لا خزفاً وآجراً فی أصحّ القولین، وعلیه المصنّف فی غیر البیان </w:t>
      </w:r>
      <w:r>
        <w:rPr>
          <w:rStyle w:val="FootnoteAnchor"/>
          <w:rtl w:val="true"/>
        </w:rPr>
        <w:footnoteReference w:id="193"/>
      </w:r>
      <w:r>
        <w:rPr>
          <w:rFonts w:ascii="IRNazanin" w:hAnsi="IRNazanin" w:eastAsia="IRNazanin"/>
          <w:color w:val="111111"/>
          <w:sz w:val="28"/>
          <w:sz w:val="28"/>
          <w:szCs w:val="28"/>
          <w:rtl w:val="true"/>
          <w:lang w:bidi="fa-IR"/>
        </w:rPr>
        <w:t xml:space="preserve">وفیه </w:t>
      </w:r>
      <w:r>
        <w:rPr>
          <w:rStyle w:val="FootnoteAnchor"/>
          <w:rtl w:val="true"/>
        </w:rPr>
        <w:footnoteReference w:id="194"/>
      </w:r>
      <w:r>
        <w:rPr>
          <w:rFonts w:ascii="IRNazanin" w:hAnsi="IRNazanin" w:eastAsia="IRNazanin"/>
          <w:color w:val="111111"/>
          <w:sz w:val="28"/>
          <w:sz w:val="28"/>
          <w:szCs w:val="28"/>
          <w:rtl w:val="true"/>
          <w:lang w:bidi="fa-IR"/>
        </w:rPr>
        <w:t xml:space="preserve">قوّی قول الشیخ بالطهارة فیهما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بنزح المقدّر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یطهر البئر بذلک فکذا حافّاته وآلات النزح والمباشر وما یصحبه حالته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وذهاب ثلثی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للثلث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القول بنجاسته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والآلات والمزاول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کالمیتة والعذرة تصیر تراباً ودوداً، والنطفة والعَلَقة تصیر حیواناً غیر الثلاثة، والماء النجس بولاً لحیوانٍ مأکولٍ ولبناً،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وانقلاب الخمر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العصیر بعد غلیانه واشتداده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لبدن المسلم من نجاسة الکفر وما یتّصل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ونحوه، لا لغیره کثیابه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وتطهر العین والأنف والفم باطُنها وکلُّ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کالاُذن </w:t>
      </w:r>
      <w:r>
        <w:rPr>
          <w:rStyle w:val="FootnoteAnchor"/>
          <w:rtl w:val="true"/>
        </w:rPr>
        <w:footnoteReference w:id="196"/>
      </w:r>
      <w:r>
        <w:rPr>
          <w:rFonts w:ascii="IRNazanin" w:hAnsi="IRNazanin" w:eastAsia="IRNazanin"/>
          <w:color w:val="111111"/>
          <w:sz w:val="28"/>
          <w:sz w:val="28"/>
          <w:szCs w:val="28"/>
          <w:rtl w:val="true"/>
          <w:lang w:bidi="fa-IR"/>
        </w:rPr>
        <w:t xml:space="preserve">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بزوال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یطهر بذلک ما فیه من الأجسام الخارجة عنه، کالطعام والکحل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الرطوبة الحادثة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کالریق والدمع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وطُهر </w:t>
      </w:r>
      <w:r>
        <w:rPr>
          <w:rStyle w:val="FootnoteAnchor"/>
          <w:rtl w:val="true"/>
        </w:rPr>
        <w:footnoteReference w:id="197"/>
      </w:r>
      <w:r>
        <w:rPr>
          <w:rFonts w:ascii="IRNazanin" w:hAnsi="IRNazanin" w:eastAsia="IRNazanin"/>
          <w:color w:val="111111"/>
          <w:sz w:val="28"/>
          <w:sz w:val="28"/>
          <w:szCs w:val="28"/>
          <w:rtl w:val="true"/>
          <w:lang w:bidi="fa-IR"/>
        </w:rPr>
        <w:t xml:space="preserve">ما یتخلّف فی الفم من بقایا الطعام ونحوه بالمضمضة مرّتین علی ما اختاره المصنّف من العدد، ومرّةً فی غیر نجاسة البول علی ما اخترناه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علم من تعریفها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للوضوء والغُسل والتیمّم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 للحدث أو المبیح للصلاة علی المشهور، أو مطلقاً علی ظاهر التقسیم</w:t>
      </w:r>
      <w:r>
        <w:rPr>
          <w:rFonts w:eastAsia="IRNazanin" w:cs="IRNazanin"/>
          <w:color w:val="111111"/>
          <w:sz w:val="28"/>
          <w:szCs w:val="28"/>
          <w:rtl w:val="true"/>
          <w:lang w:bidi="fa-IR"/>
        </w:rPr>
        <w:t>.</w:t>
      </w:r>
      <w:bookmarkStart w:id="104" w:name="pg19806_203295"/>
    </w:p>
    <w:p>
      <w:pPr>
        <w:pStyle w:val="Heading3"/>
        <w:numPr>
          <w:ilvl w:val="2"/>
          <w:numId w:val="1"/>
        </w:numPr>
        <w:rPr/>
      </w:pPr>
      <w:bookmarkStart w:id="105" w:name="__RefHeading___Toc2027783_2314609296"/>
      <w:bookmarkStart w:id="106" w:name="_Toc39"/>
      <w:bookmarkEnd w:id="104"/>
      <w:bookmarkEnd w:id="105"/>
      <w:r>
        <w:rPr>
          <w:rtl w:val="true"/>
        </w:rPr>
        <w:t>«</w:t>
      </w:r>
      <w:r>
        <w:rPr>
          <w:rtl w:val="true"/>
        </w:rPr>
        <w:t xml:space="preserve">الطهارات ثلاثة </w:t>
      </w:r>
      <w:r>
        <w:rPr>
          <w:rtl w:val="true"/>
        </w:rPr>
        <w:t>»</w:t>
      </w:r>
      <w:bookmarkEnd w:id="106"/>
    </w:p>
    <w:p>
      <w:pPr>
        <w:pStyle w:val="Heading4"/>
        <w:numPr>
          <w:ilvl w:val="3"/>
          <w:numId w:val="1"/>
        </w:numPr>
        <w:rPr/>
      </w:pPr>
      <w:bookmarkStart w:id="107" w:name="__RefHeading___Toc2027785_2314609296"/>
      <w:bookmarkStart w:id="108" w:name="_Toc40"/>
      <w:bookmarkEnd w:id="107"/>
      <w:r>
        <w:rPr>
          <w:rtl w:val="true"/>
        </w:rPr>
        <w:t>اشارة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الطهارات ثلاثة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Heading4"/>
        <w:numPr>
          <w:ilvl w:val="3"/>
          <w:numId w:val="1"/>
        </w:numPr>
        <w:rPr/>
      </w:pPr>
      <w:bookmarkStart w:id="109" w:name="__RefHeading___Toc2027787_2314609296"/>
      <w:bookmarkStart w:id="110" w:name="_Toc41"/>
      <w:bookmarkEnd w:id="109"/>
      <w:r>
        <w:rPr>
          <w:rtl w:val="true"/>
        </w:rPr>
        <w:t xml:space="preserve">الفصل </w:t>
      </w:r>
      <w:r>
        <w:rPr>
          <w:rtl w:val="true"/>
        </w:rPr>
        <w:t>«</w:t>
      </w:r>
      <w:r>
        <w:rPr>
          <w:rtl w:val="true"/>
        </w:rPr>
        <w:t>الأوّل</w:t>
      </w:r>
      <w:r>
        <w:rPr>
          <w:rtl w:val="true"/>
        </w:rPr>
        <w:t>» «</w:t>
      </w:r>
      <w:r>
        <w:rPr>
          <w:rtl w:val="true"/>
        </w:rPr>
        <w:t>فی الوضوء</w:t>
      </w:r>
      <w:r>
        <w:rPr>
          <w:rtl w:val="true"/>
        </w:rPr>
        <w:t>»</w:t>
      </w:r>
      <w:bookmarkEnd w:id="110"/>
    </w:p>
    <w:p>
      <w:pPr>
        <w:pStyle w:val="Heading5"/>
        <w:numPr>
          <w:ilvl w:val="4"/>
          <w:numId w:val="1"/>
        </w:numPr>
        <w:rPr/>
      </w:pPr>
      <w:bookmarkStart w:id="111" w:name="__RefHeading___Toc2027789_2314609296"/>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بضمّ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للمصدر، فإنّ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الماء الذی یُتوضّأ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النَّظافة والنَّضارة من ظلمة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والریح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الموضع المعتاد، أو من غیره مع انسداده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الأسباب باعتبار إیجابها الوضوءَ عند التکلیف بما هو شرطٌ فیه، کما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عروضها للمتطهِّر،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منهما مطلقاً، کما أنّ بینهما عموماً من وجه، فکان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والنوم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غلبةً مستهلکةً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السمع والبصر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مطلق الإحساس، ولکنّ الغلبة علی السمع تقتضی الغلبة علی سائرها، فلذا 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البصر فهو أضعف من کثیرٍ منها، فلا وجه لتخصیصه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ومزیل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جنون وسکر وإغماء</w:t>
      </w:r>
      <w:r>
        <w:rPr>
          <w:rFonts w:eastAsia="IRNazanin" w:cs="IRNazanin"/>
          <w:color w:val="111111"/>
          <w:sz w:val="28"/>
          <w:szCs w:val="28"/>
          <w:rtl w:val="true"/>
          <w:lang w:bidi="fa-IR"/>
        </w:rPr>
        <w:t>.</w:t>
      </w:r>
      <w:bookmarkStart w:id="113" w:name="pg19806_203296"/>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یأتی تفصیله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2027791_2314609296"/>
      <w:bookmarkStart w:id="115" w:name="_Toc43"/>
      <w:bookmarkEnd w:id="114"/>
      <w:r>
        <w:rPr>
          <w:rtl w:val="true"/>
        </w:rPr>
        <w:t>[</w:t>
      </w:r>
      <w:r>
        <w:rPr>
          <w:rtl w:val="true"/>
        </w:rPr>
        <w:t>واجباب الوضوء</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واجب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إلی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لغَسل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شرعاً، وهو أوّل جزءٍ من أعلاه؛ لأنّ ما دونه لا یسمّی غَسلاً شرعاً، ولأنّ المقارنة تعتبر لأوّل أفعال الوضوء، والابتداء بغیر الأعلی لا یعدّ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واجباً بأن کان فی وقت عبادةٍ واجبةٍ مشروطةٍ به، وإلّا نوی الندبَ، ولم یذکره لأنّه خارجٌ عن الفرض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والتقرّب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إلی اللّٰه تعالی، بأن یقصد فعله للّٰه‌امتثالاً لأمره، أو موافقةً لطاعته، أو طلباً للرفعة عنده بواسطته، تشبیهاً بالقرب المکانی، أو مجرّداً عن ذلک، فإنّه تعالی غایة کلّ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الرفع حیث یمکن، والمراد رفع حکم الحدث، وإلّا فالحدث إذا وقع لا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إجزاء النیّة المشتملة علی جمیع ذلک، وإن کان فی وجوب ما عدا القربة نظرٌ؛ لعدم نهوض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القربة فلا شبهة فی اعتبارها فی کلّ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تمییز العبادة عن غیرها حیث یکون الفعل مشترکاً، إلّاأ نّه لا اشتراک فی الوضوء حتّی فی الوجوب والندب؛ لأنّه فی وقت العبادة الواجبة المشروطة به لا یکون إلّاواجباً، وبدونه ینتفی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ینتقل کلّ جزءٍ من الماء عن محلّه إلی غیره بنفسه أو</w:t>
      </w:r>
    </w:p>
    <w:p>
      <w:pPr>
        <w:pStyle w:val="BookText"/>
        <w:rPr/>
      </w:pPr>
      <w:r>
        <w:rPr>
          <w:rFonts w:ascii="IRNazanin" w:hAnsi="IRNazanin" w:eastAsia="IRNazanin"/>
          <w:color w:val="111111"/>
          <w:sz w:val="28"/>
          <w:sz w:val="28"/>
          <w:szCs w:val="28"/>
          <w:rtl w:val="true"/>
          <w:lang w:bidi="fa-IR"/>
        </w:rPr>
        <w:t xml:space="preserve">بمعین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دار علیه الإ 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 وما بین القصاص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مثلّث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منبت شعر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والقاف المفتوحة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مراعیاً فی ذلک مستوی الخلقة فی‌الوجه والیدین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فی الحدّ مواضع التحذیف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منتهی العِذار والنَزَعَة المتّصلة بشعر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والعِذار والعارض، لا النَزَعَتان بالتحریک،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البیاضان المکتنفان للناصیة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وتخلیل خفیف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تُری البشرة من خلاله فی مجلس التخاطب، دون الکثیف وهو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بتخلیله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الماء خلاله لغَسل البشرة المستورة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الظاهرة خلاله فلابدّ من غسلها، کما یجب غَسل جزءٍ آخر ممّا جاورها من المستورة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عدم وجوب تخلیل الشعر مطلقاً وفاقاً للمصنّف فی الذکری والدروس </w:t>
      </w:r>
      <w:r>
        <w:rPr>
          <w:rStyle w:val="FootnoteAnchor"/>
          <w:rtl w:val="true"/>
        </w:rPr>
        <w:footnoteReference w:id="204"/>
      </w:r>
      <w:r>
        <w:rPr>
          <w:rFonts w:ascii="Amiri" w:hAnsi="Amiri" w:eastAsia="Amiri" w:cs="Amiri"/>
          <w:color w:val="111111"/>
          <w:sz w:val="28"/>
          <w:sz w:val="28"/>
          <w:szCs w:val="28"/>
          <w:rtl w:val="true"/>
          <w:lang w:bidi="ar-SA"/>
        </w:rPr>
        <w:t xml:space="preserve">وللمُعْظم </w:t>
      </w:r>
      <w:r>
        <w:rPr>
          <w:rStyle w:val="FootnoteAnchor"/>
          <w:rtl w:val="true"/>
        </w:rPr>
        <w:footnoteReference w:id="205"/>
      </w:r>
      <w:r>
        <w:rPr>
          <w:rFonts w:ascii="Amiri" w:hAnsi="Amiri" w:eastAsia="Amiri" w:cs="Amiri"/>
          <w:color w:val="111111"/>
          <w:sz w:val="28"/>
          <w:sz w:val="28"/>
          <w:szCs w:val="28"/>
          <w:rtl w:val="true"/>
          <w:lang w:bidi="ar-SA"/>
        </w:rPr>
        <w:t>ویستوی فی ذلک شعر اللحیة والشارب والخدّ والعِذار والحاجب والعَنْفَقَة والهُدُب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الُیمنی من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وفتح الفاء أو بالعکس،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عظمی الذراع والعَضُد، لا نفس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أطراف الأصابع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ما اشتملت علیه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لحمٍ زائدٍ وشعرٍ ویدٍ وإصبع، دون ما خرج وإن کان یداً، إلّاأن تشتبه الأصلیّة</w:t>
      </w:r>
    </w:p>
    <w:p>
      <w:pPr>
        <w:pStyle w:val="BookText"/>
        <w:rPr/>
      </w:pPr>
      <w:r>
        <w:rPr>
          <w:rFonts w:ascii="Amiri" w:hAnsi="Amiri" w:eastAsia="Amiri" w:cs="Amiri"/>
          <w:color w:val="111111"/>
          <w:sz w:val="28"/>
          <w:sz w:val="28"/>
          <w:szCs w:val="28"/>
          <w:rtl w:val="true"/>
          <w:lang w:bidi="ar-SA"/>
        </w:rPr>
        <w:t>فتغسلان معاً من باب المقدّمة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مقدّم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شعره الذی لا یخرج بمدّه عن حدّه، واکتفی المصنّف بالرأس تغلیباً لاسمه علی مانبت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مسمّی المسح، ولو بجزءٍ من اصبع، مُمِرّاً له علی الممسوح لیتحقّق اسمه، لا بمجرّد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حدّ لأکثره، نعم یکره الاستیعاب، إلّاأن یعتقد شرعیّته فیحرم، وإن کان الفضل فی مقدار ثلاث 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بَشَرَة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رؤوس الأصابع إلی الکعبین،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قُبّتا القدمین،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أصل الساق </w:t>
      </w:r>
      <w:r>
        <w:rPr>
          <w:rStyle w:val="FootnoteAnchor"/>
          <w:rtl w:val="true"/>
        </w:rPr>
        <w:footnoteReference w:id="206"/>
      </w:r>
      <w:r>
        <w:rPr>
          <w:rFonts w:ascii="IRNazanin" w:hAnsi="IRNazanin" w:eastAsia="IRNazanin"/>
          <w:color w:val="111111"/>
          <w:sz w:val="28"/>
          <w:sz w:val="28"/>
          <w:szCs w:val="28"/>
          <w:rtl w:val="true"/>
          <w:lang w:bidi="fa-IR"/>
        </w:rPr>
        <w:t xml:space="preserve">وهو مختاره فی الألفیّة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جانب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ببقیّة 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 علی أعضاء الوضوء من 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المسحین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وفهم من إطلاقه المسح أ نّه لا ترتیب فیهما فی نفس العضو، فیجوز النَّکس فیه دون الغسل؛ للدلالة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وهو کذلک فیهما علی أصحّ القولین </w:t>
      </w:r>
      <w:r>
        <w:rPr>
          <w:rStyle w:val="FootnoteAnchor"/>
          <w:rtl w:val="true"/>
        </w:rPr>
        <w:footnoteReference w:id="209"/>
      </w:r>
      <w:r>
        <w:rPr>
          <w:rFonts w:ascii="IRNazanin" w:hAnsi="IRNazanin" w:eastAsia="IRNazanin"/>
          <w:color w:val="111111"/>
          <w:sz w:val="28"/>
          <w:sz w:val="28"/>
          <w:szCs w:val="28"/>
          <w:rtl w:val="true"/>
          <w:lang w:bidi="fa-IR"/>
        </w:rPr>
        <w:t xml:space="preserve">وفی الدروس رجّح منع النَّکس فی الرأس دون الرجلین </w:t>
      </w:r>
      <w:r>
        <w:rPr>
          <w:rStyle w:val="FootnoteAnchor"/>
          <w:rtl w:val="true"/>
        </w:rPr>
        <w:footnoteReference w:id="210"/>
      </w:r>
      <w:r>
        <w:rPr>
          <w:rFonts w:ascii="IRNazanin" w:hAnsi="IRNazanin" w:eastAsia="IRNazanin"/>
          <w:color w:val="111111"/>
          <w:sz w:val="28"/>
          <w:sz w:val="28"/>
          <w:szCs w:val="28"/>
          <w:rtl w:val="true"/>
          <w:lang w:bidi="fa-IR"/>
        </w:rPr>
        <w:t>وفی البیان</w:t>
      </w:r>
      <w:bookmarkStart w:id="116" w:name="pg19806_203299"/>
    </w:p>
    <w:p>
      <w:pPr>
        <w:pStyle w:val="BookText"/>
        <w:rPr/>
      </w:pPr>
      <w:bookmarkEnd w:id="116"/>
      <w:r>
        <w:rPr>
          <w:rFonts w:ascii="IRNazanin" w:hAnsi="IRNazanin" w:eastAsia="IRNazanin"/>
          <w:color w:val="111111"/>
          <w:sz w:val="28"/>
          <w:sz w:val="28"/>
          <w:szCs w:val="28"/>
          <w:rtl w:val="true"/>
          <w:lang w:bidi="fa-IR"/>
        </w:rPr>
        <w:t xml:space="preserve">عکس ومثله فی الألفیّة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2027793_2314609296"/>
      <w:bookmarkStart w:id="118" w:name="_Toc44"/>
      <w:bookmarkEnd w:id="117"/>
      <w:r>
        <w:rPr>
          <w:rtl w:val="true"/>
        </w:rPr>
        <w:t>[</w:t>
      </w:r>
      <w:r>
        <w:rPr>
          <w:rtl w:val="true"/>
        </w:rPr>
        <w:t>سنن الوضوء</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أعضاءالغَسل والمسح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یبتدئ بغسل الوجه، ثمّ بالید الیمنی، ثمّ الیسری، ثمّ بمسح الرأس، ثمّ الرجل الیمنی، ثمّ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عکس أعاد علی ما یحصل معه الترتیب مع بقاء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وأسقط المصنّف فی غیر الکتاب الترتیبَ بین الرجلین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یجفّ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الأعضاء علی العضو الذی هو فیه مطلقاً علی أشهر الأقوال </w:t>
      </w:r>
      <w:r>
        <w:rPr>
          <w:rStyle w:val="FootnoteAnchor"/>
          <w:rtl w:val="true"/>
        </w:rPr>
        <w:footnoteReference w:id="213"/>
      </w:r>
      <w:r>
        <w:rPr>
          <w:rFonts w:ascii="IRNazanin" w:hAnsi="IRNazanin" w:eastAsia="IRNazanin"/>
          <w:color w:val="111111"/>
          <w:sz w:val="28"/>
          <w:sz w:val="28"/>
          <w:szCs w:val="28"/>
          <w:rtl w:val="true"/>
          <w:lang w:bidi="fa-IR"/>
        </w:rPr>
        <w:t>والمعتبر فی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 لا التقدیری، ولا فرق فیه بین العامد والناسی والجاهل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دَلْک الأسنان بعود وخِرقة، وإصبع ونحوها، وأفضله الغُصن الأخضر، وأکمله 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ومحلّه قبل غَسل الوضوء الواجب والندب کالمضمضة، ولو أخّره عنه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السِّواک سنّةٌ مطلقاً، ولکنّه یتأکّد فی مواضع،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والصلاة، وقراءة القرآن، واصفرار الأسنان وغیره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ویستحبّ إتباعها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اجعَلْنی من التَّوّابِیْنَ واجعَلْنی من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نسیها ابتداءً تدارکها حیث ذکر قبل الفراغ کالأکل، وکذا لو ترکها عمداً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الزَّندین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النوم والبول والغائط، لا من مطلق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الأوّلین مرّةً </w:t>
      </w:r>
      <w:r>
        <w:rPr>
          <w:rStyle w:val="FootnoteAnchor"/>
          <w:rtl w:val="true"/>
        </w:rPr>
        <w:footnoteReference w:id="215"/>
      </w:r>
      <w:r>
        <w:rPr>
          <w:rFonts w:ascii="IRNazanin" w:hAnsi="IRNazanin" w:eastAsia="IRNazanin"/>
          <w:color w:val="111111"/>
          <w:sz w:val="28"/>
          <w:sz w:val="28"/>
          <w:szCs w:val="28"/>
          <w:rtl w:val="true"/>
          <w:lang w:bidi="fa-IR"/>
        </w:rPr>
        <w:t xml:space="preserve">وبه قطع فی الذکری </w:t>
      </w:r>
      <w:r>
        <w:rPr>
          <w:rStyle w:val="FootnoteAnchor"/>
          <w:rtl w:val="true"/>
        </w:rPr>
        <w:footnoteReference w:id="21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الجمیع، واختاره فی النفلیّة ونسب التفصیل إلی المشهور </w:t>
      </w:r>
      <w:r>
        <w:rPr>
          <w:rStyle w:val="FootnoteAnchor"/>
          <w:rtl w:val="true"/>
        </w:rPr>
        <w:footnoteReference w:id="217"/>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اجتمعت الأسباب تداخلت إن تساوت، وإلّا دخل الأقلّ تحت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إدخالهما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یمکن الاغتراف منه؛ لدفع النجاسة الوهمیّة أو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یعتبر </w:t>
      </w:r>
      <w:r>
        <w:rPr>
          <w:rStyle w:val="FootnoteAnchor"/>
          <w:rtl w:val="true"/>
        </w:rPr>
        <w:footnoteReference w:id="218"/>
      </w:r>
      <w:r>
        <w:rPr>
          <w:rFonts w:ascii="IRNazanin" w:hAnsi="IRNazanin" w:eastAsia="IRNazanin"/>
          <w:color w:val="111111"/>
          <w:sz w:val="28"/>
          <w:sz w:val="28"/>
          <w:szCs w:val="28"/>
          <w:rtl w:val="true"/>
          <w:lang w:bidi="fa-IR"/>
        </w:rPr>
        <w:t xml:space="preserve">کون الماء قلیلاً؛ لإطلاق النص </w:t>
      </w:r>
      <w:r>
        <w:rPr>
          <w:rStyle w:val="FootnoteAnchor"/>
          <w:rtl w:val="true"/>
        </w:rPr>
        <w:footnoteReference w:id="219"/>
      </w:r>
      <w:r>
        <w:rPr>
          <w:rFonts w:ascii="IRNazanin" w:hAnsi="IRNazanin" w:eastAsia="IRNazanin"/>
          <w:color w:val="111111"/>
          <w:sz w:val="28"/>
          <w:sz w:val="28"/>
          <w:szCs w:val="28"/>
          <w:rtl w:val="true"/>
          <w:lang w:bidi="fa-IR"/>
        </w:rPr>
        <w:t xml:space="preserve">خلافاً للعلّامة حیث اعتبره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الماء الفم وإدارته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جذبه إلی داخل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وتثلیثهما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یفعل کلّ واحدٍ منهما ثلاثاً ولو بغُرْفةٍ واحدة، وبثلاث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یستحبّ تقدیم المضمضة أجمع علی الاستنشاق، والعطف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وتثنیة الغَسَلات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بعد تمام الغَسلة الاُولی فی المشهور، وأنکرها الصدوق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119" w:name="pg19806_203301"/>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عند کلّ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الأفعال الواجبة والمستحبّة المتقدّمة، بالمأثور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وبَدأة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غسل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بالظَّهر،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بالبطن، عکس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السُّنة لها البدأة بالبطن والختم بالظَّهر، کذا ذکره الشیخ </w:t>
      </w:r>
      <w:r>
        <w:rPr>
          <w:rStyle w:val="FootnoteAnchor"/>
          <w:rtl w:val="true"/>
        </w:rPr>
        <w:footnoteReference w:id="222"/>
      </w:r>
      <w:r>
        <w:rPr>
          <w:rFonts w:ascii="IRNazanin" w:hAnsi="IRNazanin" w:eastAsia="IRNazanin"/>
          <w:color w:val="111111"/>
          <w:sz w:val="28"/>
          <w:sz w:val="28"/>
          <w:szCs w:val="28"/>
          <w:rtl w:val="true"/>
          <w:lang w:bidi="fa-IR"/>
        </w:rPr>
        <w:t xml:space="preserve">وتبعه علیه المصنّف هنا وجماعة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والموجود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بَدأة الرجل بظاهر </w:t>
      </w:r>
      <w:r>
        <w:rPr>
          <w:rStyle w:val="FootnoteAnchor"/>
          <w:rtl w:val="true"/>
        </w:rPr>
        <w:footnoteReference w:id="224"/>
      </w:r>
      <w:r>
        <w:rPr>
          <w:rFonts w:ascii="Amiri" w:hAnsi="Amiri" w:eastAsia="Amiri" w:cs="Amiri"/>
          <w:color w:val="111111"/>
          <w:sz w:val="28"/>
          <w:sz w:val="28"/>
          <w:szCs w:val="28"/>
          <w:rtl w:val="true"/>
          <w:lang w:bidi="ar-SA"/>
        </w:rPr>
        <w:t xml:space="preserve">الذراع والمرأة بباطنه </w:t>
      </w:r>
      <w:r>
        <w:rPr>
          <w:rStyle w:val="FootnoteAnchor"/>
          <w:rtl w:val="true"/>
        </w:rPr>
        <w:footnoteReference w:id="225"/>
      </w:r>
      <w:r>
        <w:rPr>
          <w:rFonts w:ascii="IRNazanin" w:hAnsi="IRNazanin" w:eastAsia="IRNazanin"/>
          <w:color w:val="111111"/>
          <w:sz w:val="28"/>
          <w:sz w:val="28"/>
          <w:szCs w:val="28"/>
          <w:rtl w:val="true"/>
          <w:lang w:bidi="fa-IR"/>
        </w:rPr>
        <w:t xml:space="preserve">من غیر فرقٍ فیهما بین الغسلتین، وعلیه الأکثر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ویتخیّر الخنثی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البَدأة بالظَّهر والبطن علی المشهور، وبین الوظیفتین علی المذکور</w:t>
      </w:r>
      <w:r>
        <w:rPr>
          <w:rFonts w:eastAsia="IRNazanin" w:cs="IRNazanin"/>
          <w:color w:val="111111"/>
          <w:sz w:val="28"/>
          <w:szCs w:val="28"/>
          <w:rtl w:val="true"/>
          <w:lang w:bidi="fa-IR"/>
        </w:rPr>
        <w:t>.</w:t>
      </w:r>
    </w:p>
    <w:p>
      <w:pPr>
        <w:pStyle w:val="Heading5"/>
        <w:numPr>
          <w:ilvl w:val="4"/>
          <w:numId w:val="1"/>
        </w:numPr>
        <w:rPr/>
      </w:pPr>
      <w:bookmarkStart w:id="120" w:name="__RefHeading___Toc2027795_2314609296"/>
      <w:bookmarkStart w:id="121" w:name="_Toc45"/>
      <w:bookmarkEnd w:id="120"/>
      <w:r>
        <w:rPr>
          <w:rtl w:val="true"/>
        </w:rPr>
        <w:t>[</w:t>
      </w:r>
      <w:r>
        <w:rPr>
          <w:rtl w:val="true"/>
        </w:rPr>
        <w:t>الشک فی الطهارة</w:t>
      </w:r>
      <w:r>
        <w:rPr>
          <w:rtl w:val="true"/>
        </w:rPr>
        <w:t>]</w:t>
      </w:r>
      <w:bookmarkEnd w:id="1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والشاکّ فیه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أثنائه یستأنف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فیه نفسه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نیّته؛ لأنّه إذا شکّ فیها فالأصل عدمها ومع ذلک لا یعتدّ بما وقع من الأفعال بدونها، وبهذا صدق الشکّ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الشکّ فی أ نّه هل توضّأ أو هل شرع فیه أم لا؟ فلا یتصوّر تحقّقه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المصنّف فی مختصریه </w:t>
      </w:r>
      <w:r>
        <w:rPr>
          <w:rStyle w:val="FootnoteAnchor"/>
          <w:rtl w:val="true"/>
        </w:rPr>
        <w:footnoteReference w:id="229"/>
      </w:r>
      <w:r>
        <w:rPr>
          <w:rFonts w:ascii="IRNazanin" w:hAnsi="IRNazanin" w:eastAsia="IRNazanin"/>
          <w:color w:val="111111"/>
          <w:sz w:val="28"/>
          <w:sz w:val="28"/>
          <w:szCs w:val="28"/>
          <w:rtl w:val="true"/>
          <w:lang w:bidi="fa-IR"/>
        </w:rPr>
        <w:t xml:space="preserve">الشکّ فی النیّة فی أثناء الوضوء وأ نّه یستأنف، ولم یعبّر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الشاکّ فیه بالمعنی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شکّ فی غیرها من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البعض یأتی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بذلک البعض المشکوک فیه إذا وقع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 الوضوء بحیث لم یکن فرغ منه، وإن کان قد تجاوز ذلک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للأعضاء السابقة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لفوات الموالاة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وفراغه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منصوصٌ </w:t>
      </w:r>
      <w:r>
        <w:rPr>
          <w:rStyle w:val="FootnoteAnchor"/>
          <w:rtl w:val="true"/>
        </w:rPr>
        <w:footnoteReference w:id="230"/>
      </w:r>
      <w:r>
        <w:rPr>
          <w:rFonts w:ascii="Amiri" w:hAnsi="Amiri" w:eastAsia="Amiri" w:cs="Amiri"/>
          <w:color w:val="111111"/>
          <w:sz w:val="28"/>
          <w:sz w:val="28"/>
          <w:szCs w:val="28"/>
          <w:rtl w:val="true"/>
          <w:lang w:bidi="ar-SA"/>
        </w:rPr>
        <w:t>متّفقٌ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والشاکّ فی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تیقّن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والشاکّ فی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تیقّن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بالمتیقّن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المتأخّر منهما مع تیقّن وقوعهما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لتکافؤ الاحتمالین، إن لم یَستفد من الاتّحاد والتعاقب حکماً آخر، هذا هو الأقوی 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یَعلم حاله قبلهما بالطهارة، أو بالحدث، أو یَشکّ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یأخذ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 ما علمه </w:t>
      </w:r>
      <w:r>
        <w:rPr>
          <w:rStyle w:val="FootnoteAnchor"/>
          <w:rtl w:val="true"/>
        </w:rPr>
        <w:footnoteReference w:id="231"/>
      </w:r>
      <w:r>
        <w:rPr>
          <w:rFonts w:ascii="Amiri" w:hAnsi="Amiri" w:eastAsia="Amiri" w:cs="Amiri"/>
          <w:color w:val="111111"/>
          <w:sz w:val="28"/>
          <w:sz w:val="28"/>
          <w:szCs w:val="28"/>
          <w:rtl w:val="true"/>
          <w:lang w:bidi="ar-SA"/>
        </w:rPr>
        <w:t>لأنّه إن کان متطهِّراً</w:t>
      </w:r>
      <w:bookmarkStart w:id="122" w:name="pg19806_203303"/>
    </w:p>
    <w:p>
      <w:pPr>
        <w:pStyle w:val="BookText"/>
        <w:rPr/>
      </w:pPr>
      <w:bookmarkEnd w:id="122"/>
      <w:r>
        <w:rPr>
          <w:rFonts w:ascii="IRNazanin" w:hAnsi="IRNazanin" w:eastAsia="IRNazanin"/>
          <w:color w:val="111111"/>
          <w:sz w:val="28"/>
          <w:sz w:val="28"/>
          <w:szCs w:val="28"/>
          <w:rtl w:val="true"/>
          <w:lang w:bidi="fa-IR"/>
        </w:rPr>
        <w:t>فقد علم نقض تلک الحالة وشکّ فی ارتفاع الناقض لجواز تعاقب الطهارتین، وإن کان محدثاً فقد علم انتقاله عنه بالطهارة وشکّ فی انتقاضها بالحدث؛ لجواز تعاقب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المتیقّن حینئذٍ ارتفاع الحدث السابق، أمّا اللاحق المتیقّن وقوعه فلا، وجواز تعاقبه لمثله مکافئٌ </w:t>
      </w:r>
      <w:r>
        <w:rPr>
          <w:rStyle w:val="FootnoteAnchor"/>
          <w:rtl w:val="true"/>
        </w:rPr>
        <w:footnoteReference w:id="232"/>
      </w:r>
      <w:r>
        <w:rPr>
          <w:rFonts w:ascii="Amiri" w:hAnsi="Amiri" w:eastAsia="Amiri" w:cs="Amiri"/>
          <w:color w:val="111111"/>
          <w:sz w:val="28"/>
          <w:sz w:val="28"/>
          <w:szCs w:val="28"/>
          <w:rtl w:val="true"/>
          <w:lang w:bidi="ar-SA"/>
        </w:rPr>
        <w:t>لتأخّره عن الطهارة، ولا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33"/>
      </w:r>
      <w:r>
        <w:rPr>
          <w:rFonts w:ascii="Amiri" w:hAnsi="Amiri" w:eastAsia="Amiri" w:cs="Amiri"/>
          <w:color w:val="111111"/>
          <w:sz w:val="28"/>
          <w:sz w:val="28"/>
          <w:szCs w:val="28"/>
          <w:rtl w:val="true"/>
          <w:lang w:bidi="ar-SA"/>
        </w:rPr>
        <w:t xml:space="preserve">لو کان المتحقّق طهارةً رافعةً وقلنا بأنّ المجدّد </w:t>
      </w:r>
      <w:r>
        <w:rPr>
          <w:rStyle w:val="FootnoteAnchor"/>
          <w:rtl w:val="true"/>
        </w:rPr>
        <w:footnoteReference w:id="234"/>
      </w:r>
      <w:r>
        <w:rPr>
          <w:rFonts w:ascii="IRNazanin" w:hAnsi="IRNazanin" w:eastAsia="IRNazanin"/>
          <w:color w:val="111111"/>
          <w:sz w:val="28"/>
          <w:sz w:val="28"/>
          <w:szCs w:val="28"/>
          <w:rtl w:val="true"/>
          <w:lang w:bidi="fa-IR"/>
        </w:rPr>
        <w:t>لا یرفع أو قطع بعدمه، توجّه الحکم بالطهارة فی الأوّل، کما أ نّه لو علم عدم تعاقب الحدثین بحسب عادته أو فی هذه الصورة، تحقّق الحکم بالحدث فی الثانی، إلّاأ نّه خارجٌ عن موضع النزاع، بل لیس من حقیقة الشکّ فی شیءٍ إلّابحسب ابتدائه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ضعف القول باستصحاب الحالة السابقة </w:t>
      </w:r>
      <w:r>
        <w:rPr>
          <w:rStyle w:val="FootnoteAnchor"/>
          <w:rtl w:val="true"/>
        </w:rPr>
        <w:footnoteReference w:id="235"/>
      </w:r>
      <w:r>
        <w:rPr>
          <w:rFonts w:ascii="IRNazanin" w:hAnsi="IRNazanin" w:eastAsia="IRNazanin"/>
          <w:color w:val="111111"/>
          <w:sz w:val="28"/>
          <w:sz w:val="28"/>
          <w:szCs w:val="28"/>
          <w:rtl w:val="true"/>
          <w:lang w:bidi="fa-IR"/>
        </w:rPr>
        <w:t>بل بطلانه</w:t>
      </w:r>
      <w:r>
        <w:rPr>
          <w:rFonts w:eastAsia="IRNazanin" w:cs="IRNazanin"/>
          <w:color w:val="111111"/>
          <w:sz w:val="28"/>
          <w:szCs w:val="28"/>
          <w:rtl w:val="true"/>
          <w:lang w:bidi="fa-IR"/>
        </w:rPr>
        <w:t>.</w:t>
      </w:r>
    </w:p>
    <w:p>
      <w:pPr>
        <w:pStyle w:val="Heading5"/>
        <w:numPr>
          <w:ilvl w:val="4"/>
          <w:numId w:val="1"/>
        </w:numPr>
        <w:rPr/>
      </w:pPr>
      <w:bookmarkStart w:id="123" w:name="__RefHeading___Toc2027797_2314609296"/>
      <w:bookmarkStart w:id="124" w:name="_Toc46"/>
      <w:bookmarkEnd w:id="123"/>
      <w:r>
        <w:rPr>
          <w:rtl w:val="true"/>
        </w:rPr>
        <w:t>[</w:t>
      </w:r>
      <w:r>
        <w:rPr>
          <w:rtl w:val="true"/>
        </w:rPr>
        <w:t xml:space="preserve">مسائل فی التخلی </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یجب علی المتخلّی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ودُبراً عن ناظر 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وترک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بمقادیم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البناء وغیره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البول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کما مرّ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للمخرَج، بأن تجاوز حواشیه وإن لم یبلغ الألیة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وإن لم یتعدّ الغائطُ 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جافّةٍ قالعةٍ للنجاسة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یُستنج بها بحیث تنجّست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أبکاراً وتنجّست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کالمکمّلة للعدد بعد نقاء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کفت من غیر اعتبار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الثلاثة إن لم یَنق المحلّ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 خِرَقٍ أو خزفاتٍ أو أعوادٍ، ونحو ذلک من الأجسام القالعة للنجاسة غیر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العدد فی ظاهر النصّ </w:t>
      </w:r>
      <w:r>
        <w:rPr>
          <w:rStyle w:val="FootnoteAnchor"/>
          <w:rtl w:val="true"/>
        </w:rPr>
        <w:footnoteReference w:id="238"/>
      </w:r>
      <w:r>
        <w:rPr>
          <w:rFonts w:ascii="IRNazanin" w:hAnsi="IRNazanin" w:eastAsia="IRNazanin"/>
          <w:color w:val="111111"/>
          <w:sz w:val="28"/>
          <w:sz w:val="28"/>
          <w:szCs w:val="28"/>
          <w:rtl w:val="true"/>
          <w:lang w:bidi="fa-IR"/>
        </w:rPr>
        <w:t xml:space="preserve">وهو الذی یقتضیه إطلاق العبارة، فلا یُجزی ذو الجهات الثلاث، وقطع المصنّف فی غیر الکتاب </w:t>
      </w:r>
      <w:r>
        <w:rPr>
          <w:rStyle w:val="FootnoteAnchor"/>
          <w:rtl w:val="true"/>
        </w:rPr>
        <w:footnoteReference w:id="239"/>
      </w:r>
      <w:r>
        <w:rPr>
          <w:rFonts w:ascii="IRNazanin" w:hAnsi="IRNazanin" w:eastAsia="IRNazanin"/>
          <w:color w:val="111111"/>
          <w:sz w:val="28"/>
          <w:sz w:val="28"/>
          <w:szCs w:val="28"/>
          <w:rtl w:val="true"/>
          <w:lang w:bidi="fa-IR"/>
        </w:rPr>
        <w:t>بإ 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إدخاله علی مذهبه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واعلم أنّ الماء مجزٍ مطلقاً، بل هو أفضل من الأحجار علی تقدیر إجزائها، ولیس فی عبارته هنا ما یدلّ علی إجزاء الماء فی غیر المتعدّی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استفادته من قوله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اجتزأ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بحیث لا یُری؛ تأسّیاً بالنبیّ صلی الله علیه و آله فإنّه لم یُرَ قطُّ علی بولٍ ولا غائط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بین المطهِّرین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والأحجار، مقدِّماً للأحجار فی المتعدّی</w:t>
      </w:r>
    </w:p>
    <w:p>
      <w:pPr>
        <w:pStyle w:val="BookText"/>
        <w:rPr/>
      </w:pPr>
      <w:r>
        <w:rPr>
          <w:rFonts w:ascii="IRNazanin" w:hAnsi="IRNazanin" w:eastAsia="IRNazanin"/>
          <w:color w:val="111111"/>
          <w:sz w:val="28"/>
          <w:sz w:val="28"/>
          <w:szCs w:val="28"/>
          <w:rtl w:val="true"/>
          <w:lang w:bidi="fa-IR"/>
        </w:rPr>
        <w:t>وغیره مبالغةً فی التنزیه، ولإزالة العین والأثر علی تقدیر إجزاء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عددٍ من الأحجار یطهِّر </w:t>
      </w:r>
      <w:r>
        <w:rPr>
          <w:rStyle w:val="FootnoteAnchor"/>
          <w:rtl w:val="true"/>
        </w:rPr>
        <w:footnoteReference w:id="241"/>
      </w:r>
      <w:r>
        <w:rPr>
          <w:rFonts w:ascii="IRNazanin" w:hAnsi="IRNazanin" w:eastAsia="IRNazanin"/>
          <w:color w:val="111111"/>
          <w:sz w:val="28"/>
          <w:sz w:val="28"/>
          <w:szCs w:val="28"/>
          <w:rtl w:val="true"/>
          <w:lang w:bidi="fa-IR"/>
        </w:rPr>
        <w:t>ویمکن تأدّیه بدونه لحصول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الشمس 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بالفرج، أمّا جهتهما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واستدبارها بالبول والغائط لإطلاق الخبر </w:t>
      </w:r>
      <w:r>
        <w:rPr>
          <w:rStyle w:val="FootnoteAnchor"/>
          <w:rtl w:val="true"/>
        </w:rPr>
        <w:footnoteReference w:id="242"/>
      </w:r>
      <w:r>
        <w:rPr>
          <w:rFonts w:ascii="Amiri" w:hAnsi="Amiri" w:eastAsia="Amiri" w:cs="Amiri"/>
          <w:color w:val="111111"/>
          <w:sz w:val="28"/>
          <w:sz w:val="28"/>
          <w:szCs w:val="28"/>
          <w:rtl w:val="true"/>
          <w:lang w:bidi="ar-SA"/>
        </w:rPr>
        <w:t xml:space="preserve">ومن ثَمّ أطلق المصنّف، وإن قیّد فی غیره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وتغطیةُ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مکشوفاً؛ حذراً من وصول الرائحة الخبیثة إلی دِماغه،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التقنّع معها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والدخول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ببناءٍ، وإلّا جعلها آخر ما یقدّمه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والخروج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وصفناه، عکس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فی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 استحباب الدعاء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الدخول، وعند الفعل، ورؤیة الماء، والاستنجاء، وعند مسح بطنه إذا قام من موضعه، وعند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بالمأثور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والاعتماد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الیمنی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براءة المحلّ من البول بالاجتهاد، الذی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ما بین المقعدة وأصل القضیب ثلاثاً، ثمّ نَتْره </w:t>
      </w:r>
      <w:r>
        <w:rPr>
          <w:rStyle w:val="FootnoteAnchor"/>
          <w:rtl w:val="true"/>
        </w:rPr>
        <w:footnoteReference w:id="246"/>
      </w:r>
      <w:r>
        <w:rPr>
          <w:rFonts w:ascii="Amiri" w:hAnsi="Amiri" w:eastAsia="Amiri" w:cs="Amiri"/>
          <w:color w:val="111111"/>
          <w:sz w:val="28"/>
          <w:sz w:val="28"/>
          <w:szCs w:val="28"/>
          <w:rtl w:val="true"/>
          <w:lang w:bidi="ar-SA"/>
        </w:rPr>
        <w:t>ثلاثاً، ثمّ عصر الحشفة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والتَّنَحْنُح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الاستبراء، ونسبه المصنّف فی الذکری إلی سلّار </w:t>
      </w:r>
      <w:r>
        <w:rPr>
          <w:rStyle w:val="FootnoteAnchor"/>
          <w:rtl w:val="true"/>
        </w:rPr>
        <w:footnoteReference w:id="247"/>
      </w:r>
      <w:r>
        <w:rPr>
          <w:rFonts w:ascii="IRNazanin" w:hAnsi="IRNazanin" w:eastAsia="IRNazanin"/>
          <w:color w:val="111111"/>
          <w:sz w:val="28"/>
          <w:sz w:val="28"/>
          <w:szCs w:val="28"/>
          <w:rtl w:val="true"/>
          <w:lang w:bidi="fa-IR"/>
        </w:rPr>
        <w:t>لعدم وقوفه علی مأخذه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والاستنجاء بالیسار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موضوعةٌ للأدنی، کما أنّ الیمین للأعلی کالأکل والوضوء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بالیمنی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الاختیار؛ لأنّه من الجَفاء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حذراً من تخبیل الشیطان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فی الهواء للنهی عنه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جاریاً وراکداً؛ للتعلیل فی أخبار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للماء أهلاً فلا تُؤذِهم بذلک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المَسْلوک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الماء للواردة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امتدّ من جوانب الدار، وهو حریمها خارج المملوک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الناس أو منزلهم أو قارعة الطریق أو أبواب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شأنها أن تکون مثمرةً وإن لم تکن کذلک بالفعل، ومحلّ الکراهة ما یمکن أن تبلغه الثمار عادةً وإن لم یکن 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وفیء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الظلّ المعدّ لنزولهم، أو ما هو أعمّ منه کالمحلّ الذی یرجعون إلیه وینزلون به،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یفیء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وفتح الحاء والراء المهملتین،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فالسکون،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الحشار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یورث البَخَر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إلّابذکر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المهانة، وللخبر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حکایة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سمعه </w:t>
      </w:r>
      <w:r>
        <w:rPr>
          <w:rStyle w:val="FootnoteAnchor"/>
          <w:rtl w:val="true"/>
        </w:rPr>
        <w:footnoteReference w:id="253"/>
      </w:r>
      <w:r>
        <w:rPr>
          <w:rFonts w:ascii="IRNazanin" w:hAnsi="IRNazanin" w:eastAsia="IRNazanin"/>
          <w:color w:val="111111"/>
          <w:sz w:val="28"/>
          <w:sz w:val="28"/>
          <w:szCs w:val="28"/>
          <w:rtl w:val="true"/>
          <w:lang w:bidi="fa-IR"/>
        </w:rPr>
        <w:t xml:space="preserve">علی المشهور،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یشمله أجمع؛ 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ومن ثمّ حکاه المصنّف فی الذکری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وقراءة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مطلق حمد اللّٰه وشکره وذکره؛ لأنّه حَسَنٌ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کالتکلّم لحاجةٍ یخاف فوتها لو أخّره إلی أن یفرغ</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ویستثنی أیضاً الصلاة علی النبیّ صلی الله علیه و آله عند سَماع ذکره،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العُطاس منه ومن غیره، وهو من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باستحباب التَّسْمیت </w:t>
      </w:r>
      <w:r>
        <w:rPr>
          <w:rStyle w:val="FootnoteAnchor"/>
          <w:rtl w:val="true"/>
        </w:rPr>
        <w:footnoteReference w:id="255"/>
      </w:r>
      <w:r>
        <w:rPr>
          <w:rFonts w:ascii="Amiri" w:hAnsi="Amiri" w:eastAsia="Amiri" w:cs="Amiri"/>
          <w:color w:val="111111"/>
          <w:sz w:val="28"/>
          <w:sz w:val="28"/>
          <w:szCs w:val="28"/>
          <w:rtl w:val="true"/>
          <w:lang w:bidi="ar-SA"/>
        </w:rPr>
        <w:t xml:space="preserve">منه أیضاً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وجوبُ ردّ السلام وإن کره السلام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کراهة ردّه مع</w:t>
      </w:r>
    </w:p>
    <w:p>
      <w:pPr>
        <w:pStyle w:val="BookText"/>
        <w:rPr/>
      </w:pPr>
      <w:r>
        <w:rPr>
          <w:rFonts w:ascii="IRNazanin" w:hAnsi="IRNazanin" w:eastAsia="IRNazanin"/>
          <w:color w:val="111111"/>
          <w:sz w:val="28"/>
          <w:sz w:val="28"/>
          <w:szCs w:val="28"/>
          <w:rtl w:val="true"/>
          <w:lang w:bidi="fa-IR"/>
        </w:rPr>
        <w:t>تأدیّ الواجب بردّ غیره وجهان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حکایة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الأعمّ؛ لأنّه مستحبٌّ لا یستوی طرفاه، والمراد منه هنا الاستحباب؛ لأنّه عبادة لا تقع إلّاراجحة وإن وقعت مکروهة، فکیف إذا انتفت الکراهة</w:t>
      </w:r>
      <w:r>
        <w:rPr>
          <w:rFonts w:eastAsia="IRNazanin" w:cs="IRNazanin"/>
          <w:color w:val="111111"/>
          <w:sz w:val="28"/>
          <w:szCs w:val="28"/>
          <w:rtl w:val="true"/>
          <w:lang w:bidi="fa-IR"/>
        </w:rPr>
        <w:t>.</w:t>
      </w:r>
      <w:bookmarkStart w:id="125" w:name="pg19806_203309"/>
    </w:p>
    <w:p>
      <w:pPr>
        <w:pStyle w:val="Heading4"/>
        <w:numPr>
          <w:ilvl w:val="3"/>
          <w:numId w:val="1"/>
        </w:numPr>
        <w:rPr/>
      </w:pPr>
      <w:bookmarkStart w:id="126" w:name="__RefHeading___Toc2027799_2314609296"/>
      <w:bookmarkStart w:id="127" w:name="_Toc47"/>
      <w:bookmarkEnd w:id="125"/>
      <w:bookmarkEnd w:id="126"/>
      <w:r>
        <w:rPr>
          <w:rtl w:val="true"/>
        </w:rPr>
        <w:t>«</w:t>
      </w:r>
      <w:r>
        <w:rPr>
          <w:rtl w:val="true"/>
        </w:rPr>
        <w:t>الفصل الثانی</w:t>
      </w:r>
      <w:r>
        <w:rPr>
          <w:rtl w:val="true"/>
        </w:rPr>
        <w:t>» «</w:t>
      </w:r>
      <w:r>
        <w:rPr>
          <w:rtl w:val="true"/>
        </w:rPr>
        <w:t>فی الغُسل</w:t>
      </w:r>
      <w:r>
        <w:rPr>
          <w:rtl w:val="true"/>
        </w:rPr>
        <w:t>»</w:t>
      </w:r>
      <w:bookmarkEnd w:id="127"/>
    </w:p>
    <w:p>
      <w:pPr>
        <w:pStyle w:val="Heading5"/>
        <w:numPr>
          <w:ilvl w:val="4"/>
          <w:numId w:val="1"/>
        </w:numPr>
        <w:rPr/>
      </w:pPr>
      <w:bookmarkStart w:id="128" w:name="__RefHeading___Toc2027801_2314609296"/>
      <w:bookmarkStart w:id="129" w:name="_Toc48"/>
      <w:bookmarkEnd w:id="128"/>
      <w:r>
        <w:rPr>
          <w:rtl w:val="true"/>
        </w:rPr>
        <w:t>اشارة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والحیضُ والاستحاضةُ مع 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سال عنها أم لا؛ لأنّه موجبٌ حینئذٍ فی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والنفاسُ ومسُّ المیّت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حال 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فخرج الشهید والمعصوم ومن تمّ غسله الصحیح وإن کان متقدّماً علی الموت، کمن قدّمه لیُقتل فقُتل بالسبب الذی اغتسل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من المیتات الحیوانیّة، فإنّها وإن کانت نجسةً إلّاأنّ مسّها لا یوجب غسلاً، بل هی کغیرها من النجاسات فی أصحّ القولین </w:t>
      </w:r>
      <w:r>
        <w:rPr>
          <w:rStyle w:val="FootnoteAnchor"/>
          <w:rtl w:val="true"/>
        </w:rPr>
        <w:footnoteReference w:id="257"/>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غَسل ما مسّها وإن لم یکن برطوبة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المعهود شرعاً، وهو موت المسلم ومن بحکمه غیر الشهید</w:t>
      </w:r>
      <w:r>
        <w:rPr>
          <w:rFonts w:eastAsia="IRNazanin" w:cs="IRNazanin"/>
          <w:color w:val="111111"/>
          <w:sz w:val="28"/>
          <w:szCs w:val="28"/>
          <w:rtl w:val="true"/>
          <w:lang w:bidi="fa-IR"/>
        </w:rPr>
        <w:t>.</w:t>
      </w:r>
      <w:bookmarkStart w:id="130" w:name="pg19806_203310"/>
    </w:p>
    <w:p>
      <w:pPr>
        <w:pStyle w:val="Heading5"/>
        <w:numPr>
          <w:ilvl w:val="4"/>
          <w:numId w:val="1"/>
        </w:numPr>
        <w:rPr/>
      </w:pPr>
      <w:bookmarkStart w:id="131" w:name="__RefHeading___Toc2027803_2314609296"/>
      <w:bookmarkStart w:id="132" w:name="_Toc49"/>
      <w:bookmarkEnd w:id="130"/>
      <w:bookmarkEnd w:id="131"/>
      <w:r>
        <w:rPr>
          <w:rtl w:val="true"/>
        </w:rPr>
        <w:t>«</w:t>
      </w:r>
      <w:r>
        <w:rPr>
          <w:rtl w:val="true"/>
        </w:rPr>
        <w:t>وموجِب الجَنابة</w:t>
      </w:r>
      <w:r>
        <w:rPr>
          <w:rtl w:val="true"/>
        </w:rPr>
        <w:t>»</w:t>
      </w:r>
      <w:bookmarkEnd w:id="132"/>
    </w:p>
    <w:p>
      <w:pPr>
        <w:pStyle w:val="Heading6"/>
        <w:numPr>
          <w:ilvl w:val="5"/>
          <w:numId w:val="1"/>
        </w:numPr>
        <w:rPr/>
      </w:pPr>
      <w:bookmarkStart w:id="133" w:name="__RefHeading___Toc2027805_2314609296"/>
      <w:bookmarkStart w:id="134" w:name="_Toc50"/>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شیئان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للمنی یَقَظَةً ونوماً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غیبوبة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فی حکمها، کقدرها من مقطوعها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أو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آدمیٍّ وغیره، حیّاً ومیّتاً، فاعلاً وقابلاً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ومتی حصلت الجَنابة لمکلّفٍ بأحد الأمرین تعلّقت به الأحکام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علیه قراءة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 وأبعاضها، حتی البَسْمَلَة وبعضها إذا قصدها لأحدها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واللبثُ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والجواز فی المسجدین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الأعظمین بمکّة والمدینة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شیءٍ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المساجد مطلقاً وإن لم یستلزم الوضعُ اللبثَ، بل لو طرحه من خارج، ویجوز الأخذ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 خطّ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کلماته وحروفه المفردة وما قام مقامها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کالتشدید والهمزة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بجزءٍ من بدنه </w:t>
      </w:r>
      <w:r>
        <w:rPr>
          <w:rStyle w:val="FootnoteAnchor"/>
          <w:rtl w:val="true"/>
        </w:rPr>
        <w:footnoteReference w:id="259"/>
      </w:r>
      <w:r>
        <w:rPr>
          <w:rFonts w:ascii="IRNazanin" w:hAnsi="IRNazanin" w:eastAsia="IRNazanin"/>
          <w:color w:val="111111"/>
          <w:sz w:val="28"/>
          <w:sz w:val="28"/>
          <w:szCs w:val="28"/>
          <w:rtl w:val="true"/>
          <w:lang w:bidi="fa-IR"/>
        </w:rPr>
        <w:t xml:space="preserve">تحلّه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بالکتابة ولو علی درهم أو دینار فی المشهور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والشرب حتّی یتمضمض ویستنشق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یتوضّأ،</w:t>
      </w:r>
      <w:bookmarkStart w:id="135" w:name="pg19806_203311"/>
    </w:p>
    <w:p>
      <w:pPr>
        <w:pStyle w:val="BookText"/>
        <w:rPr/>
      </w:pPr>
      <w:bookmarkEnd w:id="135"/>
      <w:r>
        <w:rPr>
          <w:rFonts w:ascii="IRNazanin" w:hAnsi="IRNazanin" w:eastAsia="IRNazanin"/>
          <w:color w:val="111111"/>
          <w:sz w:val="28"/>
          <w:sz w:val="28"/>
          <w:szCs w:val="28"/>
          <w:rtl w:val="true"/>
          <w:lang w:bidi="fa-IR"/>
        </w:rPr>
        <w:t>فإن أکل قبل ذلک خیف علیه البَرَص،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یورث الفقر </w:t>
      </w:r>
      <w:r>
        <w:rPr>
          <w:rStyle w:val="FootnoteAnchor"/>
          <w:rtl w:val="true"/>
        </w:rPr>
        <w:footnoteReference w:id="261"/>
      </w:r>
      <w:r>
        <w:rPr>
          <w:rFonts w:ascii="IRNazanin" w:hAnsi="IRNazanin" w:eastAsia="IRNazanin"/>
          <w:color w:val="111111"/>
          <w:sz w:val="28"/>
          <w:sz w:val="28"/>
          <w:szCs w:val="28"/>
          <w:rtl w:val="true"/>
          <w:lang w:bidi="fa-IR"/>
        </w:rPr>
        <w:t>ویتعدّد بتعدّد الأکل والشرب مع التراخی عادةً لا مع الاتّصال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والنومُ إلّابعد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وغایته هنا إیقاع النوم علی الوجه الکامل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مبیح؛ إمّا لأنّ غایته الحدث، أو لأنّ المبیح للجنب هو الغسل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بحِنّاءٍ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یکره له أن یجنب وهو مختضب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وقراءة ما زاد علی سبع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أوقات جنابته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یصدق العدد بالآیة المکرّرة سبعاً؟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والجوازُ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المسجدین، بأن یکون للمسجد بابان فیدخل من أحدهما ویخرج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صدقه بالواحد من غیر مکثٍ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 التردّد فی جوانبه بحیث یخرج عن المجتاز</w:t>
      </w:r>
      <w:r>
        <w:rPr>
          <w:rFonts w:eastAsia="IRNazanin" w:cs="IRNazanin"/>
          <w:color w:val="111111"/>
          <w:sz w:val="28"/>
          <w:szCs w:val="28"/>
          <w:rtl w:val="true"/>
          <w:lang w:bidi="fa-IR"/>
        </w:rPr>
        <w:t>.</w:t>
      </w:r>
    </w:p>
    <w:p>
      <w:pPr>
        <w:pStyle w:val="Heading6"/>
        <w:numPr>
          <w:ilvl w:val="5"/>
          <w:numId w:val="1"/>
        </w:numPr>
        <w:rPr/>
      </w:pPr>
      <w:bookmarkStart w:id="136" w:name="__RefHeading___Toc2027807_2314609296"/>
      <w:bookmarkStart w:id="137" w:name="_Toc51"/>
      <w:bookmarkEnd w:id="136"/>
      <w:r>
        <w:rPr>
          <w:rtl w:val="true"/>
        </w:rPr>
        <w:t>[</w:t>
      </w:r>
      <w:r>
        <w:rPr>
          <w:rtl w:val="true"/>
        </w:rPr>
        <w:t>واجبات الغسل و مستحباته</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القصد إلی فعله متقرّباً، وفی اعتبار الوجوب والاستباحة أو الرفع ما مرّ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لجزءٍ من الرأس ومنه الرقبة إن کان مرتّباً، ولجزءٍ من البدن إن کان مرتمساً بحیث یتبعه الباقی بغیر مهلة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الرأس والرقبة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ولا ترتیب بینهما؛ لأنّهما فیه عضوٌ واحد، ولا ترتیب فی نفس أعضاء الغُسل بل بینهما، کأعضاء مسح الوضوء، بخلاف أعضاء غَسله فإنّه فیها وبینها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الأیمن ثمّ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وصفناه، والعورة تابعة للجانبین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إدخال جزءٍ من حدود کلّ عضوٍ من باب المقدّمة کالوضوء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وتخلیلُ مانع وصول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البشرة، بأن یُدخِل الماء خلاله إلی البشرة علی وجه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لمطلق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بالبول لیزیل أثر المنیّ الخارج، ثمّ بالاجتهاد بما تقدّم من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استحبابه به </w:t>
      </w:r>
      <w:r>
        <w:rPr>
          <w:rStyle w:val="FootnoteAnchor"/>
          <w:rtl w:val="true"/>
        </w:rPr>
        <w:footnoteReference w:id="264"/>
      </w:r>
      <w:r>
        <w:rPr>
          <w:rFonts w:ascii="IRNazanin" w:hAnsi="IRNazanin" w:eastAsia="IRNazanin"/>
          <w:color w:val="111111"/>
          <w:sz w:val="28"/>
          <w:sz w:val="28"/>
          <w:szCs w:val="28"/>
          <w:rtl w:val="true"/>
          <w:lang w:bidi="fa-IR"/>
        </w:rPr>
        <w:t>للمرأة قولٌ، فتستبرئ عَرْضاً، أمّا بالبول فلا؛ لاختلاف المخرجین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والمضمضةُ والاستنشاقُ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غَسل الیدین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الزَندین، وعلیه المصنّف فی الذکری </w:t>
      </w:r>
      <w:r>
        <w:rPr>
          <w:rStyle w:val="FootnoteAnchor"/>
          <w:rtl w:val="true"/>
        </w:rPr>
        <w:footnoteReference w:id="26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المرفقین </w:t>
      </w:r>
      <w:r>
        <w:rPr>
          <w:rStyle w:val="FootnoteAnchor"/>
          <w:rtl w:val="true"/>
        </w:rPr>
        <w:footnoteReference w:id="267"/>
      </w:r>
      <w:r>
        <w:rPr>
          <w:rFonts w:ascii="IRNazanin" w:hAnsi="IRNazanin" w:eastAsia="IRNazanin"/>
          <w:color w:val="111111"/>
          <w:sz w:val="28"/>
          <w:sz w:val="28"/>
          <w:szCs w:val="28"/>
          <w:rtl w:val="true"/>
          <w:lang w:bidi="fa-IR"/>
        </w:rPr>
        <w:t xml:space="preserve">واختاره فی النفلیّة </w:t>
      </w:r>
      <w:r>
        <w:rPr>
          <w:rStyle w:val="FootnoteAnchor"/>
          <w:rtl w:val="true"/>
        </w:rPr>
        <w:footnoteReference w:id="268"/>
      </w:r>
      <w:r>
        <w:rPr>
          <w:rFonts w:ascii="IRNazanin" w:hAnsi="IRNazanin" w:eastAsia="IRNazanin"/>
          <w:color w:val="111111"/>
          <w:sz w:val="28"/>
          <w:sz w:val="28"/>
          <w:szCs w:val="28"/>
          <w:rtl w:val="true"/>
          <w:lang w:bidi="fa-IR"/>
        </w:rPr>
        <w:t xml:space="preserve">وأطلق فی غیرهما </w:t>
      </w:r>
      <w:r>
        <w:rPr>
          <w:rStyle w:val="FootnoteAnchor"/>
          <w:rtl w:val="true"/>
        </w:rPr>
        <w:footnoteReference w:id="269"/>
      </w:r>
      <w:r>
        <w:rPr>
          <w:rFonts w:ascii="IRNazanin" w:hAnsi="IRNazanin" w:eastAsia="IRNazanin"/>
          <w:color w:val="111111"/>
          <w:sz w:val="28"/>
          <w:sz w:val="28"/>
          <w:szCs w:val="28"/>
          <w:rtl w:val="true"/>
          <w:lang w:bidi="fa-IR"/>
        </w:rPr>
        <w:t>کما هنا، وکلاهما مؤدٍّ للسنّة وإن کان الثانی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الأعضاء بحیث کلّما فرغ من عضوٍ شرع فی الآخر، وفی غَسل نفس العضو؛ لما فیه من المسارعة إلی الخیر والتحفّظ من طریان المفسِد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فی المشهور إلّالعارض، کضیق وقت العبادة المشروطة به، وخوف فجأة الحدث للمستحاضة،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تجب بالنذر؛ لأنّه راجح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ونَقضُ المرأة الضفائر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العَقیصَة المجدولة من الشعر، وخَصّ المرأة؛ لأنّها مورد النصّ </w:t>
      </w:r>
      <w:r>
        <w:rPr>
          <w:rStyle w:val="FootnoteAnchor"/>
          <w:rtl w:val="true"/>
        </w:rPr>
        <w:footnoteReference w:id="270"/>
      </w:r>
      <w:r>
        <w:rPr>
          <w:rFonts w:ascii="Amiri" w:hAnsi="Amiri" w:eastAsia="Amiri" w:cs="Amiri"/>
          <w:color w:val="111111"/>
          <w:sz w:val="28"/>
          <w:sz w:val="28"/>
          <w:szCs w:val="28"/>
          <w:rtl w:val="true"/>
          <w:lang w:bidi="ar-SA"/>
        </w:rPr>
        <w:t>وإلّا فالرجل کذلک؛ لأنّ الواجب غَسل</w:t>
      </w:r>
      <w:bookmarkStart w:id="138" w:name="pg19806_203313"/>
    </w:p>
    <w:p>
      <w:pPr>
        <w:pStyle w:val="BookText"/>
        <w:rPr/>
      </w:pPr>
      <w:bookmarkEnd w:id="138"/>
      <w:r>
        <w:rPr>
          <w:rFonts w:ascii="Amiri" w:hAnsi="Amiri" w:eastAsia="Amiri" w:cs="Amiri"/>
          <w:color w:val="111111"/>
          <w:sz w:val="28"/>
          <w:sz w:val="28"/>
          <w:szCs w:val="28"/>
          <w:rtl w:val="true"/>
          <w:lang w:bidi="ar-SA"/>
        </w:rPr>
        <w:t>البشرة دون الشعر، وإنّما استُحبّ النقض للاستظهار والنصّ</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2027809_2314609296"/>
      <w:bookmarkStart w:id="140" w:name="_Toc52"/>
      <w:bookmarkEnd w:id="139"/>
      <w:r>
        <w:rPr>
          <w:rtl w:val="true"/>
        </w:rPr>
        <w:t>[</w:t>
      </w:r>
      <w:r>
        <w:rPr>
          <w:rtl w:val="true"/>
        </w:rPr>
        <w:t>احکام الغسل الجنابة</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وتثلیثُ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عضوٍ من أعضاء البدن الثلاثة، بأن یغسله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الغُسل بجمیع سُنَنه الذی من جملته تثلیثه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أزید، وقد روی عن النبیّ صلی الله علیه و آله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بمُدٍّ، والغُسل بصاعٍ، وسیأتی أقوامٌ بعدی یستقلّون ذلک، فاُولئک علی خلاف سنّتی، والثابتُ علی سنّتی معی فی حَظیرة القُدس</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المجنب بالإنزال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بالبول أو الاجتهاد مع تعذّره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یلتفت، وبدونه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الاستبراء بأحد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وجده بعد البول من دون الاستبراء بعده وجب الوضوء خاصّةً، أمّا الاجتهاد بدون البول مع إمکانه فلا حکم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خروج البلل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لارتفاع حکم السابق، والخارجُ حدثٌ جدید وإن کان قد خرج عن محلّه </w:t>
      </w:r>
      <w:r>
        <w:rPr>
          <w:rStyle w:val="FootnoteAnchor"/>
          <w:rtl w:val="true"/>
        </w:rPr>
        <w:footnoteReference w:id="272"/>
      </w:r>
      <w:r>
        <w:rPr>
          <w:rFonts w:ascii="IRNazanin" w:hAnsi="IRNazanin" w:eastAsia="IRNazanin"/>
          <w:color w:val="111111"/>
          <w:sz w:val="28"/>
          <w:sz w:val="28"/>
          <w:szCs w:val="28"/>
          <w:rtl w:val="true"/>
          <w:lang w:bidi="fa-IR"/>
        </w:rPr>
        <w:t>إلی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ما لو أحسّ بخروجه فأمسک علیه فصلّی ثمّ أطلقه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الأعضاء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غَسل البدن أجمع دفعةً واحدةً عرفیّةً، وکذا ما أشبهه کالوقوف تحت المجری والمطر الغزیرین؛ لأنّ البدن یصیر به عضواً واحداً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أثنائه علی</w:t>
      </w:r>
      <w:bookmarkStart w:id="141" w:name="pg19806_203314"/>
    </w:p>
    <w:p>
      <w:pPr>
        <w:pStyle w:val="BookText"/>
        <w:rPr/>
      </w:pPr>
      <w:bookmarkEnd w:id="141"/>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وجماعة </w:t>
      </w:r>
      <w:r>
        <w:rPr>
          <w:rStyle w:val="FootnoteAnchor"/>
          <w:rtl w:val="true"/>
        </w:rPr>
        <w:footnoteReference w:id="27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أثر له مطلقاً </w:t>
      </w:r>
      <w:r>
        <w:rPr>
          <w:rStyle w:val="FootnoteAnchor"/>
          <w:rtl w:val="true"/>
        </w:rPr>
        <w:footnoteReference w:id="274"/>
      </w: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الوضوء خاصّة </w:t>
      </w:r>
      <w:r>
        <w:rPr>
          <w:rStyle w:val="FootnoteAnchor"/>
          <w:rtl w:val="true"/>
        </w:rPr>
        <w:footnoteReference w:id="275"/>
      </w:r>
      <w:r>
        <w:rPr>
          <w:rFonts w:ascii="IRNazanin" w:hAnsi="IRNazanin" w:eastAsia="IRNazanin"/>
          <w:color w:val="111111"/>
          <w:sz w:val="28"/>
          <w:sz w:val="28"/>
          <w:szCs w:val="28"/>
          <w:rtl w:val="true"/>
          <w:lang w:bidi="fa-IR"/>
        </w:rPr>
        <w:t xml:space="preserve">وهو الأقرب، وقد حقّقنا القول فی ذلک برسالةٍ مفردة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غیر غسل الجنابة من الأغسال فیکفی إتمامه مع الوضوء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خرّج بعضهم </w:t>
      </w:r>
      <w:r>
        <w:rPr>
          <w:rStyle w:val="FootnoteAnchor"/>
          <w:rtl w:val="true"/>
        </w:rPr>
        <w:footnoteReference w:id="277"/>
      </w:r>
      <w:r>
        <w:rPr>
          <w:rFonts w:ascii="IRNazanin" w:hAnsi="IRNazanin" w:eastAsia="IRNazanin"/>
          <w:color w:val="111111"/>
          <w:sz w:val="28"/>
          <w:sz w:val="28"/>
          <w:szCs w:val="28"/>
          <w:rtl w:val="true"/>
          <w:lang w:bidi="fa-IR"/>
        </w:rPr>
        <w:t>بطلانه کالجنابة، وهو ضعیف جدّاً</w:t>
      </w:r>
      <w:r>
        <w:rPr>
          <w:rFonts w:eastAsia="IRNazanin" w:cs="IRNazanin"/>
          <w:color w:val="111111"/>
          <w:sz w:val="28"/>
          <w:szCs w:val="28"/>
          <w:rtl w:val="true"/>
          <w:lang w:bidi="fa-IR"/>
        </w:rPr>
        <w:t>.</w:t>
      </w:r>
    </w:p>
    <w:p>
      <w:pPr>
        <w:pStyle w:val="Heading6"/>
        <w:numPr>
          <w:ilvl w:val="5"/>
          <w:numId w:val="1"/>
        </w:numPr>
        <w:rPr/>
      </w:pPr>
      <w:bookmarkStart w:id="142" w:name="__RefHeading___Toc2027811_2314609296"/>
      <w:bookmarkStart w:id="143" w:name="_Toc53"/>
      <w:bookmarkEnd w:id="142"/>
      <w:r>
        <w:rPr>
          <w:rtl w:val="true"/>
        </w:rPr>
        <w:t>[</w:t>
      </w:r>
      <w:r>
        <w:rPr>
          <w:rtl w:val="true"/>
        </w:rPr>
        <w:t>احکام الحیض</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الحَیض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المرأة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هلالیّة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المنتسبة بالأب إلی النضر بن کنانة، وهی أعمّ من الهاشمیّة، فمن عُلم انتسابها إلی قریش بالأب لزمها حکمُها، وإلّا فالأصل عدم کونها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الجوهری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ینزلون البطائح بین</w:t>
      </w:r>
    </w:p>
    <w:p>
      <w:pPr>
        <w:pStyle w:val="BookText"/>
        <w:rPr/>
      </w:pPr>
      <w:r>
        <w:rPr>
          <w:rFonts w:ascii="IRNazanin" w:hAnsi="IRNazanin" w:eastAsia="IRNazanin"/>
          <w:color w:val="111111"/>
          <w:sz w:val="28"/>
          <w:sz w:val="28"/>
          <w:szCs w:val="28"/>
          <w:rtl w:val="true"/>
          <w:lang w:bidi="fa-IR"/>
        </w:rPr>
        <w:t xml:space="preserve">العراقین، والحکم فیها مشهور، ومستنده غیر معلوم، واعترف المصنّف بعدم وقوفه فیها علی نصّ </w:t>
      </w:r>
      <w:r>
        <w:rPr>
          <w:rStyle w:val="FootnoteAnchor"/>
          <w:rtl w:val="true"/>
        </w:rPr>
        <w:footnoteReference w:id="279"/>
      </w:r>
      <w:r>
        <w:rPr>
          <w:rFonts w:ascii="IRNazanin" w:hAnsi="IRNazanin" w:eastAsia="IRNazanin"/>
          <w:color w:val="111111"/>
          <w:sz w:val="28"/>
          <w:sz w:val="28"/>
          <w:szCs w:val="28"/>
          <w:rtl w:val="true"/>
          <w:lang w:bidi="fa-IR"/>
        </w:rPr>
        <w:t>والأصل یقتضی کونها کغیرها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مطلقاً غایة إمکان حیضها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یکفی کونها فی جملة عشرةٍ علی 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فما زاد عنها لیس بحیضٍ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أسودُ أو أحمرُ حارٌّ له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وقوّةٌ عند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لیندرج فیه ما أمکن کونه حیضاً، فإنّه یحکم به وإن لم یکن کذلک، کما نبّه علیه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 أمکن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حال المرأة بأن تکون بالغةً غیر یائسة، ومدّتِه بأن لا ینقص عن ثلاثة ولا یزید عن عشرة، ودوامِه کتوالی الثلاثة، ووصفِه کالقویّ مع التمییز </w:t>
      </w:r>
      <w:r>
        <w:rPr>
          <w:rStyle w:val="FootnoteAnchor"/>
          <w:rtl w:val="true"/>
        </w:rPr>
        <w:footnoteReference w:id="280"/>
      </w:r>
      <w:r>
        <w:rPr>
          <w:rFonts w:ascii="IRNazanin" w:hAnsi="IRNazanin" w:eastAsia="IRNazanin"/>
          <w:color w:val="111111"/>
          <w:sz w:val="28"/>
          <w:sz w:val="28"/>
          <w:szCs w:val="28"/>
          <w:rtl w:val="true"/>
          <w:lang w:bidi="fa-IR"/>
        </w:rPr>
        <w:t xml:space="preserve">ومحلِّه کالجانب إن اعتبرناه،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وإنّما یعتبر الإمکان بعد استقراره فیما یتوقّف علیه، کأیّام الاستظهار، فإنّ الدم فیها یمکن کونه حیضاً، إلّاأنّ الحکم به موقوف علی عدم عبور العشرة، ومثلُه القولُ فی أوّل رؤیته مع انقطاعه قبل الثلاثة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فذات العادة الحاصلة باستواء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 وانقطاعاً، سواء کان فی وقتٍ واحدٍ بأن رأت فی أوّل شهرین سبعةً مثلاً، أم فی وقتین کأن رأت السبعة فی أوّل شهرٍ وآخره، فإنّ السبعة تصیر عادةً وقتیّةً وعددیّةً فی الأوّل، وعددیّةً فی الثانی، فإذا تجاوز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العادة فتجعلها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العادتین الاتّفاق علی تحیُّض الاُولی برؤیة الدم، والخلاف فی الثانیة،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فیه کالمضطربة لا تتحیّض إلّابعد ثلاثة </w:t>
      </w:r>
      <w:r>
        <w:rPr>
          <w:rStyle w:val="FootnoteAnchor"/>
          <w:rtl w:val="true"/>
        </w:rPr>
        <w:footnoteReference w:id="281"/>
      </w:r>
      <w:r>
        <w:rPr>
          <w:rFonts w:ascii="Amiri" w:hAnsi="Amiri" w:eastAsia="Amiri" w:cs="Amiri"/>
          <w:color w:val="111111"/>
          <w:sz w:val="28"/>
          <w:sz w:val="28"/>
          <w:szCs w:val="28"/>
          <w:rtl w:val="true"/>
          <w:lang w:bidi="ar-SA"/>
        </w:rPr>
        <w:t>والأقوی أ نّها کالاُولی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اعتادت وقتاً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رأت فی أوّل شهرٍ سبعةً وفی أوّل آخر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مضطربة العدد لا ترجع إلیه عند التجاوز، وإن أفاد الوقت تحیّضها برؤیته فیه بعد ذلک کالاُولی إن لم نُجز ذلک للمضطربة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وذات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تری الدم نوعین أو أنواعاً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تجعل القویّ حیضاً والضعیف استحاضة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تجاوز حدّیه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وکثرةً، وعدم قصور الضعیف وما یُضاف إلیه من أیّام النقاء عن أقلّ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القوّة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فالأسود قویّ الأحمر، وهو قویّ الأشقَر، وهو قوی الأصفر، وهو قویّ الأکدر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والرائحةِ، فذو الرائحة الکریهة قویّ ما لا رائحة له، وما له رائحةٌ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والقوامِ، فالثخین قویّ الرقیق، وذو الثلاث قویّ ذی الاثنین، وهو قویّ ذی الواحد، وهو قویّ العادم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استوی العدد وإن کان مختلفاً فلا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الرجوع إلی التمییز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الدال وفتحها، وهی من لم یستقرّ لها عادةٌ؛ إمّا لابتدائها أو بعده مع اختلافه عدداً ووقتاً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نسیت عادتها وقتاً، أو عدداً، أو معاً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اُطلقت علی ذلک وعلی من تکرّر لها الدم مع عدم استقرار العادة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وتختصّ المبتدأة علی هذا بمن رأته أول مرّة، والأوّل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فائدة الاختلاف فی رجوع ذات القسم الثانی من المبتدأة إلی عادة أهلها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فقد التمییز بأن اتّحد الدم المتجاوز لوناً وصفةً، أو اختلف ولم تحصل 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المبتدأة عادةَ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وأقاربها من الطرفین أو أحدهما، کالاُخت والعمّة والخالة وبناتهنّ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العادة وإن غلب بعضهنّ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من قاربها </w:t>
      </w:r>
      <w:r>
        <w:rPr>
          <w:rStyle w:val="FootnoteAnchor"/>
          <w:rtl w:val="true"/>
        </w:rPr>
        <w:footnoteReference w:id="283"/>
      </w:r>
      <w:r>
        <w:rPr>
          <w:rFonts w:ascii="IRNazanin" w:hAnsi="IRNazanin" w:eastAsia="IRNazanin"/>
          <w:color w:val="111111"/>
          <w:sz w:val="28"/>
          <w:sz w:val="28"/>
          <w:szCs w:val="28"/>
          <w:rtl w:val="true"/>
          <w:lang w:bidi="fa-IR"/>
        </w:rPr>
        <w:t>فی السنّ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المصنّف فی کتبه الثلاثة </w:t>
      </w:r>
      <w:r>
        <w:rPr>
          <w:rStyle w:val="FootnoteAnchor"/>
          <w:rtl w:val="true"/>
        </w:rPr>
        <w:footnoteReference w:id="284"/>
      </w:r>
      <w:r>
        <w:rPr>
          <w:rFonts w:ascii="IRNazanin" w:hAnsi="IRNazanin" w:eastAsia="IRNazanin"/>
          <w:color w:val="111111"/>
          <w:sz w:val="28"/>
          <w:sz w:val="28"/>
          <w:szCs w:val="28"/>
          <w:rtl w:val="true"/>
          <w:lang w:bidi="fa-IR"/>
        </w:rPr>
        <w:t>فیهنّ وفی الأهل اتّحاد البلد؛ لاختلاف الأمزجة باختلافه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فی الذکری أیضاً الرجوع إلی الأکثر عند الاختلاف </w:t>
      </w:r>
      <w:r>
        <w:rPr>
          <w:rStyle w:val="FootnoteAnchor"/>
          <w:rtl w:val="true"/>
        </w:rPr>
        <w:footnoteReference w:id="285"/>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اعتبر فی الأقران الفقدان دون الأهل؛ لإمکانه فیهنّ دونهنّ؛ إذ لا أقلّ من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یتّفق الفقدان بموتهنّ وعدم العلم بعادتهنّ، فلذا عبّر فی غیره </w:t>
      </w:r>
      <w:r>
        <w:rPr>
          <w:rStyle w:val="FootnoteAnchor"/>
          <w:rtl w:val="true"/>
        </w:rPr>
        <w:footnoteReference w:id="286"/>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اختلفن فکالمضطربة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الروایات،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 </w:t>
      </w:r>
      <w:r>
        <w:rPr>
          <w:rStyle w:val="FootnoteAnchor"/>
          <w:rtl w:val="true"/>
        </w:rPr>
        <w:footnoteReference w:id="287"/>
      </w:r>
      <w:r>
        <w:rPr>
          <w:rFonts w:ascii="Amiri" w:hAnsi="Amiri" w:eastAsia="Amiri" w:cs="Amiri"/>
          <w:color w:val="111111"/>
          <w:sz w:val="28"/>
          <w:sz w:val="28"/>
          <w:szCs w:val="28"/>
          <w:rtl w:val="true"/>
          <w:lang w:bidi="ar-SA"/>
        </w:rPr>
        <w:t xml:space="preserve">شهرٍ وثلاثة من آخر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مخیّرةً فی الابتداء بما شاءت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سبعة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شهر أو ستّة ستّة</w:t>
      </w:r>
    </w:p>
    <w:p>
      <w:pPr>
        <w:pStyle w:val="BookText"/>
        <w:rPr/>
      </w:pPr>
      <w:r>
        <w:rPr>
          <w:rFonts w:ascii="Amiri" w:hAnsi="Amiri" w:eastAsia="Amiri" w:cs="Amiri"/>
          <w:color w:val="111111"/>
          <w:sz w:val="28"/>
          <w:sz w:val="28"/>
          <w:szCs w:val="28"/>
          <w:rtl w:val="true"/>
          <w:lang w:bidi="ar-SA"/>
        </w:rPr>
        <w:t xml:space="preserve">مخیّرةً فی ذلک </w:t>
      </w:r>
      <w:r>
        <w:rPr>
          <w:rStyle w:val="FootnoteAnchor"/>
          <w:rtl w:val="true"/>
        </w:rPr>
        <w:footnoteReference w:id="289"/>
      </w:r>
      <w:r>
        <w:rPr>
          <w:rFonts w:ascii="IRNazanin" w:hAnsi="IRNazanin" w:eastAsia="IRNazanin"/>
          <w:color w:val="111111"/>
          <w:sz w:val="28"/>
          <w:sz w:val="28"/>
          <w:szCs w:val="28"/>
          <w:rtl w:val="true"/>
          <w:lang w:bidi="fa-IR"/>
        </w:rPr>
        <w:t>وإن کان الأفضل لها اختیار ما یوافق مزاجها منها، فتأخذ ذات المزاج الحارّ السبعة، والبارد الستّة، والمتوسّط الثلاثة والعشرة، وتتخیّر فی وضع ما اختارته حیث شاءت من أیّام الدم، وإن کان الأولی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اعتراض للزوج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الشهر الأوّل، أمّا ما بعده فتأخذ ما یوافقه 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إذا نسیت المضطربة الوقت والعدد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نسیت أحدهما خاصّةً، فإن کان الوقت أخذت العدد کالروایات، أو العدد جعلت ما تیقّن من الوقت حیضاً أوّلاً أو آخراً أو ما بینهما، وأکملته بإحدی الروایات علی وجهٍ یطابق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ذکرت أوّله أکملته ثلاثة متیقّنةً وأکملته بعددٍ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آخره تحیّضت بیومین قبله متیقّنة وقبلهما تمام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وسطه المحفوف بمتساویین وأ نّه یومٌ حفّته بیومین واختارت روایة السبعة لتطابق الوسط، أو یومان حفّتهما بمثلهما فتیقّنت أربعة واختارت روایة الستّة فتجعل قبل المتیقّن یوماً وبعده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الوسطَ بمعنی الأثناء مطلقاً حفّته بیومین متیقّنة وأکملته بإحدی </w:t>
      </w:r>
      <w:r>
        <w:rPr>
          <w:rStyle w:val="FootnoteAnchor"/>
          <w:rtl w:val="true"/>
        </w:rPr>
        <w:footnoteReference w:id="290"/>
      </w:r>
      <w:r>
        <w:rPr>
          <w:rFonts w:ascii="IRNazanin" w:hAnsi="IRNazanin" w:eastAsia="IRNazanin"/>
          <w:color w:val="111111"/>
          <w:sz w:val="28"/>
          <w:sz w:val="28"/>
          <w:szCs w:val="28"/>
          <w:rtl w:val="true"/>
          <w:lang w:bidi="fa-IR"/>
        </w:rPr>
        <w:t>الروایات متقدّمةً أو متأخّرةً أو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هنا بین تیقّن یومٍ وأزید </w:t>
      </w:r>
      <w:r>
        <w:rPr>
          <w:rStyle w:val="FootnoteAnchor"/>
          <w:rtl w:val="true"/>
        </w:rPr>
        <w:footnoteReference w:id="291"/>
      </w:r>
      <w:r>
        <w:rPr>
          <w:rFonts w:ascii="IRNazanin" w:hAnsi="IRNazanin" w:eastAsia="IRNazanin"/>
          <w:color w:val="111111"/>
          <w:sz w:val="28"/>
          <w:sz w:val="28"/>
          <w:szCs w:val="28"/>
          <w:rtl w:val="true"/>
          <w:lang w:bidi="fa-IR"/>
        </w:rPr>
        <w:t>ولو ذکرت عدداً فی الجملة فهو المتیقّن خاصّةً وأکملته بإحدی الروایات قبله أو بعده أو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احتیاط لها بالجمع بین التکلیفات عندنا وإن جاز فعله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الحائض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ومندوبةً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والصومُ، وتقضیه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والفارق النصّ </w:t>
      </w:r>
      <w:r>
        <w:rPr>
          <w:rStyle w:val="FootnoteAnchor"/>
          <w:rtl w:val="true"/>
        </w:rPr>
        <w:footnoteReference w:id="292"/>
      </w:r>
      <w:r>
        <w:rPr>
          <w:rFonts w:ascii="IRNazanin" w:hAnsi="IRNazanin" w:eastAsia="IRNazanin"/>
          <w:color w:val="111111"/>
          <w:sz w:val="28"/>
          <w:sz w:val="28"/>
          <w:szCs w:val="28"/>
          <w:rtl w:val="true"/>
          <w:lang w:bidi="fa-IR"/>
        </w:rPr>
        <w:t>لا مشقّتها بتکرّرها ولا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والمندوب وإن لم یُشترط فیه الطهارة؛ لتحریم دخول المسجد مطلقاً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تعالی وأسماء الأنبیاء والأ ئمّة علیهم السلام، کما تقدّم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بالعِلاقة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ولمسُ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اللبثُ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الحرمین، وفیهما یحرم الدخول مطلقاً کما مرّ </w:t>
      </w:r>
      <w:r>
        <w:rPr>
          <w:rStyle w:val="FootnoteAnchor"/>
          <w:rtl w:val="true"/>
        </w:rPr>
        <w:footnoteReference w:id="295"/>
      </w:r>
      <w:r>
        <w:rPr>
          <w:rFonts w:ascii="IRNazanin" w:hAnsi="IRNazanin" w:eastAsia="IRNazanin"/>
          <w:color w:val="111111"/>
          <w:sz w:val="28"/>
          <w:sz w:val="28"/>
          <w:szCs w:val="28"/>
          <w:rtl w:val="true"/>
          <w:lang w:bidi="fa-IR"/>
        </w:rPr>
        <w:t xml:space="preserve">وکذا یحرم علیها وضع شیءٍ فیها کالجنب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وقراءة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وأبعاضها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حضور الزوج أو حکمه </w:t>
      </w:r>
      <w:r>
        <w:rPr>
          <w:rStyle w:val="FootnoteAnchor"/>
          <w:rtl w:val="true"/>
        </w:rPr>
        <w:footnoteReference w:id="296"/>
      </w:r>
      <w:r>
        <w:rPr>
          <w:rFonts w:ascii="IRNazanin" w:hAnsi="IRNazanin" w:eastAsia="IRNazanin"/>
          <w:color w:val="111111"/>
          <w:sz w:val="28"/>
          <w:sz w:val="28"/>
          <w:szCs w:val="28"/>
          <w:rtl w:val="true"/>
          <w:lang w:bidi="fa-IR"/>
        </w:rPr>
        <w:t>ودخوله بها وکونها حائلاً، وإلّا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أطلق لتحریمه فی الجملة، ومحلّ التفصیل باب الطلاق وإن اعتید هنا إجمالاً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ووطؤها قبلاً عالماً عامداً، فتجب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وجوباً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کفّارة علیها مطلقاً، والکفّارة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مثقال ذهبٍ خالصٍ مضروب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الثُّلث الأوّل، ثمّ نصفه فی الثُّلث الثانی، ثمّ ربعه فی الثُّلث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ذلک باختلاف العادة وما فی حکمها من التمییز والروایات، فالأوّلان أوّلٌ لذات الستّة، والوسطان وسطٌ، والأخیران آخر،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ومصرفها مستحقّ الکفارة، ولا یعتبر فیه التعدّد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باقی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العزائم من غیر استثناءٍ للسبع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یکره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الاستمتاع بغیر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بین السُرّة والرُکبة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لها إعانته علیه إلّاأن یطلبه فتنتفی الکراهة عنها؛ لوجوب الإ 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العبارة کراهة الاستمتاع بغیر القُبُل مطلقاً، والمعروف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فی مصلّاها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لها محلٌّ معدٌّ لها، وإلّا فحیث شاءت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المنویّ به التقرّب دون الاستباحة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وتذکر اللّٰهَ تعالی بقدْر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التمرین علی العبادة، فإنّ الخیر عادة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لها 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بالحِنّاء وغیره کالجنب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وتترک 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المستقرّة وقتاً وعدداً أو وقتاً خاصّةً العبادة </w:t>
      </w:r>
      <w:r>
        <w:rPr>
          <w:rStyle w:val="FootnoteAnchor"/>
          <w:rtl w:val="true"/>
        </w:rPr>
        <w:footnoteReference w:id="298"/>
      </w:r>
      <w:r>
        <w:rPr>
          <w:rFonts w:ascii="IRNazanin" w:hAnsi="IRNazanin" w:eastAsia="IRNazanin"/>
          <w:color w:val="111111"/>
          <w:sz w:val="28"/>
          <w:sz w:val="28"/>
          <w:szCs w:val="28"/>
          <w:rtl w:val="true"/>
          <w:lang w:bidi="fa-IR"/>
        </w:rPr>
        <w:t xml:space="preserve">المشروطة بالطهارة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برؤیة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ذات العادة العددیّة خاصّةً فهی کالمضطربة فی ذلک کما سلف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المبتدأة والمضطربة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ثلاثة</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جواز ترکهما برؤیته أیضاً خصوصاً إذا ظنّتاه حیضاً، وهو اختیاره فی الذکری </w:t>
      </w:r>
      <w:r>
        <w:rPr>
          <w:rStyle w:val="FootnoteAnchor"/>
          <w:rtl w:val="true"/>
        </w:rPr>
        <w:footnoteReference w:id="301"/>
      </w:r>
      <w:r>
        <w:rPr>
          <w:rFonts w:ascii="IRNazanin" w:hAnsi="IRNazanin" w:eastAsia="IRNazanin"/>
          <w:color w:val="111111"/>
          <w:sz w:val="28"/>
          <w:sz w:val="28"/>
          <w:szCs w:val="28"/>
          <w:rtl w:val="true"/>
          <w:lang w:bidi="fa-IR"/>
        </w:rPr>
        <w:t xml:space="preserve">واقتصر فی الکتابین علی الجواز مع ظنّه خاصّة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وطؤها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الانقطاع قبل الغُسل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للصدوق رحمه الله حیث حرّمه </w:t>
      </w:r>
      <w:r>
        <w:rPr>
          <w:rStyle w:val="FootnoteAnchor"/>
          <w:rtl w:val="true"/>
        </w:rPr>
        <w:footnoteReference w:id="303"/>
      </w:r>
      <w:r>
        <w:rPr>
          <w:rFonts w:ascii="IRNazanin" w:hAnsi="IRNazanin" w:eastAsia="IRNazanin"/>
          <w:color w:val="111111"/>
          <w:sz w:val="28"/>
          <w:sz w:val="28"/>
          <w:szCs w:val="28"/>
          <w:rtl w:val="true"/>
          <w:lang w:bidi="fa-IR"/>
        </w:rPr>
        <w:t xml:space="preserve">ومستند القولین الأخبار المختلفة ظاهراً </w:t>
      </w:r>
      <w:r>
        <w:rPr>
          <w:rStyle w:val="FootnoteAnchor"/>
          <w:rtl w:val="true"/>
        </w:rPr>
        <w:footnoteReference w:id="304"/>
      </w:r>
      <w:r>
        <w:rPr>
          <w:rFonts w:ascii="IRNazanin" w:hAnsi="IRNazanin" w:eastAsia="IRNazanin"/>
          <w:color w:val="111111"/>
          <w:sz w:val="28"/>
          <w:sz w:val="28"/>
          <w:szCs w:val="28"/>
          <w:rtl w:val="true"/>
          <w:lang w:bidi="fa-IR"/>
        </w:rPr>
        <w:t>والحمل علی الکراهة طریق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w:t>
      </w:r>
      <w:r>
        <w:rPr>
          <w:rStyle w:val="FootnoteAnchor"/>
          <w:rtl w:val="true"/>
        </w:rPr>
        <w:footnoteReference w:id="305"/>
      </w:r>
      <w:r>
        <w:rPr>
          <w:rFonts w:ascii="IRNazanin" w:hAnsi="IRNazanin" w:eastAsia="IRNazanin"/>
          <w:color w:val="111111"/>
          <w:sz w:val="28"/>
          <w:sz w:val="28"/>
          <w:szCs w:val="28"/>
          <w:rtl w:val="true"/>
          <w:lang w:bidi="fa-IR"/>
        </w:rPr>
        <w:t>ظاهرةٌ فی التحریم قابلةٌ للتأویل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وتقضی کلَّ صلاةٍ تمکّنت من فعلها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مضی من أوّل الوقت مقدارُ فعلها وفعل ما یعتبر فیها ممّا لیس بحاصلٍ لها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306"/>
      </w:r>
      <w:r>
        <w:rPr>
          <w:rFonts w:ascii="IRNazanin" w:hAnsi="IRNazanin" w:eastAsia="IRNazanin"/>
          <w:color w:val="111111"/>
          <w:sz w:val="28"/>
          <w:sz w:val="28"/>
          <w:szCs w:val="28"/>
          <w:rtl w:val="true"/>
          <w:lang w:bidi="fa-IR"/>
        </w:rPr>
        <w:t>فعل رکعة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الشرائط المفقودة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الاستحاضة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الاستحاضة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الدم الخارج من الرَحِم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علی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العادة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تجاوز العشرة، فیکون تجاوزها کاشفاً عن کون السابق علیها بعد العادة استحاضةً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ببلوغ الخمسین أو الستّین علی التفصیل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کالموجود بعد العشرة أو فیها بعد أیّام العادة مع تجاوز العشرة، إذا لم یتخلّله نقاءُ أقلّ الطهر أو یصادفْ أیّام العادة فی الحیض</w:t>
      </w:r>
    </w:p>
    <w:p>
      <w:pPr>
        <w:pStyle w:val="BookText"/>
        <w:rPr/>
      </w:pPr>
      <w:r>
        <w:rPr>
          <w:rFonts w:ascii="Amiri" w:hAnsi="Amiri" w:eastAsia="Amiri" w:cs="Amiri"/>
          <w:color w:val="111111"/>
          <w:sz w:val="28"/>
          <w:sz w:val="28"/>
          <w:szCs w:val="28"/>
          <w:rtl w:val="true"/>
          <w:lang w:bidi="ar-SA"/>
        </w:rPr>
        <w:t xml:space="preserve">بعد مضیّ عشرةٍ فصاعداً من أیّام النفاس أو یحصلْ فیه تمییزٌ </w:t>
      </w:r>
      <w:r>
        <w:rPr>
          <w:rStyle w:val="FootnoteAnchor"/>
          <w:rtl w:val="true"/>
        </w:rPr>
        <w:footnoteReference w:id="308"/>
      </w:r>
      <w:r>
        <w:rPr>
          <w:rFonts w:ascii="IRNazanin" w:hAnsi="IRNazanin" w:eastAsia="IRNazanin"/>
          <w:color w:val="111111"/>
          <w:sz w:val="28"/>
          <w:sz w:val="28"/>
          <w:szCs w:val="28"/>
          <w:rtl w:val="true"/>
          <w:lang w:bidi="fa-IR"/>
        </w:rPr>
        <w:t>بشرائطه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Style w:val="FootnoteAnchor"/>
          <w:rtl w:val="true"/>
        </w:rPr>
        <w:footnoteReference w:id="309"/>
      </w: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أصفر بارد رقیق 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یخرج بتثاقل وفتور لا بدفع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 الغالب ما تجده فی الوقت المذکور فإنّه یحکم بکونه استحاضةً وإن کان بصفة دم الحیض؛ لعدم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الاستحاضة تنقسم إلی قلیلة وکثیرة ومتوسّطة؛ لأنّها إمّا أن لا تَغمس القطنة أجمع ظاهراً وباطناً، أو تغمسها کذلک ولا تسیل عنها بنفسه إلی غیرها، أو تسیل عنها إلی الخرقة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یغمس القطنةَ تتوضّأ لکلّ صلاة مع تغییرها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القطنةَ؛ لعدم العفو عن هذا الدم مطلقاً، وغَسلِ ما ظهر من الفرج عند الجلوس علی القدمین، وإنّما ترکه؛ لأنّه إزالة خبثٍ قد علم ممّا سلف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یغمسها بغیر سیلٍ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فی الحالة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الغمس قبلها، ولو کانت صائمةً قدّمته علی الفجر واجتزأت به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تأخّر الغمس عن الصلاة فکالأوّل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له جمیع ما وجب فی الحالتین، وتزید عنهما </w:t>
      </w:r>
      <w:r>
        <w:rPr>
          <w:rStyle w:val="FootnoteAnchor"/>
          <w:rtl w:val="true"/>
        </w:rPr>
        <w:footnoteReference w:id="311"/>
      </w:r>
      <w:r>
        <w:rPr>
          <w:rFonts w:ascii="IRNazanin" w:hAnsi="IRNazanin" w:eastAsia="IRNazanin"/>
          <w:color w:val="111111"/>
          <w:sz w:val="28"/>
          <w:sz w:val="28"/>
          <w:szCs w:val="28"/>
          <w:rtl w:val="true"/>
          <w:lang w:bidi="fa-IR"/>
        </w:rPr>
        <w:t xml:space="preserve">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أیضاً للظهرین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بینهما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العشاءین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وتغیّر </w:t>
      </w:r>
      <w:r>
        <w:rPr>
          <w:rStyle w:val="FootnoteAnchor"/>
          <w:rtl w:val="true"/>
        </w:rPr>
        <w:footnoteReference w:id="313"/>
      </w:r>
      <w:r>
        <w:rPr>
          <w:rFonts w:ascii="IRNazanin" w:hAnsi="IRNazanin" w:eastAsia="IRNazanin"/>
          <w:color w:val="111111"/>
          <w:sz w:val="28"/>
          <w:sz w:val="28"/>
          <w:szCs w:val="28"/>
          <w:rtl w:val="true"/>
          <w:lang w:bidi="fa-IR"/>
        </w:rPr>
        <w:t>الخرقة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 والأخیرة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الغمس</w:t>
      </w:r>
      <w:bookmarkStart w:id="144" w:name="pg19806_203323"/>
    </w:p>
    <w:p>
      <w:pPr>
        <w:pStyle w:val="BookText"/>
        <w:rPr/>
      </w:pPr>
      <w:bookmarkEnd w:id="144"/>
      <w:r>
        <w:rPr>
          <w:rFonts w:ascii="IRNazanin" w:hAnsi="IRNazanin" w:eastAsia="IRNazanin"/>
          <w:color w:val="111111"/>
          <w:sz w:val="28"/>
          <w:sz w:val="28"/>
          <w:szCs w:val="28"/>
          <w:rtl w:val="true"/>
          <w:lang w:bidi="fa-IR"/>
        </w:rPr>
        <w:t>یوجب رطوبةَ ما لاصق الخرقة من القطنة وإن لم یسل إلیها فتنجس، ومع السیلان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تغییرها 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یجب الغسل فی هذه الأحوال مع وجود الدم الموجب له قبل فعل الصلاة وإن کان فی غیر وقتها إذا لم تکن قد اغتسلت له بعده، کما یدلّ علیه خبر الصحّاف </w:t>
      </w:r>
      <w:r>
        <w:rPr>
          <w:rStyle w:val="FootnoteAnchor"/>
          <w:rtl w:val="true"/>
        </w:rPr>
        <w:footnoteReference w:id="314"/>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وقت الصلاة </w:t>
      </w:r>
      <w:r>
        <w:rPr>
          <w:rStyle w:val="FootnoteAnchor"/>
          <w:rtl w:val="true"/>
        </w:rPr>
        <w:footnoteReference w:id="315"/>
      </w:r>
      <w:r>
        <w:rPr>
          <w:rFonts w:ascii="IRNazanin" w:hAnsi="IRNazanin" w:eastAsia="IRNazanin"/>
          <w:color w:val="111111"/>
          <w:sz w:val="28"/>
          <w:sz w:val="28"/>
          <w:szCs w:val="28"/>
          <w:rtl w:val="true"/>
          <w:lang w:bidi="fa-IR"/>
        </w:rPr>
        <w:t xml:space="preserve">ولا شاهد 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2027813_2314609296"/>
      <w:bookmarkStart w:id="146" w:name="_Toc54"/>
      <w:bookmarkEnd w:id="145"/>
      <w:r>
        <w:rPr>
          <w:rtl w:val="true"/>
        </w:rPr>
        <w:t>[</w:t>
      </w:r>
      <w:r>
        <w:rPr>
          <w:rtl w:val="true"/>
        </w:rPr>
        <w:t xml:space="preserve">احکام النفاس </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بکسر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 الولادة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یقارن خروج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یُعدّ آدمیّاً أو مبدأ نشوء آدمیٍّ، وإن کان مُضغةً مع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القطعة من الدم الغلیظ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فرض العلم بکونها مبدأ نشوء إنسانٍ کان دمها نفاساً، إلّاأ نّه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یخرج الدم بعد خروجه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تعدّد الجزء منفصلاً أو الولد فلکلٍّ نفاسٌ وإن اتّصلا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ویتداخل منه ما اتّفقا فیه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واحترز بالقیدین عمّا یخرج قبل الولادة، فلا یکون نفاساً بل استحاضة، إلّا</w:t>
      </w:r>
    </w:p>
    <w:p>
      <w:pPr>
        <w:pStyle w:val="BookText"/>
        <w:rPr/>
      </w:pPr>
      <w:r>
        <w:rPr>
          <w:rFonts w:ascii="IRNazanin" w:hAnsi="IRNazanin" w:eastAsia="IRNazanin"/>
          <w:color w:val="111111"/>
          <w:sz w:val="28"/>
          <w:sz w:val="28"/>
          <w:szCs w:val="28"/>
          <w:rtl w:val="true"/>
          <w:lang w:bidi="fa-IR"/>
        </w:rPr>
        <w:t>مع إمکان کونه حیضاً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وأقلّه 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وجوده فی لحظةٍ، فیجب الغُسل بانقطاعه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ترَ دماً فلا نفاس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وأکثره قدْر العادة فی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للمعتادة علی تقدیر تجاوزه العشرة، وإلّا فالجمیع نفاس وإن تجاوزها کالحیض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یُحکم به نفاساً فی أیّام العادة وفی مجموع العشرة مع وجوده فیهما أو فی طرفیهما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رأته فی أحد الطرفین خاصّة أو فیه وفی الوسط فلا نفاس لها فی الخالی عنه متقدّماً ومتأخّراً، بل فی وقت الدم أو الدمین فصاعداً وما بینهما، فلو رأت أوّله لحظةً وآخر السبعة لمعتادتها فالجمیع نفاس، ولو رأته آخرها خاصّةً فهو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رؤیة المبتدأة والمضطربة فی العشرة، بل المعتادة علی تقدیر انقطاعه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تجاوز فما وُجد منه فی العادة وما قبله إلی أوّل زمان الرؤیة نفاسٌ خاصّةً، کما لو رأت رابع الولادة مثلاً وسابعها لمعتادتها واستمرّ إلی أن تجاوز العشرة فنفاسها الأربعة الأخیرة من السبعة خاصّةً، ولو رأته فی السابع خاصّةً فتجاوزها فهو النفاس خاصّةً، ولو رأته من أوّله والسابع وتجاوز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بعد انقطاعه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فالعادة خاصّةً نفاس، ولو رأته أوّلاً وبعد العادة وتجاوز فالأوّل خاصّةً نفاس، وعلی هذا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وحکمها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الواجبة والمندوبة والمحرّمة والمکروهة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وتفارقها فی الأقلّ والأکثر، والدلالة علی البلوغ، فإنّه مختصّ بالحائض لسبق دلالة النفساء </w:t>
      </w:r>
      <w:r>
        <w:rPr>
          <w:rStyle w:val="FootnoteAnchor"/>
          <w:rtl w:val="true"/>
        </w:rPr>
        <w:footnoteReference w:id="317"/>
      </w:r>
      <w:r>
        <w:rPr>
          <w:rFonts w:ascii="IRNazanin" w:hAnsi="IRNazanin" w:eastAsia="IRNazanin"/>
          <w:color w:val="111111"/>
          <w:sz w:val="28"/>
          <w:sz w:val="28"/>
          <w:szCs w:val="28"/>
          <w:rtl w:val="true"/>
          <w:lang w:bidi="fa-IR"/>
        </w:rPr>
        <w:t>بالحمل، وانقضاء العدّة بالحیض دون النفاس غالباً،</w:t>
      </w:r>
      <w:bookmarkStart w:id="147" w:name="pg19806_203325"/>
    </w:p>
    <w:p>
      <w:pPr>
        <w:pStyle w:val="BookText"/>
        <w:rPr/>
      </w:pPr>
      <w:bookmarkEnd w:id="147"/>
      <w:r>
        <w:rPr>
          <w:rFonts w:ascii="IRNazanin" w:hAnsi="IRNazanin" w:eastAsia="IRNazanin"/>
          <w:color w:val="111111"/>
          <w:sz w:val="28"/>
          <w:sz w:val="28"/>
          <w:szCs w:val="28"/>
          <w:rtl w:val="true"/>
          <w:lang w:bidi="fa-IR"/>
        </w:rPr>
        <w:t>ورجوع الحائض إلی عادتها وعادة نسائها والروایات والتمییز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النفاس بعدم اشتراط أقلّ الطُهر بین النفاسین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کالتوأمین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الحیضتین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ویجب الوضوء مع غُسلهنّ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متقدّماً علیه أو متأخّراً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وتتخیّر فیه بین نیّة الاستباحة والرفع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أصحّ القولین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بعد الانقطاع</w:t>
      </w:r>
      <w:r>
        <w:rPr>
          <w:rFonts w:eastAsia="IRNazanin" w:cs="IRNazanin"/>
          <w:color w:val="111111"/>
          <w:sz w:val="28"/>
          <w:szCs w:val="28"/>
          <w:rtl w:val="true"/>
          <w:lang w:bidi="fa-IR"/>
        </w:rPr>
        <w:t>.</w:t>
      </w:r>
    </w:p>
    <w:p>
      <w:pPr>
        <w:pStyle w:val="Heading6"/>
        <w:numPr>
          <w:ilvl w:val="5"/>
          <w:numId w:val="1"/>
        </w:numPr>
        <w:rPr/>
      </w:pPr>
      <w:bookmarkStart w:id="148" w:name="__RefHeading___Toc2027815_2314609296"/>
      <w:bookmarkStart w:id="149" w:name="_Toc55"/>
      <w:bookmarkEnd w:id="148"/>
      <w:r>
        <w:rPr>
          <w:rtl w:val="true"/>
        </w:rPr>
        <w:t>[</w:t>
      </w:r>
      <w:r>
        <w:rPr>
          <w:rtl w:val="true"/>
        </w:rPr>
        <w:t xml:space="preserve">غسل المس </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غُسل المسّ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للمیّت الآدمی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البرد وقبل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الغُسل، فلا غُسل بمسّه قبل البرد وبعد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وجوب غَسل العضو اللامس قولان </w:t>
      </w:r>
      <w:r>
        <w:rPr>
          <w:rStyle w:val="FootnoteAnchor"/>
          <w:rtl w:val="true"/>
        </w:rPr>
        <w:footnoteReference w:id="319"/>
      </w:r>
      <w:r>
        <w:rPr>
          <w:rFonts w:ascii="IRNazanin" w:hAnsi="IRNazanin" w:eastAsia="IRNazanin"/>
          <w:color w:val="111111"/>
          <w:sz w:val="28"/>
          <w:sz w:val="28"/>
          <w:szCs w:val="28"/>
          <w:rtl w:val="true"/>
          <w:lang w:bidi="fa-IR"/>
        </w:rPr>
        <w:t xml:space="preserve">أجودهما ذلک، خلافاً للمصنّف </w:t>
      </w:r>
      <w:r>
        <w:rPr>
          <w:rStyle w:val="FootnoteAnchor"/>
          <w:rtl w:val="true"/>
        </w:rPr>
        <w:footnoteReference w:id="320"/>
      </w:r>
      <w:r>
        <w:rPr>
          <w:rFonts w:ascii="Amiri" w:hAnsi="Amiri" w:eastAsia="Amiri" w:cs="Amiri"/>
          <w:color w:val="111111"/>
          <w:sz w:val="28"/>
          <w:sz w:val="28"/>
          <w:szCs w:val="28"/>
          <w:rtl w:val="true"/>
          <w:lang w:bidi="ar-SA"/>
        </w:rPr>
        <w:t>وکذا لا غُسل بمسّه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وجوبه بمسّ عضوٍ کَمُلَ غسله قولان، اختار المصنّف عدمه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حکم المیّت جزؤه المشتمل علی عظمٍ، والمبانُ منه من حیٍّ، والعظم المجرّد عند المصنّف، استناداً إلی دوران الغسل معه وجوداً وعدماً </w:t>
      </w:r>
      <w:r>
        <w:rPr>
          <w:rStyle w:val="FootnoteAnchor"/>
          <w:rtl w:val="true"/>
        </w:rPr>
        <w:footnoteReference w:id="322"/>
      </w:r>
      <w:r>
        <w:rPr>
          <w:rFonts w:ascii="IRNazanin" w:hAnsi="IRNazanin" w:eastAsia="IRNazanin"/>
          <w:color w:val="111111"/>
          <w:sz w:val="28"/>
          <w:sz w:val="28"/>
          <w:szCs w:val="28"/>
          <w:rtl w:val="true"/>
          <w:lang w:bidi="fa-IR"/>
        </w:rPr>
        <w:t xml:space="preserve">وهو </w:t>
      </w:r>
      <w:r>
        <w:rPr>
          <w:rStyle w:val="FootnoteAnchor"/>
          <w:rtl w:val="true"/>
        </w:rPr>
        <w:footnoteReference w:id="323"/>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غُسل المسّ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أو بعده، کغیره من أغسال الحیّ غیر الجنابة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أُمَمٍ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إن عاد ضمیره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فسببیّة</w:t>
      </w:r>
      <w:r>
        <w:rPr>
          <w:rFonts w:eastAsia="IRNazanin" w:cs="IRNazanin"/>
          <w:color w:val="111111"/>
          <w:sz w:val="28"/>
          <w:szCs w:val="28"/>
          <w:rtl w:val="true"/>
          <w:lang w:bidi="fa-IR"/>
        </w:rPr>
        <w:t>.</w:t>
      </w:r>
      <w:bookmarkStart w:id="150" w:name="pg19806_203327"/>
    </w:p>
    <w:p>
      <w:pPr>
        <w:pStyle w:val="Heading5"/>
        <w:numPr>
          <w:ilvl w:val="4"/>
          <w:numId w:val="1"/>
        </w:numPr>
        <w:rPr/>
      </w:pPr>
      <w:bookmarkStart w:id="151" w:name="__RefHeading___Toc2027817_2314609296"/>
      <w:bookmarkStart w:id="152" w:name="_Toc56"/>
      <w:bookmarkEnd w:id="150"/>
      <w:bookmarkEnd w:id="151"/>
      <w:r>
        <w:rPr>
          <w:rtl w:val="true"/>
        </w:rPr>
        <w:t>« [</w:t>
      </w:r>
      <w:r>
        <w:rPr>
          <w:rtl w:val="true"/>
        </w:rPr>
        <w:t>القول فی أحکام الأموات</w:t>
      </w:r>
      <w:r>
        <w:rPr>
          <w:rtl w:val="true"/>
        </w:rPr>
        <w:t>»]</w:t>
      </w:r>
      <w:bookmarkEnd w:id="152"/>
    </w:p>
    <w:p>
      <w:pPr>
        <w:pStyle w:val="Heading6"/>
        <w:numPr>
          <w:ilvl w:val="5"/>
          <w:numId w:val="1"/>
        </w:numPr>
        <w:rPr/>
      </w:pPr>
      <w:bookmarkStart w:id="153" w:name="__RefHeading___Toc2027819_2314609296"/>
      <w:bookmarkStart w:id="154" w:name="_Toc57"/>
      <w:bookmarkEnd w:id="153"/>
      <w:r>
        <w:rPr>
          <w:rtl w:val="true"/>
        </w:rPr>
        <w:t>اشارة</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خمسة</w:t>
      </w:r>
      <w:r>
        <w:rPr>
          <w:rFonts w:eastAsia="IRNazanin" w:cs="IRNazanin"/>
          <w:color w:val="111111"/>
          <w:sz w:val="28"/>
          <w:szCs w:val="28"/>
          <w:rtl w:val="true"/>
          <w:lang w:bidi="fa-IR"/>
        </w:rPr>
        <w:t>» :</w:t>
      </w:r>
    </w:p>
    <w:p>
      <w:pPr>
        <w:pStyle w:val="Heading6"/>
        <w:numPr>
          <w:ilvl w:val="5"/>
          <w:numId w:val="1"/>
        </w:numPr>
        <w:rPr/>
      </w:pPr>
      <w:bookmarkStart w:id="155" w:name="__RefHeading___Toc2027821_2314609296"/>
      <w:bookmarkStart w:id="156" w:name="_Toc58"/>
      <w:bookmarkEnd w:id="155"/>
      <w:r>
        <w:rPr>
          <w:rtl w:val="true"/>
        </w:rPr>
        <w:t>[«</w:t>
      </w:r>
      <w:r>
        <w:rPr>
          <w:rtl w:val="true"/>
        </w:rPr>
        <w:t>الأوّل</w:t>
      </w:r>
      <w:r>
        <w:rPr>
          <w:rtl w:val="true"/>
        </w:rPr>
        <w:t xml:space="preserve">: </w:t>
      </w:r>
      <w:r>
        <w:rPr>
          <w:rtl w:val="true"/>
        </w:rPr>
        <w:t>الاحتضار</w:t>
      </w:r>
      <w:r>
        <w:rPr>
          <w:rtl w:val="true"/>
        </w:rPr>
        <w:t>»]</w:t>
      </w:r>
      <w:bookmarkEnd w:id="156"/>
    </w:p>
    <w:p>
      <w:pPr>
        <w:pStyle w:val="BookText"/>
        <w:rPr/>
      </w:pPr>
      <w:r>
        <w:rPr>
          <w:rFonts w:ascii="IRNazanin" w:hAnsi="IRNazanin" w:eastAsia="IRNazanin"/>
          <w:color w:val="111111"/>
          <w:sz w:val="28"/>
          <w:sz w:val="28"/>
          <w:szCs w:val="28"/>
          <w:rtl w:val="true"/>
          <w:lang w:bidi="fa-IR"/>
        </w:rPr>
        <w:t>وهو السوق، أعاننا اللّٰه علیه وثبّتنا بالقول الثابت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لحضور الموت أو الملائکة الموکَّلة به أو إخوانه وأهله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المدلول علیه بالمصدر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بأن یُجعل علی ظهره ویُجعل باطن قدمیه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جلس 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الصغیر والکبیر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الوجوب بولیّه، بل بمن علم باحتضاره، وإن تأکّد فیه وفی الحاضرین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نقله إلی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 أعدّه للصلاة فیه أو علیه، إن تعسّر علیه الموت واشتدّ به النزع، کما ورد به النصّ </w:t>
      </w:r>
      <w:r>
        <w:rPr>
          <w:rStyle w:val="FootnoteAnchor"/>
          <w:rtl w:val="true"/>
        </w:rPr>
        <w:footnoteReference w:id="326"/>
      </w:r>
      <w:r>
        <w:rPr>
          <w:rFonts w:ascii="IRNazanin" w:hAnsi="IRNazanin" w:eastAsia="IRNazanin"/>
          <w:color w:val="111111"/>
          <w:sz w:val="28"/>
          <w:sz w:val="28"/>
          <w:szCs w:val="28"/>
          <w:rtl w:val="true"/>
          <w:lang w:bidi="fa-IR"/>
        </w:rPr>
        <w:t xml:space="preserve">وقیّده به المصنّف فی غیره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وتلقینه الشهادتین والإقرار بالأئمّة </w:t>
      </w:r>
      <w:r>
        <w:rPr>
          <w:rStyle w:val="FootnoteAnchor"/>
          <w:rtl w:val="true"/>
        </w:rPr>
        <w:footnoteReference w:id="328"/>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التفهیم،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الفهم، فیعتبر إفهامه ذلک، وینبغی للمریض متابعته باللسان والقلب، فإن تعذّر اللسان اقتصر علی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 إلّااللّٰهُ الحَلیمُ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 المُرْسَلینَ 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وینبغی أن یُجعل خاتمة تلقینه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کان آخر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وقراءة القرآن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 روحه وبعده؛ للبرکة والاستدفاع،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لتعجیل راحته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والمصباحُ إن مات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ولا شاهد له بخصوصه، وروی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الإسراج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ولتُغمض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معجّلاً لئلّا یقبح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ویُطبَق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یستحبّ شدّ لَحییه بعِصابةٍ، لئلّا یسترخی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وتمدّ یداه إلی 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وساقاه إن کانتا منقبضتین، لیکون أطوع للغسل وأسهل للدرج فی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ویُغطّی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للتأسّی </w:t>
      </w:r>
      <w:r>
        <w:rPr>
          <w:rStyle w:val="FootnoteAnchor"/>
          <w:rtl w:val="true"/>
        </w:rPr>
        <w:footnoteReference w:id="331"/>
      </w:r>
      <w:r>
        <w:rPr>
          <w:rFonts w:ascii="IRNazanin" w:hAnsi="IRNazanin" w:eastAsia="IRNazanin"/>
          <w:color w:val="111111"/>
          <w:sz w:val="28"/>
          <w:sz w:val="28"/>
          <w:szCs w:val="28"/>
          <w:rtl w:val="true"/>
          <w:lang w:bidi="fa-IR"/>
        </w:rPr>
        <w:t>ولما فیه من الستر والصیانة</w:t>
      </w:r>
      <w:r>
        <w:rPr>
          <w:rFonts w:eastAsia="IRNazanin" w:cs="IRNazanin"/>
          <w:color w:val="111111"/>
          <w:sz w:val="28"/>
          <w:szCs w:val="28"/>
          <w:rtl w:val="true"/>
          <w:lang w:bidi="fa-IR"/>
        </w:rPr>
        <w:t>.</w:t>
      </w:r>
      <w:bookmarkStart w:id="157" w:name="pg19806_203329"/>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ویُعجّل 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إکرامه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التعجیل فضلاً عن رجحانه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فیُصبر علیه ثلاث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یُعلم قبلها لتغیّرٍ وغیره من أمارات الموت، کانخساف صُدْغَیْه ومیل أنفه وامتداد جلدة وجهه وانخلاع کفّه من ذراعه واسترخاء قدمیه وتقلّص اُنثییه إلی فوق مع تدلّی الجلدة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ویکره حضور الجنب و </w:t>
      </w:r>
      <w:r>
        <w:rPr>
          <w:rStyle w:val="FootnoteAnchor"/>
          <w:rtl w:val="true"/>
        </w:rPr>
        <w:footnoteReference w:id="333"/>
      </w:r>
      <w:r>
        <w:rPr>
          <w:rFonts w:ascii="IRNazanin" w:hAnsi="IRNazanin" w:eastAsia="IRNazanin"/>
          <w:color w:val="111111"/>
          <w:sz w:val="28"/>
          <w:sz w:val="28"/>
          <w:szCs w:val="28"/>
          <w:rtl w:val="true"/>
          <w:lang w:bidi="fa-IR"/>
        </w:rPr>
        <w:t>الحائض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لتأذّی الملائکة بهما </w:t>
      </w:r>
      <w:r>
        <w:rPr>
          <w:rStyle w:val="FootnoteAnchor"/>
          <w:rtl w:val="true"/>
        </w:rPr>
        <w:footnoteReference w:id="334"/>
      </w:r>
      <w:r>
        <w:rPr>
          <w:rFonts w:ascii="IRNazanin" w:hAnsi="IRNazanin" w:eastAsia="IRNazanin"/>
          <w:color w:val="111111"/>
          <w:sz w:val="28"/>
          <w:sz w:val="28"/>
          <w:szCs w:val="28"/>
          <w:rtl w:val="true"/>
          <w:lang w:bidi="fa-IR"/>
        </w:rPr>
        <w:t xml:space="preserve">وغایة الکراهة تحقّق الموت وانصراف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وطرح حدیدٍ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ولا شاهد له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کراهة فی وضع غیره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أیضاً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2027823_2314609296"/>
      <w:bookmarkStart w:id="159" w:name="_Toc59"/>
      <w:bookmarkEnd w:id="158"/>
      <w:r>
        <w:rPr>
          <w:rtl w:val="true"/>
        </w:rPr>
        <w:t>[«</w:t>
      </w:r>
      <w:r>
        <w:rPr>
          <w:rtl w:val="true"/>
        </w:rPr>
        <w:t>الثانی</w:t>
      </w:r>
      <w:r>
        <w:rPr>
          <w:rtl w:val="true"/>
        </w:rPr>
        <w:t xml:space="preserve">: </w:t>
      </w:r>
      <w:r>
        <w:rPr>
          <w:rtl w:val="true"/>
        </w:rPr>
        <w:t>الغُسل</w:t>
      </w:r>
      <w:r>
        <w:rPr>
          <w:rtl w:val="true"/>
        </w:rPr>
        <w:t>»]</w:t>
      </w:r>
      <w:bookmarkEnd w:id="1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ویجب </w:t>
      </w:r>
      <w:r>
        <w:rPr>
          <w:rStyle w:val="FootnoteAnchor"/>
          <w:rtl w:val="true"/>
        </w:rPr>
        <w:footnoteReference w:id="336"/>
      </w:r>
      <w:r>
        <w:rPr>
          <w:rFonts w:ascii="IRNazanin" w:hAnsi="IRNazanin" w:eastAsia="IRNazanin"/>
          <w:color w:val="111111"/>
          <w:sz w:val="28"/>
          <w:sz w:val="28"/>
          <w:szCs w:val="28"/>
          <w:rtl w:val="true"/>
          <w:lang w:bidi="fa-IR"/>
        </w:rPr>
        <w:t>تغسیل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أو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کالطفل والمجنون المتولّدین من مسلم، ولقیطِ دار الإسلام أو دار الکفر وفیها مسلمٌ یمکن تولّده منه، والمسبیِّ بید المسلم علی القول بتبعیّته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مختار المصنّف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المسبیّ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المتخلّق من ماء الزانی المسلم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انتفاء التبعیّة شرعاً، ومن تولّده منه حقیقةً وکونه ولداً لغةً فیتبعه فی الإسلام، کما یحرم نکاحه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المسلم من حکم بکفره من الفرق کالخارجیّ والناصب والمجسِّم، وإنّما ترک استثناءه؛ لخروجه عن الإسلام حقیقةً وإن اُطلق علیه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فی حکم المسلم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سقطاً إذا کان له أربعة أشهر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کان دونها لُفّ فی خرقةٍ ودُفن بغیر 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بماءٍ مصاحبٍ لشیءٍ من السدر، وأقلّه ما یطلق علیه اسمه، وأکثره أن لا یخرج به الماء عن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الغَسلة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مصاحبٍ لشیءٍ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ثالثاً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الخالص </w:t>
      </w:r>
      <w:r>
        <w:rPr>
          <w:rStyle w:val="FootnoteAnchor"/>
          <w:rtl w:val="true"/>
        </w:rPr>
        <w:footnoteReference w:id="338"/>
      </w:r>
      <w:r>
        <w:rPr>
          <w:rFonts w:ascii="IRNazanin" w:hAnsi="IRNazanin" w:eastAsia="IRNazanin"/>
          <w:color w:val="111111"/>
          <w:sz w:val="28"/>
          <w:sz w:val="28"/>
          <w:szCs w:val="28"/>
          <w:rtl w:val="true"/>
          <w:lang w:bidi="fa-IR"/>
        </w:rPr>
        <w:t>من الخلیط، بمعنی کونه غیر معتبرٍ فیه، لا أنّ سلبه عنه معتبرٌ، وإنّما المعتبر کونه ماءً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واحدٍ من هذه الأغسال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بغَسل رأسه ورقبته أوّلاً، ثمّ بمیامنه، ثمّ میاسره، أو یغمسه فی الماء دفعةً واحدةً عرفیّة، مقترناً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صرّح به فی غیره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بنیّةٍ واحدة للأغسال الثلاثة، والأجود التعدّد بتعدّدها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اتّحد الغاسل تولّی هو النیّة، ولا تُجزی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 واشترکوا فی الصبّ نووا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البعضُ یَصُبّ والآخر یُقلِّب نوی الصابّ؛</w:t>
      </w:r>
    </w:p>
    <w:p>
      <w:pPr>
        <w:pStyle w:val="BookText"/>
        <w:rPr/>
      </w:pPr>
      <w:r>
        <w:rPr>
          <w:rFonts w:ascii="IRNazanin" w:hAnsi="IRNazanin" w:eastAsia="IRNazanin"/>
          <w:color w:val="111111"/>
          <w:sz w:val="28"/>
          <w:sz w:val="28"/>
          <w:szCs w:val="28"/>
          <w:rtl w:val="true"/>
          <w:lang w:bidi="fa-IR"/>
        </w:rPr>
        <w:t>لأ نّه الغاسل حقیقةً، واستحبّت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المصنّف فی الذکری بها منه أیضاً </w:t>
      </w:r>
      <w:r>
        <w:rPr>
          <w:rStyle w:val="FootnoteAnchor"/>
          <w:rtl w:val="true"/>
        </w:rPr>
        <w:footnoteReference w:id="340"/>
      </w:r>
      <w:r>
        <w:rPr>
          <w:rFonts w:ascii="IRNazanin" w:hAnsi="IRNazanin" w:eastAsia="IRNazanin"/>
          <w:color w:val="111111"/>
          <w:sz w:val="28"/>
          <w:sz w:val="28"/>
          <w:szCs w:val="28"/>
          <w:rtl w:val="true"/>
          <w:lang w:bidi="fa-IR"/>
        </w:rPr>
        <w:t>ولو ترتّبوا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غسل کلّ واحدٍ منهم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 من کلّ واحدٍ عند ابتداء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والأولی بمیراثه أولی بأحکامه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الوارث أولی ممّن لیس بوارثٍ وإن کان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اتّحد الوارث اختصّ، وإن تعدّد فالذکر أولی من الاُنثی، والمکلّف من غیره، والأب من الولد والجد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والزوج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أحکام المیّت، ولا فرق بین الدائم والمنقطع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الغاسل والمیّت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الرجولیّة والاُنوثیّة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الولیّ مخالفاً للمیّت أذن للمماثل لا أنّ ولایته تسقط؛ إذ لا منافاة بین الأولویّة وعدم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یخرج تغسیل کلٍّ من الرجل والمرأة ابن ثلاث سنین وبنته، لانتفاء وصف الرجولیّة فی المغَسَّل الصغیر، ومع ذلک لا یخلو من القصور </w:t>
      </w:r>
      <w:r>
        <w:rPr>
          <w:rStyle w:val="FootnoteAnchor"/>
          <w:rtl w:val="true"/>
        </w:rPr>
        <w:footnoteReference w:id="341"/>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یعتبر المماثلة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لکلٍّ منهما تغسیل صاحبه اختیاراً، فالزوج بالولایة، والزوجة معها أو بإذن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 نّه من وراء الثیاب وإن جاز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ویغتفر العصر هنا فی الثوب کما یغتفر فی الخرقة الساترة للعورة مطلقاً، إجراءً لهما مجری ما لا یمکن عصره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الزوجة بین الحرّة والأمة، والمدخول بها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والمطلّقة رجعیّةً زوجةٌ بخلاف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یقدح انقضاء العدّة </w:t>
      </w:r>
      <w:r>
        <w:rPr>
          <w:rStyle w:val="FootnoteAnchor"/>
          <w:rtl w:val="true"/>
        </w:rPr>
        <w:footnoteReference w:id="342"/>
      </w:r>
      <w:r>
        <w:rPr>
          <w:rFonts w:ascii="IRNazanin" w:hAnsi="IRNazanin" w:eastAsia="IRNazanin"/>
          <w:color w:val="111111"/>
          <w:sz w:val="28"/>
          <w:sz w:val="28"/>
          <w:szCs w:val="28"/>
          <w:rtl w:val="true"/>
          <w:lang w:bidi="fa-IR"/>
        </w:rPr>
        <w:t>فی جواز التغسیل عندنا،</w:t>
      </w:r>
    </w:p>
    <w:p>
      <w:pPr>
        <w:pStyle w:val="BookText"/>
        <w:rPr/>
      </w:pPr>
      <w:r>
        <w:rPr>
          <w:rFonts w:ascii="IRNazanin" w:hAnsi="IRNazanin" w:eastAsia="IRNazanin"/>
          <w:color w:val="111111"/>
          <w:sz w:val="28"/>
          <w:sz w:val="28"/>
          <w:szCs w:val="28"/>
          <w:rtl w:val="true"/>
          <w:lang w:bidi="fa-IR"/>
        </w:rPr>
        <w:t>بل لو تزوّجت جاز لها تغسیله وإن بَعُد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للرجل تغسیل مملوکته غیر المزوّجة وإن کانت اُمّ ولد، دون المکاتبة وإن کانت 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العکس؛ لزوال ملکه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اُمّ ولدٍ غیر منکوحةٍ لغیره عند الموت 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للمساوی فی الذکورة والاُنوثة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یحرم نکاحُه مؤبّداً بنسبٍ أو رضاعٍ أو مصاهرة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یُغَسِّل مَحرمَه الذی یزید سنّه عن ثلاث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الثیاب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والمماثل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المسلمة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بتعلیم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صورة الغُسل، ولا یعتبر فیه النیّة، ویمکن اعتبار نیّة الکافر کما یعتبر نیّته فی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ونفاه المحقّق فی المعتبر؛ لضعف المستند </w:t>
      </w:r>
      <w:r>
        <w:rPr>
          <w:rStyle w:val="FootnoteAnchor"/>
          <w:rtl w:val="true"/>
        </w:rPr>
        <w:footnoteReference w:id="343"/>
      </w:r>
      <w:r>
        <w:rPr>
          <w:rFonts w:ascii="IRNazanin" w:hAnsi="IRNazanin" w:eastAsia="IRNazanin"/>
          <w:color w:val="111111"/>
          <w:sz w:val="28"/>
          <w:sz w:val="28"/>
          <w:szCs w:val="28"/>
          <w:rtl w:val="true"/>
          <w:lang w:bidi="fa-IR"/>
        </w:rPr>
        <w:t xml:space="preserve">وکونه لیس بغسلٍ حقیقی لعدم النیّة </w:t>
      </w:r>
      <w:r>
        <w:rPr>
          <w:rStyle w:val="FootnoteAnchor"/>
          <w:rtl w:val="true"/>
        </w:rPr>
        <w:footnoteReference w:id="344"/>
      </w:r>
      <w:r>
        <w:rPr>
          <w:rFonts w:ascii="IRNazanin" w:hAnsi="IRNazanin" w:eastAsia="IRNazanin"/>
          <w:color w:val="111111"/>
          <w:sz w:val="28"/>
          <w:sz w:val="28"/>
          <w:szCs w:val="28"/>
          <w:rtl w:val="true"/>
          <w:lang w:bidi="fa-IR"/>
        </w:rPr>
        <w:t>وعذره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تغسیل الرجل ابنة ثلاث سنین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لها تغسیل ابن ثلاث سنین مجرّداً وإن وجد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ومنتهی تحدید السنّ الموتُ، فلا اعتبار بما بعده وإن 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یمکن وقوع الغُسل لولد الثلاث تامّةً من غیر زیادة، فلا یَرد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یعتبر نقصانها لیقع الغُسل قبل تمامها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فی معرکة قتالٍ أمر به</w:t>
      </w:r>
    </w:p>
    <w:p>
      <w:pPr>
        <w:pStyle w:val="BookText"/>
        <w:rPr/>
      </w:pPr>
      <w:r>
        <w:rPr>
          <w:rFonts w:ascii="IRNazanin" w:hAnsi="IRNazanin" w:eastAsia="IRNazanin"/>
          <w:color w:val="111111"/>
          <w:sz w:val="28"/>
          <w:sz w:val="28"/>
          <w:szCs w:val="28"/>
          <w:rtl w:val="true"/>
          <w:lang w:bidi="fa-IR"/>
        </w:rPr>
        <w:t xml:space="preserve">النبیّ صلی الله علیه و آله أو الإمامُ أو نائبهما الخاصّ وهو فی حزبهما بسببه </w:t>
      </w:r>
      <w:r>
        <w:rPr>
          <w:rStyle w:val="FootnoteAnchor"/>
          <w:rtl w:val="true"/>
        </w:rPr>
        <w:footnoteReference w:id="346"/>
      </w:r>
      <w:r>
        <w:rPr>
          <w:rFonts w:ascii="IRNazanin" w:hAnsi="IRNazanin" w:eastAsia="IRNazanin"/>
          <w:color w:val="111111"/>
          <w:sz w:val="28"/>
          <w:sz w:val="28"/>
          <w:szCs w:val="28"/>
          <w:rtl w:val="true"/>
          <w:lang w:bidi="fa-IR"/>
        </w:rPr>
        <w:t xml:space="preserve">أو قُتل فی جهادٍ مأمورٍ به حال الغَیبة، کما لو دَهَم علی المسلمین من یُخاف منه علی بیضة الإسلام فاضطرّوا إلی جهادهم بدون الإمام أو نائبه، علی خلافٍ فی هذا القسم </w:t>
      </w:r>
      <w:r>
        <w:rPr>
          <w:rStyle w:val="FootnoteAnchor"/>
          <w:rtl w:val="true"/>
        </w:rPr>
        <w:footnoteReference w:id="347"/>
      </w:r>
      <w:r>
        <w:rPr>
          <w:rFonts w:ascii="Amiri" w:hAnsi="Amiri" w:eastAsia="Amiri" w:cs="Amiri"/>
          <w:color w:val="111111"/>
          <w:sz w:val="28"/>
          <w:sz w:val="28"/>
          <w:szCs w:val="28"/>
          <w:rtl w:val="true"/>
          <w:lang w:bidi="ar-SA"/>
        </w:rPr>
        <w:t xml:space="preserve">سُمّی بذلک؛ لأنّه مشهودٌ له بالمغفرة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یُغَسَّل ولا یُکفَّن بل یُصلّی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ویدفن بثیابه ودمائه، ویُنزع عنه الفَرو والجلود کالخفّین وإن أصابهما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خرج عمّا ذکرناه یجب تغسیله وتکفینه وإن اُطلق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کالمطعون والمبطون والغریق والمهدوم علیه والنفساء والمقتول دون ماله وأهله من قطّاع الطریق وغیرهم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فی غُسله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فتق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الوارث أو من یأذن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ونزعه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مظنّة النجاسة، ویجوز غُسله فیه بل هو أفضل عند الأکثر، ویَطهر بطُهره من غیر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نزعه تُستر عورته وجوباً به أو بخرقة، وهو أمکن للغسل، إلّاأن یکون الغاسل غیر مبصرٍ أو واثقاً من نفسه بکفّ البصر فیستحبّ استظهاراً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وتغسیله علی 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من خشبٍ مخصوص، والمراد وضعه علیها أو علی غیرها ممّا یؤدّی فائدتها حفظاً لجسده من التلطّخ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علی مرتفعٍ ومکان الرِجلین منحدراً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الاستقبال به </w:t>
      </w:r>
      <w:r>
        <w:rPr>
          <w:rStyle w:val="FootnoteAnchor"/>
          <w:rtl w:val="true"/>
        </w:rPr>
        <w:footnoteReference w:id="349"/>
      </w:r>
      <w:r>
        <w:rPr>
          <w:rFonts w:ascii="IRNazanin" w:hAnsi="IRNazanin" w:eastAsia="IRNazanin"/>
          <w:color w:val="111111"/>
          <w:sz w:val="28"/>
          <w:sz w:val="28"/>
          <w:szCs w:val="28"/>
          <w:rtl w:val="true"/>
          <w:lang w:bidi="fa-IR"/>
        </w:rPr>
        <w:t xml:space="preserve">ومال إلیه فی الذکری </w:t>
      </w:r>
      <w:r>
        <w:rPr>
          <w:rStyle w:val="FootnoteAnchor"/>
          <w:rtl w:val="true"/>
        </w:rPr>
        <w:footnoteReference w:id="350"/>
      </w:r>
      <w:r>
        <w:rPr>
          <w:rFonts w:ascii="IRNazanin" w:hAnsi="IRNazanin" w:eastAsia="IRNazanin"/>
          <w:color w:val="111111"/>
          <w:sz w:val="28"/>
          <w:sz w:val="28"/>
          <w:szCs w:val="28"/>
          <w:rtl w:val="true"/>
          <w:lang w:bidi="fa-IR"/>
        </w:rPr>
        <w:t xml:space="preserve">واستقرب عدمه فی البیان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قویّ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وتثلیث الغسلات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یغسل کلّ عضوٍ من الأعضاء الثلاثة ثلاثاً ثلاثاً فی کلّ غَسلة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یدی المیّت إلی نصف الذراع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غسلة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یستحبّ غسل الغاسل یدیه مع کلّ غَسلةٍ إلی المرفقین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بطنه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قبلهما تحفّظاً من خروج شیءٍ بعد الغُسل لعدم القوّة الماسکة، إلّاالحامل التی مات ولدها فإنّها لا تمسح حذراً من الإ جهاض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وتنشیفه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صوناً للکفن من البلل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وإرسال الماء فی غیر الکنیف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 للنجاسة، والأفضل أن یُجعل فی حفیرةٍ خاصّةٍ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یجعله الغاسل بین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وإقعاده وقَلْمِ ظفره </w:t>
      </w:r>
      <w:r>
        <w:rPr>
          <w:rStyle w:val="FootnoteAnchor"/>
          <w:rtl w:val="true"/>
        </w:rPr>
        <w:footnoteReference w:id="353"/>
      </w:r>
      <w:r>
        <w:rPr>
          <w:rFonts w:ascii="IRNazanin" w:hAnsi="IRNazanin" w:eastAsia="IRNazanin"/>
          <w:color w:val="111111"/>
          <w:sz w:val="28"/>
          <w:sz w:val="28"/>
          <w:szCs w:val="28"/>
          <w:rtl w:val="true"/>
          <w:lang w:bidi="fa-IR"/>
        </w:rPr>
        <w:t>وترجیل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تسریحه، ولو فعل ذلک دُفن ما ینفصل من شعره وظفره معه وجوباً</w:t>
      </w:r>
      <w:r>
        <w:rPr>
          <w:rFonts w:eastAsia="IRNazanin" w:cs="IRNazanin"/>
          <w:color w:val="111111"/>
          <w:sz w:val="28"/>
          <w:szCs w:val="28"/>
          <w:rtl w:val="true"/>
          <w:lang w:bidi="fa-IR"/>
        </w:rPr>
        <w:t>.</w:t>
      </w:r>
      <w:bookmarkStart w:id="160" w:name="pg19806_203335"/>
    </w:p>
    <w:p>
      <w:pPr>
        <w:pStyle w:val="Heading6"/>
        <w:numPr>
          <w:ilvl w:val="5"/>
          <w:numId w:val="1"/>
        </w:numPr>
        <w:rPr/>
      </w:pPr>
      <w:bookmarkStart w:id="161" w:name="__RefHeading___Toc2027825_2314609296"/>
      <w:bookmarkStart w:id="162" w:name="_Toc60"/>
      <w:bookmarkEnd w:id="160"/>
      <w:bookmarkEnd w:id="161"/>
      <w:r>
        <w:rPr>
          <w:rtl w:val="true"/>
        </w:rPr>
        <w:t>[«</w:t>
      </w:r>
      <w:r>
        <w:rPr>
          <w:rtl w:val="true"/>
        </w:rPr>
        <w:t>الثالث</w:t>
      </w:r>
      <w:r>
        <w:rPr>
          <w:rtl w:val="true"/>
        </w:rPr>
        <w:t xml:space="preserve">: </w:t>
      </w:r>
      <w:r>
        <w:rPr>
          <w:rtl w:val="true"/>
        </w:rPr>
        <w:t>الکفن</w:t>
      </w:r>
      <w:r>
        <w:rPr>
          <w:rtl w:val="true"/>
        </w:rPr>
        <w:t>»]</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ثلاثة أثواب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ثمّ الهمزة الساکنة، یَستر ما بین السرّة والرکبة، ویستحبّ أن یستر ما بین صدره وقدمه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 إلی نصف الساق، وإلی القدم أفضل، ویجزئ مکانه ثوبٌ ساتر لجمیع البدن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شاملٌ لجمیع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زیادته </w:t>
      </w:r>
      <w:r>
        <w:rPr>
          <w:rStyle w:val="FootnoteAnchor"/>
          <w:rtl w:val="true"/>
        </w:rPr>
        <w:footnoteReference w:id="354"/>
      </w:r>
      <w:r>
        <w:rPr>
          <w:rFonts w:ascii="IRNazanin" w:hAnsi="IRNazanin" w:eastAsia="IRNazanin"/>
          <w:color w:val="111111"/>
          <w:sz w:val="28"/>
          <w:sz w:val="28"/>
          <w:szCs w:val="28"/>
          <w:rtl w:val="true"/>
          <w:lang w:bidi="fa-IR"/>
        </w:rPr>
        <w:t>علی ذلک طولاً بما یمکن شدّه من قِبَل رأسه ورجلیه، وعرضاً بحیث یمکن جعل أحد جانبیه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ویراعی فی جنسها القصد بحسب حال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الاقتصار علی الأدون، وإن ماکس الوارث أو کان غیر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کلّ واحدٍ منها أن یستر البدن بحیث لا یحکی ما تحته، وکونه من جنس ما یصلّی فیه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 القطن الأبیض</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الجلد وجهٌ بالمنع، مال إلیه المصنّف فی البیان </w:t>
      </w:r>
      <w:r>
        <w:rPr>
          <w:rStyle w:val="FootnoteAnchor"/>
          <w:rtl w:val="true"/>
        </w:rPr>
        <w:footnoteReference w:id="355"/>
      </w:r>
      <w:r>
        <w:rPr>
          <w:rFonts w:ascii="IRNazanin" w:hAnsi="IRNazanin" w:eastAsia="IRNazanin"/>
          <w:color w:val="111111"/>
          <w:sz w:val="28"/>
          <w:sz w:val="28"/>
          <w:szCs w:val="28"/>
          <w:rtl w:val="true"/>
          <w:lang w:bidi="fa-IR"/>
        </w:rPr>
        <w:t xml:space="preserve">وقطع به فی الذکری؛ لعدم فهمه من إطلاق الثوب، ولنزعه عن الشهید </w:t>
      </w:r>
      <w:r>
        <w:rPr>
          <w:rStyle w:val="FootnoteAnchor"/>
          <w:rtl w:val="true"/>
        </w:rPr>
        <w:footnoteReference w:id="356"/>
      </w:r>
      <w:r>
        <w:rPr>
          <w:rFonts w:ascii="IRNazanin" w:hAnsi="IRNazanin" w:eastAsia="IRNazanin"/>
          <w:color w:val="111111"/>
          <w:sz w:val="28"/>
          <w:sz w:val="28"/>
          <w:szCs w:val="28"/>
          <w:rtl w:val="true"/>
          <w:lang w:bidi="fa-IR"/>
        </w:rPr>
        <w:t xml:space="preserve">وفی الدروس اکتفی بجواز الصلاة فیه للرجل </w:t>
      </w:r>
      <w:r>
        <w:rPr>
          <w:rStyle w:val="FootnoteAnchor"/>
          <w:rtl w:val="true"/>
        </w:rPr>
        <w:footnoteReference w:id="357"/>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العجز فیجزئ من العدد ما أمکن ولو ثوباً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الجنس یُجزئ کلّ مباح، لکن یقدّم الجلد علی الحریر، وهو علی 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وَبَرٍ وشعرٍ وجلد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النجس، ویحتمل تقدیمه </w:t>
      </w:r>
      <w:r>
        <w:rPr>
          <w:rStyle w:val="FootnoteAnchor"/>
          <w:rtl w:val="true"/>
        </w:rPr>
        <w:footnoteReference w:id="358"/>
      </w:r>
      <w:r>
        <w:rPr>
          <w:rFonts w:ascii="IRNazanin" w:hAnsi="IRNazanin" w:eastAsia="IRNazanin"/>
          <w:color w:val="111111"/>
          <w:sz w:val="28"/>
          <w:sz w:val="28"/>
          <w:szCs w:val="28"/>
          <w:rtl w:val="true"/>
          <w:lang w:bidi="fa-IR"/>
        </w:rPr>
        <w:t>علی الحریر وما بعده، وعلی غیر المأکول خاصّةً، والمنع من غیر جلد المأکول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یزاد للمیّت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الحاء وفتح الباء الموحّدة، وهو ثوبٌ یمنیٌّ، وکونها عبْریّةً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العین نسبة إلی بلد بالیمن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تعذّرت الأوصاف أو بعضها سقطت واقتصر علی الباقی ولو لفافة بدلها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وقدْرها ما یؤدّی هیئتها المطلوبة شرعاً، بأن تشتمل علی حَنَکٍ وذؤابتین من الجانبین تُلقیان علی صدره علی خلاف الجانب الذی خرجتا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الطول، وأمّا العرض فیعتبر فیه إطلاق اسمها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خرقةٌ طولها ثلاثة أذرع ونصف فی عرض نصف ذراعٍ إلی ذراع، یُثفِر </w:t>
      </w:r>
      <w:r>
        <w:rPr>
          <w:rStyle w:val="FootnoteAnchor"/>
          <w:rtl w:val="true"/>
        </w:rPr>
        <w:footnoteReference w:id="359"/>
      </w:r>
      <w:r>
        <w:rPr>
          <w:rFonts w:ascii="Amiri" w:hAnsi="Amiri" w:eastAsia="Amiri" w:cs="Amiri"/>
          <w:color w:val="111111"/>
          <w:sz w:val="28"/>
          <w:sz w:val="28"/>
          <w:szCs w:val="28"/>
          <w:rtl w:val="true"/>
          <w:lang w:bidi="ar-SA"/>
        </w:rPr>
        <w:t xml:space="preserve">بها المیّتَ ذکراً أو اُنثی، ویَلفّ بالباقی حَقویه وفخذیه </w:t>
      </w:r>
      <w:r>
        <w:rPr>
          <w:rStyle w:val="FootnoteAnchor"/>
          <w:rtl w:val="true"/>
        </w:rPr>
        <w:footnoteReference w:id="360"/>
      </w:r>
      <w:r>
        <w:rPr>
          <w:rFonts w:ascii="IRNazanin" w:hAnsi="IRNazanin" w:eastAsia="IRNazanin"/>
          <w:color w:val="111111"/>
          <w:sz w:val="28"/>
          <w:sz w:val="28"/>
          <w:szCs w:val="28"/>
          <w:rtl w:val="true"/>
          <w:lang w:bidi="fa-IR"/>
        </w:rPr>
        <w:t>إلی حیث ینتهی، ثمّ یدخل طرفها تحت الجزء الذی ینتهی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 نّها منتهی عدد الکفن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والندب وهو الحبرة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العمامة فلا تُعدّ من أجزاء الکفن اصطلاحاً وان استحبّت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وللمرأة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یُستر به رأسها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العمامة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یزاد عنه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ثوبٌ من صوفٍ فیه خُططٌ تخالف لونه شاملٌ لجمیع البدن فوق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تزاد عنه خرقةٌ اُخری یُلفّ بها ثدیاها وتُشدّ إلی ظهرها علی المشهور، ولم یذکرها المصنّف هنا ولا فی البیان </w:t>
      </w:r>
      <w:r>
        <w:rPr>
          <w:rStyle w:val="FootnoteAnchor"/>
          <w:rtl w:val="true"/>
        </w:rPr>
        <w:footnoteReference w:id="361"/>
      </w:r>
      <w:r>
        <w:rPr>
          <w:rFonts w:ascii="IRNazanin" w:hAnsi="IRNazanin" w:eastAsia="IRNazanin"/>
          <w:color w:val="111111"/>
          <w:sz w:val="28"/>
          <w:sz w:val="28"/>
          <w:szCs w:val="28"/>
          <w:rtl w:val="true"/>
          <w:lang w:bidi="fa-IR"/>
        </w:rPr>
        <w:t xml:space="preserve">ولعلّه لضعف المستند، فإنّه خبرٌ مرسلٌ مقطوع، وراویه سهل بن زیاد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إمساس مساجده السبعة بالکافور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وأقلّه مسمّاه علی مسمّاها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کونه ثلاثة عشر درهماً وثُلثاً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ودونه فی الفضل أربعة دراهم، ودونه مثقال وثُلث، ودونه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عن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مسجد فی بعض الأحوال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وکتابة اسمه وأ نّه یشهد الشهادتین وأسماء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بالتربة الحسینیّة، ثمّ بالتراب الأبیض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العمامة والقمیص والإزار والحبرة </w:t>
      </w:r>
      <w:r>
        <w:rPr>
          <w:rStyle w:val="FootnoteAnchor"/>
          <w:rtl w:val="true"/>
        </w:rPr>
        <w:footnoteReference w:id="363"/>
      </w:r>
      <w:r>
        <w:rPr>
          <w:rFonts w:ascii="Amiri" w:hAnsi="Amiri" w:eastAsia="Amiri" w:cs="Amiri"/>
          <w:color w:val="111111"/>
          <w:sz w:val="28"/>
          <w:sz w:val="28"/>
          <w:szCs w:val="28"/>
          <w:rtl w:val="true"/>
          <w:lang w:bidi="ar-SA"/>
        </w:rPr>
        <w:t>والجریدتین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السِّدْر أو من الخلاف أو من 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فی الفضل کما ذکر، یُجعل إحداهما من جانبه الأیمن والاُخری من الأیسر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فالیمنی عند التَّرقوة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التّراقی، وهی العظام المکتنفة لثغرة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القمیص وبشرته، والاُخری بین القمیص والإزار من جانبه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الترقوة، ولتکونا خضراویّتین لیستدفع عنه بهما العذاب ما دامتا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قدْر کلّ واحدةٍ طول عظم ذراع المیّت، ثمّ قدر شبر، ثمّ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الوارد فی الخبر من الکتابة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علیه السلام کتب علی حاشیة کفن ابنه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یشهد أن لا إله إلّااللّٰه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وزاد الأصحاب الباقی کتابةً ومکتوباً علیه ومکتوباً به؛ للتبرّک، ولأ نّه خیرٌ محض مع ثبوت أصل الشرعیّة، ولهذا </w:t>
      </w:r>
      <w:r>
        <w:rPr>
          <w:rStyle w:val="FootnoteAnchor"/>
          <w:rtl w:val="true"/>
        </w:rPr>
        <w:footnoteReference w:id="366"/>
      </w:r>
      <w:r>
        <w:rPr>
          <w:rFonts w:ascii="IRNazanin" w:hAnsi="IRNazanin" w:eastAsia="IRNazanin"/>
          <w:color w:val="111111"/>
          <w:sz w:val="28"/>
          <w:sz w:val="28"/>
          <w:szCs w:val="28"/>
          <w:rtl w:val="true"/>
          <w:lang w:bidi="fa-IR"/>
        </w:rPr>
        <w:t xml:space="preserve">اختلفت عباراتهم فیما یُکتب علیه من أقطاع الکفن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 لا یختصّ الحکم بالمذکور، بل جمیع أقطاع الکفن فی ذلک سواء، بل هی أولی من الجریدتین؛ لدخولها فی إطلاق النصّ بخلافهما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الکفن إن احتاج إلی الخیاطة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ولاتبلّ </w:t>
      </w:r>
      <w:r>
        <w:rPr>
          <w:rStyle w:val="FootnoteAnchor"/>
          <w:rtl w:val="true"/>
        </w:rPr>
        <w:footnoteReference w:id="368"/>
      </w:r>
      <w:r>
        <w:rPr>
          <w:rFonts w:ascii="IRNazanin" w:hAnsi="IRNazanin" w:eastAsia="IRNazanin"/>
          <w:color w:val="111111"/>
          <w:sz w:val="28"/>
          <w:sz w:val="28"/>
          <w:szCs w:val="28"/>
          <w:rtl w:val="true"/>
          <w:lang w:bidi="fa-IR"/>
        </w:rPr>
        <w:t>بالریق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فیهما، ولم نقف فیهما علی أثر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وتکره الأکمام 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للقمیص، واحترز به عمّا لو کُفّن فی قمیصه، فإنّه لا کراهة فی کُمّه بل تقطع منه الأزرار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الکفن 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مذاکرةً من الشیوخ وعلیه کان عملهم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الکافور فی سمعه و بصره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للصدوق، حیث استحبّه </w:t>
      </w:r>
      <w:r>
        <w:rPr>
          <w:rStyle w:val="FootnoteAnchor"/>
          <w:rtl w:val="true"/>
        </w:rPr>
        <w:footnoteReference w:id="370"/>
      </w:r>
      <w:r>
        <w:rPr>
          <w:rFonts w:ascii="Amiri" w:hAnsi="Amiri" w:eastAsia="Amiri" w:cs="Amiri"/>
          <w:color w:val="111111"/>
          <w:sz w:val="28"/>
          <w:sz w:val="28"/>
          <w:szCs w:val="28"/>
          <w:rtl w:val="true"/>
          <w:lang w:bidi="ar-SA"/>
        </w:rPr>
        <w:t>استناداً إلی روایةٍ</w:t>
      </w:r>
      <w:bookmarkStart w:id="163" w:name="pg19806_203339"/>
    </w:p>
    <w:p>
      <w:pPr>
        <w:pStyle w:val="BookText"/>
        <w:rPr/>
      </w:pPr>
      <w:bookmarkEnd w:id="163"/>
      <w:r>
        <w:rPr>
          <w:rFonts w:ascii="Amiri" w:hAnsi="Amiri" w:eastAsia="Amiri" w:cs="Amiri"/>
          <w:color w:val="111111"/>
          <w:sz w:val="28"/>
          <w:sz w:val="28"/>
          <w:szCs w:val="28"/>
          <w:rtl w:val="true"/>
          <w:lang w:bidi="ar-SA"/>
        </w:rPr>
        <w:t xml:space="preserve">معارَضةٍ بأصحّ منها وأشهر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اغتسال الغاسل قبل 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المسّ إن أراد هو التکفین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یجامع غُسل المسّ للصلاة، فینوی فیه الاستباحة أو الرفع أو إیقاع التکفین علی الوجه الأکمل، فإنّه من جملة الغایات المتوقّفة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اضطرّ لخوفٍ علی المیّت أو تعذّرت الطهارة غسل یدیه من المَنکِبین ثلاثاً ثمّ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کفّنه غیر الغاسل فالأقرب استحباب کونه متطهّراً؛ لفحوی اغتسال الغاسل أو وضوئه</w:t>
      </w:r>
      <w:r>
        <w:rPr>
          <w:rFonts w:eastAsia="IRNazanin" w:cs="IRNazanin"/>
          <w:color w:val="111111"/>
          <w:sz w:val="28"/>
          <w:szCs w:val="28"/>
          <w:rtl w:val="true"/>
          <w:lang w:bidi="fa-IR"/>
        </w:rPr>
        <w:t>.</w:t>
      </w:r>
    </w:p>
    <w:p>
      <w:pPr>
        <w:pStyle w:val="Heading6"/>
        <w:numPr>
          <w:ilvl w:val="5"/>
          <w:numId w:val="1"/>
        </w:numPr>
        <w:rPr/>
      </w:pPr>
      <w:bookmarkStart w:id="164" w:name="__RefHeading___Toc2027827_2314609296"/>
      <w:bookmarkStart w:id="165" w:name="_Toc61"/>
      <w:bookmarkEnd w:id="164"/>
      <w:r>
        <w:rPr>
          <w:rtl w:val="true"/>
        </w:rPr>
        <w:t>[«</w:t>
      </w:r>
      <w:r>
        <w:rPr>
          <w:rtl w:val="true"/>
        </w:rPr>
        <w:t>الرابع</w:t>
      </w:r>
      <w:r>
        <w:rPr>
          <w:rtl w:val="true"/>
        </w:rPr>
        <w:t xml:space="preserve">: </w:t>
      </w:r>
      <w:r>
        <w:rPr>
          <w:rtl w:val="true"/>
        </w:rPr>
        <w:t xml:space="preserve">الصلاة علیه </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علیه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 ممّن له‌حکم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الأقسام المذکورة فی غُسله، عدا الفرق المحکوم بکفرها من المسلمین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القدرة، فلو عجز عنه صلّی بحسب المکنة کالیومیّة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یسقط فرض الکفایة عن القادر بصلاة العاجز؟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الصلاة الصحیحة علیه، ومن نقصها مع القدرة علی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فی الذکری </w:t>
      </w:r>
      <w:r>
        <w:rPr>
          <w:rStyle w:val="FootnoteAnchor"/>
          <w:rtl w:val="true"/>
        </w:rPr>
        <w:footnoteReference w:id="373"/>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 وجعل رأس المیّت إلی یمین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مستلقیاً علی ظهره بین یدیه، إلّاأن یکون مأموماً فیکفی کونه بین یدی الإمام ومشاهدته له، وتُغتفر الحیلولة بمأمومٍ مثله، وعدم </w:t>
      </w:r>
      <w:r>
        <w:rPr>
          <w:rStyle w:val="FootnoteAnchor"/>
          <w:rtl w:val="true"/>
        </w:rPr>
        <w:footnoteReference w:id="374"/>
      </w:r>
      <w:r>
        <w:rPr>
          <w:rFonts w:ascii="IRNazanin" w:hAnsi="IRNazanin" w:eastAsia="IRNazanin"/>
          <w:color w:val="111111"/>
          <w:sz w:val="28"/>
          <w:sz w:val="28"/>
          <w:szCs w:val="28"/>
          <w:rtl w:val="true"/>
          <w:lang w:bidi="fa-IR"/>
        </w:rPr>
        <w:t>تباعده عنه بالمعتدّ به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ستر عورة المصلّی وطهارته من الخبث فی ثوبه وبدنه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قصد الفعل، وهو الصلاة علی المیّت المتّحد أو المتعدّد وإن لم یعرفه، حتی لو جهل ذکوریّته واُنوثیّته جاز تذکیر الضمیر وتأنیثه مؤوّلاً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اعتبار نیّة الوجه من وجوبٍ وندبٍ کغیرها من العبادات قولان للمصنّف فی الذکری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للتکبیر، مستدامة الحکم إلی آخرها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وتکبیراتٌ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تکبیرة الإحرام فی غیر المخالف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یتشهّد الشهادتین عقیب الاُولی، ویصلّی علی النبیّ وآله عقیب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یضیف إلیها الصلاة علی باقی الأنبیاء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ویدعو للمؤمنین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دعاء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المنقول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عقیب الثالثة،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عقیب الرابعة، وفی المستضعفین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یعرف الحقّ ولا یعاند فیه ولا یوالی أحداً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واتّبعوا سبیلک وقهم عذاب الجحیم</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فی الصلاة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المتولّد من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کانا غیر مؤمنَین دعا عقیبها بما أحبّ، والظاهر حینئذٍ عدم وجوبه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بالطفل غیر البالغ وإن وجبت الصلاة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المخالف مطلقاً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379"/>
      </w:r>
      <w:r>
        <w:rPr>
          <w:rFonts w:ascii="IRNazanin" w:hAnsi="IRNazanin" w:eastAsia="IRNazanin"/>
          <w:color w:val="111111"/>
          <w:sz w:val="28"/>
          <w:sz w:val="28"/>
          <w:szCs w:val="28"/>
          <w:rtl w:val="true"/>
          <w:lang w:bidi="fa-IR"/>
        </w:rPr>
        <w:t>یلعنه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وجوبه وجهان، وظاهره هنا وفی البیان الوجوب </w:t>
      </w:r>
      <w:r>
        <w:rPr>
          <w:rStyle w:val="FootnoteAnchor"/>
          <w:rtl w:val="true"/>
        </w:rPr>
        <w:footnoteReference w:id="380"/>
      </w:r>
      <w:r>
        <w:rPr>
          <w:rFonts w:ascii="IRNazanin" w:hAnsi="IRNazanin" w:eastAsia="IRNazanin"/>
          <w:color w:val="111111"/>
          <w:sz w:val="28"/>
          <w:sz w:val="28"/>
          <w:szCs w:val="28"/>
          <w:rtl w:val="true"/>
          <w:lang w:bidi="fa-IR"/>
        </w:rPr>
        <w:t xml:space="preserve">ورجّح فی الذکری والدروس عدمه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والأرکان من هذه الواجبات سبعة أو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والقیام للقادر، والتکبیرات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فیها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الحدث 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إ جماعاً، بل لا یُشرَع بخصوصه إلّامع التقیّة، فیجب لو توقّفت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إعلام المؤمنین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بموته لیتوفّروا علی تشییعه وتجهیزه، فیُکتب لهم الأجر وله المغفرة بدعائهم، ولیُجمع فیه بین وظیفتی التعجیل والإعلام، فیُعلم منهم مَن لا ینافی التعجیل عرفاً، ولو استلزم المُثلة </w:t>
      </w:r>
      <w:r>
        <w:rPr>
          <w:rStyle w:val="FootnoteAnchor"/>
          <w:rtl w:val="true"/>
        </w:rPr>
        <w:footnoteReference w:id="382"/>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ومشیُ المشیِّع خلفه أو إلی جانبیه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أن یتقدّمه لغیر 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حمله بأربعة رجالٍ من جوانب السریر الأربعة کیف اتّفق، والأفضل التناوب، وأفضله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فی الحمل بجانب السریر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یلی یسار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فیحمله بکتفه الأیمن، ثمّ ینتقل إلی مؤخّره الأیمن فیحمله</w:t>
      </w:r>
    </w:p>
    <w:p>
      <w:pPr>
        <w:pStyle w:val="BookText"/>
        <w:rPr/>
      </w:pPr>
      <w:r>
        <w:rPr>
          <w:rFonts w:ascii="IRNazanin" w:hAnsi="IRNazanin" w:eastAsia="IRNazanin"/>
          <w:color w:val="111111"/>
          <w:sz w:val="28"/>
          <w:sz w:val="28"/>
          <w:szCs w:val="28"/>
          <w:rtl w:val="true"/>
          <w:lang w:bidi="fa-IR"/>
        </w:rPr>
        <w:t>بالأیمن کذلک، ثمّ ینتقل إلی مؤخّره الأیسر فیحمله بالکتف الأیسر، ثمّ ینتقل إلی مقدّمه الأیسر فیحمله بالکتف الأیسر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الحمل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علی محمد وآل محمد، اللّهم اغفر للمؤمنین والمؤمنات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وعند مشاهدته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أکبر، هذا ما وعدنا اللّٰه </w:t>
      </w:r>
      <w:r>
        <w:rPr>
          <w:rStyle w:val="FootnoteAnchor"/>
          <w:rtl w:val="true"/>
        </w:rPr>
        <w:footnoteReference w:id="384"/>
      </w:r>
      <w:r>
        <w:rPr>
          <w:rFonts w:ascii="IRNazanin" w:hAnsi="IRNazanin" w:eastAsia="IRNazanin"/>
          <w:color w:val="111111"/>
          <w:sz w:val="28"/>
          <w:sz w:val="28"/>
          <w:szCs w:val="28"/>
          <w:rtl w:val="true"/>
          <w:lang w:bidi="fa-IR"/>
        </w:rPr>
        <w:t xml:space="preserve">ورسوله وصدق اللّٰه ورسوله، اللّهم زدنا إیماناً وتسلیماً، الحمد للّٰه‌الذی تعزّز بالقدرة، وقهر العباد بالموت </w:t>
      </w:r>
      <w:r>
        <w:rPr>
          <w:rStyle w:val="FootnoteAnchor"/>
          <w:rtl w:val="true"/>
        </w:rPr>
        <w:footnoteReference w:id="385"/>
      </w:r>
      <w:r>
        <w:rPr>
          <w:rFonts w:ascii="IRNazanin" w:hAnsi="IRNazanin" w:eastAsia="IRNazanin"/>
          <w:color w:val="111111"/>
          <w:sz w:val="28"/>
          <w:sz w:val="28"/>
          <w:szCs w:val="28"/>
          <w:rtl w:val="true"/>
          <w:lang w:bidi="fa-IR"/>
        </w:rPr>
        <w:t>الحمد للّٰه‌الذی لم یجعلنی من السواد المخترم</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وهو الهالک من الناس علی غیر بصیرة أو مطلقاً، إشارة إلی الرضا بالواقع کیف کان والتفویض إلی اللّٰه تعالی بحسب الإمکان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والطهارة ولو تیمّماً </w:t>
      </w:r>
      <w:r>
        <w:rPr>
          <w:rStyle w:val="FootnoteAnchor"/>
          <w:rtl w:val="true"/>
        </w:rPr>
        <w:footnoteReference w:id="387"/>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علی المائیّة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بدونه علی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وقوف الإمام أو المصلّی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وسط الرجل وصدر المرأة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 المشهور قول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یقف عند رأس الرجل وصدر المرأة </w:t>
      </w:r>
      <w:r>
        <w:rPr>
          <w:rStyle w:val="FootnoteAnchor"/>
          <w:rtl w:val="true"/>
        </w:rPr>
        <w:footnoteReference w:id="388"/>
      </w:r>
      <w:r>
        <w:rPr>
          <w:rFonts w:ascii="IRNazanin" w:hAnsi="IRNazanin" w:eastAsia="IRNazanin"/>
          <w:color w:val="111111"/>
          <w:sz w:val="28"/>
          <w:sz w:val="28"/>
          <w:szCs w:val="28"/>
          <w:rtl w:val="true"/>
          <w:lang w:bidi="fa-IR"/>
        </w:rPr>
        <w:t>وقوله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عند رأسها وصدره </w:t>
      </w:r>
      <w:r>
        <w:rPr>
          <w:rStyle w:val="FootnoteAnchor"/>
          <w:rtl w:val="true"/>
        </w:rPr>
        <w:footnoteReference w:id="389"/>
      </w:r>
      <w:r>
        <w:rPr>
          <w:rFonts w:ascii="IRNazanin" w:hAnsi="IRNazanin" w:eastAsia="IRNazanin"/>
          <w:color w:val="111111"/>
          <w:sz w:val="28"/>
          <w:sz w:val="28"/>
          <w:szCs w:val="28"/>
          <w:rtl w:val="true"/>
          <w:lang w:bidi="fa-IR"/>
        </w:rPr>
        <w:t>والخنثی هنا کالمرأة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للتبرّک بها بکثرة من صلّی</w:t>
      </w:r>
    </w:p>
    <w:p>
      <w:pPr>
        <w:pStyle w:val="BookText"/>
        <w:rPr/>
      </w:pPr>
      <w:r>
        <w:rPr>
          <w:rFonts w:ascii="IRNazanin" w:hAnsi="IRNazanin" w:eastAsia="IRNazanin"/>
          <w:color w:val="111111"/>
          <w:sz w:val="28"/>
          <w:sz w:val="28"/>
          <w:szCs w:val="28"/>
          <w:rtl w:val="true"/>
          <w:lang w:bidi="fa-IR"/>
        </w:rPr>
        <w:t>فیها، ولأنّ السامع بموته یقصدها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الیدین فی التکبیر کُلِّه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علی اختصاصه بالاُولی، وکلاهما مرویٌّ </w:t>
      </w:r>
      <w:r>
        <w:rPr>
          <w:rStyle w:val="FootnoteAnchor"/>
          <w:rtl w:val="true"/>
        </w:rPr>
        <w:footnoteReference w:id="390"/>
      </w:r>
      <w:r>
        <w:rPr>
          <w:rFonts w:ascii="IRNazanin" w:hAnsi="IRNazanin" w:eastAsia="IRNazanin"/>
          <w:color w:val="111111"/>
          <w:sz w:val="28"/>
          <w:sz w:val="28"/>
          <w:szCs w:val="28"/>
          <w:rtl w:val="true"/>
          <w:lang w:bidi="fa-IR"/>
        </w:rPr>
        <w:t>ولا منافاة فإنّ المندوب قد یترک أحیاناً، وبذلک یظهر وجه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فاته بعض التکبیرات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رفعها ووضعها فیه، وإن بَعُد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أطلق المصنّف وجماعة جواز الوَلاء حینئذٍ </w:t>
      </w:r>
      <w:r>
        <w:rPr>
          <w:rStyle w:val="FootnoteAnchor"/>
          <w:rtl w:val="true"/>
        </w:rPr>
        <w:footnoteReference w:id="391"/>
      </w:r>
      <w:r>
        <w:rPr>
          <w:rFonts w:ascii="Amiri" w:hAnsi="Amiri" w:eastAsia="Amiri" w:cs="Amiri"/>
          <w:color w:val="111111"/>
          <w:sz w:val="28"/>
          <w:sz w:val="28"/>
          <w:szCs w:val="28"/>
          <w:rtl w:val="true"/>
          <w:lang w:bidi="ar-SA"/>
        </w:rPr>
        <w:t xml:space="preserve">عملاً بإطلاق النصّ </w:t>
      </w:r>
      <w:r>
        <w:rPr>
          <w:rStyle w:val="FootnoteAnchor"/>
          <w:rtl w:val="true"/>
        </w:rPr>
        <w:footnoteReference w:id="392"/>
      </w:r>
      <w:r>
        <w:rPr>
          <w:rFonts w:ascii="IRNazanin" w:hAnsi="IRNazanin" w:eastAsia="IRNazanin"/>
          <w:color w:val="111111"/>
          <w:sz w:val="28"/>
          <w:sz w:val="28"/>
          <w:szCs w:val="28"/>
          <w:rtl w:val="true"/>
          <w:lang w:bidi="fa-IR"/>
        </w:rPr>
        <w:t>وفی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دعا کان جائزاً إذ هو نفی وجوب لا نفی جواز </w:t>
      </w:r>
      <w:r>
        <w:rPr>
          <w:rStyle w:val="FootnoteAnchor"/>
          <w:rtl w:val="true"/>
        </w:rPr>
        <w:footnoteReference w:id="393"/>
      </w:r>
      <w:r>
        <w:rPr>
          <w:rFonts w:ascii="IRNazanin" w:hAnsi="IRNazanin" w:eastAsia="IRNazanin"/>
          <w:color w:val="111111"/>
          <w:sz w:val="28"/>
          <w:sz w:val="28"/>
          <w:szCs w:val="28"/>
          <w:rtl w:val="true"/>
          <w:lang w:bidi="fa-IR"/>
        </w:rPr>
        <w:t xml:space="preserve">وقیّده بعضهم بخوف الفوت علی تقدیر الدعاء وإلّا وجب ما أمکن منه </w:t>
      </w:r>
      <w:r>
        <w:rPr>
          <w:rStyle w:val="FootnoteAnchor"/>
          <w:rtl w:val="true"/>
        </w:rPr>
        <w:footnoteReference w:id="394"/>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ویُصلّی علی من لم یُصلّ علیه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الآخر </w:t>
      </w:r>
      <w:r>
        <w:rPr>
          <w:rStyle w:val="FootnoteAnchor"/>
          <w:rtl w:val="true"/>
        </w:rPr>
        <w:footnoteReference w:id="395"/>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الفعلین مبنیّاً للمعلوم، أی یُصلّی مَن أراد الصلاة علی المیّت إذا لم یکن هذا المرید قد صلّی علیه ولو بعد الدفن المدة المذکورة أو دائماً، سواء کان قد صُلّی علی المیّت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اختاره المصنّف فی المسألة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ویمکن قراءته مبنیّاً للمجهول، فیکون الحکم مختصّاً بمیّتٍ لم یُصلَّ علیه، أمّا من صُلّی علیه فلا تُشرَع الصلاة علیه بعد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لبعض الأصحاب </w:t>
      </w:r>
      <w:r>
        <w:rPr>
          <w:rStyle w:val="FootnoteAnchor"/>
          <w:rtl w:val="true"/>
        </w:rPr>
        <w:footnoteReference w:id="397"/>
      </w:r>
      <w:r>
        <w:rPr>
          <w:rFonts w:ascii="IRNazanin" w:hAnsi="IRNazanin" w:eastAsia="IRNazanin"/>
          <w:color w:val="111111"/>
          <w:sz w:val="28"/>
          <w:sz w:val="28"/>
          <w:szCs w:val="28"/>
          <w:rtl w:val="true"/>
          <w:lang w:bidi="fa-IR"/>
        </w:rPr>
        <w:t xml:space="preserve">جمعاً بین الأخبار </w:t>
      </w:r>
      <w:r>
        <w:rPr>
          <w:rStyle w:val="FootnoteAnchor"/>
          <w:rtl w:val="true"/>
        </w:rPr>
        <w:footnoteReference w:id="398"/>
      </w:r>
      <w:r>
        <w:rPr>
          <w:rFonts w:ascii="IRNazanin" w:hAnsi="IRNazanin" w:eastAsia="IRNazanin"/>
          <w:color w:val="111111"/>
          <w:sz w:val="28"/>
          <w:sz w:val="28"/>
          <w:szCs w:val="28"/>
          <w:rtl w:val="true"/>
          <w:lang w:bidi="fa-IR"/>
        </w:rPr>
        <w:t>ومختار المصنّف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حضرت جنازةٌ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أثناء الصلاة علی جنازةٍ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أتمّها ثم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الثانیة، وهو الأفضل مع عدم الخوف علی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بتعیّنه إذا کانت الثانیة مندوبةً؛ لاختلاف الوجه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بالوجه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العلّامة </w:t>
      </w:r>
      <w:r>
        <w:rPr>
          <w:rStyle w:val="FootnoteAnchor"/>
          <w:rtl w:val="true"/>
        </w:rPr>
        <w:footnoteReference w:id="400"/>
      </w:r>
      <w:r>
        <w:rPr>
          <w:rFonts w:ascii="Amiri" w:hAnsi="Amiri" w:eastAsia="Amiri" w:cs="Amiri"/>
          <w:color w:val="111111"/>
          <w:sz w:val="28"/>
          <w:sz w:val="28"/>
          <w:szCs w:val="28"/>
          <w:rtl w:val="true"/>
          <w:lang w:bidi="ar-SA"/>
        </w:rPr>
        <w:t xml:space="preserve">وجماعةٌ من المتقدّمین </w:t>
      </w:r>
      <w:r>
        <w:rPr>
          <w:rStyle w:val="FootnoteAnchor"/>
          <w:rtl w:val="true"/>
        </w:rPr>
        <w:footnoteReference w:id="401"/>
      </w:r>
      <w:r>
        <w:rPr>
          <w:rFonts w:ascii="IRNazanin" w:hAnsi="IRNazanin" w:eastAsia="IRNazanin"/>
          <w:color w:val="111111"/>
          <w:sz w:val="28"/>
          <w:sz w:val="28"/>
          <w:szCs w:val="28"/>
          <w:rtl w:val="true"/>
          <w:lang w:bidi="fa-IR"/>
        </w:rPr>
        <w:t xml:space="preserve">والمتأخّرین </w:t>
      </w:r>
      <w:r>
        <w:rPr>
          <w:rStyle w:val="FootnoteAnchor"/>
          <w:rtl w:val="true"/>
        </w:rPr>
        <w:footnoteReference w:id="402"/>
      </w:r>
      <w:r>
        <w:rPr>
          <w:rFonts w:ascii="IRNazanin" w:hAnsi="IRNazanin" w:eastAsia="IRNazanin"/>
          <w:color w:val="111111"/>
          <w:sz w:val="28"/>
          <w:sz w:val="28"/>
          <w:szCs w:val="28"/>
          <w:rtl w:val="true"/>
          <w:lang w:bidi="fa-IR"/>
        </w:rPr>
        <w:t>إلی أ نّه یتخیّر بین قطع الصلاة علی الاُولی واستئنافها علیهما، وبین إکمال الاُولی وإفراد الثانیة</w:t>
      </w:r>
    </w:p>
    <w:p>
      <w:pPr>
        <w:pStyle w:val="BookText"/>
        <w:rPr/>
      </w:pPr>
      <w:r>
        <w:rPr>
          <w:rFonts w:ascii="IRNazanin" w:hAnsi="IRNazanin" w:eastAsia="IRNazanin"/>
          <w:color w:val="111111"/>
          <w:sz w:val="28"/>
          <w:sz w:val="28"/>
          <w:szCs w:val="28"/>
          <w:rtl w:val="true"/>
          <w:lang w:bidi="fa-IR"/>
        </w:rPr>
        <w:t>بصلاةٍ ثانیة، محتجّین بروایة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قوم کبّروا علی جنازةٍ تکبیرةً أو تکبیرتین ووضعت معها اُخری،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شاؤوا ترکوا الاُولی حتّی یفرغوا من التکبیرة الأخیرة، وإن شاؤوا رفعوا الاُولی وأتمّوا التکبیر علی الأخیرة، کلّ ذلک لا بأس به</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المصنّف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قاصرةٌ عن إفادة المدّعی؛ إذ ظاهرها أنّ ما بقی من تکبیر الاُولی محسوبٌ للجنازتین، فإذا فرغوا من تکبیر الاُولی تخیّروا بین ترکها بحالها حتی یُکملوا التکبیر علی الأخیرة، وبین رفعها من مکانها والإتمام علی الأخیرة، ولیس فی هذا دلالةٌ علی إبطال الصلاة علی الاُولی بوجه، هذا مع تحریم قطع الصلاة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خیف علی الجنائز قُطعت الصلاة ثمّ استأنف علیها؛ لأنّه قطعٌ لضرورة </w:t>
      </w:r>
      <w:r>
        <w:rPr>
          <w:rStyle w:val="FootnoteAnchor"/>
          <w:rtl w:val="true"/>
        </w:rPr>
        <w:footnoteReference w:id="404"/>
      </w:r>
      <w:r>
        <w:rPr>
          <w:rFonts w:ascii="IRNazanin" w:hAnsi="IRNazanin" w:eastAsia="IRNazanin"/>
          <w:color w:val="111111"/>
          <w:sz w:val="28"/>
          <w:sz w:val="28"/>
          <w:szCs w:val="28"/>
          <w:rtl w:val="true"/>
          <w:lang w:bidi="fa-IR"/>
        </w:rPr>
        <w:t>وإلی ما ذکره أشار هنا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علیّ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احتساب ما بقی من التکبیر </w:t>
      </w:r>
      <w:r>
        <w:rPr>
          <w:rStyle w:val="FootnoteAnchor"/>
          <w:rtl w:val="true"/>
        </w:rPr>
        <w:footnoteReference w:id="405"/>
      </w:r>
      <w:r>
        <w:rPr>
          <w:rFonts w:ascii="IRNazanin" w:hAnsi="IRNazanin" w:eastAsia="IRNazanin"/>
          <w:color w:val="111111"/>
          <w:sz w:val="28"/>
          <w:sz w:val="28"/>
          <w:szCs w:val="28"/>
          <w:rtl w:val="true"/>
          <w:lang w:bidi="fa-IR"/>
        </w:rPr>
        <w:t>لهما ثمّ یأتی بالباقی للثانیة، وقد حقّقناه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حکیناه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بعد ذلک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تناول النیّة أوّلاً للثانیة فکیف یُصرف باقی التکبیرات إلیها، مع توقّف العمل علی النیّة؟ 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حمله علی إحداث نیّةٍ من الآن لتشریک باقی التکبیر علی الجنازتین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لا معْدل عنه، وإن لم یصرّح بالنیّة فی الروایة؛ لأنّها أمرٌ قلبیٌّ</w:t>
      </w:r>
    </w:p>
    <w:p>
      <w:pPr>
        <w:pStyle w:val="BookText"/>
        <w:rPr/>
      </w:pPr>
      <w:r>
        <w:rPr>
          <w:rFonts w:ascii="IRNazanin" w:hAnsi="IRNazanin" w:eastAsia="IRNazanin"/>
          <w:color w:val="111111"/>
          <w:sz w:val="28"/>
          <w:sz w:val="28"/>
          <w:szCs w:val="28"/>
          <w:rtl w:val="true"/>
          <w:lang w:bidi="fa-IR"/>
        </w:rPr>
        <w:t>یکفی فیها مجرّد القصد إلی الصلاة علی الثانیة إلی آخر ما یُعتبر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حقّق المصنّف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الصدر الأوّل ما کانوا یتعرّضون للنیّة </w:t>
      </w:r>
      <w:r>
        <w:rPr>
          <w:rStyle w:val="FootnoteAnchor"/>
          <w:rtl w:val="true"/>
        </w:rPr>
        <w:footnoteReference w:id="406"/>
      </w:r>
      <w:r>
        <w:rPr>
          <w:rFonts w:ascii="IRNazanin" w:hAnsi="IRNazanin" w:eastAsia="IRNazanin"/>
          <w:color w:val="111111"/>
          <w:sz w:val="28"/>
          <w:sz w:val="28"/>
          <w:szCs w:val="28"/>
          <w:rtl w:val="true"/>
          <w:lang w:bidi="fa-IR"/>
        </w:rPr>
        <w:t>لذلک، وإنّما أحدث البحث عنها المتأخّرون، فیندفع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ذلک أن لا دلیل علی جواز القطع، وبدونه یتّجه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القطع علی تقدیر الخوف علی الجنائز، غیر واضح؛ لأنّ الخوف إن کان علی الجمیع أو علی الاُولی فالقطع یزید الضرر علی الاُولی ولا یزیله؛ لانهدام ما قد مضی من صلاتها الموجب لزیادة مکثها، وإن کان الخوف علی الأخیرة فلا بدّ لها من المکث مقدار الصلاة علیها، وهو یحصل مع التشریک الآن والاستئناف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فرضه نادراً بالخوف علی الثانیة، بالنظر إلی تعدّد الدعاء مع اختلافهما فیه، بحیث یزید ما یتکرّر منه علی ما مضی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یختار التشریک بینهما فیما بقی ینوی بقلبه علی الثانیة، ویکبّر تکبیراً مشترکاً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حضرتا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ویدعو لکلّ واحدةٍ بوظیفتها من الدعاء مخیّراً فی التقدیم إلی أن یُکمل الاُولی، ثمّ یُکمل ما بقی من الثانیة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لو اقتصر علی صلاةٍ واحدةٍ علی متعدّد، فإنّه یُشرِّک بینهم فیما یتّحد لفظه ویُراعی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کالدعاء لو کان فیهم مؤمن ومجهول ومنافق وطفل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وظیفة کلّ واحد، ومع اتّحاد الصنف یُراعی تثنیة الضمیر وجمعه وتذکیره وتأنیثه، أو یذکّر مطلقاً مؤوّلاً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یؤنّث مؤوّلاً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أولی</w:t>
      </w:r>
      <w:r>
        <w:rPr>
          <w:rFonts w:eastAsia="IRNazanin" w:cs="IRNazanin"/>
          <w:color w:val="111111"/>
          <w:sz w:val="28"/>
          <w:szCs w:val="28"/>
          <w:rtl w:val="true"/>
          <w:lang w:bidi="fa-IR"/>
        </w:rPr>
        <w:t>.</w:t>
      </w:r>
      <w:bookmarkStart w:id="166" w:name="pg19806_203347"/>
    </w:p>
    <w:p>
      <w:pPr>
        <w:pStyle w:val="Heading6"/>
        <w:numPr>
          <w:ilvl w:val="5"/>
          <w:numId w:val="1"/>
        </w:numPr>
        <w:rPr/>
      </w:pPr>
      <w:bookmarkStart w:id="167" w:name="__RefHeading___Toc2027829_2314609296"/>
      <w:bookmarkStart w:id="168" w:name="_Toc62"/>
      <w:bookmarkEnd w:id="166"/>
      <w:bookmarkEnd w:id="167"/>
      <w:r>
        <w:rPr>
          <w:rtl w:val="true"/>
        </w:rPr>
        <w:t>[«</w:t>
      </w:r>
      <w:r>
        <w:rPr>
          <w:rtl w:val="true"/>
        </w:rPr>
        <w:t>الخامس</w:t>
      </w:r>
      <w:r>
        <w:rPr>
          <w:rtl w:val="true"/>
        </w:rPr>
        <w:t xml:space="preserve">: </w:t>
      </w:r>
      <w:r>
        <w:rPr>
          <w:rtl w:val="true"/>
        </w:rPr>
        <w:t>دفنه</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 مواراته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یحرس جثّته عن السباع ویُکتم رائحته عن 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وضعه فی بناءٍ ونحوه وإن حصل الوصفان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ومقادیم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جانبه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عمقه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الدفن مجازاً، أو القبر المعلوم بالمقام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معتدلةٍ، وأقلّ الفضل إلی الترقوة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قربها من القبر بذراعین أو ثلاثٍ عند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ونقل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یتأهّب للقبر وإنزاله 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والسبقُ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توضع ممّا یلی القبلة وتُنقل دفعةً واحدةً وتُنزل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والأخبار خالیة عن الدفعات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ونزول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لا الرحم وإن کان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نزول الرحم معها أفضل، والزوج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منه، ومع تعذّرهما فامرأةٌ صالحة ثمّ أجنبیٌّ صالح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عُقَد الأکفان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رأسه ورجلیه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الکفن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تربة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خدّه أو فی مطلق الکفن أو تلقاء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فی مصاحبته لها احتمالُ وصول نجاسته إلیها؛ لأصالة عدمه مع ظهور طهارته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الشهادتین والإقرار بالأئمّة علیهم السلام واحداً بعد واحد ممّن نزل معه إن کان ولیّاً، وإلّا استأذنه، مُدنیاً فاه إلی اُذنه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قبله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وعلی ملّة رسول اللّٰه صلّی اللّٰه علیه وآله، اللّهمّ عبدک نزل بک، وأنت خیر منزول به، اللّهمّ افسح له فی قبره، وألحقه بنبیّه، اللّهمّ إنّا لا نعلم منه إلّاخیراً وأنت أعلم به منّا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والخروج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باب القبر، وفیه احترامٌ للمیّت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للتراب من الحاضرین غیر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الأکُفّ مسترجعین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الإهالة،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واسترجع، إذا قال ذلک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وجه الأرض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مفرّجات إلی شبر لا أزید، لیُعرف فیزار ویُحترم، ولو اختلفت سطوح الأرض اغتفر رفعه عن أعلاها وتأدّت السنّة بأدناها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یُجعل له فی ظهره سنم؛ لأنّه من شعار الناصبة وبِدَعهم</w:t>
      </w:r>
    </w:p>
    <w:p>
      <w:pPr>
        <w:pStyle w:val="BookText"/>
        <w:rPr/>
      </w:pPr>
      <w:r>
        <w:rPr>
          <w:rFonts w:ascii="Amiri" w:hAnsi="Amiri" w:eastAsia="Amiri" w:cs="Amiri"/>
          <w:color w:val="111111"/>
          <w:sz w:val="28"/>
          <w:sz w:val="28"/>
          <w:szCs w:val="28"/>
          <w:rtl w:val="true"/>
          <w:lang w:bidi="ar-SA"/>
        </w:rPr>
        <w:t xml:space="preserve">المحدثة مع اعترافهم بأ نّه خلاف السنّة مراغمةً للفرقة المحقّة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 الماء علیه من قبل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ینتهی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علی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الصابّ مستقبلاً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نضحه بالماء مؤثّرةً فی التراب مفرّجة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الأخبار أنّ الحکم مختصٌ بهذه الحالة، فلا یستحبّ تأثیرها بعده، روی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حُثی علیه التراب وسُوّی قبره فضع کفّک علی قبره عند رأسه وفرِّج أصابعک واغمز کفّک علیه بعد ما ینضح بالماء</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والأصل عدم الاستحباب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تأثیر الید فی غیر التراب فلیس بسنّة مطلقاً، بل اعتقاده سنّةً بدعةٌ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بما شاء من الألفاظ، وأفضله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الأرض عن جنبیه وأصعِد إلیک روحه ولقِّه منک رضواناً وأسکن قبره من رحمتک ما تُغنیه عن رحمة من سواک</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وکذا یقوله کلّما زاره مستقبلاً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وتلقین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یأمره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عالٍ إلّامع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الاستقبال والاستدبار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ورود معیِّن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المصیبة،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الصبر،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عزاءک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صبرک وسلوَک، یُمدّ ویُقصّر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الحمل علی الصبر والتسلیة عن المصاب بإسناد الأمر إلی حکمة اللّٰه تعالی وعدله وتذکیره بما وعد اللّٰه الصابرین وما فعله الأکابر من المصابین، فمن عزّی مصاباً</w:t>
      </w:r>
    </w:p>
    <w:p>
      <w:pPr>
        <w:pStyle w:val="BookText"/>
        <w:rPr/>
      </w:pPr>
      <w:r>
        <w:rPr>
          <w:rFonts w:ascii="IRNazanin" w:hAnsi="IRNazanin" w:eastAsia="IRNazanin"/>
          <w:color w:val="111111"/>
          <w:sz w:val="28"/>
          <w:sz w:val="28"/>
          <w:szCs w:val="28"/>
          <w:rtl w:val="true"/>
          <w:lang w:bidi="fa-IR"/>
        </w:rPr>
        <w:t xml:space="preserve">فله مثل أجره </w:t>
      </w:r>
      <w:r>
        <w:rPr>
          <w:rStyle w:val="FootnoteAnchor"/>
          <w:rtl w:val="true"/>
        </w:rPr>
        <w:footnoteReference w:id="415"/>
      </w:r>
      <w:r>
        <w:rPr>
          <w:rFonts w:ascii="Amiri" w:hAnsi="Amiri" w:eastAsia="Amiri" w:cs="Amiri"/>
          <w:color w:val="111111"/>
          <w:sz w:val="28"/>
          <w:sz w:val="28"/>
          <w:szCs w:val="28"/>
          <w:rtl w:val="true"/>
          <w:lang w:bidi="ar-SA"/>
        </w:rPr>
        <w:t xml:space="preserve">ومن عزّی ثکلی کُسی بُرداً فی الجنّة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مشروعة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أحکام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فروض </w:t>
      </w:r>
      <w:r>
        <w:rPr>
          <w:rStyle w:val="FootnoteAnchor"/>
          <w:rtl w:val="true"/>
        </w:rPr>
        <w:footnoteReference w:id="417"/>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مندوبةً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الفرض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مخاطبة الکلّ به ابتداءً علی وجهٍ یقتضی وقوعه من أ یّهم کان وسقوطه بقیام من فیه الکفایة، فمتی تلبّس به من یُمکنه القیام به سقط عن غیره سقوطاً مراعی بإکماله، ومتی لم یتّفق ذلک أثم الجمیع فی التأخّر عنه، سواء فی ذلک الولیّ وغیره ممّن علم بموته من المکلّفین القادرین علیه</w:t>
      </w:r>
      <w:r>
        <w:rPr>
          <w:rFonts w:eastAsia="IRNazanin" w:cs="IRNazanin"/>
          <w:color w:val="111111"/>
          <w:sz w:val="28"/>
          <w:szCs w:val="28"/>
          <w:rtl w:val="true"/>
          <w:lang w:bidi="fa-IR"/>
        </w:rPr>
        <w:t>.</w:t>
      </w:r>
      <w:bookmarkStart w:id="169" w:name="pg19806_203351"/>
    </w:p>
    <w:p>
      <w:pPr>
        <w:pStyle w:val="Heading4"/>
        <w:numPr>
          <w:ilvl w:val="3"/>
          <w:numId w:val="1"/>
        </w:numPr>
        <w:rPr/>
      </w:pPr>
      <w:bookmarkStart w:id="170" w:name="__RefHeading___Toc2027831_2314609296"/>
      <w:bookmarkStart w:id="171" w:name="_Toc63"/>
      <w:bookmarkEnd w:id="169"/>
      <w:bookmarkEnd w:id="170"/>
      <w:r>
        <w:rPr>
          <w:rtl w:val="true"/>
        </w:rPr>
        <w:t>«</w:t>
      </w:r>
      <w:r>
        <w:rPr>
          <w:rtl w:val="true"/>
        </w:rPr>
        <w:t>الفصل الثالث</w:t>
      </w:r>
      <w:r>
        <w:rPr>
          <w:rtl w:val="true"/>
        </w:rPr>
        <w:t>» «</w:t>
      </w:r>
      <w:r>
        <w:rPr>
          <w:rtl w:val="true"/>
        </w:rPr>
        <w:t>التیمّم</w:t>
      </w:r>
      <w:r>
        <w:rPr>
          <w:rtl w:val="true"/>
        </w:rPr>
        <w:t>»</w:t>
      </w:r>
      <w:bookmarkEnd w:id="171"/>
    </w:p>
    <w:p>
      <w:pPr>
        <w:pStyle w:val="Heading5"/>
        <w:numPr>
          <w:ilvl w:val="4"/>
          <w:numId w:val="1"/>
        </w:numPr>
        <w:rPr/>
      </w:pPr>
      <w:bookmarkStart w:id="172" w:name="__RefHeading___Toc2027833_2314609296"/>
      <w:bookmarkStart w:id="173" w:name="_Toc64"/>
      <w:bookmarkEnd w:id="172"/>
      <w:r>
        <w:rPr>
          <w:rtl w:val="true"/>
        </w:rPr>
        <w:t>[</w:t>
      </w:r>
      <w:r>
        <w:rPr>
          <w:rtl w:val="true"/>
        </w:rPr>
        <w:t>موارد وجوب التیمّم</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وشرطه عدمُ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یوجد مع طلبه علی الوجه المعتبر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عدم الوصلة </w:t>
      </w:r>
      <w:r>
        <w:rPr>
          <w:rStyle w:val="FootnoteAnchor"/>
          <w:rtl w:val="true"/>
        </w:rPr>
        <w:footnoteReference w:id="418"/>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للعجزعن الحرکة المحتاج إلیها فی تحصیله لکِبَر أو مرضٍ أو ضعف قوّةٍ ولم یجد معاوناً ولو باُجرةٍ مقدورة، أو لضیق الوقت بحیث لا یُدرک منه معه بعد الطهارة رکعة، أو لکونه فی بئرٍ بعید القعر یتعذّر الوصول إلیه بدون الآلة وهو عاجز عن تحصیلها ولو بعوضٍ أو شقّ ثوبٍ نفیس أو إعارة، أو لکونه موجوداً فی محلٍّ یُخاف من السعی إلیه علی نفسٍ أو طَرَفٍ أو مالٍ محترمةٍ أو بُضعٍ أو عرض أو ذهاب عقلٍ ولو بمجرّد الجبن، أو لوجوده بعوضٍ یعجز عن بذله لعُدمٍ أو حاجةٍ ولو فی وقت مترقّب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المال المخوف ذهابه والواجب بذله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یجب حفظ الأوّل وبذل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القلیل والکثیر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النصّ </w:t>
      </w:r>
      <w:r>
        <w:rPr>
          <w:rStyle w:val="FootnoteAnchor"/>
          <w:rtl w:val="true"/>
        </w:rPr>
        <w:footnoteReference w:id="419"/>
      </w:r>
      <w:r>
        <w:rPr>
          <w:rFonts w:ascii="IRNazanin" w:hAnsi="IRNazanin" w:eastAsia="IRNazanin"/>
          <w:color w:val="111111"/>
          <w:sz w:val="28"/>
          <w:sz w:val="28"/>
          <w:szCs w:val="28"/>
          <w:rtl w:val="true"/>
          <w:lang w:bidi="fa-IR"/>
        </w:rPr>
        <w:t>لا أنّ الحاصل بالأوّل العوض علی الغاصب وهو منقطع وفی الثانی الثواب وهو دائم؛ لتحقّق الثواب</w:t>
      </w:r>
      <w:bookmarkStart w:id="174" w:name="pg19806_203352"/>
    </w:p>
    <w:p>
      <w:pPr>
        <w:pStyle w:val="BookText"/>
        <w:rPr/>
      </w:pPr>
      <w:bookmarkEnd w:id="174"/>
      <w:r>
        <w:rPr>
          <w:rFonts w:ascii="IRNazanin" w:hAnsi="IRNazanin" w:eastAsia="IRNazanin"/>
          <w:color w:val="111111"/>
          <w:sz w:val="28"/>
          <w:sz w:val="28"/>
          <w:szCs w:val="28"/>
          <w:rtl w:val="true"/>
          <w:lang w:bidi="fa-IR"/>
        </w:rPr>
        <w:t>فیهما مع بذلهما اختیاراً طلباً للعبادة لو اُبیح ذلک، بل قد یجتمع فی الأوّل العوض والثواب بخلاف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الخوف من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لمرضٍ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زیادته أو بطؤه أو عُسر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متوقّعٍ، أو بردٍ شدید یشقّ تحمّله، أو خوف عطشٍ حاصلٍ أو متوقّعٍ فی زمانٍ لا یحصل فیه الماء عادةً أو بقرائن الأحوال لنفسٍ محترمةٍ ولو حیواناً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فقده فی کلّ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الجوانب الأربعة غلوة 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رمیة من الرامی بالآلة معتدلین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بسکون الزاء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السهْلة،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نحو الأشجار والأحجار والعلوّ والهبوط المانع من رؤیة ما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سهمین فی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اختلفت فی الحزونة والسهولة توُزّع بحسبهما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الطلبُ کذلک مع احتمال وجوده فیها، فلو علم عدمه مطلقاً أو فی بعض الجهات سقط الطلب مطلقاً أو فیه، کما أ نّه لو علم وجوده فی أزید من النصاب وجب قصده مع الإمکان ما لم یخرج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الاستنابة فیه، بل قد تجب ولو باُجرةٍ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عدالة النائب إن کانت اختیاریّة وإلّا فمع إمکانها، ویُحتسب لهما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طلب التراب کذلک لو تعذّر مع وجوبه</w:t>
      </w:r>
      <w:r>
        <w:rPr>
          <w:rFonts w:eastAsia="IRNazanin" w:cs="IRNazanin"/>
          <w:color w:val="111111"/>
          <w:sz w:val="28"/>
          <w:szCs w:val="28"/>
          <w:rtl w:val="true"/>
          <w:lang w:bidi="fa-IR"/>
        </w:rPr>
        <w:t>.</w:t>
      </w:r>
    </w:p>
    <w:p>
      <w:pPr>
        <w:pStyle w:val="Heading5"/>
        <w:numPr>
          <w:ilvl w:val="4"/>
          <w:numId w:val="1"/>
        </w:numPr>
        <w:rPr/>
      </w:pPr>
      <w:bookmarkStart w:id="175" w:name="__RefHeading___Toc2027835_2314609296"/>
      <w:bookmarkStart w:id="176" w:name="_Toc65"/>
      <w:bookmarkEnd w:id="175"/>
      <w:r>
        <w:rPr>
          <w:rtl w:val="true"/>
        </w:rPr>
        <w:t>[</w:t>
      </w:r>
      <w:r>
        <w:rPr>
          <w:rtl w:val="true"/>
        </w:rPr>
        <w:t xml:space="preserve">فی ما یتیمّم به </w:t>
      </w:r>
      <w:r>
        <w:rPr>
          <w:rtl w:val="true"/>
        </w:rPr>
        <w:t>]</w:t>
      </w:r>
      <w:bookmarkEnd w:id="1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بالتراب الطاهر أو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جملة الأرض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به هو وجهها، ولأ نّه ترابٌ اکتسب رطوبةً لزجة وعملت فیه الحرارة فأفادته استمساکاً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رُخام وبرام </w:t>
      </w:r>
      <w:r>
        <w:rPr>
          <w:rStyle w:val="FootnoteAnchor"/>
          <w:rtl w:val="true"/>
        </w:rPr>
        <w:footnoteReference w:id="421"/>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للشیخ حیث اشترط فی جواز استعماله فقدَ التراب </w:t>
      </w:r>
      <w:r>
        <w:rPr>
          <w:rStyle w:val="FootnoteAnchor"/>
          <w:rtl w:val="true"/>
        </w:rPr>
        <w:footnoteReference w:id="422"/>
      </w:r>
      <w:r>
        <w:rPr>
          <w:rFonts w:ascii="IRNazanin" w:hAnsi="IRNazanin" w:eastAsia="IRNazanin"/>
          <w:color w:val="111111"/>
          <w:sz w:val="28"/>
          <w:sz w:val="28"/>
          <w:szCs w:val="28"/>
          <w:rtl w:val="true"/>
          <w:lang w:bidi="fa-IR"/>
        </w:rPr>
        <w:t>أمّا المنع منه مطلقاً فلا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جوازه بالحجر یستفاد جوازه بالخَزَف بطریقٍ أولی؛ لعدم خروجه بالطبخ عن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خرج عن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یخرج الحجر مع أ نّه أقوی استمساکاً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للمعتبر محتجّاً بخروجه، مع اعترافه بجواز السجود علیه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یخرج عنها بالاستحالة یمنع من السجود علیه وإن کانت دائرة السجود أوسع بالنسبة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کالکُحل والزَرْنیخ وتراب الحدید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والجصّ بعد خروجهما عن اسم الأرض بالإحراق، أمّا قبله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بالتحریک فتحاً وکسراً والسکون،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المالحة النشّاشة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424"/>
      </w:r>
      <w:r>
        <w:rPr>
          <w:rFonts w:ascii="IRNazanin" w:hAnsi="IRNazanin" w:eastAsia="IRNazanin"/>
          <w:color w:val="111111"/>
          <w:sz w:val="28"/>
          <w:sz w:val="28"/>
          <w:szCs w:val="28"/>
          <w:rtl w:val="true"/>
          <w:lang w:bidi="fa-IR"/>
        </w:rPr>
        <w:t xml:space="preserve">، ما لم یَعلُها ملحٌ یمنع إصابة بعض الکفّ للأرض، فلا بدّ من إزالته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لشبههما بأرض المعدن، ووجه الجواز بقاء اسم الأرض</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من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ارتفع من الأرض؛ للنصّ </w:t>
      </w:r>
      <w:r>
        <w:rPr>
          <w:rStyle w:val="FootnoteAnchor"/>
          <w:rtl w:val="true"/>
        </w:rPr>
        <w:footnoteReference w:id="425"/>
      </w:r>
      <w:r>
        <w:rPr>
          <w:rFonts w:ascii="IRNazanin" w:hAnsi="IRNazanin" w:eastAsia="IRNazanin"/>
          <w:color w:val="111111"/>
          <w:sz w:val="28"/>
          <w:sz w:val="28"/>
          <w:szCs w:val="28"/>
          <w:rtl w:val="true"/>
          <w:lang w:bidi="fa-IR"/>
        </w:rPr>
        <w:t>ولبعدها</w:t>
      </w:r>
      <w:bookmarkStart w:id="177" w:name="pg19806_203354"/>
    </w:p>
    <w:p>
      <w:pPr>
        <w:pStyle w:val="BookText"/>
        <w:rPr/>
      </w:pPr>
      <w:bookmarkEnd w:id="177"/>
      <w:r>
        <w:rPr>
          <w:rFonts w:ascii="IRNazanin" w:hAnsi="IRNazanin" w:eastAsia="IRNazanin"/>
          <w:color w:val="111111"/>
          <w:sz w:val="28"/>
          <w:sz w:val="28"/>
          <w:szCs w:val="28"/>
          <w:rtl w:val="true"/>
          <w:lang w:bidi="fa-IR"/>
        </w:rPr>
        <w:t xml:space="preserve">من النجاسة؛ لأنّ المهابط تُقصد للحدث، ومنه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أصله المنخفض، سُمّی الحالّ باسمه </w:t>
      </w:r>
      <w:r>
        <w:rPr>
          <w:rStyle w:val="FootnoteAnchor"/>
          <w:rtl w:val="true"/>
        </w:rPr>
        <w:footnoteReference w:id="426"/>
      </w:r>
      <w:r>
        <w:rPr>
          <w:rFonts w:ascii="IRNazanin" w:hAnsi="IRNazanin" w:eastAsia="IRNazanin"/>
          <w:color w:val="111111"/>
          <w:sz w:val="28"/>
          <w:sz w:val="28"/>
          <w:szCs w:val="28"/>
          <w:rtl w:val="true"/>
          <w:lang w:bidi="fa-IR"/>
        </w:rPr>
        <w:t>لوقوعه فیه کثیراً</w:t>
      </w:r>
      <w:r>
        <w:rPr>
          <w:rFonts w:eastAsia="IRNazanin" w:cs="IRNazanin"/>
          <w:color w:val="111111"/>
          <w:sz w:val="28"/>
          <w:szCs w:val="28"/>
          <w:rtl w:val="true"/>
          <w:lang w:bidi="fa-IR"/>
        </w:rPr>
        <w:t>.</w:t>
      </w:r>
    </w:p>
    <w:p>
      <w:pPr>
        <w:pStyle w:val="Heading5"/>
        <w:numPr>
          <w:ilvl w:val="4"/>
          <w:numId w:val="1"/>
        </w:numPr>
        <w:rPr/>
      </w:pPr>
      <w:bookmarkStart w:id="178" w:name="__RefHeading___Toc2027837_2314609296"/>
      <w:bookmarkStart w:id="179" w:name="_Toc66"/>
      <w:bookmarkEnd w:id="178"/>
      <w:r>
        <w:rPr>
          <w:rtl w:val="true"/>
        </w:rPr>
        <w:t>[</w:t>
      </w:r>
      <w:r>
        <w:rPr>
          <w:rtl w:val="true"/>
        </w:rPr>
        <w:t>واجبات التیمّم و بعض احکامه</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القصد إلی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بقیّة ما یُعتبر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مقارنةً لأوّل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علی الأرض 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وهو وضعهما بمسمّی الاعتماد، فلا یکفی مسمّی الوضع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للمصنّف فی الذکری، فإنّه جعل الظاهر الاکتفاء بالوضع </w:t>
      </w:r>
      <w:r>
        <w:rPr>
          <w:rStyle w:val="FootnoteAnchor"/>
          <w:rtl w:val="true"/>
        </w:rPr>
        <w:footnoteReference w:id="427"/>
      </w:r>
      <w:r>
        <w:rPr>
          <w:rFonts w:ascii="IRNazanin" w:hAnsi="IRNazanin" w:eastAsia="IRNazanin"/>
          <w:color w:val="111111"/>
          <w:sz w:val="28"/>
          <w:sz w:val="28"/>
          <w:szCs w:val="28"/>
          <w:rtl w:val="true"/>
          <w:lang w:bidi="fa-IR"/>
        </w:rPr>
        <w:t xml:space="preserve">ومنشأ الاختلاف تعبیر النصوص بکلٍّ منهما </w:t>
      </w:r>
      <w:r>
        <w:rPr>
          <w:rStyle w:val="FootnoteAnchor"/>
          <w:rtl w:val="true"/>
        </w:rPr>
        <w:footnoteReference w:id="428"/>
      </w:r>
      <w:r>
        <w:rPr>
          <w:rFonts w:ascii="IRNazanin" w:hAnsi="IRNazanin" w:eastAsia="IRNazanin"/>
          <w:color w:val="111111"/>
          <w:sz w:val="28"/>
          <w:sz w:val="28"/>
          <w:szCs w:val="28"/>
          <w:rtl w:val="true"/>
          <w:lang w:bidi="fa-IR"/>
        </w:rPr>
        <w:t xml:space="preserve">وکذا عبارات الأصحاب </w:t>
      </w:r>
      <w:r>
        <w:rPr>
          <w:rStyle w:val="FootnoteAnchor"/>
          <w:rtl w:val="true"/>
        </w:rPr>
        <w:footnoteReference w:id="429"/>
      </w:r>
      <w:r>
        <w:rPr>
          <w:rFonts w:ascii="Amiri" w:hAnsi="Amiri" w:eastAsia="Amiri" w:cs="Amiri"/>
          <w:color w:val="111111"/>
          <w:sz w:val="28"/>
          <w:sz w:val="28"/>
          <w:szCs w:val="28"/>
          <w:rtl w:val="true"/>
          <w:lang w:bidi="ar-SA"/>
        </w:rPr>
        <w:t>فمن جوّزهما جعله دالّاً علی أنّ المؤدّی واحد، ومن عیّن الضرب حمل المطلق علی المقیَّد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یعتبر الیدان معاً مع الاختیار، فلو تعذّرت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لقطعٍ أو مرضٍ أو 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المیسور ومسح الجبهة به وسقط مسح الید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قوّیاً مسحها بالأرض، کما یمسح الجبهة بها لو کانتا مقطوعتین،</w:t>
      </w:r>
    </w:p>
    <w:p>
      <w:pPr>
        <w:pStyle w:val="BookText"/>
        <w:rPr/>
      </w:pPr>
      <w:r>
        <w:rPr>
          <w:rFonts w:ascii="IRNazanin" w:hAnsi="IRNazanin" w:eastAsia="IRNazanin"/>
          <w:color w:val="111111"/>
          <w:sz w:val="28"/>
          <w:sz w:val="28"/>
          <w:szCs w:val="28"/>
          <w:rtl w:val="true"/>
          <w:lang w:bidi="fa-IR"/>
        </w:rPr>
        <w:t>ولیس کذلک لو کانتا نجستین، بل یمسح بهما کذلک مع تعذّر التطهیر، إلّاأن تکون متعدّیة أو حائلة فیجب التجفیف وإزالة الحائل مع الإمکان، فإن تعذّر ضرب بالظهر إن خلا منها، وإلّا ضرب بالجبهة فی الأوّل وبالید النجسة فی الثانی، کما لو کان علیها 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لتیمّمه الذی هو 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فیمسح بهما جَبهته من قصاص الشعر إلی طرف الأنف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بادئاً بالأعلی، کما أشعر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القدر من الجبهة 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بعضهم مسحَ الحاجبین </w:t>
      </w:r>
      <w:r>
        <w:rPr>
          <w:rStyle w:val="FootnoteAnchor"/>
          <w:rtl w:val="true"/>
        </w:rPr>
        <w:footnoteReference w:id="430"/>
      </w:r>
      <w:r>
        <w:rPr>
          <w:rFonts w:ascii="IRNazanin" w:hAnsi="IRNazanin" w:eastAsia="IRNazanin"/>
          <w:color w:val="111111"/>
          <w:sz w:val="28"/>
          <w:sz w:val="28"/>
          <w:szCs w:val="28"/>
          <w:rtl w:val="true"/>
          <w:lang w:bidi="fa-IR"/>
        </w:rPr>
        <w:t xml:space="preserve">ونفی عنه المصنّف فی الذکری البأس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مسح الجبینین </w:t>
      </w:r>
      <w:r>
        <w:rPr>
          <w:rStyle w:val="FootnoteAnchor"/>
          <w:rtl w:val="true"/>
        </w:rPr>
        <w:footnoteReference w:id="432"/>
      </w:r>
      <w:r>
        <w:rPr>
          <w:rFonts w:ascii="IRNazanin" w:hAnsi="IRNazanin" w:eastAsia="IRNazanin"/>
          <w:color w:val="111111"/>
          <w:sz w:val="28"/>
          <w:sz w:val="28"/>
          <w:szCs w:val="28"/>
          <w:rtl w:val="true"/>
          <w:lang w:bidi="fa-IR"/>
        </w:rPr>
        <w:t>وهما المحیطان بالجبهة یتّصلان بالصُّدْغَین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قوّة؛ لوروده فی بعض الأخبار الصحیحة </w:t>
      </w:r>
      <w:r>
        <w:rPr>
          <w:rStyle w:val="FootnoteAnchor"/>
          <w:rtl w:val="true"/>
        </w:rPr>
        <w:footnoteReference w:id="433"/>
      </w:r>
      <w:r>
        <w:rPr>
          <w:rFonts w:ascii="IRNazanin" w:hAnsi="IRNazanin" w:eastAsia="IRNazanin"/>
          <w:color w:val="111111"/>
          <w:sz w:val="28"/>
          <w:sz w:val="28"/>
          <w:szCs w:val="28"/>
          <w:rtl w:val="true"/>
          <w:lang w:bidi="fa-IR"/>
        </w:rPr>
        <w:t>أمّا الأوّل فما یتوقّف علیه منه من باب المقدّمة لا إشکال فیه وإلّا فلا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یده الیمنی ببطن الیسری من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الزای، وهو موصل طرف الذراع فی الکفّ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أطراف الأصابع،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ببطن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 بالزند إلی الآخر، کما أشعر به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ومرّتین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یمسح بها جبهته والاُخری یدیه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ویتیمّم </w:t>
      </w:r>
      <w:r>
        <w:rPr>
          <w:rStyle w:val="FootnoteAnchor"/>
          <w:rtl w:val="true"/>
        </w:rPr>
        <w:footnoteReference w:id="434"/>
      </w:r>
      <w:r>
        <w:rPr>
          <w:rFonts w:ascii="Amiri" w:hAnsi="Amiri" w:eastAsia="Amiri" w:cs="Amiri"/>
          <w:color w:val="111111"/>
          <w:sz w:val="28"/>
          <w:sz w:val="28"/>
          <w:szCs w:val="28"/>
          <w:rtl w:val="true"/>
          <w:lang w:bidi="ar-SA"/>
        </w:rPr>
        <w:t>غیر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علیه حدثٌ یوجب الغُسل عند تعذّر</w:t>
      </w:r>
    </w:p>
    <w:p>
      <w:pPr>
        <w:pStyle w:val="BookText"/>
        <w:rPr/>
      </w:pPr>
      <w:r>
        <w:rPr>
          <w:rFonts w:ascii="IRNazanin" w:hAnsi="IRNazanin" w:eastAsia="IRNazanin"/>
          <w:color w:val="111111"/>
          <w:sz w:val="28"/>
          <w:sz w:val="28"/>
          <w:szCs w:val="28"/>
          <w:rtl w:val="true"/>
          <w:lang w:bidi="fa-IR"/>
        </w:rPr>
        <w:t xml:space="preserve">استعمال الماء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بدلاً من الغُسل بضربتین، والاُخری بدلاً من الوضوء بضربة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قدر علی الوضوء خاصّةً وجب وتیمّم عن الغُسل کالعکس، مع أ نّه یصدق علیه أ نّه محدثٌ غیر جنب، فلا بدّ فی إخراجه من قید، وکأ نّه ترکه اعتماداً علی ظهوره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الوضوء أو الغسل إن کان التیمّم بدلاً عن أحدهما کما هو الغالب، فلو کان تیمّمه لصلاة الجنازة أو للنوم علی طهارة أو لخروجه جنباً من أحد المسجدین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القول باختصاص التیمّم بذلک کما هو أحد قولی المصنّف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بدلاً من أحدهما، مع احتمال بقاء العموم بجعله فیها بدلاً اختیاریّاً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فیه 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لمشروطٍ بالطهارة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أو ندب، والکلام فیهما کالمائیّة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اعتبارها فی کلّ عبادةٍ مفتقرةٍ إلی نیّة، لیتحقّق الإخلاص المأمور به فی کلّ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المتابعة بین أفعاله بحیث لا یُعدّ مُفرِّقاً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الأصحاب الاتّفاق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یبطل بالإخلال بها أو یأثم خاصّةً؟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بمراعاة الضیق فیه مطلقاً </w:t>
      </w:r>
      <w:r>
        <w:rPr>
          <w:rStyle w:val="FootnoteAnchor"/>
          <w:rtl w:val="true"/>
        </w:rPr>
        <w:footnoteReference w:id="437"/>
      </w:r>
      <w:r>
        <w:rPr>
          <w:rFonts w:ascii="Amiri" w:hAnsi="Amiri" w:eastAsia="Amiri" w:cs="Amiri"/>
          <w:color w:val="111111"/>
          <w:sz w:val="28"/>
          <w:sz w:val="28"/>
          <w:szCs w:val="28"/>
          <w:rtl w:val="true"/>
          <w:lang w:bidi="ar-SA"/>
        </w:rPr>
        <w:t>یظهر قوّة الأوّل، وإلّا فالأصل یقتضی الصحّة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نفض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ضربةٍ بنفخ ما علیهما من أثر الصعید،</w:t>
      </w:r>
    </w:p>
    <w:p>
      <w:pPr>
        <w:pStyle w:val="BookText"/>
        <w:rPr/>
      </w:pPr>
      <w:r>
        <w:rPr>
          <w:rFonts w:ascii="IRNazanin" w:hAnsi="IRNazanin" w:eastAsia="IRNazanin"/>
          <w:color w:val="111111"/>
          <w:sz w:val="28"/>
          <w:sz w:val="28"/>
          <w:szCs w:val="28"/>
          <w:rtl w:val="true"/>
          <w:lang w:bidi="fa-IR"/>
        </w:rPr>
        <w:t>أو مسحهما، أو ضرب إحداهما بالاُخری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قد بقی منه مقدار فعله مع باقی شرائط الصلاة المفقودة والصلاة تامّة الأفعال علماً أو ظنّاً، ولا یؤثّر فیه ظهور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مع الطمع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ورجاء حصوله ولو بالاحتمال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الأقوال بین المتأخّرین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اختاره المصنّف فی الذکری </w:t>
      </w:r>
      <w:r>
        <w:rPr>
          <w:rStyle w:val="FootnoteAnchor"/>
          <w:rtl w:val="true"/>
        </w:rPr>
        <w:footnoteReference w:id="439"/>
      </w:r>
      <w:r>
        <w:rPr>
          <w:rFonts w:ascii="IRNazanin" w:hAnsi="IRNazanin" w:eastAsia="IRNazanin"/>
          <w:color w:val="111111"/>
          <w:sz w:val="28"/>
          <w:sz w:val="28"/>
          <w:szCs w:val="28"/>
          <w:rtl w:val="true"/>
          <w:lang w:bidi="fa-IR"/>
        </w:rPr>
        <w:t xml:space="preserve">وادّعی علیه المرتضی </w:t>
      </w:r>
      <w:r>
        <w:rPr>
          <w:rStyle w:val="FootnoteAnchor"/>
          <w:rtl w:val="true"/>
        </w:rPr>
        <w:footnoteReference w:id="440"/>
      </w:r>
      <w:r>
        <w:rPr>
          <w:rFonts w:ascii="IRNazanin" w:hAnsi="IRNazanin" w:eastAsia="IRNazanin"/>
          <w:color w:val="111111"/>
          <w:sz w:val="28"/>
          <w:sz w:val="28"/>
          <w:szCs w:val="28"/>
          <w:rtl w:val="true"/>
          <w:lang w:bidi="fa-IR"/>
        </w:rPr>
        <w:t xml:space="preserve">والشیخ الإ جماع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الضیق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مع السعة مطلقاً، وهو قول الصدوق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بعضها دالٌّ علی اعتبار الضیق مطلقاً </w:t>
      </w:r>
      <w:r>
        <w:rPr>
          <w:rStyle w:val="FootnoteAnchor"/>
          <w:rtl w:val="true"/>
        </w:rPr>
        <w:footnoteReference w:id="443"/>
      </w:r>
      <w:r>
        <w:rPr>
          <w:rFonts w:ascii="IRNazanin" w:hAnsi="IRNazanin" w:eastAsia="IRNazanin"/>
          <w:color w:val="111111"/>
          <w:sz w:val="28"/>
          <w:sz w:val="28"/>
          <w:szCs w:val="28"/>
          <w:rtl w:val="true"/>
          <w:lang w:bidi="fa-IR"/>
        </w:rPr>
        <w:t xml:space="preserve">وبعضها غیر منافٍ له </w:t>
      </w:r>
      <w:r>
        <w:rPr>
          <w:rStyle w:val="FootnoteAnchor"/>
          <w:rtl w:val="true"/>
        </w:rPr>
        <w:footnoteReference w:id="444"/>
      </w:r>
      <w:r>
        <w:rPr>
          <w:rFonts w:ascii="IRNazanin" w:hAnsi="IRNazanin" w:eastAsia="IRNazanin"/>
          <w:color w:val="111111"/>
          <w:sz w:val="28"/>
          <w:sz w:val="28"/>
          <w:szCs w:val="28"/>
          <w:rtl w:val="true"/>
          <w:lang w:bidi="fa-IR"/>
        </w:rPr>
        <w:t>فلا وجه للجمع بینها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التیمّم المبتدأ</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المستدام، کما لو تیمّم لعبادةٍ عند ضیق وقتها ولو بنذر رکعتین فی وقتٍ معیّن یتعذّر فیه الماء، أو عبادةٍ راجحةٍ بالطهارة ولو ذکراً، جاز فعل</w:t>
      </w:r>
    </w:p>
    <w:p>
      <w:pPr>
        <w:pStyle w:val="BookText"/>
        <w:rPr/>
      </w:pPr>
      <w:r>
        <w:rPr>
          <w:rFonts w:ascii="IRNazanin" w:hAnsi="IRNazanin" w:eastAsia="IRNazanin"/>
          <w:color w:val="111111"/>
          <w:sz w:val="28"/>
          <w:sz w:val="28"/>
          <w:szCs w:val="28"/>
          <w:rtl w:val="true"/>
          <w:lang w:bidi="fa-IR"/>
        </w:rPr>
        <w:t>غیرها به مع السعة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تمکّن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انتقض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تیمّمه عن الطهارة التی تمکّن منها، فلو تمکّن مَن علیه غیر غسل الجنابة من الوضوء خاصّةً انتقض تیمّمه خاصّةً، وکذا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بانتقاضه بمجرّد التمکّن مبنیٌّ علی الظاهر، وأمّا انتقاضه مطلقاً فمشروطٌ بمضیّ زمانٍ یسع فعل المائیّة متمکّناً منها، فلو طرأ بعد التمکّن مانعٌ قبله کشف عن عدم انتقاضه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شرع فیها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الصلاة بأوّل الوقت والحجّ للمستطیع بسیر القافلة، مع اشتراط استقرار الوجوب بمضیّ زمانٍ یسع الفعل؛ لاستحالة التکلیف بعبادةٍ فی وقت لا یسعها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انتقاضه مطلقاً کما یقتضیه ظاهر الأخبار </w:t>
      </w:r>
      <w:r>
        <w:rPr>
          <w:rStyle w:val="FootnoteAnchor"/>
          <w:rtl w:val="true"/>
        </w:rPr>
        <w:footnoteReference w:id="445"/>
      </w:r>
      <w:r>
        <w:rPr>
          <w:rFonts w:ascii="IRNazanin" w:hAnsi="IRNazanin" w:eastAsia="IRNazanin"/>
          <w:color w:val="111111"/>
          <w:sz w:val="28"/>
          <w:sz w:val="28"/>
          <w:szCs w:val="28"/>
          <w:rtl w:val="true"/>
          <w:lang w:bidi="fa-IR"/>
        </w:rPr>
        <w:t xml:space="preserve">وکلام الأصحاب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کان التمکّن من الماء ناقضاً، فإن اتّفق قبل دخوله فی الصلاة انتقض إ جماعاً علی الوجه المذکور، وإن وجده بعد الفراغ صحّت وانتقض بالنسبة إلی غیرها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وجده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بأشهر الروایات </w:t>
      </w:r>
      <w:r>
        <w:rPr>
          <w:rStyle w:val="FootnoteAnchor"/>
          <w:rtl w:val="true"/>
        </w:rPr>
        <w:footnoteReference w:id="447"/>
      </w:r>
      <w:r>
        <w:rPr>
          <w:rFonts w:ascii="IRNazanin" w:hAnsi="IRNazanin" w:eastAsia="IRNazanin"/>
          <w:color w:val="111111"/>
          <w:sz w:val="28"/>
          <w:sz w:val="28"/>
          <w:szCs w:val="28"/>
          <w:rtl w:val="true"/>
          <w:lang w:bidi="fa-IR"/>
        </w:rPr>
        <w:t>وأرجحها سنداً، واعتضاداً بالنهی الوارد عن</w:t>
      </w:r>
    </w:p>
    <w:p>
      <w:pPr>
        <w:pStyle w:val="BookText"/>
        <w:rPr/>
      </w:pPr>
      <w:r>
        <w:rPr>
          <w:rFonts w:ascii="IRNazanin" w:hAnsi="IRNazanin" w:eastAsia="IRNazanin"/>
          <w:color w:val="111111"/>
          <w:sz w:val="28"/>
          <w:sz w:val="28"/>
          <w:szCs w:val="28"/>
          <w:rtl w:val="true"/>
          <w:lang w:bidi="fa-IR"/>
        </w:rPr>
        <w:t xml:space="preserve">قطع الأعمال </w:t>
      </w:r>
      <w:r>
        <w:rPr>
          <w:rStyle w:val="FootnoteAnchor"/>
          <w:rtl w:val="true"/>
        </w:rPr>
        <w:footnoteReference w:id="448"/>
      </w:r>
      <w:r>
        <w:rPr>
          <w:rFonts w:ascii="IRNazanin" w:hAnsi="IRNazanin" w:eastAsia="IRNazanin"/>
          <w:color w:val="111111"/>
          <w:sz w:val="28"/>
          <w:sz w:val="28"/>
          <w:szCs w:val="28"/>
          <w:rtl w:val="true"/>
          <w:lang w:bidi="fa-IR"/>
        </w:rPr>
        <w:t>ولا فرق فی ذلک بین الفریضة والنافلة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حُکم بالإتمام فهو للوجوب علی تقدیر وجوبها، فیحرم قطعها والعدول بها إلی النافلة؛ لأنّ ذلک مشروطٌ بأسبابٍ مسوِّغة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 ناسی الأذان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ضاق الوقت فلا إشکال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ینتقض التیمّم بالنسبة إلی غیر هذه الصلاة علی تقدیر عدم التمکّن منه بعدها؟ الأقرب العدم؛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مشروطٌ بالتمکّن، ولم یحصل، والمانع الشرعی کالعقلی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ومقابل الأصحّ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ما لم یرکع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ما لم یقرأ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بسعة الوقت وضیقه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والأخیران لا شاهد لهما، والأوّل مستند إلی روایةٍ </w:t>
      </w:r>
      <w:r>
        <w:rPr>
          <w:rStyle w:val="FootnoteAnchor"/>
          <w:rtl w:val="true"/>
        </w:rPr>
        <w:footnoteReference w:id="452"/>
      </w:r>
      <w:r>
        <w:rPr>
          <w:rFonts w:ascii="IRNazanin" w:hAnsi="IRNazanin" w:eastAsia="IRNazanin"/>
          <w:color w:val="111111"/>
          <w:sz w:val="28"/>
          <w:sz w:val="28"/>
          <w:szCs w:val="28"/>
          <w:rtl w:val="true"/>
          <w:lang w:bidi="fa-IR"/>
        </w:rPr>
        <w:t xml:space="preserve">معارضةٍ بما هو أقوی منها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180" w:name="pg19806_203361"/>
    </w:p>
    <w:p>
      <w:pPr>
        <w:pStyle w:val="Heading2"/>
        <w:numPr>
          <w:ilvl w:val="1"/>
          <w:numId w:val="1"/>
        </w:numPr>
        <w:rPr/>
      </w:pPr>
      <w:bookmarkStart w:id="181" w:name="__RefHeading___Toc2027839_2314609296"/>
      <w:bookmarkStart w:id="182" w:name="_Toc67"/>
      <w:bookmarkEnd w:id="180"/>
      <w:bookmarkEnd w:id="181"/>
      <w:r>
        <w:rPr>
          <w:rtl w:val="true"/>
        </w:rPr>
        <w:t>کتاب الصلاة</w:t>
      </w:r>
      <w:bookmarkEnd w:id="18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2027841_2314609296"/>
      <w:bookmarkStart w:id="184" w:name="_Toc68"/>
      <w:bookmarkEnd w:id="183"/>
      <w:r>
        <w:rPr>
          <w:rtl w:val="true"/>
        </w:rPr>
        <w:t>اشارة</w:t>
      </w:r>
      <w:bookmarkStart w:id="185" w:name="pg19806_203363"/>
      <w:bookmarkEnd w:id="184"/>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وفصوله أحد عشر</w:t>
      </w:r>
      <w:r>
        <w:rPr>
          <w:rFonts w:eastAsia="IRNazanin" w:cs="IRNazanin"/>
          <w:color w:val="111111"/>
          <w:sz w:val="28"/>
          <w:szCs w:val="28"/>
          <w:rtl w:val="true"/>
          <w:lang w:bidi="fa-IR"/>
        </w:rPr>
        <w:t>» :</w:t>
      </w:r>
    </w:p>
    <w:p>
      <w:pPr>
        <w:pStyle w:val="Heading3"/>
        <w:numPr>
          <w:ilvl w:val="2"/>
          <w:numId w:val="1"/>
        </w:numPr>
        <w:rPr/>
      </w:pPr>
      <w:bookmarkStart w:id="186" w:name="__RefHeading___Toc2027843_2314609296"/>
      <w:bookmarkStart w:id="187" w:name="_Toc69"/>
      <w:bookmarkEnd w:id="186"/>
      <w:r>
        <w:rPr>
          <w:rtl w:val="true"/>
        </w:rPr>
        <w:t>« [</w:t>
      </w:r>
      <w:r>
        <w:rPr>
          <w:rtl w:val="true"/>
        </w:rPr>
        <w:t>الفصل</w:t>
      </w:r>
      <w:r>
        <w:rPr>
          <w:rtl w:val="true"/>
        </w:rPr>
        <w:t xml:space="preserve">] </w:t>
      </w:r>
      <w:r>
        <w:rPr>
          <w:rtl w:val="true"/>
        </w:rPr>
        <w:t>الأوّل</w:t>
      </w:r>
      <w:r>
        <w:rPr>
          <w:rtl w:val="true"/>
        </w:rPr>
        <w:t>» «</w:t>
      </w:r>
      <w:r>
        <w:rPr>
          <w:rtl w:val="true"/>
        </w:rPr>
        <w:t>فی أعدادها</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الواقعة فی الیوم واللیلة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إلی الیوم تغلیباً، أو بناءً علی إطلاقه علی ما یشمل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والجُمعة والعیدان والآیات والطواف والأموات والمُلتزَم بنذرٍ </w:t>
      </w:r>
      <w:r>
        <w:rPr>
          <w:rStyle w:val="FootnoteAnchor"/>
          <w:rtl w:val="true"/>
        </w:rPr>
        <w:footnoteReference w:id="454"/>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الأسماء إمّا غالبةٌ عرفاً، أو بتقدیر حذف المضاف فی ما عدا الاُولی، والموصوف فیها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وعدُّها سبعةً أسدُّ ممّا صنع مَن قَبله، حیث عدّوها تسعةً بجعل الآیات ثلاثاً بالکسوفین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إدخال صلاة الأموات اختیار إطلاقها علیها بطریق الحقیقة الشرعیّة، وهو الذی صرّح المصنّف باختیاره فی الذکری </w:t>
      </w:r>
      <w:r>
        <w:rPr>
          <w:rStyle w:val="FootnoteAnchor"/>
          <w:rtl w:val="true"/>
        </w:rPr>
        <w:footnoteReference w:id="456"/>
      </w:r>
      <w:r>
        <w:rPr>
          <w:rFonts w:ascii="IRNazanin" w:hAnsi="IRNazanin" w:eastAsia="IRNazanin"/>
          <w:color w:val="111111"/>
          <w:sz w:val="28"/>
          <w:sz w:val="28"/>
          <w:szCs w:val="28"/>
          <w:rtl w:val="true"/>
          <w:lang w:bidi="fa-IR"/>
        </w:rPr>
        <w:t xml:space="preserve">ونفی الصلاة عمّا لا فاتحة فیها </w:t>
      </w:r>
      <w:r>
        <w:rPr>
          <w:rStyle w:val="FootnoteAnchor"/>
          <w:rtl w:val="true"/>
        </w:rPr>
        <w:footnoteReference w:id="457"/>
      </w:r>
      <w:r>
        <w:rPr>
          <w:rFonts w:ascii="IRNazanin" w:hAnsi="IRNazanin" w:eastAsia="IRNazanin"/>
          <w:color w:val="111111"/>
          <w:sz w:val="28"/>
          <w:sz w:val="28"/>
          <w:szCs w:val="28"/>
          <w:rtl w:val="true"/>
          <w:lang w:bidi="fa-IR"/>
        </w:rPr>
        <w:t xml:space="preserve">ولا طهور </w:t>
      </w:r>
      <w:r>
        <w:rPr>
          <w:rStyle w:val="FootnoteAnchor"/>
          <w:rtl w:val="true"/>
        </w:rPr>
        <w:footnoteReference w:id="458"/>
      </w:r>
      <w:r>
        <w:rPr>
          <w:rFonts w:ascii="IRNazanin" w:hAnsi="IRNazanin" w:eastAsia="IRNazanin"/>
          <w:color w:val="111111"/>
          <w:sz w:val="28"/>
          <w:sz w:val="28"/>
          <w:szCs w:val="28"/>
          <w:rtl w:val="true"/>
          <w:lang w:bidi="fa-IR"/>
        </w:rPr>
        <w:t xml:space="preserve">والحکم بتحلیلها بالتسلیم </w:t>
      </w:r>
      <w:r>
        <w:rPr>
          <w:rStyle w:val="FootnoteAnchor"/>
          <w:rtl w:val="true"/>
        </w:rPr>
        <w:footnoteReference w:id="459"/>
      </w:r>
      <w:r>
        <w:rPr>
          <w:rFonts w:ascii="IRNazanin" w:hAnsi="IRNazanin" w:eastAsia="IRNazanin"/>
          <w:color w:val="111111"/>
          <w:sz w:val="28"/>
          <w:sz w:val="28"/>
          <w:szCs w:val="28"/>
          <w:rtl w:val="true"/>
          <w:lang w:bidi="fa-IR"/>
        </w:rPr>
        <w:t>ینافی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من أقسام الصلاة الواجبة صلاة الاحتیاط والقضاء، فیمکن دخولُهما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استحسنه المصنّف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الأوّل مکمِّلٌ لما یُحتمل فواته منها، والثانی فعلها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وجهٌ وجیه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الصلاة خیر </w:t>
      </w:r>
      <w:r>
        <w:rPr>
          <w:rStyle w:val="FootnoteAnchor"/>
          <w:rtl w:val="true"/>
        </w:rPr>
        <w:footnoteReference w:id="461"/>
      </w:r>
      <w:r>
        <w:rPr>
          <w:rFonts w:ascii="IRNazanin" w:hAnsi="IRNazanin" w:eastAsia="IRNazanin"/>
          <w:color w:val="111111"/>
          <w:sz w:val="28"/>
          <w:sz w:val="28"/>
          <w:szCs w:val="28"/>
          <w:rtl w:val="true"/>
          <w:lang w:bidi="fa-IR"/>
        </w:rPr>
        <w:t xml:space="preserve">موضوع، فمن شاء استقلّ ومن شاء استکثر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 الرواتب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الیومیّة التی هی ضعفها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فللظهر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وللعصر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وللمغرب أربع بعدها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وللعشاء رکعتان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ثابت فیهما بالأصل لا رخصة؛ لأنّ الغرض منهما واحدةٌ لیکمل بها ضِعْف الفریضة، وهو یحصل بالجلوس فیهما؛ لأنّ الرکعتین من جلوس ثوابُهما رکعةٌ من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أفضل علی الأقوی؛ للتصریح به فی بعض الأخبار </w:t>
      </w:r>
      <w:r>
        <w:rPr>
          <w:rStyle w:val="FootnoteAnchor"/>
          <w:rtl w:val="true"/>
        </w:rPr>
        <w:footnoteReference w:id="464"/>
      </w:r>
      <w:r>
        <w:rPr>
          <w:rFonts w:ascii="IRNazanin" w:hAnsi="IRNazanin" w:eastAsia="IRNazanin"/>
          <w:color w:val="111111"/>
          <w:sz w:val="28"/>
          <w:sz w:val="28"/>
          <w:szCs w:val="28"/>
          <w:rtl w:val="true"/>
          <w:lang w:bidi="fa-IR"/>
        </w:rPr>
        <w:t xml:space="preserve">وعدم دلالة ما دلّ علی فعلهما جالساً </w:t>
      </w:r>
      <w:r>
        <w:rPr>
          <w:rStyle w:val="FootnoteAnchor"/>
          <w:rtl w:val="true"/>
        </w:rPr>
        <w:footnoteReference w:id="465"/>
      </w:r>
      <w:r>
        <w:rPr>
          <w:rFonts w:ascii="IRNazanin" w:hAnsi="IRNazanin" w:eastAsia="IRNazanin"/>
          <w:color w:val="111111"/>
          <w:sz w:val="28"/>
          <w:sz w:val="28"/>
          <w:szCs w:val="28"/>
          <w:rtl w:val="true"/>
          <w:lang w:bidi="fa-IR"/>
        </w:rPr>
        <w:t xml:space="preserve">علی أفضلیّته، بل غایته الدلالة علی الجواز، مضافاً إلی ما دلّ علی أفضلیّة القیام فی النافلة مطلقاً </w:t>
      </w:r>
      <w:r>
        <w:rPr>
          <w:rStyle w:val="FootnoteAnchor"/>
          <w:rtl w:val="true"/>
        </w:rPr>
        <w:footnoteReference w:id="466"/>
      </w:r>
      <w:r>
        <w:rPr>
          <w:rFonts w:ascii="IRNazanin" w:hAnsi="IRNazanin" w:eastAsia="IRNazanin"/>
          <w:color w:val="111111"/>
          <w:sz w:val="28"/>
          <w:sz w:val="28"/>
          <w:szCs w:val="28"/>
          <w:rtl w:val="true"/>
          <w:lang w:bidi="fa-IR"/>
        </w:rPr>
        <w:t xml:space="preserve">ومحلّهما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جعلهما بعد التعقیب وبعد کلّ صلاةٍ یرید فعلها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کلام المصنّف فی تقدیمهما علی نافلة شهر رمضان الواقعة بعد العشاء وتأخیرهما عنها، ففی النفلیّة قطع بالأوّل </w:t>
      </w:r>
      <w:r>
        <w:rPr>
          <w:rStyle w:val="FootnoteAnchor"/>
          <w:rtl w:val="true"/>
        </w:rPr>
        <w:footnoteReference w:id="467"/>
      </w:r>
      <w:r>
        <w:rPr>
          <w:rFonts w:ascii="IRNazanin" w:hAnsi="IRNazanin" w:eastAsia="IRNazanin"/>
          <w:color w:val="111111"/>
          <w:sz w:val="28"/>
          <w:sz w:val="28"/>
          <w:szCs w:val="28"/>
          <w:rtl w:val="true"/>
          <w:lang w:bidi="fa-IR"/>
        </w:rPr>
        <w:t xml:space="preserve">وفی الذکری بالثانی </w:t>
      </w:r>
      <w:r>
        <w:rPr>
          <w:rStyle w:val="FootnoteAnchor"/>
          <w:rtl w:val="true"/>
        </w:rPr>
        <w:footnoteReference w:id="468"/>
      </w:r>
      <w:r>
        <w:rPr>
          <w:rFonts w:ascii="IRNazanin" w:hAnsi="IRNazanin" w:eastAsia="IRNazanin"/>
          <w:color w:val="111111"/>
          <w:sz w:val="28"/>
          <w:sz w:val="28"/>
          <w:szCs w:val="28"/>
          <w:rtl w:val="true"/>
          <w:lang w:bidi="fa-IR"/>
        </w:rPr>
        <w:t>وظاهره هنا الأوّل نظراً إلی البعدیّة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وثمان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رکعات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ورکعتا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رکعة الوتر، ورکعتا الصبح قبلها</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روایةً </w:t>
      </w:r>
      <w:r>
        <w:rPr>
          <w:rStyle w:val="FootnoteAnchor"/>
          <w:rtl w:val="true"/>
        </w:rPr>
        <w:footnoteReference w:id="470"/>
      </w:r>
      <w:r>
        <w:rPr>
          <w:rFonts w:ascii="IRNazanin" w:hAnsi="IRNazanin" w:eastAsia="IRNazanin"/>
          <w:color w:val="111111"/>
          <w:sz w:val="28"/>
          <w:sz w:val="28"/>
          <w:szCs w:val="28"/>
          <w:rtl w:val="true"/>
          <w:lang w:bidi="fa-IR"/>
        </w:rPr>
        <w:t>وفتویً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ثلاث وثلاثون بإسقاط</w:t>
      </w:r>
    </w:p>
    <w:p>
      <w:pPr>
        <w:pStyle w:val="BookText"/>
        <w:rPr/>
      </w:pPr>
      <w:r>
        <w:rPr>
          <w:rFonts w:ascii="IRNazanin" w:hAnsi="IRNazanin" w:eastAsia="IRNazanin"/>
          <w:color w:val="111111"/>
          <w:sz w:val="28"/>
          <w:sz w:val="28"/>
          <w:szCs w:val="28"/>
          <w:rtl w:val="true"/>
          <w:lang w:bidi="fa-IR"/>
        </w:rPr>
        <w:t xml:space="preserve">الوتیرة </w:t>
      </w:r>
      <w:r>
        <w:rPr>
          <w:rStyle w:val="FootnoteAnchor"/>
          <w:rtl w:val="true"/>
        </w:rPr>
        <w:footnoteReference w:id="471"/>
      </w:r>
      <w:r>
        <w:rPr>
          <w:rFonts w:ascii="IRNazanin" w:hAnsi="IRNazanin" w:eastAsia="IRNazanin"/>
          <w:color w:val="111111"/>
          <w:sz w:val="28"/>
          <w:sz w:val="28"/>
          <w:szCs w:val="28"/>
          <w:rtl w:val="true"/>
          <w:lang w:bidi="fa-IR"/>
        </w:rPr>
        <w:t xml:space="preserve">وتسع وعشرون </w:t>
      </w:r>
      <w:r>
        <w:rPr>
          <w:rStyle w:val="FootnoteAnchor"/>
          <w:rtl w:val="true"/>
        </w:rPr>
        <w:footnoteReference w:id="472"/>
      </w:r>
      <w:r>
        <w:rPr>
          <w:rFonts w:ascii="IRNazanin" w:hAnsi="IRNazanin" w:eastAsia="IRNazanin"/>
          <w:color w:val="111111"/>
          <w:sz w:val="28"/>
          <w:sz w:val="28"/>
          <w:szCs w:val="28"/>
          <w:rtl w:val="true"/>
          <w:lang w:bidi="fa-IR"/>
        </w:rPr>
        <w:t xml:space="preserve">وسبع وعشرون </w:t>
      </w:r>
      <w:r>
        <w:rPr>
          <w:rStyle w:val="FootnoteAnchor"/>
          <w:rtl w:val="true"/>
        </w:rPr>
        <w:footnoteReference w:id="473"/>
      </w:r>
      <w:r>
        <w:rPr>
          <w:rFonts w:ascii="Amiri" w:hAnsi="Amiri" w:eastAsia="Amiri" w:cs="Amiri"/>
          <w:color w:val="111111"/>
          <w:sz w:val="28"/>
          <w:sz w:val="28"/>
          <w:szCs w:val="28"/>
          <w:rtl w:val="true"/>
          <w:lang w:bidi="ar-SA"/>
        </w:rPr>
        <w:t xml:space="preserve">بنقص العصریّة أربعاً أو ستّاً </w:t>
      </w:r>
      <w:r>
        <w:rPr>
          <w:rStyle w:val="FootnoteAnchor"/>
          <w:rtl w:val="true"/>
        </w:rPr>
        <w:footnoteReference w:id="474"/>
      </w:r>
      <w:r>
        <w:rPr>
          <w:rFonts w:ascii="IRNazanin" w:hAnsi="IRNazanin" w:eastAsia="IRNazanin"/>
          <w:color w:val="111111"/>
          <w:sz w:val="28"/>
          <w:sz w:val="28"/>
          <w:szCs w:val="28"/>
          <w:rtl w:val="true"/>
          <w:lang w:bidi="fa-IR"/>
        </w:rPr>
        <w:t>مع الوتیرة، وحُملَ علی المؤکّد منها، لا علی انحصار السنّة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والخوف الموجبین للقصر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تتنصّف الرباعیّة، وتسقط راتبة المقصورة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أقصر، فالساقط نصفُ الراتبة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عشرة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غیر الوتیرة موضع وفاقٍ، وفیها علی المشهور،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إجماعیٌّ أیضاً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روی الفضل بن شاذان عن الرضا علیه السلام عدم سقوطها معلِّلاً بأ نّها زیادةٌ فی الخمسین تطوّعاً لیتمّ بها بدل کلّ رکعة من الفریضة رکعتان من التطوّع </w:t>
      </w:r>
      <w:r>
        <w:rPr>
          <w:rStyle w:val="FootnoteAnchor"/>
          <w:rtl w:val="true"/>
        </w:rPr>
        <w:footnoteReference w:id="476"/>
      </w:r>
      <w:r>
        <w:rPr>
          <w:rFonts w:ascii="Amiri" w:hAnsi="Amiri" w:eastAsia="Amiri" w:cs="Amiri"/>
          <w:color w:val="111111"/>
          <w:sz w:val="28"/>
          <w:sz w:val="28"/>
          <w:szCs w:val="28"/>
          <w:rtl w:val="true"/>
          <w:lang w:bidi="ar-SA"/>
        </w:rPr>
        <w:t>قال المصنّف فی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قویّ لأنّه خاصٌّ ومعلّل، إلّاأن ینعقد الإجماع علی خلافه </w:t>
      </w:r>
      <w:r>
        <w:rPr>
          <w:rStyle w:val="FootnoteAnchor"/>
          <w:rtl w:val="true"/>
        </w:rPr>
        <w:footnoteReference w:id="477"/>
      </w:r>
      <w:r>
        <w:rPr>
          <w:rFonts w:ascii="IRNazanin" w:hAnsi="IRNazanin" w:eastAsia="IRNazanin"/>
          <w:color w:val="111111"/>
          <w:sz w:val="28"/>
          <w:sz w:val="28"/>
          <w:szCs w:val="28"/>
          <w:rtl w:val="true"/>
          <w:lang w:bidi="fa-IR"/>
        </w:rPr>
        <w:t>ونبّه بالاستثناء علی دعوی ابن إدریس الإجماع</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478"/>
      </w:r>
      <w:r>
        <w:rPr>
          <w:rFonts w:ascii="IRNazanin" w:hAnsi="IRNazanin" w:eastAsia="IRNazanin"/>
          <w:color w:val="111111"/>
          <w:sz w:val="28"/>
          <w:sz w:val="28"/>
          <w:szCs w:val="28"/>
          <w:rtl w:val="true"/>
          <w:lang w:bidi="fa-IR"/>
        </w:rPr>
        <w:t xml:space="preserve">مع أنّ الشیخ فی النهایة صرّح بعدمه </w:t>
      </w:r>
      <w:r>
        <w:rPr>
          <w:rStyle w:val="FootnoteAnchor"/>
          <w:rtl w:val="true"/>
        </w:rPr>
        <w:footnoteReference w:id="479"/>
      </w:r>
      <w:r>
        <w:rPr>
          <w:rFonts w:ascii="IRNazanin" w:hAnsi="IRNazanin" w:eastAsia="IRNazanin"/>
          <w:color w:val="111111"/>
          <w:sz w:val="28"/>
          <w:sz w:val="28"/>
          <w:szCs w:val="28"/>
          <w:rtl w:val="true"/>
          <w:lang w:bidi="fa-IR"/>
        </w:rPr>
        <w:t>فما قوّاه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رکعتین من النافلة تشهّدٌ وتسلیم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عنه مواضع، ذکر المصنّف منها موضعین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وللوتر بانفراده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ولصلاة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التشهّد والتسلیم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الظهرین بعد الثنائیّة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عشر رکعات بخمس تشهّدات وثلاث تسلیمات کالصبح والظهرین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صلوات اُخر، ذکرها الشیخ فی المصباح </w:t>
      </w:r>
      <w:r>
        <w:rPr>
          <w:rStyle w:val="FootnoteAnchor"/>
          <w:rtl w:val="true"/>
        </w:rPr>
        <w:footnoteReference w:id="480"/>
      </w:r>
      <w:r>
        <w:rPr>
          <w:rFonts w:ascii="IRNazanin" w:hAnsi="IRNazanin" w:eastAsia="IRNazanin"/>
          <w:color w:val="111111"/>
          <w:sz w:val="28"/>
          <w:sz w:val="28"/>
          <w:szCs w:val="28"/>
          <w:rtl w:val="true"/>
          <w:lang w:bidi="fa-IR"/>
        </w:rPr>
        <w:t xml:space="preserve">والسیّد رضی الدین بن طاووس فی تتمّاته </w:t>
      </w:r>
      <w:r>
        <w:rPr>
          <w:rStyle w:val="FootnoteAnchor"/>
          <w:rtl w:val="true"/>
        </w:rPr>
        <w:footnoteReference w:id="481"/>
      </w:r>
      <w:r>
        <w:rPr>
          <w:rFonts w:ascii="Amiri" w:hAnsi="Amiri" w:eastAsia="Amiri" w:cs="Amiri"/>
          <w:color w:val="111111"/>
          <w:sz w:val="28"/>
          <w:sz w:val="28"/>
          <w:szCs w:val="28"/>
          <w:rtl w:val="true"/>
          <w:lang w:bidi="ar-SA"/>
        </w:rPr>
        <w:t xml:space="preserve">یُفعل منها </w:t>
      </w:r>
      <w:r>
        <w:rPr>
          <w:rStyle w:val="FootnoteAnchor"/>
          <w:rtl w:val="true"/>
        </w:rPr>
        <w:footnoteReference w:id="482"/>
      </w:r>
      <w:r>
        <w:rPr>
          <w:rFonts w:ascii="IRNazanin" w:hAnsi="IRNazanin" w:eastAsia="IRNazanin"/>
          <w:color w:val="111111"/>
          <w:sz w:val="28"/>
          <w:sz w:val="28"/>
          <w:szCs w:val="28"/>
          <w:rtl w:val="true"/>
          <w:lang w:bidi="fa-IR"/>
        </w:rPr>
        <w:t>بتسلیمٍ واحدٍ أزید من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المصنّف والجماعة استثناءَها؛ لعدم اشتهارها وجهالة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الأعرابی توافقها فی الثانی دون الأوّل</w:t>
      </w:r>
      <w:r>
        <w:rPr>
          <w:rFonts w:eastAsia="IRNazanin" w:cs="IRNazanin"/>
          <w:color w:val="111111"/>
          <w:sz w:val="28"/>
          <w:szCs w:val="28"/>
          <w:rtl w:val="true"/>
          <w:lang w:bidi="fa-IR"/>
        </w:rPr>
        <w:t>.</w:t>
      </w:r>
      <w:bookmarkStart w:id="188" w:name="pg19806_203369"/>
    </w:p>
    <w:p>
      <w:pPr>
        <w:pStyle w:val="Heading3"/>
        <w:numPr>
          <w:ilvl w:val="2"/>
          <w:numId w:val="1"/>
        </w:numPr>
        <w:rPr/>
      </w:pPr>
      <w:bookmarkStart w:id="189" w:name="__RefHeading___Toc2027845_2314609296"/>
      <w:bookmarkStart w:id="190" w:name="_Toc70"/>
      <w:bookmarkEnd w:id="188"/>
      <w:bookmarkEnd w:id="189"/>
      <w:r>
        <w:rPr>
          <w:rtl w:val="true"/>
        </w:rPr>
        <w:t>«</w:t>
      </w:r>
      <w:r>
        <w:rPr>
          <w:rtl w:val="true"/>
        </w:rPr>
        <w:t>الفصل الثانی</w:t>
      </w:r>
      <w:r>
        <w:rPr>
          <w:rtl w:val="true"/>
        </w:rPr>
        <w:t>» «</w:t>
      </w:r>
      <w:r>
        <w:rPr>
          <w:rtl w:val="true"/>
        </w:rPr>
        <w:t>فی شروطها</w:t>
      </w:r>
      <w:r>
        <w:rPr>
          <w:rtl w:val="true"/>
        </w:rPr>
        <w:t>»</w:t>
      </w:r>
      <w:bookmarkEnd w:id="190"/>
    </w:p>
    <w:p>
      <w:pPr>
        <w:pStyle w:val="Heading4"/>
        <w:numPr>
          <w:ilvl w:val="3"/>
          <w:numId w:val="1"/>
        </w:numPr>
        <w:rPr/>
      </w:pPr>
      <w:bookmarkStart w:id="191" w:name="__RefHeading___Toc2027847_2314609296"/>
      <w:bookmarkStart w:id="192" w:name="_Toc71"/>
      <w:bookmarkEnd w:id="191"/>
      <w:r>
        <w:rPr>
          <w:rtl w:val="true"/>
        </w:rPr>
        <w:t>اشارة</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سبعة</w:t>
      </w:r>
      <w:r>
        <w:rPr>
          <w:rFonts w:eastAsia="IRNazanin" w:cs="IRNazanin"/>
          <w:color w:val="111111"/>
          <w:sz w:val="28"/>
          <w:szCs w:val="28"/>
          <w:rtl w:val="true"/>
          <w:lang w:bidi="fa-IR"/>
        </w:rPr>
        <w:t>» :</w:t>
      </w:r>
    </w:p>
    <w:p>
      <w:pPr>
        <w:pStyle w:val="Heading4"/>
        <w:numPr>
          <w:ilvl w:val="3"/>
          <w:numId w:val="1"/>
        </w:numPr>
        <w:rPr/>
      </w:pPr>
      <w:bookmarkStart w:id="193" w:name="__RefHeading___Toc2027849_2314609296"/>
      <w:bookmarkStart w:id="194" w:name="_Toc72"/>
      <w:bookmarkEnd w:id="193"/>
      <w:r>
        <w:rPr>
          <w:rtl w:val="true"/>
        </w:rPr>
        <w:t>[«</w:t>
      </w:r>
      <w:r>
        <w:rPr>
          <w:rtl w:val="true"/>
        </w:rPr>
        <w:t>الشرط الاوّل</w:t>
      </w:r>
      <w:r>
        <w:rPr>
          <w:rtl w:val="true"/>
        </w:rPr>
        <w:t xml:space="preserve">: </w:t>
      </w:r>
      <w:r>
        <w:rPr>
          <w:rtl w:val="true"/>
        </w:rPr>
        <w:t>الوقت</w:t>
      </w:r>
      <w:r>
        <w:rPr>
          <w:rtl w:val="true"/>
        </w:rPr>
        <w:t>»]</w:t>
      </w:r>
      <w:bookmarkEnd w:id="194"/>
    </w:p>
    <w:p>
      <w:pPr>
        <w:pStyle w:val="BookText"/>
        <w:rPr/>
      </w:pPr>
      <w:r>
        <w:rPr>
          <w:rFonts w:ascii="IRNazanin" w:hAnsi="IRNazanin" w:eastAsia="IRNazanin"/>
          <w:color w:val="111111"/>
          <w:sz w:val="28"/>
          <w:sz w:val="28"/>
          <w:szCs w:val="28"/>
          <w:rtl w:val="true"/>
          <w:lang w:bidi="fa-IR"/>
        </w:rPr>
        <w:t>والمراد هنا وقت الیومیّة، مع أنّ السبعة شروطٌ لمطلق الصلاة غیر الأموات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فیجوز 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المطلق، لکن لا یلائمه تخصیص الوقت بالیومیّة، إلّاأن یؤخذ کون مطلق الوقت شرطاً، وما بعد ذِکْرِه مجملاً من التفصیل حکمٌ آخر للیومیّة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عاد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لعدم الممیِّز مع اشتراک الجمیع فی الشرائط بقولٍ مطلق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إلّاأنّ عوده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 لنظم الشروط، بقرینة تفصیل الوقت وعدم اشتراطه للطواف والأموات والملتزم إلّابتکلّفٍ وتجوّز، وعدم اشتراط الطهارة من الحدث والخبث فی صلاة الأموات وهی إحدی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واختصاصُ الیومیّة بالضمیر مع اشتراکه؛ لکونها الفرد الأظهر من بینها والأکمل، مع انضمام قرائن</w:t>
      </w:r>
    </w:p>
    <w:p>
      <w:pPr>
        <w:pStyle w:val="BookText"/>
        <w:rPr/>
      </w:pPr>
      <w:r>
        <w:rPr>
          <w:rFonts w:ascii="IRNazanin" w:hAnsi="IRNazanin" w:eastAsia="IRNazanin"/>
          <w:color w:val="111111"/>
          <w:sz w:val="28"/>
          <w:sz w:val="28"/>
          <w:szCs w:val="28"/>
          <w:rtl w:val="true"/>
          <w:lang w:bidi="fa-IR"/>
        </w:rPr>
        <w:t>لفظیّة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وسط السماء ومیلها عن دائرة نصف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بزید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الشیء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الظلّ المبسوط، وهو الحادث من المقاییس القائمة علی سطح الاُفق؛ فإنّ الشمس إذا طلعت وقع لکلّ شاخصٍ قائمٍ علی سطح الأرض بحیث یکون عموداً علی سطح الاُفق ظلُّ طویل إلی جهة المغرب، ثمّ لا یزال ینقص کلّما ارتفعت الشمس حتی تبلغ وسط السماء، فینتهی النقصان إن کان عرضُ المکان المنصوب فیه المقیاس مخالفاً لمیل الشمس فی المقدار، ویُعدم الظلّ أصلاً إن کان بقدره، وذلک فی کلّ مکانٍ یکون عرضه مساویاً للمیل الأعظم للشمس أو أنقص عند میلها بقدره وموافقته له فی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ویتّفق فی أطول أیّام السنة تقریباً فی مدینة الرسول صلی الله علیه و آله وما قاربها فی العرض، وفی مکّة قبل الانتهاء بستّة وعشرین یوماً، ثم یحدث ظلٌّ جنوبیٌّ إلی تمام المیل وبعده إلی ذلک المقدار، ثمّ یُعدم یوماً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 عرضه زائداً علی المیل الأعظم لا یُعدم الظلّ فیه أصلاً، بل یبقی عند زوال الشمس منه بقیّة تختلف زیادةً ونقصاناً ببُعد الشمس من مسامتة رؤوس أهله وقربها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عرضه مساویاً للمیل یُعدم فیه یوماً وهو أطول أیّام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عرضه أنقص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کمکّة وصنعاء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یُعدم فیه یومین عند مسامتة الشمس لرؤوس أهله صاعدةً وهابطة، کلّ ذلک مع موافقته له فی الجهة، کما مرّ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المیل الجنوبی فلا یُعدم ظلّه من ذی العرض مطلقاً، لا کما قاله المصنّف رحمه الله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ذلک بمکّة وصنعاء فی أطول</w:t>
      </w:r>
    </w:p>
    <w:p>
      <w:pPr>
        <w:pStyle w:val="BookText"/>
        <w:rPr/>
      </w:pPr>
      <w:r>
        <w:rPr>
          <w:rFonts w:ascii="Amiri" w:hAnsi="Amiri" w:eastAsia="Amiri" w:cs="Amiri"/>
          <w:color w:val="111111"/>
          <w:sz w:val="28"/>
          <w:sz w:val="28"/>
          <w:szCs w:val="28"/>
          <w:rtl w:val="true"/>
          <w:lang w:bidi="ar-SA"/>
        </w:rPr>
        <w:t xml:space="preserve">أیّام السنة </w:t>
      </w:r>
      <w:r>
        <w:rPr>
          <w:rStyle w:val="FootnoteAnchor"/>
          <w:rtl w:val="true"/>
        </w:rPr>
        <w:footnoteReference w:id="483"/>
      </w:r>
      <w:r>
        <w:rPr>
          <w:rFonts w:ascii="IRNazanin" w:hAnsi="IRNazanin" w:eastAsia="IRNazanin"/>
          <w:color w:val="111111"/>
          <w:sz w:val="28"/>
          <w:sz w:val="28"/>
          <w:szCs w:val="28"/>
          <w:rtl w:val="true"/>
          <w:lang w:bidi="fa-IR"/>
        </w:rPr>
        <w:t>فإنّه من أقبح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وقع فیه الرافعیّ من الشافعیّة </w:t>
      </w:r>
      <w:r>
        <w:rPr>
          <w:rStyle w:val="FootnoteAnchor"/>
          <w:rtl w:val="true"/>
        </w:rPr>
        <w:footnoteReference w:id="484"/>
      </w:r>
      <w:r>
        <w:rPr>
          <w:rFonts w:ascii="Amiri" w:hAnsi="Amiri" w:eastAsia="Amiri" w:cs="Amiri"/>
          <w:color w:val="111111"/>
          <w:sz w:val="28"/>
          <w:sz w:val="28"/>
          <w:szCs w:val="28"/>
          <w:rtl w:val="true"/>
          <w:lang w:bidi="ar-SA"/>
        </w:rPr>
        <w:t xml:space="preserve">ثم قلّده فیه جماعة منّا </w:t>
      </w:r>
      <w:r>
        <w:rPr>
          <w:rStyle w:val="FootnoteAnchor"/>
          <w:rtl w:val="true"/>
        </w:rPr>
        <w:footnoteReference w:id="485"/>
      </w:r>
      <w:r>
        <w:rPr>
          <w:rFonts w:ascii="IRNazanin" w:hAnsi="IRNazanin" w:eastAsia="IRNazanin"/>
          <w:color w:val="111111"/>
          <w:sz w:val="28"/>
          <w:sz w:val="28"/>
          <w:szCs w:val="28"/>
          <w:rtl w:val="true"/>
          <w:lang w:bidi="fa-IR"/>
        </w:rPr>
        <w:t xml:space="preserve">ومنهم </w:t>
      </w:r>
      <w:r>
        <w:rPr>
          <w:rStyle w:val="FootnoteAnchor"/>
          <w:rtl w:val="true"/>
        </w:rPr>
        <w:footnoteReference w:id="486"/>
      </w:r>
      <w:r>
        <w:rPr>
          <w:rFonts w:ascii="IRNazanin" w:hAnsi="IRNazanin" w:eastAsia="IRNazanin"/>
          <w:color w:val="111111"/>
          <w:sz w:val="28"/>
          <w:sz w:val="28"/>
          <w:szCs w:val="28"/>
          <w:rtl w:val="true"/>
          <w:lang w:bidi="fa-IR"/>
        </w:rPr>
        <w:t xml:space="preserve">من غیر تحقیقٍ للمحلّ، وقد حرّرنا البحث فی شرح الإرشاد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لم یذکر المصنّف هنا حکم حدوثه بعد عدمه؛ لأنّه نادر، فاقتصر علی العلامة الغالبة، ولو 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الظل فی جانب المشرق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صنع فی الرسالة الألفیّة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لشمل القسمین بعبارةٍ وجیزة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وللعصر الفراغ منها ولو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أن لا یکون قد صلّاها، فإنّ وقت العصر یدخل بمضیّ مقدار فعله الظهر بحسب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وتمام، وخفّة وبُطء، وحصول الشرائط وفقدها، بحیث لو اشتغل بها لأتمّها، لا بمعنی جواز فعل العصر حینئذٍ مطلقاً، بل تظهر الفائدة لو صلّاهاناسیاً قبل الظهر، فإنّها تقع صحیحة إن وقعت بعد دخول وقتها المذکور، وکذا لو دخل قبل أن یُتمّها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مصیر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الحادث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أی مثل ذی الظلّ وهو المقیاس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تقدیمها علی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w:t>
      </w:r>
    </w:p>
    <w:p>
      <w:pPr>
        <w:pStyle w:val="BookText"/>
        <w:rPr/>
      </w:pPr>
      <w:r>
        <w:rPr>
          <w:rFonts w:ascii="IRNazanin" w:hAnsi="IRNazanin" w:eastAsia="IRNazanin"/>
          <w:color w:val="111111"/>
          <w:sz w:val="28"/>
          <w:sz w:val="28"/>
          <w:szCs w:val="28"/>
          <w:rtl w:val="true"/>
          <w:lang w:bidi="fa-IR"/>
        </w:rPr>
        <w:t xml:space="preserve">فعل الظهر قبل هذا المقدار أفضل، بل قیل بتعیّنه </w:t>
      </w:r>
      <w:r>
        <w:rPr>
          <w:rStyle w:val="FootnoteAnchor"/>
          <w:rtl w:val="true"/>
        </w:rPr>
        <w:footnoteReference w:id="490"/>
      </w:r>
      <w:r>
        <w:rPr>
          <w:rFonts w:ascii="IRNazanin" w:hAnsi="IRNazanin" w:eastAsia="IRNazanin"/>
          <w:color w:val="111111"/>
          <w:sz w:val="28"/>
          <w:sz w:val="28"/>
          <w:szCs w:val="28"/>
          <w:rtl w:val="true"/>
          <w:lang w:bidi="fa-IR"/>
        </w:rPr>
        <w:t>بخلاف تأخیر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وللمغرب ذهاب الحمرة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الکائنة فی جهة المشرق، وحدّه قمّة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وللعشاء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تقدیراً علی نحو ما قُرّر للظهر، إلّاأ نّه هنا لو شَرَع فی العشاء تماماً تامّة الأفعال فلا بدّ من دخول المشترک وهو فیها، فتصحّ مع النسیان، بخلاف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وتأخیرها إلی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المغربیّة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بتعیّنه </w:t>
      </w:r>
      <w:r>
        <w:rPr>
          <w:rStyle w:val="FootnoteAnchor"/>
          <w:rtl w:val="true"/>
        </w:rPr>
        <w:footnoteReference w:id="491"/>
      </w:r>
      <w:r>
        <w:rPr>
          <w:rFonts w:ascii="IRNazanin" w:hAnsi="IRNazanin" w:eastAsia="IRNazanin"/>
          <w:color w:val="111111"/>
          <w:sz w:val="28"/>
          <w:sz w:val="28"/>
          <w:szCs w:val="28"/>
          <w:rtl w:val="true"/>
          <w:lang w:bidi="fa-IR"/>
        </w:rPr>
        <w:t>کتقدیم المغرب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الشفق الأصفر والأبیض فلا عبرة بهما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وللصبح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وهو الثانی المعترض فی الاُفق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ویمتدّ وقت الظهرین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علی أشهر القولین </w:t>
      </w:r>
      <w:r>
        <w:rPr>
          <w:rStyle w:val="FootnoteAnchor"/>
          <w:rtl w:val="true"/>
        </w:rPr>
        <w:footnoteReference w:id="492"/>
      </w:r>
      <w:r>
        <w:rPr>
          <w:rFonts w:ascii="IRNazanin" w:hAnsi="IRNazanin" w:eastAsia="IRNazanin"/>
          <w:color w:val="111111"/>
          <w:sz w:val="28"/>
          <w:sz w:val="28"/>
          <w:szCs w:val="28"/>
          <w:rtl w:val="true"/>
          <w:lang w:bidi="fa-IR"/>
        </w:rPr>
        <w:t>لا بمعنی أنّ الظهر تشارک العصر فی جمیع ذلک الوقت، بل یختصّ العصر من آخره بمقدار أدائها، کما یختصّ الظهر من أوّله به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وقتهما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کونهما لفظاً واحداً؛ إذ امتداد </w:t>
      </w:r>
      <w:r>
        <w:rPr>
          <w:rStyle w:val="FootnoteAnchor"/>
          <w:rtl w:val="true"/>
        </w:rPr>
        <w:footnoteReference w:id="493"/>
      </w: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 xml:space="preserve">مجموعه </w:t>
      </w:r>
      <w:r>
        <w:rPr>
          <w:rStyle w:val="FootnoteAnchor"/>
          <w:rtl w:val="true"/>
        </w:rPr>
        <w:footnoteReference w:id="494"/>
      </w:r>
      <w:r>
        <w:rPr>
          <w:rFonts w:ascii="IRNazanin" w:hAnsi="IRNazanin" w:eastAsia="IRNazanin"/>
          <w:color w:val="111111"/>
          <w:sz w:val="28"/>
          <w:sz w:val="28"/>
          <w:szCs w:val="28"/>
          <w:rtl w:val="true"/>
          <w:lang w:bidi="fa-IR"/>
        </w:rPr>
        <w:t>من حیث هو مجموع إلی الغروب لا ینافی عدم امتداد بعض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یمتدّ وقت العصر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عدم امتداد بعض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فإطلاق الامتداد علی وقتهما بهذا المعنی بطریق الحقیقة لا المجاز، إطلاقاً لحکم بعض الأجزاء علی الجمیع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العشاءین إلی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اختصاص العشاء من آخره بمقدار أدائها، علی نحو ما ذکرناه فی الظهرین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اُفق مکان المصلّی وإن لم تظهر للأبصار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الظهر من الزوال إلی أن یصیر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الظلّ الحادث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 فی وقت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أجود؛ لأنّه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سُبعی قامة المقیاس؛ لأنّها إذا قُسّمت سبعة أقسام یقال لکلّ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قامة الإنسان غالباً سبعة أقدام بقدمه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وللعصر </w:t>
      </w:r>
      <w:r>
        <w:rPr>
          <w:rStyle w:val="FootnoteAnchor"/>
          <w:rtl w:val="true"/>
        </w:rPr>
        <w:footnoteReference w:id="495"/>
      </w:r>
      <w:r>
        <w:rPr>
          <w:rFonts w:ascii="IRNazanin" w:hAnsi="IRNazanin" w:eastAsia="IRNazanin"/>
          <w:color w:val="111111"/>
          <w:sz w:val="28"/>
          <w:sz w:val="28"/>
          <w:szCs w:val="28"/>
          <w:rtl w:val="true"/>
          <w:lang w:bidi="fa-IR"/>
        </w:rPr>
        <w:t>أربعة 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تُقدّم نافلة العصر بعد صلاة الظهر أوّلَ وقتها أو فی هذا المقدار وتؤخّر الفریضة إلی وقتها، وهو ما بعد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w:t>
      </w:r>
    </w:p>
    <w:p>
      <w:pPr>
        <w:pStyle w:val="BookText"/>
        <w:rPr/>
      </w:pPr>
      <w:r>
        <w:rPr>
          <w:rFonts w:ascii="IRNazanin" w:hAnsi="IRNazanin" w:eastAsia="IRNazanin"/>
          <w:color w:val="111111"/>
          <w:sz w:val="28"/>
          <w:sz w:val="28"/>
          <w:szCs w:val="28"/>
          <w:rtl w:val="true"/>
          <w:lang w:bidi="fa-IR"/>
        </w:rPr>
        <w:t xml:space="preserve">المشهور روایة </w:t>
      </w:r>
      <w:r>
        <w:rPr>
          <w:rStyle w:val="FootnoteAnchor"/>
          <w:rtl w:val="true"/>
        </w:rPr>
        <w:footnoteReference w:id="496"/>
      </w:r>
      <w:r>
        <w:rPr>
          <w:rFonts w:ascii="Amiri" w:hAnsi="Amiri" w:eastAsia="Amiri" w:cs="Amiri"/>
          <w:color w:val="111111"/>
          <w:sz w:val="28"/>
          <w:sz w:val="28"/>
          <w:szCs w:val="28"/>
          <w:rtl w:val="true"/>
          <w:lang w:bidi="ar-SA"/>
        </w:rPr>
        <w:t>وفتویً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بعض الأخبار ما یدلّ علی امتدادهما بامتداد وقت فضیلة الفریضة </w:t>
      </w:r>
      <w:r>
        <w:rPr>
          <w:rStyle w:val="FootnoteAnchor"/>
          <w:rtl w:val="true"/>
        </w:rPr>
        <w:footnoteReference w:id="497"/>
      </w:r>
      <w:r>
        <w:rPr>
          <w:rFonts w:ascii="IRNazanin" w:hAnsi="IRNazanin" w:eastAsia="IRNazanin"/>
          <w:color w:val="111111"/>
          <w:sz w:val="28"/>
          <w:sz w:val="28"/>
          <w:szCs w:val="28"/>
          <w:rtl w:val="true"/>
          <w:lang w:bidi="fa-IR"/>
        </w:rPr>
        <w:t>وهو زیادة الظلّ بمقدار مثل الشخص للظهر ومثلیه للعصر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ویناسبه المنقول من فعل النبیّ صلی الله علیه و آله والأئمّة علیهم السلام وغیرهم من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نافلة العصر قبل الفریضة متّصلةً بها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ما ذکروه من الأقدام لا یجتمعان أصلاً لمن أراد صلاة العصر فی وقت الفضیلة، والمرویّ أنّ النبیّ صلی الله علیه و آله کان یُتبع الظهر برکعتین من سُنّة العصر، ویؤخّر الباقی إلی أن یرید صلاة العصر، وربّما أتبعها بأربع وستّ وأخّر الباقی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السرّ فی اختلاف المسلمین فی أعداد نافلتیهما، ولکن أهل البیت أدری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أخّر المتقدّمة علی الفرض عنه لا لعذر نقص الفضل وبقیت أداءً ما بقی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المتأخّرة، فإنّ وقتها لا یدخل بدون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وللمغرب إلی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المغربیّة</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وللعشاء کوقتها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أداءً إلی أن ینتصف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النوافل ما یمتدّ بامتداد وقت الفریضة علی المشهور </w:t>
      </w:r>
      <w:r>
        <w:rPr>
          <w:rStyle w:val="FootnoteAnchor"/>
          <w:rtl w:val="true"/>
        </w:rPr>
        <w:footnoteReference w:id="500"/>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وللّیل </w:t>
      </w:r>
      <w:r>
        <w:rPr>
          <w:rStyle w:val="FootnoteAnchor"/>
          <w:rtl w:val="true"/>
        </w:rPr>
        <w:footnoteReference w:id="501"/>
      </w:r>
      <w:r>
        <w:rPr>
          <w:rFonts w:ascii="IRNazanin" w:hAnsi="IRNazanin" w:eastAsia="IRNazanin"/>
          <w:color w:val="111111"/>
          <w:sz w:val="28"/>
          <w:sz w:val="28"/>
          <w:szCs w:val="28"/>
          <w:rtl w:val="true"/>
          <w:lang w:bidi="fa-IR"/>
        </w:rPr>
        <w:t>بعد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والشفع والوتر من جملة صلاة اللیل هنا، وکذا تشارکها فی المزاحمة بعد الفجر لو أدرک من الوقت مقدار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یُزاحَم بنافلة الظهرین لو أدرک من وقتها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المغربیّة فلا یُزاحَم بها مطلقاً، إلّاأن یتلبّس منها برکعتین فیتمّهما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وللصبح حتّی تطلع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المشرق، وهو آخر وقت فضیلة الفریضة، کالمثل والمثلین للظهرین والحمرة المغربیة للمغرب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یناسب روایة المثل، لا القدم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وتُکره النافلة المبتدأة </w:t>
      </w:r>
      <w:r>
        <w:rPr>
          <w:rStyle w:val="FootnoteAnchor"/>
          <w:rtl w:val="true"/>
        </w:rPr>
        <w:footnoteReference w:id="5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وهی التی یُحدثها المصلّی تبرّعاً،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واحترز بها عن ذات السبب، کصلاة الطواف والإحرام وتحیّة المسجد عند دخوله والزیارة عند حصولها والحاجة والاستخارة والشکر وقضاء النوافل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الأوقات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اثنان منها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صلاتی‌الصبح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تطلع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بعده حتی ترتفع ویستولی شعاعها وتذهب الحمرة، وهنا یتّصل وقت الکراهتین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الفعلی والزمانی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میلها إلی الغروب واصفرارها حتّی یکمل بذهاب الحمرة المشرقیّة، وتجتمع هنا الکراهتان فی وقت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وسط</w:t>
      </w:r>
    </w:p>
    <w:p>
      <w:pPr>
        <w:pStyle w:val="BookText"/>
        <w:rPr/>
      </w:pPr>
      <w:r>
        <w:rPr>
          <w:rFonts w:ascii="IRNazanin" w:hAnsi="IRNazanin" w:eastAsia="IRNazanin"/>
          <w:color w:val="111111"/>
          <w:sz w:val="28"/>
          <w:sz w:val="28"/>
          <w:szCs w:val="28"/>
          <w:rtl w:val="true"/>
          <w:lang w:bidi="fa-IR"/>
        </w:rPr>
        <w:t>السماء ووصولها إلی دائرة نصف النهار تقریباً إلی أن تزول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تکره النافلة فیه عند قیامها؛ لاستحباب صلاة رکعتین من نافلتها حینئذٍ، وفی الحقیقة هذا الاستثناء منقطع؛ لأنّ نافلة الجمعة من ذوات الأسباب، إلّاأن یقال بعدم کراهة المبتدأة فیه أیضاً، عملاً بإطلاق النصّ </w:t>
      </w:r>
      <w:r>
        <w:rPr>
          <w:rStyle w:val="FootnoteAnchor"/>
          <w:rtl w:val="true"/>
        </w:rPr>
        <w:footnoteReference w:id="504"/>
      </w:r>
      <w:r>
        <w:rPr>
          <w:rFonts w:ascii="IRNazanin" w:hAnsi="IRNazanin" w:eastAsia="IRNazanin"/>
          <w:color w:val="111111"/>
          <w:sz w:val="28"/>
          <w:sz w:val="28"/>
          <w:szCs w:val="28"/>
          <w:rtl w:val="true"/>
          <w:lang w:bidi="fa-IR"/>
        </w:rPr>
        <w:t xml:space="preserve">باستثنائه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الانتصاف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کتعب وبردٍ ورطوبة رأسٍ وجنابة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یشقّ معها الغسل، فیجوز تقدیمها حینئذٍ من أوّله بعد العشاء بنیّة التقدیم أو الأداء، ومنها الشفع والوتر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وقضاؤها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تقدیمها فی صورة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الوقت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ترتقی إلی خمسة وعشرین، ذکر أکثرَها المصنّف فی النفلیة </w:t>
      </w:r>
      <w:r>
        <w:rPr>
          <w:rStyle w:val="FootnoteAnchor"/>
          <w:rtl w:val="true"/>
        </w:rPr>
        <w:footnoteReference w:id="506"/>
      </w:r>
      <w:r>
        <w:rPr>
          <w:rFonts w:ascii="IRNazanin" w:hAnsi="IRNazanin" w:eastAsia="IRNazanin"/>
          <w:color w:val="111111"/>
          <w:sz w:val="28"/>
          <w:sz w:val="28"/>
          <w:szCs w:val="28"/>
          <w:rtl w:val="true"/>
          <w:lang w:bidi="fa-IR"/>
        </w:rPr>
        <w:t xml:space="preserve">وحرّرناها مع الباقی فی شرحها </w:t>
      </w:r>
      <w:r>
        <w:rPr>
          <w:rStyle w:val="FootnoteAnchor"/>
          <w:rtl w:val="true"/>
        </w:rPr>
        <w:footnoteReference w:id="507"/>
      </w:r>
      <w:r>
        <w:rPr>
          <w:rFonts w:ascii="IRNazanin" w:hAnsi="IRNazanin" w:eastAsia="IRNazanin"/>
          <w:color w:val="111111"/>
          <w:sz w:val="28"/>
          <w:sz w:val="28"/>
          <w:szCs w:val="28"/>
          <w:rtl w:val="true"/>
          <w:lang w:bidi="fa-IR"/>
        </w:rPr>
        <w:t>وقد ذکر منها هنا ثلاثة 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یتوقّع زوالَ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أوّله، کفاقد الساتر أو وصفه، والقیام وما بعده من المراتب الراجحة علی ما هو به إذا رجا القدرة فی آخره، والماء علی القول بجواز التیمّم مع السعة، ولإزالة النجاسة غیر المعفوّ عنها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ولصائم یتوقّع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من تاقت نفسه إلی الإفطار بحیث ینافی الإقبال علی الصلاة</w:t>
      </w:r>
      <w:r>
        <w:rPr>
          <w:rFonts w:eastAsia="IRNazanin" w:cs="IRNazanin"/>
          <w:color w:val="111111"/>
          <w:sz w:val="28"/>
          <w:szCs w:val="28"/>
          <w:rtl w:val="true"/>
          <w:lang w:bidi="fa-IR"/>
        </w:rPr>
        <w:t>.</w:t>
      </w:r>
      <w:bookmarkStart w:id="195" w:name="pg19806_203377"/>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للمُفیض من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تثلّث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ویعوَّل فی الوقت علی الظن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إلی وِرْدٍ </w:t>
      </w:r>
      <w:r>
        <w:rPr>
          <w:rStyle w:val="FootnoteAnchor"/>
          <w:rtl w:val="true"/>
        </w:rPr>
        <w:footnoteReference w:id="509"/>
      </w:r>
      <w:r>
        <w:rPr>
          <w:rFonts w:ascii="Amiri" w:hAnsi="Amiri" w:eastAsia="Amiri" w:cs="Amiri"/>
          <w:color w:val="111111"/>
          <w:sz w:val="28"/>
          <w:sz w:val="28"/>
          <w:szCs w:val="28"/>
          <w:rtl w:val="true"/>
          <w:lang w:bidi="ar-SA"/>
        </w:rPr>
        <w:t xml:space="preserve">بصنعةٍ أو درسٍ ونحوهما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إمکانه فلا یجوز الدخول بدونه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بالظنّ حیث یتعذّر </w:t>
      </w:r>
      <w:r>
        <w:rPr>
          <w:rStyle w:val="FootnoteAnchor"/>
          <w:rtl w:val="true"/>
        </w:rPr>
        <w:footnoteReference w:id="511"/>
      </w:r>
      <w:r>
        <w:rPr>
          <w:rFonts w:ascii="IRNazanin" w:hAnsi="IRNazanin" w:eastAsia="IRNazanin"/>
          <w:color w:val="111111"/>
          <w:sz w:val="28"/>
          <w:sz w:val="28"/>
          <w:szCs w:val="28"/>
          <w:rtl w:val="true"/>
          <w:lang w:bidi="fa-IR"/>
        </w:rPr>
        <w:t xml:space="preserve">العلم ثمّ انکشف وقوعها فی الوقت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وهو فیها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بأجمعها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وفاقٍ</w:t>
      </w:r>
      <w:r>
        <w:rPr>
          <w:rFonts w:eastAsia="IRNazanin" w:cs="IRNazanin"/>
          <w:color w:val="111111"/>
          <w:sz w:val="28"/>
          <w:szCs w:val="28"/>
          <w:rtl w:val="true"/>
          <w:lang w:bidi="fa-IR"/>
        </w:rPr>
        <w:t>.</w:t>
      </w:r>
    </w:p>
    <w:p>
      <w:pPr>
        <w:pStyle w:val="Heading4"/>
        <w:numPr>
          <w:ilvl w:val="3"/>
          <w:numId w:val="1"/>
        </w:numPr>
        <w:rPr/>
      </w:pPr>
      <w:bookmarkStart w:id="196" w:name="__RefHeading___Toc2027851_2314609296"/>
      <w:bookmarkStart w:id="197" w:name="_Toc73"/>
      <w:bookmarkEnd w:id="196"/>
      <w:r>
        <w:rPr>
          <w:rtl w:val="true"/>
        </w:rPr>
        <w:t>«</w:t>
      </w:r>
      <w:r>
        <w:rPr>
          <w:rtl w:val="true"/>
        </w:rPr>
        <w:t>الشرط الثانی</w:t>
      </w:r>
      <w:r>
        <w:rPr>
          <w:rtl w:val="true"/>
        </w:rPr>
        <w:t xml:space="preserve">: </w:t>
      </w:r>
      <w:r>
        <w:rPr>
          <w:rtl w:val="true"/>
        </w:rPr>
        <w:t>القبلة</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 للمُشاهد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یقدر علی التوجّه إلی عینها بغیر مشقّةٍ کثیرة لا تُتحمّل عادةً ولو بالصعود إلی جبلٍ أو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السمت الذی یُحتمل کونها فیه ویُقطع بعدم خروجها عنه لأمارةٍ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المشاهد ومَن بحکمه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ولیست الجهة للبعید محصِّلةً عینَ الکعبة وإن کان البُعد عن الجسم</w:t>
      </w:r>
    </w:p>
    <w:p>
      <w:pPr>
        <w:pStyle w:val="BookText"/>
        <w:rPr/>
      </w:pPr>
      <w:r>
        <w:rPr>
          <w:rFonts w:ascii="IRNazanin" w:hAnsi="IRNazanin" w:eastAsia="IRNazanin"/>
          <w:color w:val="111111"/>
          <w:sz w:val="28"/>
          <w:sz w:val="28"/>
          <w:szCs w:val="28"/>
          <w:rtl w:val="true"/>
          <w:lang w:bidi="fa-IR"/>
        </w:rPr>
        <w:t>یوجب اتّساع جهة محاذاته؛ لأنّ ذلک لا یقتضی استقبال العین؛ إذ لو اُخرجت خطوطٌ متوازیةٌ من مواقف البعید المتباعدة المتّفقة الجهة علی وجهٍ یزید علی جرم الکعبة لم تتّصل الخطوط أجمع بالکعبة ضرورةً، وإلّا لخرجت عن کونها متوازیة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الفرق بین العین والجهة، ویترتّب علیه بطلان صلاة بعض الصفّ المستطیل زیادةً عن قدر الکعبة لو اعتُبر مقابلة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البعید فرضه الجهة أصحّ القولین فی المسألة، خلافاً للأکثر </w:t>
      </w:r>
      <w:r>
        <w:rPr>
          <w:rStyle w:val="FootnoteAnchor"/>
          <w:rtl w:val="true"/>
        </w:rPr>
        <w:footnoteReference w:id="514"/>
      </w:r>
      <w:r>
        <w:rPr>
          <w:rFonts w:ascii="IRNazanin" w:hAnsi="IRNazanin" w:eastAsia="IRNazanin"/>
          <w:color w:val="111111"/>
          <w:sz w:val="28"/>
          <w:sz w:val="28"/>
          <w:szCs w:val="28"/>
          <w:rtl w:val="true"/>
          <w:lang w:bidi="fa-IR"/>
        </w:rPr>
        <w:t xml:space="preserve">حیث جعلوا المعتبر للخارج عن الحرم استقباله، استناداً إلی روایات ضعیفة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علِمَ البعید بالجهة بمحراب معصومٍ أو اعتبار رصدیٍّ، وإلّا عوَّل علی العلامات المنصوبة لمعرفتها نصّاً أو استنباطاً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ومن فی سمتهم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کبعض أهل خراسان ممّن یقاربهم فی طول بلدهم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المغرب علی الأیمن والمشرق علی الأیسر والجَدی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غایة ارتفاعه أو انخفاضه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المنکب الأیمن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العلامة ورد بها النصّ خاصّة علامةً للکوفة وما ناسبها </w:t>
      </w:r>
      <w:r>
        <w:rPr>
          <w:rStyle w:val="FootnoteAnchor"/>
          <w:rtl w:val="true"/>
        </w:rPr>
        <w:footnoteReference w:id="517"/>
      </w:r>
      <w:r>
        <w:rPr>
          <w:rFonts w:ascii="IRNazanin" w:hAnsi="IRNazanin" w:eastAsia="IRNazanin"/>
          <w:color w:val="111111"/>
          <w:sz w:val="28"/>
          <w:sz w:val="28"/>
          <w:szCs w:val="28"/>
          <w:rtl w:val="true"/>
          <w:lang w:bidi="fa-IR"/>
        </w:rPr>
        <w:t xml:space="preserve">وهی موافقة للقواعد المستنبطة من الهیئة وغیرها </w:t>
      </w:r>
      <w:r>
        <w:rPr>
          <w:rStyle w:val="FootnoteAnchor"/>
          <w:rtl w:val="true"/>
        </w:rPr>
        <w:footnoteReference w:id="518"/>
      </w:r>
      <w:r>
        <w:rPr>
          <w:rFonts w:ascii="IRNazanin" w:hAnsi="IRNazanin" w:eastAsia="IRNazanin"/>
          <w:color w:val="111111"/>
          <w:sz w:val="28"/>
          <w:sz w:val="28"/>
          <w:szCs w:val="28"/>
          <w:rtl w:val="true"/>
          <w:lang w:bidi="fa-IR"/>
        </w:rPr>
        <w:t>فالعمل بها متعیّنٌ فی أوساط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کبغداد والمشهدین والحِلّة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العلامة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اُرید فیها بالمغرب والمشرق الاعتدالیّان، کما صرّح به المصنّف فی البیان </w:t>
      </w:r>
      <w:r>
        <w:rPr>
          <w:rStyle w:val="FootnoteAnchor"/>
          <w:rtl w:val="true"/>
        </w:rPr>
        <w:footnoteReference w:id="519"/>
      </w:r>
      <w:r>
        <w:rPr>
          <w:rFonts w:ascii="IRNazanin" w:hAnsi="IRNazanin" w:eastAsia="IRNazanin"/>
          <w:color w:val="111111"/>
          <w:sz w:val="28"/>
          <w:sz w:val="28"/>
          <w:szCs w:val="28"/>
          <w:rtl w:val="true"/>
          <w:lang w:bidi="fa-IR"/>
        </w:rPr>
        <w:t>أو الجهتان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المقاطعتان لجهتی الجنوب والشمال بخطّین بحیث یحدث عنهما زوایا 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مخالفة للثانیة کثیراً؛ لأنّ الجَدی حال استقامته یکون علی دائرة نصف النهار المارّة بنقطتی الجنوب والشمال، فجعلُ المشرق والمغرب علی الوجه السابق علی الیمین والیسار یوجب جعل الجَدی بین الکتفین قضیّةً للتقاطع، فإذا اعتُبر کون الجدی خَلْفَ المنکب الأیمن لزم الانحراف بالوجه عن نقطة الجنوب نحو المغرب کثیراً، فینحرف بواسطته الأیمنُ عن المغرب نحوَ الشمال والأیسرُ عن المشرق نحوَ الجنوب، فلا یصحّ جعلهُما معاً علامةً لجهةٍ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یُدّعی اغتفارُ هذا التفاوت، وهو بعیدٌ خصوصاً مع مخالفة العلامة للنصّ </w:t>
      </w:r>
      <w:r>
        <w:rPr>
          <w:rStyle w:val="FootnoteAnchor"/>
          <w:rtl w:val="true"/>
        </w:rPr>
        <w:footnoteReference w:id="520"/>
      </w:r>
      <w:r>
        <w:rPr>
          <w:rFonts w:ascii="IRNazanin" w:hAnsi="IRNazanin" w:eastAsia="IRNazanin"/>
          <w:color w:val="111111"/>
          <w:sz w:val="28"/>
          <w:sz w:val="28"/>
          <w:szCs w:val="28"/>
          <w:rtl w:val="true"/>
          <w:lang w:bidi="fa-IR"/>
        </w:rPr>
        <w:t>والاعتبار، فهی إمّا فاسدة</w:t>
      </w:r>
    </w:p>
    <w:p>
      <w:pPr>
        <w:pStyle w:val="BookText"/>
        <w:rPr/>
      </w:pPr>
      <w:r>
        <w:rPr>
          <w:rFonts w:ascii="IRNazanin" w:hAnsi="IRNazanin" w:eastAsia="IRNazanin"/>
          <w:color w:val="111111"/>
          <w:sz w:val="28"/>
          <w:sz w:val="28"/>
          <w:szCs w:val="28"/>
          <w:rtl w:val="true"/>
          <w:lang w:bidi="fa-IR"/>
        </w:rPr>
        <w:t>الوضع، أو تختصّ ببعض جهات العراق، وهی أطرافه الغربیّة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کالموصل وما والاها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التحقیق أنّ جهتهم نقطة الجنوب، وهی موافقةٌ لما ذُکر فی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اعتُبرت العلامة المذکورة غیر مقیّدةٍ بالاعتدال ولا بالمصطلح بل بالجهتین العرفیّتین انتشر الفسادُ کثیراً بسبب الزیادة فیهما والنقصان الملحِق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بعلامة الشام، واُخری بعلامة العراق، وثالثةً بزیادةٍ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وتخصیصُهما </w:t>
      </w:r>
      <w:r>
        <w:rPr>
          <w:rStyle w:val="FootnoteAnchor"/>
          <w:rtl w:val="true"/>
        </w:rPr>
        <w:footnoteReference w:id="521"/>
      </w:r>
      <w:r>
        <w:rPr>
          <w:rFonts w:ascii="IRNazanin" w:hAnsi="IRNazanin" w:eastAsia="IRNazanin"/>
          <w:color w:val="111111"/>
          <w:sz w:val="28"/>
          <w:sz w:val="28"/>
          <w:szCs w:val="28"/>
          <w:rtl w:val="true"/>
          <w:lang w:bidi="fa-IR"/>
        </w:rPr>
        <w:t>حینئذٍ بما یوافق الثانیة یُوجب سقوط فائدة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أطراف العراق الشرقیّة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کالبصرة وما والاها من بلاد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فیحتاجون إلی زیادة انحراف نحوَ المغرب عن أوساطها قلیلاً، وعلی هذا القیاس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الجَدْی فی تلک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العبارة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للمَنکِب بقرینة ما قبله، وبهذا صرّح فی البیان </w:t>
      </w:r>
      <w:r>
        <w:rPr>
          <w:rStyle w:val="FootnoteAnchor"/>
          <w:rtl w:val="true"/>
        </w:rPr>
        <w:footnoteReference w:id="522"/>
      </w:r>
      <w:r>
        <w:rPr>
          <w:rFonts w:ascii="IRNazanin" w:hAnsi="IRNazanin" w:eastAsia="IRNazanin"/>
          <w:color w:val="111111"/>
          <w:sz w:val="28"/>
          <w:sz w:val="28"/>
          <w:szCs w:val="28"/>
          <w:rtl w:val="true"/>
          <w:lang w:bidi="fa-IR"/>
        </w:rPr>
        <w:t>فعلیه یکون انحراف الشامی عن نقطة الجنوب مشرقاً بقدر انحراف العراقی عنها مغرباً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صرّح به غیره </w:t>
      </w:r>
      <w:r>
        <w:rPr>
          <w:rStyle w:val="FootnoteAnchor"/>
          <w:rtl w:val="true"/>
        </w:rPr>
        <w:footnoteReference w:id="523"/>
      </w:r>
      <w:r>
        <w:rPr>
          <w:rFonts w:ascii="IRNazanin" w:hAnsi="IRNazanin" w:eastAsia="IRNazanin"/>
          <w:color w:val="111111"/>
          <w:sz w:val="28"/>
          <w:sz w:val="28"/>
          <w:szCs w:val="28"/>
          <w:rtl w:val="true"/>
          <w:lang w:bidi="fa-IR"/>
        </w:rPr>
        <w:t xml:space="preserve">ووافقه المصنّف فی الدروس </w:t>
      </w:r>
      <w:r>
        <w:rPr>
          <w:rStyle w:val="FootnoteAnchor"/>
          <w:rtl w:val="true"/>
        </w:rPr>
        <w:footnoteReference w:id="524"/>
      </w:r>
      <w:r>
        <w:rPr>
          <w:rFonts w:ascii="IRNazanin" w:hAnsi="IRNazanin" w:eastAsia="IRNazanin"/>
          <w:color w:val="111111"/>
          <w:sz w:val="28"/>
          <w:sz w:val="28"/>
          <w:szCs w:val="28"/>
          <w:rtl w:val="true"/>
          <w:lang w:bidi="fa-IR"/>
        </w:rPr>
        <w:t xml:space="preserve">وغیرها </w:t>
      </w:r>
      <w:r>
        <w:rPr>
          <w:rStyle w:val="FootnoteAnchor"/>
          <w:rtl w:val="true"/>
        </w:rPr>
        <w:footnoteReference w:id="525"/>
      </w:r>
      <w:r>
        <w:rPr>
          <w:rFonts w:ascii="IRNazanin" w:hAnsi="IRNazanin" w:eastAsia="IRNazanin"/>
          <w:color w:val="111111"/>
          <w:sz w:val="28"/>
          <w:sz w:val="28"/>
          <w:szCs w:val="28"/>
          <w:rtl w:val="true"/>
          <w:lang w:bidi="fa-IR"/>
        </w:rPr>
        <w:t>أنّ الشامی یجعل الجَدی خلفَ الکتف لا 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الحقّ الموافق للقواعد؛ لأنّ انحراف الشامی أقلّ من انحراف العراقی</w:t>
      </w:r>
    </w:p>
    <w:p>
      <w:pPr>
        <w:pStyle w:val="BookText"/>
        <w:rPr/>
      </w:pPr>
      <w:r>
        <w:rPr>
          <w:rFonts w:ascii="IRNazanin" w:hAnsi="IRNazanin" w:eastAsia="IRNazanin"/>
          <w:color w:val="111111"/>
          <w:sz w:val="28"/>
          <w:sz w:val="28"/>
          <w:szCs w:val="28"/>
          <w:rtl w:val="true"/>
          <w:lang w:bidi="fa-IR"/>
        </w:rPr>
        <w:t>المتوسّط، وبالتحریر التامّ ینقص الشامی عنه جزأین من تسعین جزءاً ممّا بین الجنوب والمشرق أو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طلوعه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بروزه عن الاُفق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 کونه، ولا غایة ارتفاعه؛ لأنّه فی غایة الارتفاع یکون مُسامِتاً للجنوب؛ لأنّ غایة ارتفاع کلِّ کوکبٍ یکون علی دائرة نصف النهار المسامتة له کما سلف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بعض المغرب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کالحبشة والنوبة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المغرب المشهور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الثُریّا </w:t>
      </w:r>
      <w:r>
        <w:rPr>
          <w:rStyle w:val="FootnoteAnchor"/>
          <w:rtl w:val="true"/>
        </w:rPr>
        <w:footnoteReference w:id="529"/>
      </w:r>
      <w:r>
        <w:rPr>
          <w:rFonts w:ascii="Amiri" w:hAnsi="Amiri" w:eastAsia="Amiri" w:cs="Amiri"/>
          <w:color w:val="111111"/>
          <w:sz w:val="28"/>
          <w:sz w:val="28"/>
          <w:szCs w:val="28"/>
          <w:rtl w:val="true"/>
          <w:lang w:bidi="ar-SA"/>
        </w:rPr>
        <w:t xml:space="preserve">والعَیُّوق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طلوعهما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یمینه وشماله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الثُریّا علی الیمین والعیُّوق علی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المغرب المشهور فقبلته تقرب من نقطة المشرق وبعضُها یمیل عنه نحو الجنوب یسیراً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والیمن مقابل </w:t>
      </w:r>
      <w:r>
        <w:rPr>
          <w:rStyle w:val="FootnoteAnchor"/>
          <w:rtl w:val="true"/>
        </w:rPr>
        <w:footnoteReference w:id="531"/>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الیمن یجعلون سُهیلاً طالعاً بین الکتفین مقابلَ جعلِ الشامی له بین العینین، وأ نّهم یجعلون‌الجَدی مُحاذیاً لاُذنهم الیمنی، بحیث یکون مقابلاً للمَنکِب الأیسر، فإنّ مقابله یکون إلی مقدم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مخالفٌ لما صرّح به المصنّف فی کتبه الثلاثة </w:t>
      </w:r>
      <w:r>
        <w:rPr>
          <w:rStyle w:val="FootnoteAnchor"/>
          <w:rtl w:val="true"/>
        </w:rPr>
        <w:footnoteReference w:id="532"/>
      </w:r>
      <w:r>
        <w:rPr>
          <w:rFonts w:ascii="IRNazanin" w:hAnsi="IRNazanin" w:eastAsia="IRNazanin"/>
          <w:color w:val="111111"/>
          <w:sz w:val="28"/>
          <w:sz w:val="28"/>
          <w:szCs w:val="28"/>
          <w:rtl w:val="true"/>
          <w:lang w:bidi="fa-IR"/>
        </w:rPr>
        <w:t xml:space="preserve">وغیره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الیمنی یجعل الجَدی بین العینین وسُهیلاً غائباً بین الکتفین، فإنّ ذلک یقتضی کونَ الیمن مقابلاً للعراق لا للشام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الاختلاف فالعلامتان مختلفتان أیضاً؛ فإنّ جَعْلَ الجَدی طالعاً بین العینین یقتضی استقبال نقطة الشمال، وحینئذٍ فیکون نقطة الجنوب بین الکتفین، وهی موازیةٌ لسُهیل فی غایة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فالمقابلة للعراقی لا للشامی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ما یتعلّق بعباراتهم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الموافق للتحقیق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المقابل للشام من الیمن هو صنعاء وما ناسبها، وهی لا تناسب شیئاً من هذه العلامات، وإنّما المناسب لها عَدَن </w:t>
      </w:r>
      <w:r>
        <w:rPr>
          <w:rStyle w:val="FootnoteAnchor"/>
          <w:rtl w:val="true"/>
        </w:rPr>
        <w:footnoteReference w:id="534"/>
      </w:r>
      <w:r>
        <w:rPr>
          <w:rFonts w:ascii="IRNazanin" w:hAnsi="IRNazanin" w:eastAsia="IRNazanin"/>
          <w:color w:val="111111"/>
          <w:sz w:val="28"/>
          <w:sz w:val="28"/>
          <w:szCs w:val="28"/>
          <w:rtl w:val="true"/>
          <w:lang w:bidi="fa-IR"/>
        </w:rPr>
        <w:t>وما والاها،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یُعوَّل علی قبلة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علم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حینئذٍ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الاجتهاد فیها تیامناً وتیاسراً وإن لم یعلم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مسجده وتوجّه قبوره ونحوه، ولا فرق بین الکبیر والصغیر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بلد المسلمین، فلا عبرة بمحراب المجهولة </w:t>
      </w:r>
      <w:r>
        <w:rPr>
          <w:rStyle w:val="FootnoteAnchor"/>
          <w:rtl w:val="true"/>
        </w:rPr>
        <w:footnoteReference w:id="535"/>
      </w:r>
      <w:r>
        <w:rPr>
          <w:rFonts w:ascii="IRNazanin" w:hAnsi="IRNazanin" w:eastAsia="IRNazanin"/>
          <w:color w:val="111111"/>
          <w:sz w:val="28"/>
          <w:sz w:val="28"/>
          <w:szCs w:val="28"/>
          <w:rtl w:val="true"/>
          <w:lang w:bidi="fa-IR"/>
        </w:rPr>
        <w:t>کقبورها، کما لا عبرة بنحو القبر والقبرین للمسلمین، ولا بالمحراب المنصوب فی طریقٍ قلیلة المارّة منهم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فقد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الجهة المذکورة هنا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العارف بها، رجلاً کان أم امرأة، حرّاً أم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فقدها لمانع من رؤیتها کغَیْم، ورؤیته کعمیً، وجهلٍ بها کالعامّی مع ضیق الوقت عن التعلّم علی أجود الأقوال، وهو الذی یقتضیه إطلاق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وللمصنّف وغیره فی ذلک اختلاف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فَقَد التقلید صلّی إلی أربع جهات متقاطعة علی زوایا قوائم مع الإمکان، فإن عجز اکتفی بالممکن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 بالأربع حینئذٍ مشهور، ومستنده ضعیف </w:t>
      </w:r>
      <w:r>
        <w:rPr>
          <w:rStyle w:val="FootnoteAnchor"/>
          <w:rtl w:val="true"/>
        </w:rPr>
        <w:footnoteReference w:id="537"/>
      </w:r>
      <w:r>
        <w:rPr>
          <w:rFonts w:ascii="IRNazanin" w:hAnsi="IRNazanin" w:eastAsia="IRNazanin"/>
          <w:color w:val="111111"/>
          <w:sz w:val="28"/>
          <w:sz w:val="28"/>
          <w:szCs w:val="28"/>
          <w:rtl w:val="true"/>
          <w:lang w:bidi="fa-IR"/>
        </w:rPr>
        <w:t xml:space="preserve">واعتباره حَسَنٌ؛ لأنّ الصلاة کذلک تستلزم إمّا القبلة أو الانحراف عنها بما لا یبلغ الیمین والیسار، وهو موجبٌ للصحّة مطلقاً </w:t>
      </w:r>
      <w:r>
        <w:rPr>
          <w:rStyle w:val="FootnoteAnchor"/>
          <w:rtl w:val="true"/>
        </w:rPr>
        <w:footnoteReference w:id="538"/>
      </w:r>
      <w:r>
        <w:rPr>
          <w:rFonts w:ascii="IRNazanin" w:hAnsi="IRNazanin" w:eastAsia="IRNazanin"/>
          <w:color w:val="111111"/>
          <w:sz w:val="28"/>
          <w:sz w:val="28"/>
          <w:szCs w:val="28"/>
          <w:rtl w:val="true"/>
          <w:lang w:bidi="fa-IR"/>
        </w:rPr>
        <w:t xml:space="preserve">ویبقی الزائد عن الصلاة الواحدة واجباً من باب المقدّمة؛ لتوقّف الصلاة إلی القبلة أو ما فی حکمها الواجب </w:t>
      </w:r>
      <w:r>
        <w:rPr>
          <w:rStyle w:val="FootnoteAnchor"/>
          <w:rtl w:val="true"/>
        </w:rPr>
        <w:footnoteReference w:id="539"/>
      </w:r>
      <w:r>
        <w:rPr>
          <w:rFonts w:ascii="IRNazanin" w:hAnsi="IRNazanin" w:eastAsia="IRNazanin"/>
          <w:color w:val="111111"/>
          <w:sz w:val="28"/>
          <w:sz w:val="28"/>
          <w:szCs w:val="28"/>
          <w:rtl w:val="true"/>
          <w:lang w:bidi="fa-IR"/>
        </w:rPr>
        <w:t>علیه، کوجوب الصلاة</w:t>
      </w:r>
    </w:p>
    <w:p>
      <w:pPr>
        <w:pStyle w:val="BookText"/>
        <w:rPr/>
      </w:pPr>
      <w:r>
        <w:rPr>
          <w:rFonts w:ascii="IRNazanin" w:hAnsi="IRNazanin" w:eastAsia="IRNazanin"/>
          <w:color w:val="111111"/>
          <w:sz w:val="28"/>
          <w:sz w:val="28"/>
          <w:szCs w:val="28"/>
          <w:rtl w:val="true"/>
          <w:lang w:bidi="fa-IR"/>
        </w:rPr>
        <w:t xml:space="preserve">الواحدة فی الثیاب المتعدّدة المشتبهة بالنجس لتحصیل </w:t>
      </w:r>
      <w:r>
        <w:rPr>
          <w:rStyle w:val="FootnoteAnchor"/>
          <w:rtl w:val="true"/>
        </w:rPr>
        <w:footnoteReference w:id="540"/>
      </w:r>
      <w:r>
        <w:rPr>
          <w:rFonts w:ascii="IRNazanin" w:hAnsi="IRNazanin" w:eastAsia="IRNazanin"/>
          <w:color w:val="111111"/>
          <w:sz w:val="28"/>
          <w:sz w:val="28"/>
          <w:szCs w:val="28"/>
          <w:rtl w:val="true"/>
          <w:lang w:bidi="fa-IR"/>
        </w:rPr>
        <w:t>الصلاة فی واحدٍ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یجب بدون النصّ، فیبقی النصّ </w:t>
      </w:r>
      <w:r>
        <w:rPr>
          <w:rStyle w:val="FootnoteAnchor"/>
          <w:rtl w:val="true"/>
        </w:rPr>
        <w:footnoteReference w:id="541"/>
      </w:r>
      <w:r>
        <w:rPr>
          <w:rFonts w:ascii="Amiri" w:hAnsi="Amiri" w:eastAsia="Amiri" w:cs="Amiri"/>
          <w:color w:val="111111"/>
          <w:sz w:val="28"/>
          <w:sz w:val="28"/>
          <w:szCs w:val="28"/>
          <w:rtl w:val="true"/>
          <w:lang w:bidi="ar-SA"/>
        </w:rPr>
        <w:t>له شاهداً وإن کان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السیّد رضی الدین بن طاووس هنا إلی العمل بالقرعة </w:t>
      </w:r>
      <w:r>
        <w:rPr>
          <w:rStyle w:val="FootnoteAnchor"/>
          <w:rtl w:val="true"/>
        </w:rPr>
        <w:footnoteReference w:id="542"/>
      </w:r>
      <w:r>
        <w:rPr>
          <w:rFonts w:ascii="IRNazanin" w:hAnsi="IRNazanin" w:eastAsia="IRNazanin"/>
          <w:color w:val="111111"/>
          <w:sz w:val="28"/>
          <w:sz w:val="28"/>
          <w:szCs w:val="28"/>
          <w:rtl w:val="true"/>
          <w:lang w:bidi="fa-IR"/>
        </w:rPr>
        <w:t>استضعافاً لسند الأربع، مع ورودها لکلّ أمرٍ مشتبه، وهذا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انکشف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بالاجتهاد أو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ناسیاً للمراعاة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 ما کان بین الیمین والیسار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کان دونهما إلی جهة القبلة وإن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ویُعید ما کان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صلّی إلی ما یقابل سَمْتَ القبلة الذی تجوز الصلاة إلیه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ولو خرج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جمعاً بین الأخبار الدالّ أکثرها علی إطلاق الإعادة فی الوقت </w:t>
      </w:r>
      <w:r>
        <w:rPr>
          <w:rStyle w:val="FootnoteAnchor"/>
          <w:rtl w:val="true"/>
        </w:rPr>
        <w:footnoteReference w:id="543"/>
      </w:r>
      <w:r>
        <w:rPr>
          <w:rFonts w:ascii="IRNazanin" w:hAnsi="IRNazanin" w:eastAsia="IRNazanin"/>
          <w:color w:val="111111"/>
          <w:sz w:val="28"/>
          <w:sz w:val="28"/>
          <w:szCs w:val="28"/>
          <w:rtl w:val="true"/>
          <w:lang w:bidi="fa-IR"/>
        </w:rPr>
        <w:t xml:space="preserve">وبعضُها علی تخصیصه بالمتیامن والمتیاسر </w:t>
      </w:r>
      <w:r>
        <w:rPr>
          <w:rStyle w:val="FootnoteAnchor"/>
          <w:rtl w:val="true"/>
        </w:rPr>
        <w:footnoteReference w:id="544"/>
      </w:r>
      <w:r>
        <w:rPr>
          <w:rFonts w:ascii="Amiri" w:hAnsi="Amiri" w:eastAsia="Amiri" w:cs="Amiri"/>
          <w:color w:val="111111"/>
          <w:sz w:val="28"/>
          <w:sz w:val="28"/>
          <w:szCs w:val="28"/>
          <w:rtl w:val="true"/>
          <w:lang w:bidi="ar-SA"/>
        </w:rPr>
        <w:t xml:space="preserve">وإعادة المستدبر مطلقاً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الإعادة فی الوقت مطلقاً؛ لضعف مستند التفصیل الموجب لتقیید</w:t>
      </w:r>
      <w:bookmarkStart w:id="198" w:name="pg19806_203385"/>
    </w:p>
    <w:p>
      <w:pPr>
        <w:pStyle w:val="BookText"/>
        <w:rPr/>
      </w:pPr>
      <w:bookmarkEnd w:id="198"/>
      <w:r>
        <w:rPr>
          <w:rFonts w:ascii="IRNazanin" w:hAnsi="IRNazanin" w:eastAsia="IRNazanin"/>
          <w:color w:val="111111"/>
          <w:sz w:val="28"/>
          <w:sz w:val="28"/>
          <w:szCs w:val="28"/>
          <w:rtl w:val="true"/>
          <w:lang w:bidi="fa-IR"/>
        </w:rPr>
        <w:t xml:space="preserve">الصحیح </w:t>
      </w:r>
      <w:r>
        <w:rPr>
          <w:rStyle w:val="FootnoteAnchor"/>
          <w:rtl w:val="true"/>
        </w:rPr>
        <w:footnoteReference w:id="546"/>
      </w:r>
      <w:r>
        <w:rPr>
          <w:rFonts w:ascii="IRNazanin" w:hAnsi="IRNazanin" w:eastAsia="IRNazanin"/>
          <w:color w:val="111111"/>
          <w:sz w:val="28"/>
          <w:sz w:val="28"/>
          <w:szCs w:val="28"/>
          <w:rtl w:val="true"/>
          <w:lang w:bidi="fa-IR"/>
        </w:rPr>
        <w:t>المتناول بإطلاقه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المشهور کلّ ما خرج عن دَبْر القبلة إلی أن یصل إلی الیمین والیسار یلحق بهما، وما خرج عنهما نحو القبلة یلحق بها</w:t>
      </w:r>
      <w:r>
        <w:rPr>
          <w:rFonts w:eastAsia="IRNazanin" w:cs="IRNazanin"/>
          <w:color w:val="111111"/>
          <w:sz w:val="28"/>
          <w:szCs w:val="28"/>
          <w:rtl w:val="true"/>
          <w:lang w:bidi="fa-IR"/>
        </w:rPr>
        <w:t>.</w:t>
      </w:r>
    </w:p>
    <w:p>
      <w:pPr>
        <w:pStyle w:val="Heading4"/>
        <w:numPr>
          <w:ilvl w:val="3"/>
          <w:numId w:val="1"/>
        </w:numPr>
        <w:rPr/>
      </w:pPr>
      <w:bookmarkStart w:id="199" w:name="__RefHeading___Toc2027853_2314609296"/>
      <w:bookmarkStart w:id="200" w:name="_Toc74"/>
      <w:bookmarkEnd w:id="199"/>
      <w:r>
        <w:rPr>
          <w:rtl w:val="true"/>
        </w:rPr>
        <w:t>« [</w:t>
      </w:r>
      <w:r>
        <w:rPr>
          <w:rtl w:val="true"/>
        </w:rPr>
        <w:t xml:space="preserve">الشرط </w:t>
      </w:r>
      <w:r>
        <w:rPr>
          <w:rtl w:val="true"/>
        </w:rPr>
        <w:t xml:space="preserve">] </w:t>
      </w:r>
      <w:r>
        <w:rPr>
          <w:rtl w:val="true"/>
        </w:rPr>
        <w:t>الثالث</w:t>
      </w:r>
      <w:r>
        <w:rPr>
          <w:rtl w:val="true"/>
        </w:rPr>
        <w:t xml:space="preserve">: </w:t>
      </w:r>
      <w:r>
        <w:rPr>
          <w:rtl w:val="true"/>
        </w:rPr>
        <w:t>ستر</w:t>
      </w:r>
      <w:bookmarkEnd w:id="200"/>
    </w:p>
    <w:p>
      <w:pPr>
        <w:pStyle w:val="Heading5"/>
        <w:numPr>
          <w:ilvl w:val="4"/>
          <w:numId w:val="1"/>
        </w:numPr>
        <w:rPr/>
      </w:pPr>
      <w:bookmarkStart w:id="201" w:name="__RefHeading___Toc2027855_2314609296"/>
      <w:bookmarkStart w:id="202" w:name="_Toc75"/>
      <w:bookmarkEnd w:id="201"/>
      <w:r>
        <w:rPr>
          <w:rtl w:val="true"/>
        </w:rPr>
        <w:t>اشارة</w:t>
      </w:r>
      <w:bookmarkEnd w:id="2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w:t>
      </w:r>
    </w:p>
    <w:p>
      <w:pPr>
        <w:pStyle w:val="BookText"/>
        <w:rPr/>
      </w:pP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 والدُّبر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القضیب والاُنثیان،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المخرج لا الألیان فی المشهور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البدن عدا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یجب غَسله منه فی الوضوء 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ظاهرهما وباطنهما من الزَّندین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باطنهما، وحدُّهما مفصل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الذکری والدروس ألحق باطنهما بظاهرهما </w:t>
      </w:r>
      <w:r>
        <w:rPr>
          <w:rStyle w:val="FootnoteAnchor"/>
          <w:rtl w:val="true"/>
        </w:rPr>
        <w:footnoteReference w:id="549"/>
      </w:r>
      <w:r>
        <w:rPr>
          <w:rFonts w:ascii="IRNazanin" w:hAnsi="IRNazanin" w:eastAsia="IRNazanin"/>
          <w:color w:val="111111"/>
          <w:sz w:val="28"/>
          <w:sz w:val="28"/>
          <w:szCs w:val="28"/>
          <w:rtl w:val="true"/>
          <w:lang w:bidi="fa-IR"/>
        </w:rPr>
        <w:t xml:space="preserve">وفی البیان استقرب ما هنا </w:t>
      </w:r>
      <w:r>
        <w:rPr>
          <w:rStyle w:val="FootnoteAnchor"/>
          <w:rtl w:val="true"/>
        </w:rPr>
        <w:footnoteReference w:id="550"/>
      </w:r>
      <w:r>
        <w:rPr>
          <w:rFonts w:ascii="Amiri" w:hAnsi="Amiri" w:eastAsia="Amiri" w:cs="Amiri"/>
          <w:color w:val="111111"/>
          <w:sz w:val="28"/>
          <w:sz w:val="28"/>
          <w:szCs w:val="28"/>
          <w:rtl w:val="true"/>
          <w:lang w:bidi="ar-SA"/>
        </w:rPr>
        <w:t xml:space="preserve">وهو 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ستر شیءٍ من الوجه والکفّ والقدم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عورة الرجل</w:t>
      </w:r>
      <w:r>
        <w:rPr>
          <w:rFonts w:eastAsia="IRNazanin" w:cs="IRNazanin"/>
          <w:color w:val="111111"/>
          <w:sz w:val="28"/>
          <w:szCs w:val="28"/>
          <w:rtl w:val="true"/>
          <w:lang w:bidi="fa-IR"/>
        </w:rPr>
        <w:t>.</w:t>
      </w:r>
      <w:bookmarkStart w:id="203" w:name="pg19806_203386"/>
    </w:p>
    <w:p>
      <w:pPr>
        <w:pStyle w:val="BookText"/>
        <w:rPr/>
      </w:pPr>
      <w:bookmarkEnd w:id="203"/>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الاُنثی البالغة؛ لأنّها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الرجل، فتدخل فیها الأمة البالغة، وسیأتی جواز کشفها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الشعر فی ما یجب ستره، وبه قطع المصنّف فی کتبه </w:t>
      </w:r>
      <w:r>
        <w:rPr>
          <w:rStyle w:val="FootnoteAnchor"/>
          <w:rtl w:val="true"/>
        </w:rPr>
        <w:footnoteReference w:id="551"/>
      </w:r>
      <w:r>
        <w:rPr>
          <w:rFonts w:ascii="Amiri" w:hAnsi="Amiri" w:eastAsia="Amiri" w:cs="Amiri"/>
          <w:color w:val="111111"/>
          <w:sz w:val="28"/>
          <w:sz w:val="28"/>
          <w:szCs w:val="28"/>
          <w:rtl w:val="true"/>
          <w:lang w:bidi="ar-SA"/>
        </w:rPr>
        <w:t xml:space="preserve">وفی الألفیّة جَعَله أولی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2027857_2314609296"/>
      <w:bookmarkStart w:id="205" w:name="_Toc76"/>
      <w:bookmarkEnd w:id="204"/>
      <w:r>
        <w:rPr>
          <w:rtl w:val="true"/>
        </w:rPr>
        <w:t>[</w:t>
      </w:r>
      <w:r>
        <w:rPr>
          <w:rtl w:val="true"/>
        </w:rPr>
        <w:t>ما یجب فی الساتر</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کون الساتر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نجساً لم تصحّ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وعُفی عمّا مرّ </w:t>
      </w:r>
      <w:r>
        <w:rPr>
          <w:rStyle w:val="FootnoteAnchor"/>
          <w:rtl w:val="true"/>
        </w:rPr>
        <w:footnoteReference w:id="5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ثوب صاحب القروح والجروح بشرطه </w:t>
      </w:r>
      <w:r>
        <w:rPr>
          <w:rStyle w:val="FootnoteAnchor"/>
          <w:rtl w:val="true"/>
        </w:rPr>
        <w:footnoteReference w:id="554"/>
      </w:r>
      <w:r>
        <w:rPr>
          <w:rFonts w:ascii="IRNazanin" w:hAnsi="IRNazanin" w:eastAsia="IRNazanin"/>
          <w:color w:val="111111"/>
          <w:sz w:val="28"/>
          <w:sz w:val="28"/>
          <w:szCs w:val="28"/>
          <w:rtl w:val="true"/>
          <w:lang w:bidi="fa-IR"/>
        </w:rPr>
        <w:t>وما نجس بدون الدرهم من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المربّیة للصبیّ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لمطلق الولد وهو مورد النصّ </w:t>
      </w:r>
      <w:r>
        <w:rPr>
          <w:rStyle w:val="FootnoteAnchor"/>
          <w:rtl w:val="true"/>
        </w:rPr>
        <w:footnoteReference w:id="555"/>
      </w:r>
      <w:r>
        <w:rPr>
          <w:rFonts w:ascii="IRNazanin" w:hAnsi="IRNazanin" w:eastAsia="IRNazanin"/>
          <w:color w:val="111111"/>
          <w:sz w:val="28"/>
          <w:sz w:val="28"/>
          <w:szCs w:val="28"/>
          <w:rtl w:val="true"/>
          <w:lang w:bidi="fa-IR"/>
        </w:rPr>
        <w:t xml:space="preserve">فکان التعمیم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الثوب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قدرت علی غیره ولو بشراء أو استئجارٍ أو استعارةٍ لم یُعفَ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بها المربّی، وبه الولد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نجاسته ببوله خاصّةً، فلا یُعفی عن غیره، کما لا یُعفی عن نجاسة البدن به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أطلق المصنّف نجاسة المربّیة من غیر أن یُقیِّد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فی 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التقیید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مورد النصّ، ولکن المصنّف أطلق النجاسة</w:t>
      </w:r>
    </w:p>
    <w:p>
      <w:pPr>
        <w:pStyle w:val="BookText"/>
        <w:rPr/>
      </w:pPr>
      <w:r>
        <w:rPr>
          <w:rFonts w:ascii="IRNazanin" w:hAnsi="IRNazanin" w:eastAsia="IRNazanin"/>
          <w:color w:val="111111"/>
          <w:sz w:val="28"/>
          <w:sz w:val="28"/>
          <w:szCs w:val="28"/>
          <w:rtl w:val="true"/>
          <w:lang w:bidi="fa-IR"/>
        </w:rPr>
        <w:t xml:space="preserve">فی کتبه کلّها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غَسله کلّ 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کونها آخر النهار لتصلّی فیه أربع صلوات متقاربة بطهارةٍ أو نجاسةٍ خفیفة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عُفی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یُتعذّر إزالته، فیُصلّی فیه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یتعیّن علیه الصلاة عاریاً، خلافاً للمشهور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تخییر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یضطرّ إلی لبسه لبردٍ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أن یُصلّی فیه صلاةً تامّة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الصلاة عاریاً، فیومئ للرکوع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العُراة قائماً مع أمن المُطّلع، وجالساً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الصلاة فیه مراعاةً للتمامیّة وتقدیماً لفوات الوصف علی فوات أصل الستر، ولولا الإجماع علی جواز الصلاة فیه عاریاً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الشهرة بتعیّنه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القول بتعیّن الصلاة فیه متوجّهاً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المضطر إلی لبسه فلا شبهة فی وجوب صلاته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بالغصب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وغیر جلدٍ وصوفٍ وشَعرٍ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المأکول، إلّاالخزّ</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وهو دابّةٌ ذات أربع تُصاد من الماء، ذکاتها کذکاة السمک، وهی معتبرةٌ فی جلده لا وَبَره 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تذکیته لأنّه ذو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بین التجّار والمسافرین أ نّه غیر مذکّی، ولا عبرة بذلک، حملاً لتصرّف</w:t>
      </w:r>
      <w:bookmarkStart w:id="206" w:name="pg19806_203388"/>
    </w:p>
    <w:p>
      <w:pPr>
        <w:pStyle w:val="BookText"/>
        <w:rPr/>
      </w:pPr>
      <w:bookmarkEnd w:id="206"/>
      <w:r>
        <w:rPr>
          <w:rFonts w:ascii="IRNazanin" w:hAnsi="IRNazanin" w:eastAsia="IRNazanin"/>
          <w:color w:val="111111"/>
          <w:sz w:val="28"/>
          <w:sz w:val="28"/>
          <w:szCs w:val="28"/>
          <w:rtl w:val="true"/>
          <w:lang w:bidi="fa-IR"/>
        </w:rPr>
        <w:t xml:space="preserve">المسلمین علی ما هو الأغلب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وغیر 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یقبل الحیاة کالجلد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یقبلها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کالشعر والصوف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فتصحّ الصلاة فیه من میّتٍ إذا أخذه جزّاً، أو غَسَل موضَع الاتّصال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المحض أو الممتزج علی وجهٍ یستهلک الخلیط لقلّته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والخنثی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واُستثنی منه ما لا یتمّ الصلاة فیه، کالتِکّة </w:t>
      </w:r>
      <w:r>
        <w:rPr>
          <w:rStyle w:val="FootnoteAnchor"/>
          <w:rtl w:val="true"/>
        </w:rPr>
        <w:footnoteReference w:id="559"/>
      </w:r>
      <w:r>
        <w:rPr>
          <w:rFonts w:ascii="Amiri" w:hAnsi="Amiri" w:eastAsia="Amiri" w:cs="Amiri"/>
          <w:color w:val="111111"/>
          <w:sz w:val="28"/>
          <w:sz w:val="28"/>
          <w:szCs w:val="28"/>
          <w:rtl w:val="true"/>
          <w:lang w:bidi="ar-SA"/>
        </w:rPr>
        <w:t>والقَلَنْسُوَة وما یُجعل منه فی أطراف الثوب ونحوها ممّا لا یزید عن أربع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الافتراش له فلا یُعدّ لُبساً کالتدثّر به والتوسّد والرکوب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ستر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الرقبة فما فوقها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الأمة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ینعتق منها شیء وإن کانت مدبّرة أو مکاتبةً مشروطة أو مطلقةً لم تؤدّ شیئاً أو اُمّ ولدٍ، ولو انعتق منها شیءٌ فکالحرّة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تبلغ، فتصحّ صلاتُها تمریناً مکشوفة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تجوز الصلاة فی ما یستر ظهر القدم إلّامع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یُغطّی شیئاً منه فوق المَفْصِل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المنع </w:t>
      </w:r>
      <w:r>
        <w:rPr>
          <w:rStyle w:val="FootnoteAnchor"/>
          <w:rtl w:val="true"/>
        </w:rPr>
        <w:footnoteReference w:id="560"/>
      </w:r>
      <w:r>
        <w:rPr>
          <w:rFonts w:ascii="Amiri" w:hAnsi="Amiri" w:eastAsia="Amiri" w:cs="Amiri"/>
          <w:color w:val="111111"/>
          <w:sz w:val="28"/>
          <w:sz w:val="28"/>
          <w:szCs w:val="28"/>
          <w:rtl w:val="true"/>
          <w:lang w:bidi="ar-SA"/>
        </w:rPr>
        <w:t>ضعیف جدّاً والقول بالجواز قویٌّ متین</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2027859_2314609296"/>
      <w:bookmarkStart w:id="208" w:name="_Toc77"/>
      <w:bookmarkEnd w:id="207"/>
      <w:r>
        <w:rPr>
          <w:rtl w:val="true"/>
        </w:rPr>
        <w:t>[</w:t>
      </w:r>
      <w:r>
        <w:rPr>
          <w:rtl w:val="true"/>
        </w:rPr>
        <w:t xml:space="preserve">ما یکره و ما یستحب فی الستر </w:t>
      </w:r>
      <w:r>
        <w:rPr>
          <w:rtl w:val="true"/>
        </w:rPr>
        <w:t>]</w:t>
      </w:r>
      <w:bookmarkEnd w:id="20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للتأسّی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وترک السود </w:t>
      </w:r>
      <w:r>
        <w:rPr>
          <w:rStyle w:val="FootnoteAnchor"/>
          <w:rtl w:val="true"/>
        </w:rPr>
        <w:footnoteReference w:id="562"/>
      </w:r>
      <w:r>
        <w:rPr>
          <w:rFonts w:ascii="IRNazanin" w:hAnsi="IRNazanin" w:eastAsia="IRNazanin"/>
          <w:color w:val="111111"/>
          <w:sz w:val="28"/>
          <w:sz w:val="28"/>
          <w:szCs w:val="28"/>
          <w:rtl w:val="true"/>
          <w:lang w:bidi="fa-IR"/>
        </w:rPr>
        <w:t>عدا العِمامة والکساء والخُفّ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یُکره الصلاة فیها سُوداً وإن کان البیاض أفضل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یحکی البدن، وإلّا لم تصحّ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واشتمالُ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 نّه الالتحاف بالإزار وإدخال طرفیه تحت یده وجمعهما علی منکب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التحنّک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إدارة جزءٍ من العمامة تحت الحَنَک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وغیره بقرینة القید فی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بالإطلاق ترکه فی أیّ حالٍ کان وإن لم یکن مصلّیاً؛ لإطلاق النصوص باستحبابه والتحذیر من ترکه، کقول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تعمّم ولم یتحنّک فأصابه داءٌ لا دواء له فلا یلومنَّ إلّا نفسه</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حتّی ذهب الصدوق إلی عدم جواز ترکه فی الصلاة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ثوب أو ما یقوم مقامه یُجعل علی المنکبین ثمّ یُردّ ما علی الأیسر علی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 من المصلّین فیستحبّ له الرداء، ولکن لا یکره ترکه بل یکون خلافُ الأولی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والنقاب للمرأة واللثام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یکرهان إذا لم یمنعا شیئاً من واجبات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منعا القراءة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حکمها الأذکار الواجبة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ثوب المتَّهم بالنجاسة أو الغصب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لباسه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کونها مثال حیوان أو </w:t>
      </w:r>
      <w:r>
        <w:rPr>
          <w:rStyle w:val="FootnoteAnchor"/>
          <w:rtl w:val="true"/>
        </w:rPr>
        <w:footnoteReference w:id="567"/>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خاتمٍ فیه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ویمکن أن یرید بها ما یعمّ المثال، وغایَرَ بینهما تفنّناً، والأوّل أوفق للمغایرة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قباءٍ مشدودٍ فی غیر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علیّ بن بابویه وسمعناه من الشیوخ مذاکرة ولم أجد به خبراً مسنداً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المصنّف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حکایة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العامّة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أحدُکم وهو مُحزَّم</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وهو کنایةٌ عن شدّ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استدراکه لذکر الحدیث جعله دلیلاً علی کراهة القباء المشدود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فی البیان عن الشیخ کراهة شدّ الوسط </w:t>
      </w:r>
      <w:r>
        <w:rPr>
          <w:rStyle w:val="FootnoteAnchor"/>
          <w:rtl w:val="true"/>
        </w:rPr>
        <w:footnoteReference w:id="570"/>
      </w:r>
      <w:r>
        <w:rPr>
          <w:rFonts w:ascii="IRNazanin" w:hAnsi="IRNazanin" w:eastAsia="IRNazanin"/>
          <w:color w:val="111111"/>
          <w:sz w:val="28"/>
          <w:sz w:val="28"/>
          <w:szCs w:val="28"/>
          <w:rtl w:val="true"/>
          <w:lang w:bidi="fa-IR"/>
        </w:rPr>
        <w:t>ویمکن الاکتفاء فی دلیل الکراهة بمثل هذه الروایة</w:t>
      </w:r>
      <w:r>
        <w:rPr>
          <w:rFonts w:eastAsia="IRNazanin" w:cs="IRNazanin"/>
          <w:color w:val="111111"/>
          <w:sz w:val="28"/>
          <w:szCs w:val="28"/>
          <w:rtl w:val="true"/>
          <w:lang w:bidi="fa-IR"/>
        </w:rPr>
        <w:t>.</w:t>
      </w:r>
      <w:bookmarkStart w:id="209" w:name="pg19806_203391"/>
    </w:p>
    <w:p>
      <w:pPr>
        <w:pStyle w:val="Heading4"/>
        <w:numPr>
          <w:ilvl w:val="3"/>
          <w:numId w:val="1"/>
        </w:numPr>
        <w:rPr/>
      </w:pPr>
      <w:bookmarkStart w:id="210" w:name="__RefHeading___Toc2027861_2314609296"/>
      <w:bookmarkStart w:id="211" w:name="_Toc78"/>
      <w:bookmarkEnd w:id="209"/>
      <w:bookmarkEnd w:id="210"/>
      <w:r>
        <w:rPr>
          <w:rtl w:val="true"/>
        </w:rPr>
        <w:t>« [</w:t>
      </w:r>
      <w:r>
        <w:rPr>
          <w:rtl w:val="true"/>
        </w:rPr>
        <w:t xml:space="preserve">الشرط </w:t>
      </w:r>
      <w:r>
        <w:rPr>
          <w:rtl w:val="true"/>
        </w:rPr>
        <w:t xml:space="preserve">] </w:t>
      </w:r>
      <w:r>
        <w:rPr>
          <w:rtl w:val="true"/>
        </w:rPr>
        <w:t>الرابع</w:t>
      </w:r>
      <w:r>
        <w:rPr>
          <w:rtl w:val="true"/>
        </w:rPr>
        <w:t xml:space="preserve">: </w:t>
      </w:r>
      <w:r>
        <w:rPr>
          <w:rtl w:val="true"/>
        </w:rPr>
        <w:t>المکان</w:t>
      </w:r>
      <w:r>
        <w:rPr>
          <w:rtl w:val="true"/>
        </w:rPr>
        <w:t xml:space="preserve">» </w:t>
      </w:r>
      <w:r>
        <w:rPr>
          <w:rtl w:val="true"/>
        </w:rPr>
        <w:t>الذی یُصلّی فیه</w:t>
      </w:r>
      <w:bookmarkEnd w:id="211"/>
    </w:p>
    <w:p>
      <w:pPr>
        <w:pStyle w:val="Heading5"/>
        <w:numPr>
          <w:ilvl w:val="4"/>
          <w:numId w:val="1"/>
        </w:numPr>
        <w:rPr/>
      </w:pPr>
      <w:bookmarkStart w:id="212" w:name="__RefHeading___Toc2027863_2314609296"/>
      <w:bookmarkStart w:id="213" w:name="_Toc79"/>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والمراد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یشغله من الحیِّز أو یعتمد علیه ولو بواسطةٍ أو وسائط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کونه غیر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للمصلّی ولو جاهلاً بحکمه الشرعی أو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ناسیاً له أو لأصله، علی ما یقتضیه إطلاق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الأخیرین للمصنّف رحمه الله قولٌ آخر بالصحّة </w:t>
      </w:r>
      <w:r>
        <w:rPr>
          <w:rStyle w:val="FootnoteAnchor"/>
          <w:rtl w:val="true"/>
        </w:rPr>
        <w:footnoteReference w:id="571"/>
      </w:r>
      <w:r>
        <w:rPr>
          <w:rFonts w:ascii="IRNazanin" w:hAnsi="IRNazanin" w:eastAsia="IRNazanin"/>
          <w:color w:val="111111"/>
          <w:sz w:val="28"/>
          <w:sz w:val="28"/>
          <w:szCs w:val="28"/>
          <w:rtl w:val="true"/>
          <w:lang w:bidi="fa-IR"/>
        </w:rPr>
        <w:t xml:space="preserve">وثالث بها فی خارج الوقت خاصّة </w:t>
      </w:r>
      <w:r>
        <w:rPr>
          <w:rStyle w:val="FootnoteAnchor"/>
          <w:rtl w:val="true"/>
        </w:rPr>
        <w:footnoteReference w:id="572"/>
      </w:r>
      <w:r>
        <w:rPr>
          <w:rFonts w:ascii="IRNazanin" w:hAnsi="IRNazanin" w:eastAsia="IRNazanin"/>
          <w:color w:val="111111"/>
          <w:sz w:val="28"/>
          <w:sz w:val="28"/>
          <w:szCs w:val="28"/>
          <w:rtl w:val="true"/>
          <w:lang w:bidi="fa-IR"/>
        </w:rPr>
        <w:t>ومثله القول فی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واحترزنا بکون المصلّی هو الغاصب عمّا لو کان غیره، فإنّ الصلاة فیه بإذن المالک صحیحةٌ فی المشهور </w:t>
      </w:r>
      <w:r>
        <w:rPr>
          <w:rStyle w:val="FootnoteAnchor"/>
          <w:rtl w:val="true"/>
        </w:rPr>
        <w:footnoteReference w:id="573"/>
      </w:r>
      <w:r>
        <w:rPr>
          <w:rFonts w:ascii="IRNazanin" w:hAnsi="IRNazanin" w:eastAsia="IRNazanin"/>
          <w:color w:val="111111"/>
          <w:sz w:val="28"/>
          <w:sz w:val="28"/>
          <w:szCs w:val="28"/>
          <w:rtl w:val="true"/>
          <w:lang w:bidi="fa-IR"/>
        </w:rPr>
        <w:t>کلّ ذلک مع الاختیار، أمّا مع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کالمحبوس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من نجاسة متعدّیة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المصلّی أو محمولِه الذی یُشترط طهارته علی وجهٍ یمنع من الصلاة، فلو لم تتعدّ أو تعدّت علی وجهٍ یُعفی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کقلیل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ما لا یتمّ الصلاة فیه لم یضرّ</w:t>
      </w:r>
      <w:r>
        <w:rPr>
          <w:rFonts w:eastAsia="IRNazanin" w:cs="IRNazanin"/>
          <w:color w:val="111111"/>
          <w:sz w:val="28"/>
          <w:szCs w:val="28"/>
          <w:rtl w:val="true"/>
          <w:lang w:bidi="fa-IR"/>
        </w:rPr>
        <w:t>.</w:t>
      </w:r>
      <w:bookmarkStart w:id="214" w:name="pg19806_203392"/>
    </w:p>
    <w:p>
      <w:pPr>
        <w:pStyle w:val="Heading5"/>
        <w:numPr>
          <w:ilvl w:val="4"/>
          <w:numId w:val="1"/>
        </w:numPr>
        <w:rPr/>
      </w:pPr>
      <w:bookmarkStart w:id="215" w:name="__RefHeading___Toc2027865_2314609296"/>
      <w:bookmarkStart w:id="216" w:name="_Toc80"/>
      <w:bookmarkEnd w:id="214"/>
      <w:bookmarkEnd w:id="215"/>
      <w:r>
        <w:rPr>
          <w:rtl w:val="true"/>
        </w:rPr>
        <w:t>[</w:t>
      </w:r>
      <w:r>
        <w:rPr>
          <w:rtl w:val="true"/>
        </w:rPr>
        <w:t>احکام المساجد</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w:t>
      </w:r>
      <w:r>
        <w:rPr>
          <w:rStyle w:val="FootnoteAnchor"/>
          <w:rtl w:val="true"/>
        </w:rPr>
        <w:footnoteReference w:id="574"/>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وهو القدر المعتبر منه فی السجود مطلقاً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والأفضل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المرأة أو مطلقاً بناءً علی إطلاق المسجِد علی بیتها بالنسبة إلیها کما ینبِّه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تفاوتها فی ذاتها أو عوارضها، ککثیر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فالمسجد الحرام بمئة ألف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الکعبة وزوائده الحادثة وإن کان غیرهما أفضل، فإنّ القدر المشترک بینها فضله بذلک العدد وإن اختصّ الأفضل بأمرٍ آخر لا تقدیر فیه، کما یختصّ بعض المساجد المشترکة فی وصفٍ بفضیلةٍ زائدة عمّا اشترک فیه مع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بعشرة آلاف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وحکم زیادته الحادثة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 مسجد الکوفة والأقصی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بالإضافة إلی بُعده عن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البلد للجمعة أو الجماعة وإن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بمئة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کالمحلّة فی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 وعشرین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باثنتی عشرة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ومسجد المرأة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صلاتها فیه أفضل من خروجها إلی المسجد، أو بمعنی کون صلاتها فیه کالمسجد فی الفضیلة، فلا تفتقر إلی طلبها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کمسجدٍ مطلقٍ أو کما ترید الخروج إلیه فیختلف بحسبه؟ الظاهر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اتّخاذ المساجد استحباباً مؤکّداً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بنی مسجداً بنی اللّٰه له بیتاً فی الجنة </w:t>
      </w:r>
      <w:r>
        <w:rPr>
          <w:rStyle w:val="FootnoteAnchor"/>
          <w:rtl w:val="true"/>
        </w:rPr>
        <w:footnoteReference w:id="577"/>
      </w:r>
      <w:r>
        <w:rPr>
          <w:rFonts w:ascii="IRNazanin" w:hAnsi="IRNazanin" w:eastAsia="IRNazanin"/>
          <w:color w:val="111111"/>
          <w:sz w:val="28"/>
          <w:sz w:val="28"/>
          <w:szCs w:val="28"/>
          <w:rtl w:val="true"/>
          <w:lang w:bidi="fa-IR"/>
        </w:rPr>
        <w:t>وزید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کمفحص قطاة</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وهو کمقعد الموضع الذی تکشفه القطاة وتلیّنه بجؤجؤها لتبیض فیه، والتشبیه به مبالغةٌ فی الصغر بناءً علی الاکتفاء برسمه حیث یمکن الانتفاع به فی أقلّ مراتبه وان لم یُعمل له حائطٌ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أبو عبد اللّٰه علیه السلام فی طریق مکّة وقد سوّیت أحجارَ المسجد </w:t>
      </w:r>
      <w:r>
        <w:rPr>
          <w:rStyle w:val="FootnoteAnchor"/>
          <w:rtl w:val="true"/>
        </w:rPr>
        <w:footnoteReference w:id="579"/>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یکون هذا من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اتّخاذها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بعضها، للاحتیاج إلی السقف فی أکثر البلاد لدفع الحرّ والبرد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المطهرة </w:t>
      </w:r>
      <w:r>
        <w:rPr>
          <w:rStyle w:val="FootnoteAnchor"/>
          <w:rtl w:val="true"/>
        </w:rPr>
        <w:footnoteReference w:id="581"/>
      </w:r>
      <w:r>
        <w:rPr>
          <w:rFonts w:ascii="IRNazanin" w:hAnsi="IRNazanin" w:eastAsia="IRNazanin"/>
          <w:color w:val="111111"/>
          <w:sz w:val="28"/>
          <w:sz w:val="28"/>
          <w:szCs w:val="28"/>
          <w:rtl w:val="true"/>
          <w:lang w:bidi="fa-IR"/>
        </w:rPr>
        <w:t>للحدث والخبث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لافی وسطها علی تقدیر سبق إعدادها علی المسجدیّة، وإلّا حرم فی الخبثیّة مطلقاً والحدثیّة إن أضرّت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والمنارة مع حائطها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وسطها مع تقدّمها علی المسجدیّة کذلک، وإلّا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مع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أن لا تعلو علیه، فإنّها إذا فارقته بالعلوّ فقد خرجت عن المعیّة، وهو 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وتقدیمُ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 والخارج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الخلاء، تشریفاً للیُمنی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وتعاهدُ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یصحبه من عصا وشبهه، وهو استعلام حاله عند باب المسجد احتیاطاً للطهارة،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یکون بین اثنین، والمصنّف تبع الروایة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الدخول والخروج بالمنقول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التحیّة قبلَ 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وأقلّها رکعتان، وتتکرّر بتکرّر الدخول ولو عن قربٍ، وتتأدّی بسنّةٍ غیرها وفریضةٍ وإن لم ینوها معها؛ لأنّ المقصود بالتحیّة أن لا تنتهک حرمة المسجد بالجلوس بغیر صلاةٍ وقد حصل، وإن کان الأفضل عدم التداخل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وتکره إذا دخل والإمام فی مکتوبةٍ أو والصلاة تقام أو قَرُب إقامتها بحیث لا یفرغ منها قبله، فإن لم یکن متطهّراً أو کان له عذر مانع عنها فلیذکر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وتحیّةُ المسجد الحرام الطواف، کما أنّ تحیّة الحَرَم الإحرام، ومِنی الرمی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نقشها بالزُخرُف وهو الذهب، أو مطلق النقش کما اختاره المصنّف فی الذکری </w:t>
      </w:r>
      <w:r>
        <w:rPr>
          <w:rStyle w:val="FootnoteAnchor"/>
          <w:rtl w:val="true"/>
        </w:rPr>
        <w:footnoteReference w:id="583"/>
      </w:r>
      <w:r>
        <w:rPr>
          <w:rFonts w:ascii="IRNazanin" w:hAnsi="IRNazanin" w:eastAsia="IRNazanin"/>
          <w:color w:val="111111"/>
          <w:sz w:val="28"/>
          <w:sz w:val="28"/>
          <w:szCs w:val="28"/>
          <w:rtl w:val="true"/>
          <w:lang w:bidi="fa-IR"/>
        </w:rPr>
        <w:t xml:space="preserve">وفی الدروس أطلق الحکم بکراهة الزخرفة والتصویر ثمّ جعل تحریمهما قولاً </w:t>
      </w:r>
      <w:r>
        <w:rPr>
          <w:rStyle w:val="FootnoteAnchor"/>
          <w:rtl w:val="true"/>
        </w:rPr>
        <w:footnoteReference w:id="584"/>
      </w:r>
      <w:r>
        <w:rPr>
          <w:rFonts w:ascii="IRNazanin" w:hAnsi="IRNazanin" w:eastAsia="IRNazanin"/>
          <w:color w:val="111111"/>
          <w:sz w:val="28"/>
          <w:sz w:val="28"/>
          <w:szCs w:val="28"/>
          <w:rtl w:val="true"/>
          <w:lang w:bidi="fa-IR"/>
        </w:rPr>
        <w:t xml:space="preserve">وفی البیان حرّم النقش والزخرفة والتصویر بما فیه روح </w:t>
      </w:r>
      <w:r>
        <w:rPr>
          <w:rStyle w:val="FootnoteAnchor"/>
          <w:rtl w:val="true"/>
        </w:rPr>
        <w:footnoteReference w:id="585"/>
      </w:r>
      <w:r>
        <w:rPr>
          <w:rFonts w:ascii="IRNazanin" w:hAnsi="IRNazanin" w:eastAsia="IRNazanin"/>
          <w:color w:val="111111"/>
          <w:sz w:val="28"/>
          <w:sz w:val="28"/>
          <w:szCs w:val="28"/>
          <w:rtl w:val="true"/>
          <w:lang w:bidi="fa-IR"/>
        </w:rPr>
        <w:t>وظاهر الزَخْرَفَة هنا النقش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أقوال المصنّف بحسب کتبه، وهو غریب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نقشها بالصور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الأرواح دون غیرها، وهو لازمٌ من تحریم النقش مطلقاً لا من غیره، وهو قرینةٌ اُخری علی إرادة الزخرفة بالمعنی الأوّل خاصّة، وهذا هو 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تحریم تصویر ذی الروح فی غیر المساجد ففیها أولی، أمّا تصویر غیره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وتنجیسُها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وتنجیسُ آلاتها کفرشها، لا مطلق إدخال النجاسة إلیها فی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وإخراجُ الحصی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فرشاً أو جزءاً منها، أمّا لو کانت قمامةً استُحبّ إخراجها، ومثلها التراب، ومتی اُخرجت علی وجه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إلیها أو إلی غیرها من المساجد حیث یجوز نقلُ آلاتها إلیه ومالُها، لغناء الأوّل أو أولویّة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تُبنی وسطاً عرفاً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والبُصاق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والتنخّم ونحوه، وکفّارته دفنه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المتجاوزُ للمعتاد ولو فی قراءة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 القَمْل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فیُدفن لو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وبریُ النَّبْل،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داخلٌ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الصنائع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لتخصیصه فی الخبر </w:t>
      </w:r>
      <w:r>
        <w:rPr>
          <w:rStyle w:val="FootnoteAnchor"/>
          <w:rtl w:val="true"/>
        </w:rPr>
        <w:footnoteReference w:id="589"/>
      </w:r>
      <w:r>
        <w:rPr>
          <w:rFonts w:ascii="IRNazanin" w:hAnsi="IRNazanin" w:eastAsia="IRNazanin"/>
          <w:color w:val="111111"/>
          <w:sz w:val="28"/>
          <w:sz w:val="28"/>
          <w:szCs w:val="28"/>
          <w:rtl w:val="true"/>
          <w:lang w:bidi="fa-IR"/>
        </w:rPr>
        <w:t>فتتأکّد کراهته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وتمکینُ المجانین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مع عدم الوثوق بطهارتهم أو کونهم غیر ممیِّزین، أمّا الصبیّ الممیِّز الموثوق بطهارته المحافظ علی أداء الصلوات فلا یُکره تمکینه، بل ینبغی تمرینه کما یمرّن علی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وإنفاذُ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 علیٍّ علیه السلام له بمسجد الکوفة </w:t>
      </w:r>
      <w:r>
        <w:rPr>
          <w:rStyle w:val="FootnoteAnchor"/>
          <w:rtl w:val="true"/>
        </w:rPr>
        <w:footnoteReference w:id="590"/>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مخصوص بما فیه جدال وخصومة أو بالدائم لا ما یتّفق نادراً، أو بما یکون الجلوس فیه لأجلها لا بما إذا کان لأجل العبادة فاتّفقت الدعوی، لما فی إنفاذها حینئذٍ من المسارعة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أحدها یُحمل فعل علیٍّ علیه السلام، ولعلّه بالأخیر أنسب، إلّاأنّ دکّة القضاء به لا تخلو من منافرةٍ للمحامل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وتعریفُ الضوالّ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إنشاداً ونشداناً </w:t>
      </w:r>
      <w:r>
        <w:rPr>
          <w:rStyle w:val="FootnoteAnchor"/>
          <w:rtl w:val="true"/>
        </w:rPr>
        <w:footnoteReference w:id="592"/>
      </w:r>
      <w:r>
        <w:rPr>
          <w:rFonts w:ascii="IRNazanin" w:hAnsi="IRNazanin" w:eastAsia="IRNazanin"/>
          <w:color w:val="111111"/>
          <w:sz w:val="28"/>
          <w:sz w:val="28"/>
          <w:szCs w:val="28"/>
          <w:rtl w:val="true"/>
          <w:lang w:bidi="fa-IR"/>
        </w:rPr>
        <w:t>والجمع بین وظیفتی تعریفها فی المجامع وکراهتها فی المساجد فعله خارجَ الباب</w:t>
      </w:r>
      <w:r>
        <w:rPr>
          <w:rFonts w:eastAsia="IRNazanin" w:cs="IRNazanin"/>
          <w:color w:val="111111"/>
          <w:sz w:val="28"/>
          <w:szCs w:val="28"/>
          <w:rtl w:val="true"/>
          <w:lang w:bidi="fa-IR"/>
        </w:rPr>
        <w:t>.</w:t>
      </w:r>
      <w:bookmarkStart w:id="217" w:name="pg19806_203397"/>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وإنشاد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لنهی النبیّ صلی الله علیه و آله عنه وأمره بأن یقال للمنشد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 اللّٰه فاک</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ورُوی نفی البأس عنه </w:t>
      </w:r>
      <w:r>
        <w:rPr>
          <w:rStyle w:val="FootnoteAnchor"/>
          <w:rtl w:val="true"/>
        </w:rPr>
        <w:footnoteReference w:id="594"/>
      </w:r>
      <w:r>
        <w:rPr>
          <w:rFonts w:ascii="IRNazanin" w:hAnsi="IRNazanin" w:eastAsia="IRNazanin"/>
          <w:color w:val="111111"/>
          <w:sz w:val="28"/>
          <w:sz w:val="28"/>
          <w:szCs w:val="28"/>
          <w:rtl w:val="true"/>
          <w:lang w:bidi="fa-IR"/>
        </w:rPr>
        <w:t>وهو غیر منافٍ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ببعید حمل إباحة إنشاد الشعر علی ما یقلّ منه وتکثر منفعته، کبیت حکمةٍ أو شاهدٍ علی لغةٍ فی کتاب اللّٰه تعالی وسنّة نبیّه صلی الله علیه و آله وشبهه؛ لأنّه من المعلوم أنّ النبیّ صلی الله علیه و آله کان یُنشد بین یدیه البیت والأبیات من الشعر فی المسجد ولم یُنکر ذلک </w:t>
      </w:r>
      <w:r>
        <w:rPr>
          <w:rStyle w:val="FootnoteAnchor"/>
          <w:rtl w:val="true"/>
        </w:rPr>
        <w:footnoteReference w:id="595"/>
      </w:r>
      <w:r>
        <w:rPr>
          <w:rFonts w:ascii="IRNazanin" w:hAnsi="IRNazanin" w:eastAsia="IRNazanin"/>
          <w:color w:val="111111"/>
          <w:sz w:val="28"/>
          <w:sz w:val="28"/>
          <w:szCs w:val="28"/>
          <w:rtl w:val="true"/>
          <w:lang w:bidi="fa-IR"/>
        </w:rPr>
        <w:t xml:space="preserve">وألحق به بعضُ الأصحاب </w:t>
      </w:r>
      <w:r>
        <w:rPr>
          <w:rStyle w:val="FootnoteAnchor"/>
          <w:rtl w:val="true"/>
        </w:rPr>
        <w:footnoteReference w:id="596"/>
      </w:r>
      <w:r>
        <w:rPr>
          <w:rFonts w:ascii="IRNazanin" w:hAnsi="IRNazanin" w:eastAsia="IRNazanin"/>
          <w:color w:val="111111"/>
          <w:sz w:val="28"/>
          <w:sz w:val="28"/>
          <w:szCs w:val="28"/>
          <w:rtl w:val="true"/>
          <w:lang w:bidi="fa-IR"/>
        </w:rPr>
        <w:t>ما کان منه موعظةً أو مدحاً للنبیّ صلی الله علیه و آله والأئمّة علیهم السلام أو مرثیةً للحسین علیه السلام ونحو ذلک؛ لأنّه عبادة لا تنافی الغرض المقصود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النبیّ صلی الله علیه و آله محمولٌ علی الغالب من أشعار العرب الخارجة عن هذه الأسالیب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فیها بأحادیث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 ذلک </w:t>
      </w:r>
      <w:r>
        <w:rPr>
          <w:rStyle w:val="FootnoteAnchor"/>
          <w:rtl w:val="true"/>
        </w:rPr>
        <w:footnoteReference w:id="597"/>
      </w:r>
      <w:r>
        <w:rPr>
          <w:rFonts w:ascii="Amiri" w:hAnsi="Amiri" w:eastAsia="Amiri" w:cs="Amiri"/>
          <w:color w:val="111111"/>
          <w:sz w:val="28"/>
          <w:sz w:val="28"/>
          <w:szCs w:val="28"/>
          <w:rtl w:val="true"/>
          <w:lang w:bidi="ar-SA"/>
        </w:rPr>
        <w:t>ومنافاته لوضعها فإنّها وُضعت للعبادة</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2027867_2314609296"/>
      <w:bookmarkStart w:id="219" w:name="_Toc81"/>
      <w:bookmarkEnd w:id="218"/>
      <w:r>
        <w:rPr>
          <w:rtl w:val="true"/>
        </w:rPr>
        <w:t>[</w:t>
      </w:r>
      <w:r>
        <w:rPr>
          <w:rtl w:val="true"/>
        </w:rPr>
        <w:t>اماکن تکره الصلاة فیها</w:t>
      </w:r>
      <w:r>
        <w:rPr>
          <w:rtl w:val="true"/>
        </w:rPr>
        <w:t>]</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وتُکره 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البیت المخصوص الذی یُغتسَل فیه لا المَسْلخ وغیره من بیوته وسطحه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تُکره فی بیت ناره من جهة النار، لا من حیث الحمّام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وبیوت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w:t>
      </w:r>
      <w:r>
        <w:rPr>
          <w:rStyle w:val="FootnoteAnchor"/>
          <w:rtl w:val="true"/>
        </w:rPr>
        <w:footnoteReference w:id="598"/>
      </w:r>
      <w:r>
        <w:rPr>
          <w:rFonts w:ascii="IRNazanin" w:hAnsi="IRNazanin" w:eastAsia="IRNazanin"/>
          <w:color w:val="111111"/>
          <w:sz w:val="28"/>
          <w:sz w:val="28"/>
          <w:szCs w:val="28"/>
          <w:rtl w:val="true"/>
          <w:lang w:bidi="fa-IR"/>
        </w:rPr>
        <w:t>ولأنّ الملائکة لا تدخل بیتاً یُبال فیه</w:t>
      </w:r>
    </w:p>
    <w:p>
      <w:pPr>
        <w:pStyle w:val="BookText"/>
        <w:rPr/>
      </w:pPr>
      <w:r>
        <w:rPr>
          <w:rFonts w:ascii="Amiri" w:hAnsi="Amiri" w:eastAsia="Amiri" w:cs="Amiri"/>
          <w:color w:val="111111"/>
          <w:sz w:val="28"/>
          <w:sz w:val="28"/>
          <w:szCs w:val="28"/>
          <w:rtl w:val="true"/>
          <w:lang w:bidi="ar-SA"/>
        </w:rPr>
        <w:t xml:space="preserve">ولو فی إناءٍ </w:t>
      </w:r>
      <w:r>
        <w:rPr>
          <w:rStyle w:val="FootnoteAnchor"/>
          <w:rtl w:val="true"/>
        </w:rPr>
        <w:footnoteReference w:id="599"/>
      </w:r>
      <w:r>
        <w:rPr>
          <w:rFonts w:ascii="IRNazanin" w:hAnsi="IRNazanin" w:eastAsia="IRNazanin"/>
          <w:color w:val="111111"/>
          <w:sz w:val="28"/>
          <w:sz w:val="28"/>
          <w:szCs w:val="28"/>
          <w:rtl w:val="true"/>
          <w:lang w:bidi="fa-IR"/>
        </w:rPr>
        <w:t>فهذا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المُعدّة لإضرامها فیها کالأ تُّون </w:t>
      </w:r>
      <w:r>
        <w:rPr>
          <w:rStyle w:val="FootnoteAnchor"/>
          <w:rtl w:val="true"/>
        </w:rPr>
        <w:footnoteReference w:id="600"/>
      </w:r>
      <w:r>
        <w:rPr>
          <w:rFonts w:ascii="Amiri" w:hAnsi="Amiri" w:eastAsia="Amiri" w:cs="Amiri"/>
          <w:color w:val="111111"/>
          <w:sz w:val="28"/>
          <w:sz w:val="28"/>
          <w:szCs w:val="28"/>
          <w:rtl w:val="true"/>
          <w:lang w:bidi="ar-SA"/>
        </w:rPr>
        <w:t xml:space="preserve">والفُرن </w:t>
      </w:r>
      <w:r>
        <w:rPr>
          <w:rStyle w:val="FootnoteAnchor"/>
          <w:rtl w:val="true"/>
        </w:rPr>
        <w:footnoteReference w:id="601"/>
      </w:r>
      <w:r>
        <w:rPr>
          <w:rFonts w:ascii="IRNazanin" w:hAnsi="IRNazanin" w:eastAsia="IRNazanin"/>
          <w:color w:val="111111"/>
          <w:sz w:val="28"/>
          <w:sz w:val="28"/>
          <w:szCs w:val="28"/>
          <w:rtl w:val="true"/>
          <w:lang w:bidi="fa-IR"/>
        </w:rPr>
        <w:t>لا ما وُجد فیه نارٌ مع عدم إعداده لها، کالمسکن إذا اُوقدت فیه وإن 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w:t>
      </w:r>
      <w:r>
        <w:rPr>
          <w:rStyle w:val="FootnoteAnchor"/>
          <w:rtl w:val="true"/>
        </w:rPr>
        <w:footnoteReference w:id="602"/>
      </w:r>
      <w:r>
        <w:rPr>
          <w:rFonts w:ascii="IRNazanin" w:hAnsi="IRNazanin" w:eastAsia="IRNazanin"/>
          <w:color w:val="111111"/>
          <w:sz w:val="28"/>
          <w:sz w:val="28"/>
          <w:szCs w:val="28"/>
          <w:rtl w:val="true"/>
          <w:lang w:bidi="fa-IR"/>
        </w:rPr>
        <w:t>ولعدم انفکاکها عن النجاسة وتزول الکراهة برشّه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الطاء واحد المعاطن، وهی مَبارک الإ بل عند الماء للشرب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المکان المُعدّ لجریانه وإن لم یکن فیه 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واحدة السِباخ، وهی الشیء الذی یعلو الأرض کالملح، أو بکسرها وهی الأرض ذات السباخ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قریة، وهی مجتمع ترابها حول </w:t>
      </w:r>
      <w:r>
        <w:rPr>
          <w:rStyle w:val="FootnoteAnchor"/>
          <w:rtl w:val="true"/>
        </w:rPr>
        <w:footnoteReference w:id="603"/>
      </w:r>
      <w:r>
        <w:rPr>
          <w:rFonts w:ascii="Amiri" w:hAnsi="Amiri" w:eastAsia="Amiri" w:cs="Amiri"/>
          <w:color w:val="111111"/>
          <w:sz w:val="28"/>
          <w:sz w:val="28"/>
          <w:szCs w:val="28"/>
          <w:rtl w:val="true"/>
          <w:lang w:bidi="ar-SA"/>
        </w:rPr>
        <w:t>جُحرتها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الثلج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تمکّن الأعضاء،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بدونه </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فلا مع الاختیار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وإلیها ولو قبراً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إلّابحائلٍ ولو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العصا فی أسفلها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مرکوزةً أو معترضةً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عشرة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القبور خَلفه أو مع أحد جانبیه فلا 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مشغولةً بالمارّة أم فارغةً إن لم یُعطّلها، وإلّا 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فیه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البیت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نارٍ مُضرمة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مُوقدة ولو سراجاً أو قندیلاً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الروایة کراهة الصلاة إلی المجمرة من غیر اعتبار الإضرام </w:t>
      </w:r>
      <w:r>
        <w:rPr>
          <w:rStyle w:val="FootnoteAnchor"/>
          <w:rtl w:val="true"/>
        </w:rPr>
        <w:footnoteReference w:id="605"/>
      </w:r>
      <w:r>
        <w:rPr>
          <w:rFonts w:ascii="IRNazanin" w:hAnsi="IRNazanin" w:eastAsia="IRNazanin"/>
          <w:color w:val="111111"/>
          <w:sz w:val="28"/>
          <w:sz w:val="28"/>
          <w:szCs w:val="28"/>
          <w:rtl w:val="true"/>
          <w:lang w:bidi="fa-IR"/>
        </w:rPr>
        <w:t xml:space="preserve">وهو کذلک، وبه عبّر المصنّف فی غیر الکتاب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الوسادة، وتزول الکراهة بسترها بثوبٍ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مصحفٍ أو بابٍ مفتوحین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القارئ وغیره، نعم یشترط الإ بصار، واُلحق به التوجّه إلی کلّ شاغلٍ من نقش وکتابة، ولا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فیه وفی الباب المفتوح ولا نصّ علیهما ظاهراً، وقد یُعلّل بحصول التشاغل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حائط یَنِزُّ من 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یُبال فیها، ولو نَزّ بالغائط فأولی، وفی إلحاق غیره من النجاسات وجهٌ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مرابض </w:t>
      </w:r>
      <w:r>
        <w:rPr>
          <w:rStyle w:val="FootnoteAnchor"/>
          <w:rtl w:val="true"/>
        </w:rPr>
        <w:footnoteReference w:id="607"/>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مَرْبَض وهو مأواها ومقرُّها ولو عند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بها </w:t>
      </w:r>
      <w:r>
        <w:rPr>
          <w:rStyle w:val="FootnoteAnchor"/>
          <w:rtl w:val="true"/>
        </w:rPr>
        <w:footnoteReference w:id="608"/>
      </w:r>
      <w:r>
        <w:rPr>
          <w:rFonts w:ascii="Amiri" w:hAnsi="Amiri" w:eastAsia="Amiri" w:cs="Amiri"/>
          <w:color w:val="111111"/>
          <w:sz w:val="28"/>
          <w:sz w:val="28"/>
          <w:szCs w:val="28"/>
          <w:rtl w:val="true"/>
          <w:lang w:bidi="ar-SA"/>
        </w:rPr>
        <w:t xml:space="preserve">للروایة معلّلاً بأ نّها سکینة وبرکة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220" w:name="pg19806_203400"/>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بالبِیعَة والکنیسة </w:t>
      </w:r>
      <w:r>
        <w:rPr>
          <w:rStyle w:val="FootnoteAnchor"/>
          <w:rtl w:val="true"/>
        </w:rPr>
        <w:footnoteReference w:id="610"/>
      </w:r>
      <w:r>
        <w:rPr>
          <w:rFonts w:ascii="IRNazanin" w:hAnsi="IRNazanin" w:eastAsia="IRNazanin"/>
          <w:color w:val="111111"/>
          <w:sz w:val="28"/>
          <w:sz w:val="28"/>
          <w:szCs w:val="28"/>
          <w:rtl w:val="true"/>
          <w:lang w:bidi="fa-IR"/>
        </w:rPr>
        <w:t>مع عدم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رَشّ موضع صلاته منها وترکه حتی یجفّ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فی جواز دخولها إذن أربابها؟ احتمله المصنّف فی الذکری </w:t>
      </w:r>
      <w:r>
        <w:rPr>
          <w:rStyle w:val="FootnoteAnchor"/>
          <w:rtl w:val="true"/>
        </w:rPr>
        <w:footnoteReference w:id="611"/>
      </w:r>
      <w:r>
        <w:rPr>
          <w:rFonts w:ascii="IRNazanin" w:hAnsi="IRNazanin" w:eastAsia="IRNazanin"/>
          <w:color w:val="111111"/>
          <w:sz w:val="28"/>
          <w:sz w:val="28"/>
          <w:szCs w:val="28"/>
          <w:rtl w:val="true"/>
          <w:lang w:bidi="fa-IR"/>
        </w:rPr>
        <w:t>تبعاً لغرض الواقف وعملاً بالقرینة، وفیه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العدم إطلاق الأخبار بالإذن فی الصلاة بها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2027869_2314609296"/>
      <w:bookmarkStart w:id="222" w:name="_Toc82"/>
      <w:bookmarkEnd w:id="221"/>
      <w:r>
        <w:rPr>
          <w:rtl w:val="true"/>
        </w:rPr>
        <w:t>[</w:t>
      </w:r>
      <w:r>
        <w:rPr>
          <w:rtl w:val="true"/>
        </w:rPr>
        <w:t xml:space="preserve">کراهة تقدم المرأة علی الرجل </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تقدیم المرأة علی الرجل أو محاذاتها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صلاتهما </w:t>
      </w:r>
      <w:r>
        <w:rPr>
          <w:rStyle w:val="FootnoteAnchor"/>
          <w:rtl w:val="true"/>
        </w:rPr>
        <w:footnoteReference w:id="613"/>
      </w:r>
      <w:r>
        <w:rPr>
          <w:rFonts w:ascii="IRNazanin" w:hAnsi="IRNazanin" w:eastAsia="IRNazanin"/>
          <w:color w:val="111111"/>
          <w:sz w:val="28"/>
          <w:sz w:val="28"/>
          <w:szCs w:val="28"/>
          <w:rtl w:val="true"/>
          <w:lang w:bidi="fa-IR"/>
        </w:rPr>
        <w:t xml:space="preserve">من دون حائلٍ أو بُعد عشرة أذرع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الآخر التحریم وبطلان صلاتهما مطلقاً، أو مع الاقتران وإلّا المتأخّرة عن تکبیرة الإحرام </w:t>
      </w:r>
      <w:r>
        <w:rPr>
          <w:rStyle w:val="FootnoteAnchor"/>
          <w:rtl w:val="true"/>
        </w:rPr>
        <w:footnoteReference w:id="614"/>
      </w:r>
      <w:r>
        <w:rPr>
          <w:rFonts w:ascii="IRNazanin" w:hAnsi="IRNazanin" w:eastAsia="IRNazanin"/>
          <w:color w:val="111111"/>
          <w:sz w:val="28"/>
          <w:sz w:val="28"/>
          <w:szCs w:val="28"/>
          <w:rtl w:val="true"/>
          <w:lang w:bidi="fa-IR"/>
        </w:rPr>
        <w:t>ولا فرق بین المحرَم والأجنبیّة، والمقتدیة والمنفردة، والصلاة الواجبة والمندوبة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کراهةً وتحریماً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نظر أحدهما الآخر ولو ظلمةً وفقد بصر فی قولٍ </w:t>
      </w:r>
      <w:r>
        <w:rPr>
          <w:rStyle w:val="FootnoteAnchor"/>
          <w:rtl w:val="true"/>
        </w:rPr>
        <w:footnoteReference w:id="615"/>
      </w:r>
      <w:r>
        <w:rPr>
          <w:rFonts w:ascii="IRNazanin" w:hAnsi="IRNazanin" w:eastAsia="IRNazanin"/>
          <w:color w:val="111111"/>
          <w:sz w:val="28"/>
          <w:sz w:val="28"/>
          <w:szCs w:val="28"/>
          <w:rtl w:val="true"/>
          <w:lang w:bidi="fa-IR"/>
        </w:rPr>
        <w:t xml:space="preserve">لا تغمیض الصحیح عینیه فی 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bookmarkStart w:id="223" w:name="pg19806_203401"/>
    </w:p>
    <w:p>
      <w:pPr>
        <w:pStyle w:val="BookText"/>
        <w:rPr/>
      </w:pPr>
      <w:bookmarkEnd w:id="223"/>
      <w:r>
        <w:rPr>
          <w:rFonts w:ascii="Amiri" w:hAnsi="Amiri" w:eastAsia="Amiri" w:cs="Amiri"/>
          <w:color w:val="111111"/>
          <w:sz w:val="28"/>
          <w:sz w:val="28"/>
          <w:szCs w:val="28"/>
          <w:rtl w:val="true"/>
          <w:lang w:bidi="ar-SA"/>
        </w:rPr>
        <w:t xml:space="preserve">بُعد </w:t>
      </w:r>
      <w:r>
        <w:rPr>
          <w:rStyle w:val="FootnoteAnchor"/>
          <w:rtl w:val="true"/>
        </w:rPr>
        <w:footnoteReference w:id="616"/>
      </w:r>
      <w:r>
        <w:rPr>
          <w:rFonts w:ascii="IRNazanin" w:hAnsi="IRNazanin" w:eastAsia="IRNazanin"/>
          <w:color w:val="111111"/>
          <w:sz w:val="28"/>
          <w:sz w:val="28"/>
          <w:szCs w:val="28"/>
          <w:rtl w:val="true"/>
          <w:lang w:bidi="fa-IR"/>
        </w:rPr>
        <w:t>عشرة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موقفیهما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2027871_2314609296"/>
      <w:bookmarkStart w:id="225" w:name="_Toc83"/>
      <w:bookmarkEnd w:id="224"/>
      <w:r>
        <w:rPr>
          <w:rtl w:val="true"/>
        </w:rPr>
        <w:t>[</w:t>
      </w:r>
      <w:r>
        <w:rPr>
          <w:rtl w:val="true"/>
        </w:rPr>
        <w:t>فی ما یصح السجود علیه</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حاذی سجودها قَدَمه فلا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والمرویّ فی الجواز کونها تُصلّی خلفه </w:t>
      </w:r>
      <w:r>
        <w:rPr>
          <w:rStyle w:val="FootnoteAnchor"/>
          <w:rtl w:val="true"/>
        </w:rPr>
        <w:footnoteReference w:id="618"/>
      </w:r>
      <w:r>
        <w:rPr>
          <w:rFonts w:ascii="IRNazanin" w:hAnsi="IRNazanin" w:eastAsia="IRNazanin"/>
          <w:color w:val="111111"/>
          <w:sz w:val="28"/>
          <w:sz w:val="28"/>
          <w:szCs w:val="28"/>
          <w:rtl w:val="true"/>
          <w:lang w:bidi="fa-IR"/>
        </w:rPr>
        <w:t xml:space="preserve">وظاهره تأخّرها فی جمیع الأحوال عنه بحیث لا یحاذی جزءٌ منها جزءاً منه، وبه عبّر بعضُ الأصحاب </w:t>
      </w:r>
      <w:r>
        <w:rPr>
          <w:rStyle w:val="FootnoteAnchor"/>
          <w:rtl w:val="true"/>
        </w:rPr>
        <w:footnoteReference w:id="619"/>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ویُراعی فی مسجَد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القدر المعتبر منه فی السجود، لا محلّ جمیع الجبهة أن 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أو نباتها غیر </w:t>
      </w:r>
      <w:r>
        <w:rPr>
          <w:rStyle w:val="FootnoteAnchor"/>
          <w:rtl w:val="true"/>
        </w:rPr>
        <w:footnoteReference w:id="620"/>
      </w:r>
      <w:r>
        <w:rPr>
          <w:rFonts w:ascii="IRNazanin" w:hAnsi="IRNazanin" w:eastAsia="IRNazanin"/>
          <w:color w:val="111111"/>
          <w:sz w:val="28"/>
          <w:sz w:val="28"/>
          <w:szCs w:val="28"/>
          <w:rtl w:val="true"/>
          <w:lang w:bidi="fa-IR"/>
        </w:rPr>
        <w:t>المأکول والملبوس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أو بالقوّة القریبة منه بحیث یکون من جنسه، فلا یقدح فی المنع توقّف المأکول علی طحنٍ وخبزٍ وطبخٍ، والملبوس علی غزلٍ ونسجٍ وغیرها </w:t>
      </w:r>
      <w:r>
        <w:rPr>
          <w:rStyle w:val="FootnoteAnchor"/>
          <w:rtl w:val="true"/>
        </w:rPr>
        <w:footnoteReference w:id="621"/>
      </w:r>
      <w:r>
        <w:rPr>
          <w:rFonts w:ascii="IRNazanin" w:hAnsi="IRNazanin" w:eastAsia="IRNazanin"/>
          <w:color w:val="111111"/>
          <w:sz w:val="28"/>
          <w:sz w:val="28"/>
          <w:szCs w:val="28"/>
          <w:rtl w:val="true"/>
          <w:lang w:bidi="fa-IR"/>
        </w:rPr>
        <w:t xml:space="preserve">ولو خرج عنه بعد أن کان منه کقشر اللوز ونحوه </w:t>
      </w:r>
      <w:r>
        <w:rPr>
          <w:rStyle w:val="FootnoteAnchor"/>
          <w:rtl w:val="true"/>
        </w:rPr>
        <w:footnoteReference w:id="622"/>
      </w:r>
      <w:r>
        <w:rPr>
          <w:rFonts w:ascii="IRNazanin" w:hAnsi="IRNazanin" w:eastAsia="IRNazanin"/>
          <w:color w:val="111111"/>
          <w:sz w:val="28"/>
          <w:sz w:val="28"/>
          <w:szCs w:val="28"/>
          <w:rtl w:val="true"/>
          <w:lang w:bidi="fa-IR"/>
        </w:rPr>
        <w:t>ارتفع المنع، لخروجه عن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اعتید أحدهما فی بعض البلاد دون بعض فالأقوی عموم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یقدح النادر کأکل المخمصة </w:t>
      </w:r>
      <w:r>
        <w:rPr>
          <w:rStyle w:val="FootnoteAnchor"/>
          <w:rtl w:val="true"/>
        </w:rPr>
        <w:footnoteReference w:id="623"/>
      </w:r>
      <w:r>
        <w:rPr>
          <w:rFonts w:ascii="IRNazanin" w:hAnsi="IRNazanin" w:eastAsia="IRNazanin"/>
          <w:color w:val="111111"/>
          <w:sz w:val="28"/>
          <w:sz w:val="28"/>
          <w:szCs w:val="28"/>
          <w:rtl w:val="true"/>
          <w:lang w:bidi="fa-IR"/>
        </w:rPr>
        <w:t>والعقاقیر المتّخذة للدواء من نباتٍ لا یغلب أکله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لخروجها عن اسم الأرض بالاستحالة، ومثلها الرماد وإن 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الخَزَف فیبنی علی خروجه</w:t>
      </w:r>
    </w:p>
    <w:p>
      <w:pPr>
        <w:pStyle w:val="BookText"/>
        <w:rPr/>
      </w:pPr>
      <w:r>
        <w:rPr>
          <w:rFonts w:ascii="IRNazanin" w:hAnsi="IRNazanin" w:eastAsia="IRNazanin"/>
          <w:color w:val="111111"/>
          <w:sz w:val="28"/>
          <w:sz w:val="28"/>
          <w:szCs w:val="28"/>
          <w:rtl w:val="true"/>
          <w:lang w:bidi="fa-IR"/>
        </w:rPr>
        <w:t xml:space="preserve">بالاستحالة عنها، فمن حکم بطُهره لزمه القول بالمنع من السجود علیه؛ للاتّفاق علی المنع ممّا خرج عنها بالاستحالة وتعلیل من حکم بطهره بها، ولکن لمّا کان القول بالاستحالة بذلک </w:t>
      </w:r>
      <w:r>
        <w:rPr>
          <w:rStyle w:val="FootnoteAnchor"/>
          <w:rtl w:val="true"/>
        </w:rPr>
        <w:footnoteReference w:id="624"/>
      </w:r>
      <w:r>
        <w:rPr>
          <w:rFonts w:ascii="Amiri" w:hAnsi="Amiri" w:eastAsia="Amiri" w:cs="Amiri"/>
          <w:color w:val="111111"/>
          <w:sz w:val="28"/>
          <w:sz w:val="28"/>
          <w:szCs w:val="28"/>
          <w:rtl w:val="true"/>
          <w:lang w:bidi="ar-SA"/>
        </w:rPr>
        <w:t>ضعیفاً کان جواز السجود علیه قویّاً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إجماعاً؛ للنصّ الصحیح الدالّ علیه </w:t>
      </w:r>
      <w:r>
        <w:rPr>
          <w:rStyle w:val="FootnoteAnchor"/>
          <w:rtl w:val="true"/>
        </w:rPr>
        <w:footnoteReference w:id="625"/>
      </w:r>
      <w:r>
        <w:rPr>
          <w:rFonts w:ascii="IRNazanin" w:hAnsi="IRNazanin" w:eastAsia="IRNazanin"/>
          <w:color w:val="111111"/>
          <w:sz w:val="28"/>
          <w:sz w:val="28"/>
          <w:szCs w:val="28"/>
          <w:rtl w:val="true"/>
          <w:lang w:bidi="fa-IR"/>
        </w:rPr>
        <w:t>وبه خرج عن أصله المقتضی لعدم جواز السجود علیه؛ لأنّه مرکّب من جزأین لا یصحّ السجود علیهما،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وما مازجها من القطن والکتّان وغیرهما، فلا مجال للتوقّف فیه فی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والمصنّف هنا خصّه بالقرطاس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المتّخذ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کالقطن والکتّان والقنَّب </w:t>
      </w:r>
      <w:r>
        <w:rPr>
          <w:rStyle w:val="FootnoteAnchor"/>
          <w:rtl w:val="true"/>
        </w:rPr>
        <w:footnoteReference w:id="626"/>
      </w:r>
      <w:r>
        <w:rPr>
          <w:rFonts w:ascii="IRNazanin" w:hAnsi="IRNazanin" w:eastAsia="IRNazanin"/>
          <w:color w:val="111111"/>
          <w:sz w:val="28"/>
          <w:sz w:val="28"/>
          <w:szCs w:val="28"/>
          <w:rtl w:val="true"/>
          <w:lang w:bidi="fa-IR"/>
        </w:rPr>
        <w:t>، فلو اتّخذ من الحریر لم یصحّ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إنّما یُبنی علی القول باشتراط کون هذه الأشیاء ممّا لا یلبس بالفعل حتی یکون المتّخذ منها غیر ممنوع، أو کونه غیر مغزولٍ أصلاً إن جوّزناه فیما دون المغزول، وکلاهما ممّا </w:t>
      </w:r>
      <w:r>
        <w:rPr>
          <w:rStyle w:val="FootnoteAnchor"/>
          <w:rtl w:val="true"/>
        </w:rPr>
        <w:footnoteReference w:id="627"/>
      </w:r>
      <w:r>
        <w:rPr>
          <w:rFonts w:ascii="IRNazanin" w:hAnsi="IRNazanin" w:eastAsia="IRNazanin"/>
          <w:color w:val="111111"/>
          <w:sz w:val="28"/>
          <w:sz w:val="28"/>
          <w:szCs w:val="28"/>
          <w:rtl w:val="true"/>
          <w:lang w:bidi="fa-IR"/>
        </w:rPr>
        <w:t>لا یقول به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إخراج الحریر فظاهر علی هذا؛ لأنّه لا یصحّ السجود علیه بحال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الشرط علی تقدیر جواز السجود علی هذه الأشیاء لیس بواضح؛ لأ نّه تقیید لمطلق النصّ أو تخصیص لعامّه من غیر فائدة؛ لأنّ ذلک لا یُزیله عن حکم مخالفة الأصل، فإنّ أجزاء النورة المُنبثّة فیه بحیث لا یُتمیّز من جوهر الخلیط جزءٌ یتمّ علیه السجود کافیةٌ فی المنع، فلا یفیده ما یخالطها من الأجزاء التی یصحّ السجود علیها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الذکری جوّز السجود علیه إن اتّخذ من القنّب، واستظهر المنع من المتّخذ من الحریر، وبنی المتّخذ من القطن والکتّان علی جواز السجود علیهما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ویُشکل تجویزه القنّب علی أصله، لحکمه فیها بکونه ملبوساً فی بعض البلاد </w:t>
      </w:r>
      <w:r>
        <w:rPr>
          <w:rStyle w:val="FootnoteAnchor"/>
          <w:rtl w:val="true"/>
        </w:rPr>
        <w:footnoteReference w:id="629"/>
      </w:r>
      <w:r>
        <w:rPr>
          <w:rFonts w:ascii="IRNazanin" w:hAnsi="IRNazanin" w:eastAsia="IRNazanin"/>
          <w:color w:val="111111"/>
          <w:sz w:val="28"/>
          <w:sz w:val="28"/>
          <w:szCs w:val="28"/>
          <w:rtl w:val="true"/>
          <w:lang w:bidi="fa-IR"/>
        </w:rPr>
        <w:t>وأنّ ذلک یوجب عموم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النفس من القرطاس شیءٌ، من حیث اشتماله علی النورة المستحیلة </w:t>
      </w:r>
      <w:r>
        <w:rPr>
          <w:rStyle w:val="FootnoteAnchor"/>
          <w:rtl w:val="true"/>
        </w:rPr>
        <w:footnoteReference w:id="630"/>
      </w:r>
      <w:r>
        <w:rPr>
          <w:rFonts w:ascii="IRNazanin" w:hAnsi="IRNazanin" w:eastAsia="IRNazanin"/>
          <w:color w:val="111111"/>
          <w:sz w:val="28"/>
          <w:sz w:val="28"/>
          <w:szCs w:val="28"/>
          <w:rtl w:val="true"/>
          <w:lang w:bidi="fa-IR"/>
        </w:rPr>
        <w:t>عن اسم الأرض بالإحراق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جوهر القرطاس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النورة یردّ إلیها اسم الأرض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الإ یراد متّجه لو لا خروج القرطاس بالنصّ الصحیح </w:t>
      </w:r>
      <w:r>
        <w:rPr>
          <w:rStyle w:val="FootnoteAnchor"/>
          <w:rtl w:val="true"/>
        </w:rPr>
        <w:footnoteReference w:id="632"/>
      </w:r>
      <w:r>
        <w:rPr>
          <w:rFonts w:ascii="IRNazanin" w:hAnsi="IRNazanin" w:eastAsia="IRNazanin"/>
          <w:color w:val="111111"/>
          <w:sz w:val="28"/>
          <w:sz w:val="28"/>
          <w:szCs w:val="28"/>
          <w:rtl w:val="true"/>
          <w:lang w:bidi="fa-IR"/>
        </w:rPr>
        <w:t>وعمل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دَفَع به الإشکال غیرُ واضحٍ؛ فإنّ أغلبیّة المُسوِّغ لا یکفی مع امتزاجه بغیره وانبثاث أجزائهما بحیث لا یُتمیّز، وکون جمود النورة یردّ إلیها اسم الأرض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قوله رحمه الله لو شکّ فی جنس المتّخذ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السجود علیه؛ للشکّ فی حصول شرط الصحّة، وبهذا ینسدّ باب السجود علیه غالباً، وهو غیر مسموعٍ فی مقابل النصّ وعمل الأصحاب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مع ملاقاة الجبهة لما یقع علیه اسم السجود خالیاً من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لم یعتبر ذلک </w:t>
      </w:r>
      <w:r>
        <w:rPr>
          <w:rStyle w:val="FootnoteAnchor"/>
          <w:rtl w:val="true"/>
        </w:rPr>
        <w:footnoteReference w:id="633"/>
      </w:r>
      <w:r>
        <w:rPr>
          <w:rFonts w:ascii="IRNazanin" w:hAnsi="IRNazanin" w:eastAsia="IRNazanin"/>
          <w:color w:val="111111"/>
          <w:sz w:val="28"/>
          <w:sz w:val="28"/>
          <w:szCs w:val="28"/>
          <w:rtl w:val="true"/>
          <w:lang w:bidi="fa-IR"/>
        </w:rPr>
        <w:t>بناءً علی کون المداد عَرَضاً لا یحول بین الجبهة وجوهر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bookmarkStart w:id="226" w:name="pg19806_203404"/>
    </w:p>
    <w:p>
      <w:pPr>
        <w:pStyle w:val="Heading4"/>
        <w:numPr>
          <w:ilvl w:val="3"/>
          <w:numId w:val="1"/>
        </w:numPr>
        <w:rPr/>
      </w:pPr>
      <w:bookmarkStart w:id="227" w:name="__RefHeading___Toc2027873_2314609296"/>
      <w:bookmarkStart w:id="228" w:name="_Toc84"/>
      <w:bookmarkEnd w:id="226"/>
      <w:bookmarkEnd w:id="227"/>
      <w:r>
        <w:rPr>
          <w:rtl w:val="true"/>
        </w:rPr>
        <w:t>«</w:t>
      </w:r>
      <w:r>
        <w:rPr>
          <w:rtl w:val="true"/>
        </w:rPr>
        <w:t>الشرط الخامس</w:t>
      </w:r>
      <w:r>
        <w:rPr>
          <w:rtl w:val="true"/>
        </w:rPr>
        <w:t xml:space="preserve">: </w:t>
      </w:r>
      <w:r>
        <w:rPr>
          <w:rtl w:val="true"/>
        </w:rPr>
        <w:t>طهارة البدن من الحدث والخبث</w:t>
      </w:r>
      <w:r>
        <w:rPr>
          <w:rtl w:val="true"/>
        </w:rPr>
        <w:t>» «</w:t>
      </w:r>
      <w:r>
        <w:rPr>
          <w:rtl w:val="true"/>
        </w:rPr>
        <w:t>وقد سبق</w:t>
      </w:r>
      <w:r>
        <w:rPr>
          <w:rtl w:val="true"/>
        </w:rPr>
        <w:t>»</w:t>
      </w:r>
      <w:bookmarkEnd w:id="228"/>
    </w:p>
    <w:p>
      <w:pPr>
        <w:pStyle w:val="BookText"/>
        <w:rPr/>
      </w:pPr>
      <w:r>
        <w:rPr>
          <w:rFonts w:ascii="IRNazanin" w:hAnsi="IRNazanin" w:eastAsia="IRNazanin"/>
          <w:color w:val="111111"/>
          <w:sz w:val="28"/>
          <w:sz w:val="28"/>
          <w:szCs w:val="28"/>
          <w:rtl w:val="true"/>
          <w:lang w:bidi="fa-IR"/>
        </w:rPr>
        <w:t xml:space="preserve">بیان حکمها </w:t>
      </w:r>
      <w:r>
        <w:rPr>
          <w:rStyle w:val="FootnoteAnchor"/>
          <w:rtl w:val="true"/>
        </w:rPr>
        <w:footnoteReference w:id="634"/>
      </w:r>
      <w:r>
        <w:rPr>
          <w:rFonts w:ascii="Amiri" w:hAnsi="Amiri" w:eastAsia="Amiri" w:cs="Amiri"/>
          <w:color w:val="111111"/>
          <w:sz w:val="28"/>
          <w:sz w:val="28"/>
          <w:szCs w:val="28"/>
          <w:rtl w:val="true"/>
          <w:lang w:bidi="ar-SA"/>
        </w:rPr>
        <w:t xml:space="preserve">مفصّلاً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2027875_2314609296"/>
      <w:bookmarkStart w:id="230" w:name="_Toc85"/>
      <w:bookmarkEnd w:id="229"/>
      <w:r>
        <w:rPr>
          <w:rtl w:val="true"/>
        </w:rPr>
        <w:t>«</w:t>
      </w:r>
      <w:r>
        <w:rPr>
          <w:rtl w:val="true"/>
        </w:rPr>
        <w:t>الشرط السادس</w:t>
      </w:r>
      <w:r>
        <w:rPr>
          <w:rtl w:val="true"/>
        </w:rPr>
        <w:t xml:space="preserve">: </w:t>
      </w:r>
      <w:r>
        <w:rPr>
          <w:rtl w:val="true"/>
        </w:rPr>
        <w:t>ترک الکلام</w:t>
      </w:r>
      <w:r>
        <w:rPr>
          <w:rtl w:val="true"/>
        </w:rPr>
        <w:t xml:space="preserve">» </w:t>
      </w:r>
      <w:r>
        <w:rPr>
          <w:rtl w:val="true"/>
        </w:rPr>
        <w:t>فی أثناء الصلاة</w:t>
      </w:r>
      <w:bookmarkEnd w:id="230"/>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اختاره المصنّف </w:t>
      </w:r>
      <w:r>
        <w:rPr>
          <w:rStyle w:val="FootnoteAnchor"/>
          <w:rtl w:val="true"/>
        </w:rPr>
        <w:footnoteReference w:id="636"/>
      </w:r>
      <w:r>
        <w:rPr>
          <w:rFonts w:ascii="Amiri" w:hAnsi="Amiri" w:eastAsia="Amiri" w:cs="Amiri"/>
          <w:color w:val="111111"/>
          <w:sz w:val="28"/>
          <w:sz w:val="28"/>
          <w:szCs w:val="28"/>
          <w:rtl w:val="true"/>
          <w:lang w:bidi="ar-SA"/>
        </w:rPr>
        <w:t xml:space="preserve">والجماعة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تُرکّب من حرفین فصاعداً وإن لم یکن کلاماً لغةً ولا 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حکمه الحرف الواحد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کالأمر من الأفعال المعتلّة الطرفین،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الوقایة،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الوعایة؛ لاشتماله علی مقصود الکلام وإن أخطأ بحذف هاء السکت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وحرفُ المدّ؛ لاشتماله علی حرفین فصاعداً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النصوص خالیةٌ عن هذا الإطلاق، فلا أقلّ من أن یرجع فیه إلی الکلام لغةً أو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المدّ وإن أطال </w:t>
      </w:r>
      <w:r>
        <w:rPr>
          <w:rStyle w:val="FootnoteAnchor"/>
          <w:rtl w:val="true"/>
        </w:rPr>
        <w:footnoteReference w:id="638"/>
      </w:r>
      <w:r>
        <w:rPr>
          <w:rFonts w:ascii="Amiri" w:hAnsi="Amiri" w:eastAsia="Amiri" w:cs="Amiri"/>
          <w:color w:val="111111"/>
          <w:sz w:val="28"/>
          <w:sz w:val="28"/>
          <w:szCs w:val="28"/>
          <w:rtl w:val="true"/>
          <w:lang w:bidi="ar-SA"/>
        </w:rPr>
        <w:t>مدَّه بحیث یکون بقدر أحرفٍ لا یخرج عن کونه حرفاً واحداً فی نفسه، فإنّ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حقّقوه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بحرفٍ ولا حرکةٍ، وإنّما هو زیادةٌ فی مطّ </w:t>
      </w:r>
      <w:r>
        <w:rPr>
          <w:rStyle w:val="FootnoteAnchor"/>
          <w:rtl w:val="true"/>
        </w:rPr>
        <w:footnoteReference w:id="640"/>
      </w:r>
      <w:r>
        <w:rPr>
          <w:rFonts w:ascii="IRNazanin" w:hAnsi="IRNazanin" w:eastAsia="IRNazanin"/>
          <w:color w:val="111111"/>
          <w:sz w:val="28"/>
          <w:sz w:val="28"/>
          <w:szCs w:val="28"/>
          <w:rtl w:val="true"/>
          <w:lang w:bidi="fa-IR"/>
        </w:rPr>
        <w:t>الحرف والنفَس به، وذلک لا یُلحقه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 جزموا بالحکم الأوّل مطلقاً، وتوقّفوا فی الحرف المُفهم من حیث کون المبطل الحرفین فصاعداً، مع أ نّه کلامٌ لغةً واصطلاحاً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اشتراط کون الحرفین موضوعین لمعنیً وجهان، وقطع المصنّف بعدم اعتباره </w:t>
      </w:r>
      <w:r>
        <w:rPr>
          <w:rStyle w:val="FootnoteAnchor"/>
          <w:rtl w:val="true"/>
        </w:rPr>
        <w:footnoteReference w:id="641"/>
      </w:r>
      <w:r>
        <w:rPr>
          <w:rFonts w:ascii="IRNazanin" w:hAnsi="IRNazanin" w:eastAsia="IRNazanin"/>
          <w:color w:val="111111"/>
          <w:sz w:val="28"/>
          <w:sz w:val="28"/>
          <w:szCs w:val="28"/>
          <w:rtl w:val="true"/>
          <w:lang w:bidi="fa-IR"/>
        </w:rPr>
        <w:t>وتظهر الفائدة فی الحرفین الحادثین من التنحنح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العلّامة بکونهما حینئذٍ غیر مبطلین، محتجّاً بأ نّهما لیسا من جنس الکلام </w:t>
      </w:r>
      <w:r>
        <w:rPr>
          <w:rStyle w:val="FootnoteAnchor"/>
          <w:rtl w:val="true"/>
        </w:rPr>
        <w:footnoteReference w:id="642"/>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فی جعل هذه التروک من الشرائط تجوّزاً ظاهراً، فإنّ الشرط یعتبر کونه متقدّماً علی المشروط و </w:t>
      </w:r>
      <w:r>
        <w:rPr>
          <w:rStyle w:val="FootnoteAnchor"/>
          <w:rtl w:val="true"/>
        </w:rPr>
        <w:footnoteReference w:id="643"/>
      </w:r>
      <w:r>
        <w:rPr>
          <w:rFonts w:ascii="IRNazanin" w:hAnsi="IRNazanin" w:eastAsia="IRNazanin"/>
          <w:color w:val="111111"/>
          <w:sz w:val="28"/>
          <w:sz w:val="28"/>
          <w:szCs w:val="28"/>
          <w:rtl w:val="true"/>
          <w:lang w:bidi="fa-IR"/>
        </w:rPr>
        <w:t>مقارناً له، والأمر هنا لیس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الکثیر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یخرج به فاعلُه عن کونه مصلّیاً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بالعدد، فقد یکون الکثیر فیه قلیلاً کحرکة الأصابع، والقلیل فیه کثیراً کالوَثْبَة الفاحشة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فیه التوالی، فلو تفرّق بحیث حصلت الکثرة فی جمیع الصلاة ولم یتحقّق الوصف فی المجتمع منها لم یضرّ، ومن هنا کان النبیّ صلی الله علیه و آله یحمل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ابنة ابنته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ویضعها کلّما سجد ثمّ یحملها إذا قام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یقدح القلیلُ، کلُبس العمامة والرداء ومسح الجبهة وقتلِ الحیّة والعقرب، وهما منصوصان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السکوت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المخرج عن کونه مصلّیاً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به عن کونه قارئاً بطلت القراءة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وهو ما اشتمل منه علی صوتٍ، لا مجرّد خروج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مقصوراً، والشکّ فی کون الوارد منه فی النصّ </w:t>
      </w:r>
      <w:r>
        <w:rPr>
          <w:rStyle w:val="FootnoteAnchor"/>
          <w:rtl w:val="true"/>
        </w:rPr>
        <w:footnoteReference w:id="647"/>
      </w:r>
      <w:r>
        <w:rPr>
          <w:rFonts w:ascii="IRNazanin" w:hAnsi="IRNazanin" w:eastAsia="IRNazanin"/>
          <w:color w:val="111111"/>
          <w:sz w:val="28"/>
          <w:sz w:val="28"/>
          <w:szCs w:val="28"/>
          <w:rtl w:val="true"/>
          <w:lang w:bidi="fa-IR"/>
        </w:rPr>
        <w:t>مقصوراً أو ممدوداً، وأصالة عدم المدّ معارضٌ بأصالة صحّة الصلاة، فیبقی الشکّ فی عروض المبطل مقتضیاً لبقاء حکم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یشترط ترک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للدنیا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کذهاب مالٍ وفقد محبوب وإن وقع علی وجهٍ قهریٍّ فی وجهٍ </w:t>
      </w:r>
      <w:r>
        <w:rPr>
          <w:rStyle w:val="FootnoteAnchor"/>
          <w:rtl w:val="true"/>
        </w:rPr>
        <w:footnoteReference w:id="649"/>
      </w:r>
      <w:r>
        <w:rPr>
          <w:rFonts w:ascii="IRNazanin" w:hAnsi="IRNazanin" w:eastAsia="IRNazanin"/>
          <w:color w:val="111111"/>
          <w:sz w:val="28"/>
          <w:sz w:val="28"/>
          <w:szCs w:val="28"/>
          <w:rtl w:val="true"/>
          <w:lang w:bidi="fa-IR"/>
        </w:rPr>
        <w:t>واحترز بها عن الآخرة، فإنّ البکاء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کذکر الجنّة والنار ودرجات المقرّبین إلی حضرته ودرکات المبعدین عن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أفضل الأعمال </w:t>
      </w:r>
      <w:r>
        <w:rPr>
          <w:rStyle w:val="FootnoteAnchor"/>
          <w:rtl w:val="true"/>
        </w:rPr>
        <w:footnoteReference w:id="650"/>
      </w:r>
      <w:r>
        <w:rPr>
          <w:rFonts w:ascii="IRNazanin" w:hAnsi="IRNazanin" w:eastAsia="IRNazanin"/>
          <w:color w:val="111111"/>
          <w:sz w:val="28"/>
          <w:sz w:val="28"/>
          <w:szCs w:val="28"/>
          <w:rtl w:val="true"/>
          <w:lang w:bidi="fa-IR"/>
        </w:rPr>
        <w:t>ولو خرج منه حینئذٍ حرفان فکما سلف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القهقهة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الضحک المشتمل علی الصوت وإن لم یکن فیه ترجیعٌ ولا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فیها وفی البکاء مسمّاهما، فمن ثَمّ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وقعت علی وجهٍ لا یمکن دفعه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المصنّف فی الذکری البطلان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وضع إحدی الراحتین علی الاُخری راکعاً بین رکبتیه؛</w:t>
      </w:r>
    </w:p>
    <w:p>
      <w:pPr>
        <w:pStyle w:val="BookText"/>
        <w:rPr/>
      </w:pPr>
      <w:r>
        <w:rPr>
          <w:rFonts w:ascii="IRNazanin" w:hAnsi="IRNazanin" w:eastAsia="IRNazanin"/>
          <w:color w:val="111111"/>
          <w:sz w:val="28"/>
          <w:sz w:val="28"/>
          <w:szCs w:val="28"/>
          <w:rtl w:val="true"/>
          <w:lang w:bidi="fa-IR"/>
        </w:rPr>
        <w:t xml:space="preserve">لما روی من النهی عنه </w:t>
      </w:r>
      <w:r>
        <w:rPr>
          <w:rStyle w:val="FootnoteAnchor"/>
          <w:rtl w:val="true"/>
        </w:rPr>
        <w:footnoteReference w:id="652"/>
      </w:r>
      <w:r>
        <w:rPr>
          <w:rFonts w:ascii="IRNazanin" w:hAnsi="IRNazanin" w:eastAsia="IRNazanin"/>
          <w:color w:val="111111"/>
          <w:sz w:val="28"/>
          <w:sz w:val="28"/>
          <w:szCs w:val="28"/>
          <w:rtl w:val="true"/>
          <w:lang w:bidi="fa-IR"/>
        </w:rPr>
        <w:t xml:space="preserve">والمستند ضعیف، والمنافاة به من حیث الفعل منتفیة، فالقول بالجواز أقوی، وعلیه المصنّف فی الذکری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وضع إحدی الیدین علی الاُخری بحائلٍ وغیره فوق السُرّة وتحتها بالکفّ علیه وعلی الزَّنْد؛ لإطلاق النهی عن التکفیر </w:t>
      </w:r>
      <w:r>
        <w:rPr>
          <w:rStyle w:val="FootnoteAnchor"/>
          <w:rtl w:val="true"/>
        </w:rPr>
        <w:footnoteReference w:id="654"/>
      </w:r>
      <w:r>
        <w:rPr>
          <w:rFonts w:ascii="IRNazanin" w:hAnsi="IRNazanin" w:eastAsia="IRNazanin"/>
          <w:color w:val="111111"/>
          <w:sz w:val="28"/>
          <w:sz w:val="28"/>
          <w:szCs w:val="28"/>
          <w:rtl w:val="true"/>
          <w:lang w:bidi="fa-IR"/>
        </w:rPr>
        <w:t xml:space="preserve">الشامل لجمیع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منه ما تأدّت به، بل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عندهم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ظنّ الضرر بترکها، لکن لا تبطل الصلاة بترکها حینئذٍ لو خالف؛ لتعلّق النهی بأمرٍ خارج، بخلاف المخالفة فی غسل الوضوء بالمسح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والالتفات إلی ما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ببدنه أجمع، وکذا بوجهه عند المصنّف </w:t>
      </w:r>
      <w:r>
        <w:rPr>
          <w:rStyle w:val="FootnoteAnchor"/>
          <w:rtl w:val="true"/>
        </w:rPr>
        <w:footnoteReference w:id="655"/>
      </w:r>
      <w:r>
        <w:rPr>
          <w:rFonts w:ascii="IRNazanin" w:hAnsi="IRNazanin" w:eastAsia="IRNazanin"/>
          <w:color w:val="111111"/>
          <w:sz w:val="28"/>
          <w:sz w:val="28"/>
          <w:szCs w:val="28"/>
          <w:rtl w:val="true"/>
          <w:lang w:bidi="fa-IR"/>
        </w:rPr>
        <w:t>وإن کان الفرض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إلی ما </w:t>
      </w:r>
      <w:r>
        <w:rPr>
          <w:rStyle w:val="FootnoteAnchor"/>
          <w:rtl w:val="true"/>
        </w:rPr>
        <w:footnoteReference w:id="656"/>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کالیمین والیسار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فیکره بالوجه ویبطل بالبدن عمداً من حیث الانحراف عن القبلة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قلیلاً کاللقمة، إمّا لمنافاتهما وضع الصلاة، أو لأنّ تناول المأکول والمشروب ووضعه فی الفم وازدراده </w:t>
      </w:r>
      <w:r>
        <w:rPr>
          <w:rStyle w:val="FootnoteAnchor"/>
          <w:rtl w:val="true"/>
        </w:rPr>
        <w:footnoteReference w:id="657"/>
      </w:r>
      <w:r>
        <w:rPr>
          <w:rFonts w:ascii="IRNazanin" w:hAnsi="IRNazanin" w:eastAsia="IRNazanin"/>
          <w:color w:val="111111"/>
          <w:sz w:val="28"/>
          <w:sz w:val="28"/>
          <w:szCs w:val="28"/>
          <w:rtl w:val="true"/>
          <w:lang w:bidi="fa-IR"/>
        </w:rPr>
        <w:t>أفعال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ضعیف؛ إذ لا دلیل علی أصل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اعتبار الکثرة فیهما عرفاً، فیرجعان إلی الفعل الکثیر، وهو اختیار المصنّف فی کتبه الثلاثة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إلّافی</w:t>
      </w:r>
      <w:bookmarkStart w:id="231" w:name="pg19806_203408"/>
    </w:p>
    <w:p>
      <w:pPr>
        <w:pStyle w:val="BookText"/>
        <w:rPr/>
      </w:pPr>
      <w:bookmarkEnd w:id="231"/>
      <w:r>
        <w:rPr>
          <w:rFonts w:ascii="IRNazanin" w:hAnsi="IRNazanin" w:eastAsia="IRNazanin"/>
          <w:color w:val="111111"/>
          <w:sz w:val="28"/>
          <w:sz w:val="28"/>
          <w:szCs w:val="28"/>
          <w:rtl w:val="true"/>
          <w:lang w:bidi="fa-IR"/>
        </w:rPr>
        <w:t xml:space="preserve">الوتر لمرید الصوم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یستدع منافیاً غیره وخاف فجأة الصبح قبل إکمال غرضه منه، ولا فرق فیه بین الواجب والندب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هذه المذکورات أجمع إنّما تنافی الصلاة مع تعمّدها عند المصنِّف مطلقاً، وبعضها إجماعاً </w:t>
      </w:r>
      <w:r>
        <w:rPr>
          <w:rStyle w:val="FootnoteAnchor"/>
          <w:rtl w:val="true"/>
        </w:rPr>
        <w:footnoteReference w:id="660"/>
      </w:r>
      <w:r>
        <w:rPr>
          <w:rFonts w:ascii="IRNazanin" w:hAnsi="IRNazanin" w:eastAsia="IRNazanin"/>
          <w:color w:val="111111"/>
          <w:sz w:val="28"/>
          <w:sz w:val="28"/>
          <w:szCs w:val="28"/>
          <w:rtl w:val="true"/>
          <w:lang w:bidi="fa-IR"/>
        </w:rPr>
        <w:t xml:space="preserve">وإنّما لم یقیّد هنا اکتفاءً باشتراطه ترکها، فإنّ ذلک یقتضی التکلیف به المتوقّف علی الذکر؛ لأنّ الناسی غیر مکلَّف ابتداءً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الفعل الکثیر ربّما توقّف المصنّف فی تقییده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أطلقه فی البیان </w:t>
      </w:r>
      <w:r>
        <w:rPr>
          <w:rStyle w:val="FootnoteAnchor"/>
          <w:rtl w:val="true"/>
        </w:rPr>
        <w:footnoteReference w:id="662"/>
      </w:r>
      <w:r>
        <w:rPr>
          <w:rFonts w:ascii="IRNazanin" w:hAnsi="IRNazanin" w:eastAsia="IRNazanin"/>
          <w:color w:val="111111"/>
          <w:sz w:val="28"/>
          <w:sz w:val="28"/>
          <w:szCs w:val="28"/>
          <w:rtl w:val="true"/>
          <w:lang w:bidi="fa-IR"/>
        </w:rPr>
        <w:t xml:space="preserve">ونسب التقیید فی الذکری إلی الأصحاب </w:t>
      </w:r>
      <w:r>
        <w:rPr>
          <w:rStyle w:val="FootnoteAnchor"/>
          <w:rtl w:val="true"/>
        </w:rPr>
        <w:footnoteReference w:id="663"/>
      </w:r>
      <w:r>
        <w:rPr>
          <w:rFonts w:ascii="IRNazanin" w:hAnsi="IRNazanin" w:eastAsia="IRNazanin"/>
          <w:color w:val="111111"/>
          <w:sz w:val="28"/>
          <w:sz w:val="28"/>
          <w:szCs w:val="28"/>
          <w:rtl w:val="true"/>
          <w:lang w:bidi="fa-IR"/>
        </w:rPr>
        <w:t xml:space="preserve">وفی الدروس إلی المشهور </w:t>
      </w:r>
      <w:r>
        <w:rPr>
          <w:rStyle w:val="FootnoteAnchor"/>
          <w:rtl w:val="true"/>
        </w:rPr>
        <w:footnoteReference w:id="664"/>
      </w:r>
      <w:r>
        <w:rPr>
          <w:rFonts w:ascii="IRNazanin" w:hAnsi="IRNazanin" w:eastAsia="IRNazanin"/>
          <w:color w:val="111111"/>
          <w:sz w:val="28"/>
          <w:sz w:val="28"/>
          <w:szCs w:val="28"/>
          <w:rtl w:val="true"/>
          <w:lang w:bidi="fa-IR"/>
        </w:rPr>
        <w:t xml:space="preserve">وفی الرسالة الألفیّة جعله من قسم المنافی مطلقاً </w:t>
      </w:r>
      <w:r>
        <w:rPr>
          <w:rStyle w:val="FootnoteAnchor"/>
          <w:rtl w:val="true"/>
        </w:rPr>
        <w:footnoteReference w:id="665"/>
      </w:r>
      <w:r>
        <w:rPr>
          <w:rFonts w:ascii="IRNazanin" w:hAnsi="IRNazanin" w:eastAsia="IRNazanin"/>
          <w:color w:val="111111"/>
          <w:sz w:val="28"/>
          <w:sz w:val="28"/>
          <w:szCs w:val="28"/>
          <w:rtl w:val="true"/>
          <w:lang w:bidi="fa-IR"/>
        </w:rPr>
        <w:t>ولا یخلو إطلاقه هنا من دلالةٍ علی القید إلحاقاً له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استلزم الفعل الکثیر ناسیاً انمحاء صورة الصلاة رأساً توجّه البطلان أیضاً، لکنّ الأصحاب أطلقوا الحکم</w:t>
      </w:r>
      <w:r>
        <w:rPr>
          <w:rFonts w:eastAsia="IRNazanin" w:cs="IRNazanin"/>
          <w:color w:val="111111"/>
          <w:sz w:val="28"/>
          <w:szCs w:val="28"/>
          <w:rtl w:val="true"/>
          <w:lang w:bidi="fa-IR"/>
        </w:rPr>
        <w:t>.</w:t>
      </w:r>
    </w:p>
    <w:p>
      <w:pPr>
        <w:pStyle w:val="Heading4"/>
        <w:numPr>
          <w:ilvl w:val="3"/>
          <w:numId w:val="1"/>
        </w:numPr>
        <w:rPr/>
      </w:pPr>
      <w:bookmarkStart w:id="232" w:name="__RefHeading___Toc2027877_2314609296"/>
      <w:bookmarkStart w:id="233" w:name="_Toc86"/>
      <w:bookmarkEnd w:id="232"/>
      <w:r>
        <w:rPr>
          <w:rtl w:val="true"/>
        </w:rPr>
        <w:t>[«</w:t>
      </w:r>
      <w:r>
        <w:rPr>
          <w:rtl w:val="true"/>
        </w:rPr>
        <w:t>الشرط السابع</w:t>
      </w:r>
      <w:r>
        <w:rPr>
          <w:rtl w:val="true"/>
        </w:rPr>
        <w:t xml:space="preserve">: </w:t>
      </w:r>
      <w:r>
        <w:rPr>
          <w:rtl w:val="true"/>
        </w:rPr>
        <w:t>الإسلام</w:t>
      </w:r>
      <w:r>
        <w:rPr>
          <w:rtl w:val="true"/>
        </w:rPr>
        <w:t>»]</w:t>
      </w:r>
      <w:bookmarkEnd w:id="23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فتدخل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وإن</w:t>
      </w:r>
    </w:p>
    <w:p>
      <w:pPr>
        <w:pStyle w:val="BookText"/>
        <w:rPr/>
      </w:pPr>
      <w:r>
        <w:rPr>
          <w:rFonts w:ascii="Amiri" w:hAnsi="Amiri" w:eastAsia="Amiri" w:cs="Amiri"/>
          <w:color w:val="111111"/>
          <w:sz w:val="28"/>
          <w:sz w:val="28"/>
          <w:szCs w:val="28"/>
          <w:rtl w:val="true"/>
          <w:lang w:bidi="ar-SA"/>
        </w:rPr>
        <w:t xml:space="preserve">کان مرتدّاً ملّیّاً أو فطریّاً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وجبت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قول الأکثر، خلافاً لأبی حنیفة حیث زعم أ نّه غیر مکلَّفٍ بالفروع فلا یعاقب علی ترکها </w:t>
      </w:r>
      <w:r>
        <w:rPr>
          <w:rStyle w:val="FootnoteAnchor"/>
          <w:rtl w:val="true"/>
        </w:rPr>
        <w:footnoteReference w:id="666"/>
      </w:r>
      <w:r>
        <w:rPr>
          <w:rFonts w:ascii="IRNazanin" w:hAnsi="IRNazanin" w:eastAsia="IRNazanin"/>
          <w:color w:val="111111"/>
          <w:sz w:val="28"/>
          <w:sz w:val="28"/>
          <w:szCs w:val="28"/>
          <w:rtl w:val="true"/>
          <w:lang w:bidi="fa-IR"/>
        </w:rPr>
        <w:t xml:space="preserve">وتحقیق المسألة فی الاُصول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له قوّةٌ یمکنه بها معرفة أفعال الصلاة لیمیِّز الشرطَ من الفعل، ویقصد بسببه فعل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من المجنون والمغمی علیه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الممیِّز لأفعالها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یُفرِّق </w:t>
      </w:r>
      <w:r>
        <w:rPr>
          <w:rStyle w:val="FootnoteAnchor"/>
          <w:rtl w:val="true"/>
        </w:rPr>
        <w:footnoteReference w:id="668"/>
      </w:r>
      <w:r>
        <w:rPr>
          <w:rFonts w:ascii="IRNazanin" w:hAnsi="IRNazanin" w:eastAsia="IRNazanin"/>
          <w:color w:val="111111"/>
          <w:sz w:val="28"/>
          <w:sz w:val="28"/>
          <w:szCs w:val="28"/>
          <w:rtl w:val="true"/>
          <w:lang w:bidi="fa-IR"/>
        </w:rPr>
        <w:t>بین ما هو شرطٌ فیها وغیر شرط، وما هو واجبٌ وغیر واجب إذا نُبّه علیه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ویُمرَّن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البیان لسبع </w:t>
      </w:r>
      <w:r>
        <w:rPr>
          <w:rStyle w:val="FootnoteAnchor"/>
          <w:rtl w:val="true"/>
        </w:rPr>
        <w:footnoteReference w:id="669"/>
      </w:r>
      <w:r>
        <w:rPr>
          <w:rFonts w:ascii="IRNazanin" w:hAnsi="IRNazanin" w:eastAsia="IRNazanin"/>
          <w:color w:val="111111"/>
          <w:sz w:val="28"/>
          <w:sz w:val="28"/>
          <w:szCs w:val="28"/>
          <w:rtl w:val="true"/>
          <w:lang w:bidi="fa-IR"/>
        </w:rPr>
        <w:t xml:space="preserve">وکلاهما مرویّ </w:t>
      </w:r>
      <w:r>
        <w:rPr>
          <w:rStyle w:val="FootnoteAnchor"/>
          <w:rtl w:val="true"/>
        </w:rPr>
        <w:footnoteReference w:id="670"/>
      </w:r>
      <w:r>
        <w:rPr>
          <w:rFonts w:ascii="Amiri" w:hAnsi="Amiri" w:eastAsia="Amiri" w:cs="Amiri"/>
          <w:color w:val="111111"/>
          <w:sz w:val="28"/>
          <w:sz w:val="28"/>
          <w:szCs w:val="28"/>
          <w:rtl w:val="true"/>
          <w:lang w:bidi="ar-SA"/>
        </w:rPr>
        <w:t xml:space="preserve">ویُضرب علیها لتسعٍ </w:t>
      </w:r>
      <w:r>
        <w:rPr>
          <w:rStyle w:val="FootnoteAnchor"/>
          <w:rtl w:val="true"/>
        </w:rPr>
        <w:footnoteReference w:id="671"/>
      </w:r>
      <w:r>
        <w:rPr>
          <w:rFonts w:ascii="Amiri" w:hAnsi="Amiri" w:eastAsia="Amiri" w:cs="Amiri"/>
          <w:color w:val="111111"/>
          <w:sz w:val="28"/>
          <w:sz w:val="28"/>
          <w:szCs w:val="28"/>
          <w:rtl w:val="true"/>
          <w:lang w:bidi="ar-SA"/>
        </w:rPr>
        <w:t xml:space="preserve">ورُوی لعشرٍ </w:t>
      </w:r>
      <w:r>
        <w:rPr>
          <w:rStyle w:val="FootnoteAnchor"/>
          <w:rtl w:val="true"/>
        </w:rPr>
        <w:footnoteReference w:id="672"/>
      </w:r>
      <w:r>
        <w:rPr>
          <w:rFonts w:ascii="IRNazanin" w:hAnsi="IRNazanin" w:eastAsia="IRNazanin"/>
          <w:color w:val="111111"/>
          <w:sz w:val="28"/>
          <w:sz w:val="28"/>
          <w:szCs w:val="28"/>
          <w:rtl w:val="true"/>
          <w:lang w:bidi="fa-IR"/>
        </w:rPr>
        <w:t>ویتخیّر بین نیّة الوجوب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التعوید علی أفعال المکلّفین لیعتادها قبل البلوغ فلا یشقّ علیه بعده</w:t>
      </w:r>
      <w:r>
        <w:rPr>
          <w:rFonts w:eastAsia="IRNazanin" w:cs="IRNazanin"/>
          <w:color w:val="111111"/>
          <w:sz w:val="28"/>
          <w:szCs w:val="28"/>
          <w:rtl w:val="true"/>
          <w:lang w:bidi="fa-IR"/>
        </w:rPr>
        <w:t>.</w:t>
      </w:r>
      <w:bookmarkStart w:id="234" w:name="pg19806_203411"/>
    </w:p>
    <w:p>
      <w:pPr>
        <w:pStyle w:val="Heading3"/>
        <w:numPr>
          <w:ilvl w:val="2"/>
          <w:numId w:val="1"/>
        </w:numPr>
        <w:rPr/>
      </w:pPr>
      <w:bookmarkStart w:id="235" w:name="__RefHeading___Toc2027879_2314609296"/>
      <w:bookmarkStart w:id="236" w:name="_Toc87"/>
      <w:bookmarkEnd w:id="234"/>
      <w:bookmarkEnd w:id="235"/>
      <w:r>
        <w:rPr>
          <w:rtl w:val="true"/>
        </w:rPr>
        <w:t>«</w:t>
      </w:r>
      <w:r>
        <w:rPr>
          <w:rtl w:val="true"/>
        </w:rPr>
        <w:t>الفصل الثالث</w:t>
      </w:r>
      <w:r>
        <w:rPr>
          <w:rtl w:val="true"/>
        </w:rPr>
        <w:t>» «</w:t>
      </w:r>
      <w:r>
        <w:rPr>
          <w:rtl w:val="true"/>
        </w:rPr>
        <w:t>فی کیفیّة الصلاة</w:t>
      </w:r>
      <w:r>
        <w:rPr>
          <w:rtl w:val="true"/>
        </w:rPr>
        <w:t>»</w:t>
      </w:r>
      <w:bookmarkEnd w:id="236"/>
    </w:p>
    <w:p>
      <w:pPr>
        <w:pStyle w:val="Heading4"/>
        <w:numPr>
          <w:ilvl w:val="3"/>
          <w:numId w:val="1"/>
        </w:numPr>
        <w:rPr/>
      </w:pPr>
      <w:bookmarkStart w:id="237" w:name="__RefHeading___Toc2027881_2314609296"/>
      <w:bookmarkStart w:id="238" w:name="_Toc88"/>
      <w:bookmarkEnd w:id="237"/>
      <w:r>
        <w:rPr>
          <w:rtl w:val="true"/>
        </w:rPr>
        <w:t>اشارة</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الشروع فی الصلاة</w:t>
      </w:r>
    </w:p>
    <w:p>
      <w:pPr>
        <w:pStyle w:val="Heading4"/>
        <w:numPr>
          <w:ilvl w:val="3"/>
          <w:numId w:val="1"/>
        </w:numPr>
        <w:rPr/>
      </w:pPr>
      <w:bookmarkStart w:id="239" w:name="__RefHeading___Toc2027883_2314609296"/>
      <w:bookmarkStart w:id="240" w:name="_Toc89"/>
      <w:bookmarkEnd w:id="239"/>
      <w:r>
        <w:rPr>
          <w:rtl w:val="true"/>
        </w:rPr>
        <w:t>«</w:t>
      </w:r>
      <w:r>
        <w:rPr>
          <w:rtl w:val="true"/>
        </w:rPr>
        <w:t>الأذان والإقامة</w:t>
      </w:r>
      <w:r>
        <w:rPr>
          <w:rtl w:val="true"/>
        </w:rPr>
        <w:t>»</w:t>
      </w:r>
      <w:bookmarkEnd w:id="240"/>
    </w:p>
    <w:p>
      <w:pPr>
        <w:pStyle w:val="BookText"/>
        <w:rPr/>
      </w:pPr>
      <w:r>
        <w:rPr>
          <w:rFonts w:ascii="IRNazanin" w:hAnsi="IRNazanin" w:eastAsia="IRNazanin"/>
          <w:color w:val="111111"/>
          <w:sz w:val="28"/>
          <w:sz w:val="28"/>
          <w:szCs w:val="28"/>
          <w:rtl w:val="true"/>
          <w:lang w:bidi="fa-IR"/>
        </w:rPr>
        <w:t>وإنّما جعلهما من الکیفیّة خلافاً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جعلهما من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مقارنة الإقامة لها غالباً، لبطلانها بالکلام ونحوه بینها وبین الصلاة، وکونِها أحدَ الجزأین، فکانا کالجزء المقارن، کما دخلت النیّة فیها مع أ نّها خارجةٌ عنها متقدّمةٌ علیها علی التحقیق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وکیفیّتهما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ینویهما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لأنّهما عبادة، فتفتقر فی الثواب علیها </w:t>
      </w:r>
      <w:r>
        <w:rPr>
          <w:rStyle w:val="FootnoteAnchor"/>
          <w:rtl w:val="true"/>
        </w:rPr>
        <w:footnoteReference w:id="673"/>
      </w:r>
      <w:r>
        <w:rPr>
          <w:rFonts w:ascii="Amiri" w:hAnsi="Amiri" w:eastAsia="Amiri" w:cs="Amiri"/>
          <w:color w:val="111111"/>
          <w:sz w:val="28"/>
          <w:sz w:val="28"/>
          <w:szCs w:val="28"/>
          <w:rtl w:val="true"/>
          <w:lang w:bidi="ar-SA"/>
        </w:rPr>
        <w:t xml:space="preserve">إلی النیّة، إلّاما شذّ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ویُکبِّر أربعاً فی أوّل الأذان، ثم التشهّدان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بالتوحید والرسالة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الحیّعلات الثلاث، ثم التکبیر، ثمّ التهلیل، مثنی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فهذه</w:t>
      </w:r>
    </w:p>
    <w:p>
      <w:pPr>
        <w:pStyle w:val="BookText"/>
        <w:rPr/>
      </w:pPr>
      <w:r>
        <w:rPr>
          <w:rFonts w:ascii="IRNazanin" w:hAnsi="IRNazanin" w:eastAsia="IRNazanin"/>
          <w:color w:val="111111"/>
          <w:sz w:val="28"/>
          <w:sz w:val="28"/>
          <w:szCs w:val="28"/>
          <w:rtl w:val="true"/>
          <w:lang w:bidi="fa-IR"/>
        </w:rPr>
        <w:t>ثمانیة عشر 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والإقامة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فصولها، وهی فصول الأذان إلّاما یخرجه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ویزید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ویُهلِّل فی آخرها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ففصولها سبعة عشر، تنقص عن الأذان ثلاثة، ویزید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الفصول المنقولة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اعتقاد شرعیّة 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الأذان والإقامة، کالتشهّد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محمّداً وآله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خیر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الواقع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کلّ واقعٍ حقّاً یجوز إدخاله فی العبادات الموظّفة شرعاً المحدودة من اللّٰه تعالی، فیکون إدخال ذلک فیها بدعةً وتشریعاً، کما لو زاد فی الصلاة رکعةً أو تشهّداً ونحو ذلک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فذلک من أحکام الإ یمان، لا من فصول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إدخال ذلک فیه من وضع المفوِّضة </w:t>
      </w:r>
      <w:r>
        <w:rPr>
          <w:rStyle w:val="FootnoteAnchor"/>
          <w:rtl w:val="true"/>
        </w:rPr>
        <w:footnoteReference w:id="677"/>
      </w:r>
      <w:r>
        <w:rPr>
          <w:rFonts w:ascii="IRNazanin" w:hAnsi="IRNazanin" w:eastAsia="IRNazanin"/>
          <w:color w:val="111111"/>
          <w:sz w:val="28"/>
          <w:sz w:val="28"/>
          <w:szCs w:val="28"/>
          <w:rtl w:val="true"/>
          <w:lang w:bidi="fa-IR"/>
        </w:rPr>
        <w:t>وهم طائفة من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هذه الزیادة أو أحدها بنیّة أ نّه منه أثم فی اعتقاده، ولا یبطل الأذان بفعله، وبدون اعتقاد ذلک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المبسوط أطلق عدم الإثم به </w:t>
      </w:r>
      <w:r>
        <w:rPr>
          <w:rStyle w:val="FootnoteAnchor"/>
          <w:rtl w:val="true"/>
        </w:rPr>
        <w:footnoteReference w:id="678"/>
      </w:r>
      <w:r>
        <w:rPr>
          <w:rFonts w:ascii="IRNazanin" w:hAnsi="IRNazanin" w:eastAsia="IRNazanin"/>
          <w:color w:val="111111"/>
          <w:sz w:val="28"/>
          <w:sz w:val="28"/>
          <w:szCs w:val="28"/>
          <w:rtl w:val="true"/>
          <w:lang w:bidi="fa-IR"/>
        </w:rPr>
        <w:t xml:space="preserve">ومثله المصنّف فی البیان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واستحبابهما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خاصّةً، دون غیرها من الصلوات وإن کانت واجبة، بل یقول المؤذِّن للواجب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بنصب</w:t>
      </w:r>
    </w:p>
    <w:p>
      <w:pPr>
        <w:pStyle w:val="BookText"/>
        <w:rPr/>
      </w:pPr>
      <w:r>
        <w:rPr>
          <w:rFonts w:ascii="IRNazanin" w:hAnsi="IRNazanin" w:eastAsia="IRNazanin"/>
          <w:color w:val="111111"/>
          <w:sz w:val="28"/>
          <w:sz w:val="28"/>
          <w:szCs w:val="28"/>
          <w:rtl w:val="true"/>
          <w:lang w:bidi="fa-IR"/>
        </w:rPr>
        <w:t xml:space="preserve">الأوّلین أو رفعهما أو بالتفریق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وقضاءً، للمنفرد والجامع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 المرتضی والشیخان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یجبان فی الجماعة</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لا بمعنی اشتراطهما فی الصحّة، بل فی ثواب الجماعة، علی ما صرّح به الشیخ فی المبسوط </w:t>
      </w:r>
      <w:r>
        <w:rPr>
          <w:rStyle w:val="FootnoteAnchor"/>
          <w:rtl w:val="true"/>
        </w:rPr>
        <w:footnoteReference w:id="682"/>
      </w:r>
      <w:r>
        <w:rPr>
          <w:rFonts w:ascii="IRNazanin" w:hAnsi="IRNazanin" w:eastAsia="IRNazanin"/>
          <w:color w:val="111111"/>
          <w:sz w:val="28"/>
          <w:sz w:val="28"/>
          <w:szCs w:val="28"/>
          <w:rtl w:val="true"/>
          <w:lang w:bidi="fa-IR"/>
        </w:rPr>
        <w:t xml:space="preserve">، وکذا فسّره به المصنّف فی الدروس عنهم </w:t>
      </w:r>
      <w:r>
        <w:rPr>
          <w:rStyle w:val="FootnoteAnchor"/>
          <w:rtl w:val="true"/>
        </w:rPr>
        <w:footnoteReference w:id="683"/>
      </w:r>
      <w:r>
        <w:rPr>
          <w:rFonts w:ascii="Amiri" w:hAnsi="Amiri" w:eastAsia="Amiri" w:cs="Amiri"/>
          <w:color w:val="111111"/>
          <w:sz w:val="28"/>
          <w:sz w:val="28"/>
          <w:szCs w:val="28"/>
          <w:rtl w:val="true"/>
          <w:lang w:bidi="ar-SA"/>
        </w:rPr>
        <w:t xml:space="preserve">مطلقاً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ویتأکّدان فی الجهریّة، وخصوصاً الغداة </w:t>
      </w:r>
      <w:r>
        <w:rPr>
          <w:rStyle w:val="FootnoteAnchor"/>
          <w:rtl w:val="true"/>
        </w:rPr>
        <w:footnoteReference w:id="685"/>
      </w:r>
      <w:r>
        <w:rPr>
          <w:rFonts w:ascii="IRNazanin" w:hAnsi="IRNazanin" w:eastAsia="IRNazanin"/>
          <w:color w:val="111111"/>
          <w:sz w:val="28"/>
          <w:sz w:val="28"/>
          <w:szCs w:val="28"/>
          <w:rtl w:val="true"/>
          <w:lang w:bidi="fa-IR"/>
        </w:rPr>
        <w:t>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أوجبهما فیهما الحسنُ مطلقاً </w:t>
      </w:r>
      <w:r>
        <w:rPr>
          <w:rStyle w:val="FootnoteAnchor"/>
          <w:rtl w:val="true"/>
        </w:rPr>
        <w:footnoteReference w:id="686"/>
      </w:r>
      <w:r>
        <w:rPr>
          <w:rFonts w:ascii="IRNazanin" w:hAnsi="IRNazanin" w:eastAsia="IRNazanin"/>
          <w:color w:val="111111"/>
          <w:sz w:val="28"/>
          <w:sz w:val="28"/>
          <w:szCs w:val="28"/>
          <w:rtl w:val="true"/>
          <w:lang w:bidi="fa-IR"/>
        </w:rPr>
        <w:t xml:space="preserve">والمرتضی فیهما علی الرجال وأضاف إلیهما الجمعة </w:t>
      </w:r>
      <w:r>
        <w:rPr>
          <w:rStyle w:val="FootnoteAnchor"/>
          <w:rtl w:val="true"/>
        </w:rPr>
        <w:footnoteReference w:id="687"/>
      </w:r>
      <w:r>
        <w:rPr>
          <w:rFonts w:ascii="IRNazanin" w:hAnsi="IRNazanin" w:eastAsia="IRNazanin"/>
          <w:color w:val="111111"/>
          <w:sz w:val="28"/>
          <w:sz w:val="28"/>
          <w:szCs w:val="28"/>
          <w:rtl w:val="true"/>
          <w:lang w:bidi="fa-IR"/>
        </w:rPr>
        <w:t xml:space="preserve">ومثله ابن الجنید </w:t>
      </w:r>
      <w:r>
        <w:rPr>
          <w:rStyle w:val="FootnoteAnchor"/>
          <w:rtl w:val="true"/>
        </w:rPr>
        <w:footnoteReference w:id="688"/>
      </w:r>
      <w:r>
        <w:rPr>
          <w:rFonts w:ascii="IRNazanin" w:hAnsi="IRNazanin" w:eastAsia="IRNazanin"/>
          <w:color w:val="111111"/>
          <w:sz w:val="28"/>
          <w:sz w:val="28"/>
          <w:szCs w:val="28"/>
          <w:rtl w:val="true"/>
          <w:lang w:bidi="fa-IR"/>
        </w:rPr>
        <w:t xml:space="preserve">وأضاف الأوّل الإقامة مطلقاً، والثانی هی علی الرجال مطلقاً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ویستحبّان للنساء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ویجوزان جهراً إذا لم یسمع الأجانبُ من الرجال، ویُعتدّ بأذانهنّ لغیرهنّ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المصلّی ولم یذکر حتّی افتتح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تدارکهما ما لم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العامد دون الناسی </w:t>
      </w:r>
      <w:r>
        <w:rPr>
          <w:rStyle w:val="FootnoteAnchor"/>
          <w:rtl w:val="true"/>
        </w:rPr>
        <w:footnoteReference w:id="690"/>
      </w:r>
      <w:r>
        <w:rPr>
          <w:rFonts w:ascii="IRNazanin" w:hAnsi="IRNazanin" w:eastAsia="IRNazanin"/>
          <w:color w:val="111111"/>
          <w:sz w:val="28"/>
          <w:sz w:val="28"/>
          <w:szCs w:val="28"/>
          <w:rtl w:val="true"/>
          <w:lang w:bidi="fa-IR"/>
        </w:rPr>
        <w:t>، ویرجع أیضاً للإقامة لو نسیها لا للأذان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ویسقطان عن الجماعة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لتصلّی فی مکانٍ فوجدت جماعةً اُخری قد أذّنت وأقامت وأتمّت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تتفرّق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یبقی منها ولو واحداً مُعقِّباً، فلو لم یبق منها أحدٌ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یتفرّق بالأبدان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یسقطا عن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یسقطان عن المنفرد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السابق منفرداً لم یسقطا عن الثانی </w:t>
      </w:r>
      <w:r>
        <w:rPr>
          <w:rStyle w:val="FootnoteAnchor"/>
          <w:rtl w:val="true"/>
        </w:rPr>
        <w:footnoteReference w:id="691"/>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ویشترط اتّحاد الصلاتین أو الوقت والمکان عرفاً </w:t>
      </w:r>
      <w:r>
        <w:rPr>
          <w:rStyle w:val="FootnoteAnchor"/>
          <w:rtl w:val="true"/>
        </w:rPr>
        <w:footnoteReference w:id="692"/>
      </w:r>
      <w:r>
        <w:rPr>
          <w:rFonts w:ascii="IRNazanin" w:hAnsi="IRNazanin" w:eastAsia="IRNazanin"/>
          <w:color w:val="111111"/>
          <w:sz w:val="28"/>
          <w:sz w:val="28"/>
          <w:szCs w:val="28"/>
          <w:rtl w:val="true"/>
          <w:lang w:bidi="fa-IR"/>
        </w:rPr>
        <w:t xml:space="preserve">وفی اشتراط کونه مسجداً وجهان، وظاهر الإطلاق عدم الاشتراط، وهو الذی اختاره المصنّف فی الذکری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فحوی الأخبار </w:t>
      </w:r>
      <w:r>
        <w:rPr>
          <w:rStyle w:val="FootnoteAnchor"/>
          <w:rtl w:val="true"/>
        </w:rPr>
        <w:footnoteReference w:id="694"/>
      </w:r>
      <w:r>
        <w:rPr>
          <w:rFonts w:ascii="IRNazanin" w:hAnsi="IRNazanin" w:eastAsia="IRNazanin"/>
          <w:color w:val="111111"/>
          <w:sz w:val="28"/>
          <w:sz w:val="28"/>
          <w:szCs w:val="28"/>
          <w:rtl w:val="true"/>
          <w:lang w:bidi="fa-IR"/>
        </w:rPr>
        <w:t>أنّ الحکمة فی ذلک مراعاة جانب الإمام السابق فی عدم تصویر الثانیة بصورة الجماعة ومزایاها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العلم بأذان</w:t>
      </w:r>
    </w:p>
    <w:p>
      <w:pPr>
        <w:pStyle w:val="BookText"/>
        <w:rPr/>
      </w:pPr>
      <w:r>
        <w:rPr>
          <w:rFonts w:ascii="IRNazanin" w:hAnsi="IRNazanin" w:eastAsia="IRNazanin"/>
          <w:color w:val="111111"/>
          <w:sz w:val="28"/>
          <w:sz w:val="28"/>
          <w:szCs w:val="28"/>
          <w:rtl w:val="true"/>
          <w:lang w:bidi="fa-IR"/>
        </w:rPr>
        <w:t xml:space="preserve">الاُولی وإقامتها، بل عدم العلم بإهمالها لهما، مع احتمال السقوط عن الثانیة مطلقاً، عملاً بإطلاق النصّ </w:t>
      </w:r>
      <w:r>
        <w:rPr>
          <w:rStyle w:val="FootnoteAnchor"/>
          <w:rtl w:val="true"/>
        </w:rPr>
        <w:footnoteReference w:id="695"/>
      </w:r>
      <w:r>
        <w:rPr>
          <w:rFonts w:ascii="IRNazanin" w:hAnsi="IRNazanin" w:eastAsia="IRNazanin"/>
          <w:color w:val="111111"/>
          <w:sz w:val="28"/>
          <w:sz w:val="28"/>
          <w:szCs w:val="28"/>
          <w:rtl w:val="true"/>
          <w:lang w:bidi="fa-IR"/>
        </w:rPr>
        <w:t>ومراعاة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الأذان فی عصرَی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والجمعة، وعشاء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النصّ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الجمع بین الصلاتین، والأصل فی الأذان الإعلام، فمن حضر الاُولی صلّی الثانیة فکانتا کالصلاة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یسقط فی الثانیة عن کلّ جامعٍ ولو 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والأذان لصاحبة الوقت، فإن جمع فی وقت الاُولی أذّن لها وأقام ثمّ أقام للثانیة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جمع فی وقت الثانیة أذّن أوّلاً بنیّة الثانیة ثم أقام للاُولی ثم للثانیة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سقوطه فی هذه المواضع رخصة فیجوز الأذان، أم عزیمة فلا یُشرع؟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 نّه عبادةٌ توقیفیّةٌ ولا نصّ علیه هنا بخصوصه والعموم مخصَّصٌ بفعل النبیّ صلی الله علیه و آله فإنّه جمع بین الظهرین والعشاءین بغیر </w:t>
      </w:r>
      <w:r>
        <w:rPr>
          <w:rStyle w:val="FootnoteAnchor"/>
          <w:rtl w:val="true"/>
        </w:rPr>
        <w:footnoteReference w:id="697"/>
      </w:r>
      <w:r>
        <w:rPr>
          <w:rFonts w:ascii="IRNazanin" w:hAnsi="IRNazanin" w:eastAsia="IRNazanin"/>
          <w:color w:val="111111"/>
          <w:sz w:val="28"/>
          <w:sz w:val="28"/>
          <w:szCs w:val="28"/>
          <w:rtl w:val="true"/>
          <w:lang w:bidi="fa-IR"/>
        </w:rPr>
        <w:t xml:space="preserve">مانع بأذان وإقامتین </w:t>
      </w:r>
      <w:r>
        <w:rPr>
          <w:rStyle w:val="FootnoteAnchor"/>
          <w:rtl w:val="true"/>
        </w:rPr>
        <w:footnoteReference w:id="698"/>
      </w:r>
      <w:r>
        <w:rPr>
          <w:rFonts w:ascii="IRNazanin" w:hAnsi="IRNazanin" w:eastAsia="IRNazanin"/>
          <w:color w:val="111111"/>
          <w:sz w:val="28"/>
          <w:sz w:val="28"/>
          <w:szCs w:val="28"/>
          <w:rtl w:val="true"/>
          <w:lang w:bidi="fa-IR"/>
        </w:rPr>
        <w:t>وکذا فی تلک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 نّه لمکان الجمع لا لخصوصیّة البقعة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 نّه ذکرٌ للّٰه‌تعالی فلا وجه لسقوطه أصلاً، بل تخفیفاً ورخصةً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بمنع کونه بجمیع فصوله ذکراً، وبأنّ الکلام فی خصوصیّة العبادة لا فی مطلق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جماعةٌ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العلّامة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بتحریمه فی الثلاثة الاُوَل، وأطلق الباقون سقوطَه مع مطلق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کلام المصنّف رحمه الله ففی الذکری توقّف فی کراهته فی الثلاثة </w:t>
      </w:r>
      <w:r>
        <w:rPr>
          <w:rStyle w:val="FootnoteAnchor"/>
          <w:rtl w:val="true"/>
        </w:rPr>
        <w:footnoteReference w:id="700"/>
      </w:r>
      <w:r>
        <w:rPr>
          <w:rFonts w:ascii="IRNazanin" w:hAnsi="IRNazanin" w:eastAsia="IRNazanin"/>
          <w:color w:val="111111"/>
          <w:sz w:val="28"/>
          <w:sz w:val="28"/>
          <w:szCs w:val="28"/>
          <w:rtl w:val="true"/>
          <w:lang w:bidi="fa-IR"/>
        </w:rPr>
        <w:t xml:space="preserve">استناداً إلی عدم وقوفه فیه علی نصٍّ ولا فتوی، ثمّ حکم بنفی الکراهة وجزم بانتفاء التحریم فیها وببقاء الاستحباب فی الجمع بغیرها مؤوِّلاً الساقطَ بأ نّه أذان الإعلام وأنّ الباقی أذان الذکر والإعظام </w:t>
      </w:r>
      <w:r>
        <w:rPr>
          <w:rStyle w:val="FootnoteAnchor"/>
          <w:rtl w:val="true"/>
        </w:rPr>
        <w:footnoteReference w:id="701"/>
      </w:r>
      <w:r>
        <w:rPr>
          <w:rFonts w:ascii="IRNazanin" w:hAnsi="IRNazanin" w:eastAsia="IRNazanin"/>
          <w:color w:val="111111"/>
          <w:sz w:val="28"/>
          <w:sz w:val="28"/>
          <w:szCs w:val="28"/>
          <w:rtl w:val="true"/>
          <w:lang w:bidi="fa-IR"/>
        </w:rPr>
        <w:t>وفی الدروس قریب من ذلک،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قیل بکراهته فی الثلاثة وبالغ من قال بالتحریم </w:t>
      </w:r>
      <w:r>
        <w:rPr>
          <w:rStyle w:val="FootnoteAnchor"/>
          <w:rtl w:val="true"/>
        </w:rPr>
        <w:footnoteReference w:id="702"/>
      </w:r>
      <w:r>
        <w:rPr>
          <w:rFonts w:ascii="IRNazanin" w:hAnsi="IRNazanin" w:eastAsia="IRNazanin"/>
          <w:color w:val="111111"/>
          <w:sz w:val="28"/>
          <w:sz w:val="28"/>
          <w:szCs w:val="28"/>
          <w:rtl w:val="true"/>
          <w:lang w:bidi="fa-IR"/>
        </w:rPr>
        <w:t>وفی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أنّ الأذان فی الثلاثة حرام مع اعتقاد شرعیّته </w:t>
      </w:r>
      <w:r>
        <w:rPr>
          <w:rStyle w:val="FootnoteAnchor"/>
          <w:rtl w:val="true"/>
        </w:rPr>
        <w:footnoteReference w:id="703"/>
      </w:r>
      <w:r>
        <w:rPr>
          <w:rFonts w:ascii="IRNazanin" w:hAnsi="IRNazanin" w:eastAsia="IRNazanin"/>
          <w:color w:val="111111"/>
          <w:sz w:val="28"/>
          <w:sz w:val="28"/>
          <w:szCs w:val="28"/>
          <w:rtl w:val="true"/>
          <w:lang w:bidi="fa-IR"/>
        </w:rPr>
        <w:t xml:space="preserve">وتوقّف فی غیرها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التحریم فیما لا إجماع علی استحبابه منها؛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تقسیم الأذان إلی القسمین فأضعف؛ لأنّه عبادةٌ خاصّةٌ أصلُها الإعلام، وبعضها ذکرٌ وبعضها غیر ذکر، وتأدّی وظیفته بإ یقاعه سرّاً ینافی اعتبار أصله، والحیّعلات تُنافی ذکریّته، بل هو قسمٌ ثالث وسنّة متّبعة، ولم یوقعها الشارع فی هذه المواضع، فیکون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مطلق البدعة لیس بمحرَّم، بل ربّما قسّمها بعضهم إلی الأحکام الخمسة </w:t>
      </w:r>
      <w:r>
        <w:rPr>
          <w:rStyle w:val="FootnoteAnchor"/>
          <w:rtl w:val="true"/>
        </w:rPr>
        <w:footnoteReference w:id="705"/>
      </w:r>
      <w:r>
        <w:rPr>
          <w:rFonts w:ascii="IRNazanin" w:hAnsi="IRNazanin" w:eastAsia="IRNazanin"/>
          <w:color w:val="111111"/>
          <w:sz w:val="28"/>
          <w:sz w:val="28"/>
          <w:szCs w:val="28"/>
          <w:rtl w:val="true"/>
          <w:lang w:bidi="fa-IR"/>
        </w:rPr>
        <w:t>ومع ذلک لا یثبت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بهما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لمطلق الذکر، أمّا الاُنثی فتُسِرّ بهما کما تقدّم </w:t>
      </w:r>
      <w:r>
        <w:rPr>
          <w:rStyle w:val="FootnoteAnchor"/>
          <w:rtl w:val="true"/>
        </w:rPr>
        <w:footnoteReference w:id="706"/>
      </w:r>
      <w:r>
        <w:rPr>
          <w:rFonts w:ascii="IRNazanin" w:hAnsi="IRNazanin" w:eastAsia="IRNazanin"/>
          <w:color w:val="111111"/>
          <w:sz w:val="28"/>
          <w:sz w:val="28"/>
          <w:szCs w:val="28"/>
          <w:rtl w:val="true"/>
          <w:lang w:bidi="fa-IR"/>
        </w:rPr>
        <w:t>وکذا الخنثی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والترتیل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حروفه وإطالة وقوفه من غیر استعجال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الإسراع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بتقصیر الوقف علی کلّ فصل لا ترکه؛ لکراهة إعرابهما، حتّی لو ترک الوقف أصلاً فالتسکین أولی من الإعراب، فإنّه لغة عربیّة والإعراب مرغوب عنه شرعاً، ولو أعرب حینئذٍ ترک الأفضل ولم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اللحن ففی بطلانهما به وجهان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ویتّجه البطلان لو غیّر المعنی کنصب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 تمامیّة الجملة به بفوات المشهود به لغةً وإن قصده؛ إذ لا یکفی قصد العبادة اللفظیّة عن لفظها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الراتب یقف علی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أبلغ فی رفع الصوت وإ بلاغه المصلّین، وغیره یقتصر عنه مراعاةً لجانبه، حتّی یکره سبقه به ما لم یُفرِط بالتأخیر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واستقبال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الفصول خصوصاً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الالتفات ببعض فصوله یمیناً وشمالاً وإن کان علی المنارة عندنا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والفصل بینهما برکعتین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الراتبة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سجدةٍ أو 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ورد بالجلوس </w:t>
      </w:r>
      <w:r>
        <w:rPr>
          <w:rStyle w:val="FootnoteAnchor"/>
          <w:rtl w:val="true"/>
        </w:rPr>
        <w:footnoteReference w:id="709"/>
      </w:r>
      <w:r>
        <w:rPr>
          <w:rFonts w:ascii="IRNazanin" w:hAnsi="IRNazanin" w:eastAsia="IRNazanin"/>
          <w:color w:val="111111"/>
          <w:sz w:val="28"/>
          <w:sz w:val="28"/>
          <w:szCs w:val="28"/>
          <w:rtl w:val="true"/>
          <w:lang w:bidi="fa-IR"/>
        </w:rPr>
        <w:t xml:space="preserve">ویمکن دخول السجدة فیه </w:t>
      </w:r>
      <w:r>
        <w:rPr>
          <w:rStyle w:val="FootnoteAnchor"/>
          <w:rtl w:val="true"/>
        </w:rPr>
        <w:footnoteReference w:id="710"/>
      </w:r>
      <w:r>
        <w:rPr>
          <w:rFonts w:ascii="IRNazanin" w:hAnsi="IRNazanin" w:eastAsia="IRNazanin"/>
          <w:color w:val="111111"/>
          <w:sz w:val="28"/>
          <w:sz w:val="28"/>
          <w:szCs w:val="28"/>
          <w:rtl w:val="true"/>
          <w:lang w:bidi="fa-IR"/>
        </w:rPr>
        <w:t xml:space="preserve">فإنّها جلوس وزیادة مع اشتمالها علی مزیّةٍ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یجد بها المصنّف فی الذکری حدیثاً </w:t>
      </w:r>
      <w:r>
        <w:rPr>
          <w:rStyle w:val="FootnoteAnchor"/>
          <w:rtl w:val="true"/>
        </w:rPr>
        <w:footnoteReference w:id="711"/>
      </w:r>
      <w:r>
        <w:rPr>
          <w:rFonts w:ascii="Amiri" w:hAnsi="Amiri" w:eastAsia="Amiri" w:cs="Amiri"/>
          <w:color w:val="111111"/>
          <w:sz w:val="28"/>
          <w:sz w:val="28"/>
          <w:szCs w:val="28"/>
          <w:rtl w:val="true"/>
          <w:lang w:bidi="ar-SA"/>
        </w:rPr>
        <w:t xml:space="preserve">لکنّها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سَکتَةٍ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مرویّةٌ فی المغرب خاصّةً </w:t>
      </w:r>
      <w:r>
        <w:rPr>
          <w:rStyle w:val="FootnoteAnchor"/>
          <w:rtl w:val="true"/>
        </w:rPr>
        <w:footnoteReference w:id="712"/>
      </w:r>
      <w:r>
        <w:rPr>
          <w:rFonts w:ascii="IRNazanin" w:hAnsi="IRNazanin" w:eastAsia="IRNazanin"/>
          <w:color w:val="111111"/>
          <w:sz w:val="28"/>
          <w:sz w:val="28"/>
          <w:szCs w:val="28"/>
          <w:rtl w:val="true"/>
          <w:lang w:bidi="fa-IR"/>
        </w:rPr>
        <w:t xml:space="preserve">ونسبها فی الذکری إلی کلام الأصحاب مع السجدة والخطوة </w:t>
      </w:r>
      <w:r>
        <w:rPr>
          <w:rStyle w:val="FootnoteAnchor"/>
          <w:rtl w:val="true"/>
        </w:rPr>
        <w:footnoteReference w:id="713"/>
      </w:r>
      <w:r>
        <w:rPr>
          <w:rFonts w:ascii="IRNazanin" w:hAnsi="IRNazanin" w:eastAsia="IRNazanin"/>
          <w:color w:val="111111"/>
          <w:sz w:val="28"/>
          <w:sz w:val="28"/>
          <w:szCs w:val="28"/>
          <w:rtl w:val="true"/>
          <w:lang w:bidi="fa-IR"/>
        </w:rPr>
        <w:t xml:space="preserve">وقد ورد النصّ بالفصل بتسبیحة </w:t>
      </w:r>
      <w:r>
        <w:rPr>
          <w:rStyle w:val="FootnoteAnchor"/>
          <w:rtl w:val="true"/>
        </w:rPr>
        <w:footnoteReference w:id="714"/>
      </w:r>
      <w:r>
        <w:rPr>
          <w:rFonts w:ascii="IRNazanin" w:hAnsi="IRNazanin" w:eastAsia="IRNazanin"/>
          <w:color w:val="111111"/>
          <w:sz w:val="28"/>
          <w:sz w:val="28"/>
          <w:szCs w:val="28"/>
          <w:rtl w:val="true"/>
          <w:lang w:bidi="fa-IR"/>
        </w:rPr>
        <w:t>فلو ذکرها کان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ویختصّ المغرب بالأخیرتین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الخُطوة والسکتة، أمّا السکتة فمرویّةٌ فیه </w:t>
      </w:r>
      <w:r>
        <w:rPr>
          <w:rStyle w:val="FootnoteAnchor"/>
          <w:rtl w:val="true"/>
        </w:rPr>
        <w:footnoteReference w:id="716"/>
      </w:r>
      <w:r>
        <w:rPr>
          <w:rFonts w:ascii="IRNazanin" w:hAnsi="IRNazanin" w:eastAsia="IRNazanin"/>
          <w:color w:val="111111"/>
          <w:sz w:val="28"/>
          <w:sz w:val="28"/>
          <w:szCs w:val="28"/>
          <w:rtl w:val="true"/>
          <w:lang w:bidi="fa-IR"/>
        </w:rPr>
        <w:t>وأمّا الخطوة فکما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فیه الجلسة وأ نّه إذا فعلها کان کالمُتشحّط بدمه فی سبیل اللّٰه </w:t>
      </w:r>
      <w:r>
        <w:rPr>
          <w:rStyle w:val="FootnoteAnchor"/>
          <w:rtl w:val="true"/>
        </w:rPr>
        <w:footnoteReference w:id="717"/>
      </w:r>
      <w:r>
        <w:rPr>
          <w:rFonts w:ascii="IRNazanin" w:hAnsi="IRNazanin" w:eastAsia="IRNazanin"/>
          <w:color w:val="111111"/>
          <w:sz w:val="28"/>
          <w:sz w:val="28"/>
          <w:szCs w:val="28"/>
          <w:rtl w:val="true"/>
          <w:lang w:bidi="fa-IR"/>
        </w:rPr>
        <w:t>فکان ذکرها أولی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الکلام فی خلالهما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الإقامة، ولا یعیده به ما لم یخرج </w:t>
      </w:r>
      <w:r>
        <w:rPr>
          <w:rStyle w:val="FootnoteAnchor"/>
          <w:rtl w:val="true"/>
        </w:rPr>
        <w:footnoteReference w:id="718"/>
      </w:r>
      <w:r>
        <w:rPr>
          <w:rFonts w:ascii="IRNazanin" w:hAnsi="IRNazanin" w:eastAsia="IRNazanin"/>
          <w:color w:val="111111"/>
          <w:sz w:val="28"/>
          <w:sz w:val="28"/>
          <w:szCs w:val="28"/>
          <w:rtl w:val="true"/>
          <w:lang w:bidi="fa-IR"/>
        </w:rPr>
        <w:t>عن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ویعیدها به مطلقاً علی ما أفتی به المصنّف </w:t>
      </w:r>
      <w:r>
        <w:rPr>
          <w:rStyle w:val="FootnoteAnchor"/>
          <w:rtl w:val="true"/>
        </w:rPr>
        <w:footnoteReference w:id="719"/>
      </w:r>
      <w:bookmarkStart w:id="241" w:name="pg19806_203419"/>
    </w:p>
    <w:p>
      <w:pPr>
        <w:pStyle w:val="BookText"/>
        <w:rPr/>
      </w:pPr>
      <w:bookmarkEnd w:id="241"/>
      <w:r>
        <w:rPr>
          <w:rFonts w:ascii="IRNazanin" w:hAnsi="IRNazanin" w:eastAsia="IRNazanin"/>
          <w:color w:val="111111"/>
          <w:sz w:val="28"/>
          <w:sz w:val="28"/>
          <w:szCs w:val="28"/>
          <w:rtl w:val="true"/>
          <w:lang w:bidi="fa-IR"/>
        </w:rPr>
        <w:t xml:space="preserve">وغیره </w:t>
      </w:r>
      <w:r>
        <w:rPr>
          <w:rStyle w:val="FootnoteAnchor"/>
          <w:rtl w:val="true"/>
        </w:rPr>
        <w:footnoteReference w:id="720"/>
      </w:r>
      <w:r>
        <w:rPr>
          <w:rFonts w:ascii="IRNazanin" w:hAnsi="IRNazanin" w:eastAsia="IRNazanin"/>
          <w:color w:val="111111"/>
          <w:sz w:val="28"/>
          <w:sz w:val="28"/>
          <w:szCs w:val="28"/>
          <w:rtl w:val="true"/>
          <w:lang w:bidi="fa-IR"/>
        </w:rPr>
        <w:t xml:space="preserve">والنصّ ورد بإعادتها بالکلام بعدها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حالتهما، وفی الإقامة آکدُ، ولیست شرطاً فیهما عندنا من الحدثین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أوقعه فی المسجد بالأکبر لغا؛ للنهی </w:t>
      </w:r>
      <w:r>
        <w:rPr>
          <w:rStyle w:val="FootnoteAnchor"/>
          <w:rtl w:val="true"/>
        </w:rPr>
        <w:footnoteReference w:id="722"/>
      </w:r>
      <w:r>
        <w:rPr>
          <w:rFonts w:ascii="Amiri" w:hAnsi="Amiri" w:eastAsia="Amiri" w:cs="Amiri"/>
          <w:color w:val="111111"/>
          <w:sz w:val="28"/>
          <w:sz w:val="28"/>
          <w:szCs w:val="28"/>
          <w:rtl w:val="true"/>
          <w:lang w:bidi="ar-SA"/>
        </w:rPr>
        <w:t>المفسد للعبادة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والحکایة لغیر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کما یقول المؤذِّن وإن کان فی الصلاة، إلّا الحیّعلات فیها فیُبدلها بالحوقلة </w:t>
      </w:r>
      <w:r>
        <w:rPr>
          <w:rStyle w:val="FootnoteAnchor"/>
          <w:rtl w:val="true"/>
        </w:rPr>
        <w:footnoteReference w:id="723"/>
      </w:r>
      <w:r>
        <w:rPr>
          <w:rFonts w:ascii="IRNazanin" w:hAnsi="IRNazanin" w:eastAsia="IRNazanin"/>
          <w:color w:val="111111"/>
          <w:sz w:val="28"/>
          <w:sz w:val="28"/>
          <w:szCs w:val="28"/>
          <w:rtl w:val="true"/>
          <w:lang w:bidi="fa-IR"/>
        </w:rPr>
        <w:t xml:space="preserve">ولو حکاها بطلت </w:t>
      </w:r>
      <w:r>
        <w:rPr>
          <w:rStyle w:val="FootnoteAnchor"/>
          <w:rtl w:val="true"/>
        </w:rPr>
        <w:footnoteReference w:id="724"/>
      </w:r>
      <w:r>
        <w:rPr>
          <w:rFonts w:ascii="IRNazanin" w:hAnsi="IRNazanin" w:eastAsia="IRNazanin"/>
          <w:color w:val="111111"/>
          <w:sz w:val="28"/>
          <w:sz w:val="28"/>
          <w:szCs w:val="28"/>
          <w:rtl w:val="true"/>
          <w:lang w:bidi="fa-IR"/>
        </w:rPr>
        <w:t>لأنّها لیست ذکراً، وکذا یجوز إبدالها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حکایة الفصل بعد فراغ المؤذِّن منه 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ولیقطع الکلام إذا سمعه غیر الحکایة وإن کان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دخل المسجد أخّر التحیّة إلی الفراغ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الترجیع</w:t>
      </w:r>
      <w:r>
        <w:rPr>
          <w:rFonts w:eastAsia="IRNazanin" w:cs="IRNazanin"/>
          <w:color w:val="111111"/>
          <w:sz w:val="28"/>
          <w:szCs w:val="28"/>
          <w:rtl w:val="true"/>
          <w:lang w:bidi="fa-IR"/>
        </w:rPr>
        <w:t xml:space="preserve">» ]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2027885_2314609296"/>
      <w:bookmarkStart w:id="243" w:name="_Toc90"/>
      <w:bookmarkEnd w:id="242"/>
      <w:r>
        <w:rPr>
          <w:rtl w:val="true"/>
        </w:rPr>
        <w:t>«</w:t>
      </w:r>
      <w:r>
        <w:rPr>
          <w:rtl w:val="true"/>
        </w:rPr>
        <w:t>ثمّ یجب القیام</w:t>
      </w:r>
      <w:r>
        <w:rPr>
          <w:rtl w:val="true"/>
        </w:rPr>
        <w:t>»</w:t>
      </w:r>
      <w:bookmarkEnd w:id="2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حالة النیّة والتکبیر والقراءة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قدّمه علی النیّة والتکبیر مع أ نّه لا یجب قبلهما؛ لکونه شرطاً فیهما والشرط مقدّمٌ علی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أخّره المصنّف عنهما فی الذکری والدروس </w:t>
      </w:r>
      <w:r>
        <w:rPr>
          <w:rStyle w:val="FootnoteAnchor"/>
          <w:rtl w:val="true"/>
        </w:rPr>
        <w:footnoteReference w:id="726"/>
      </w:r>
      <w:r>
        <w:rPr>
          <w:rFonts w:ascii="IRNazanin" w:hAnsi="IRNazanin" w:eastAsia="IRNazanin"/>
          <w:color w:val="111111"/>
          <w:sz w:val="28"/>
          <w:sz w:val="28"/>
          <w:szCs w:val="28"/>
          <w:rtl w:val="true"/>
          <w:lang w:bidi="fa-IR"/>
        </w:rPr>
        <w:t xml:space="preserve">نظراً إلی ذلک ولیتمحّض جزءاً من الصلاة، وفی الألفیّة أخّره عن القراءة </w:t>
      </w:r>
      <w:r>
        <w:rPr>
          <w:rStyle w:val="FootnoteAnchor"/>
          <w:rtl w:val="true"/>
        </w:rPr>
        <w:footnoteReference w:id="727"/>
      </w:r>
      <w:r>
        <w:rPr>
          <w:rFonts w:ascii="Amiri" w:hAnsi="Amiri" w:eastAsia="Amiri" w:cs="Amiri"/>
          <w:color w:val="111111"/>
          <w:sz w:val="28"/>
          <w:sz w:val="28"/>
          <w:szCs w:val="28"/>
          <w:rtl w:val="true"/>
          <w:lang w:bidi="ar-SA"/>
        </w:rPr>
        <w:t xml:space="preserve">لیجعله واجباً فی الثلاثة، ولکلٍّ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مستقلاً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غیر مستندٍ إلی شیءٍ بحیث لو اُزیل السِّناد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المکنة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الاستقلال 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ویستند فیما یعجز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الاستقلال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مقدِّماً علی القعود، فیجب تحصیل ما یعتمد علیه ولو باُجرةٍ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ولو بالاعتماد أو قدر علیه ولکن عجز عن تحصیله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کما مرّ، فإن عجز اعتمد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جانبه الأیمن، فإن عجر فعلی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الأقوی ومختاره فی کتبه الثلاثة </w:t>
      </w:r>
      <w:r>
        <w:rPr>
          <w:rStyle w:val="FootnoteAnchor"/>
          <w:rtl w:val="true"/>
        </w:rPr>
        <w:footnoteReference w:id="729"/>
      </w:r>
      <w:r>
        <w:rPr>
          <w:rFonts w:ascii="IRNazanin" w:hAnsi="IRNazanin" w:eastAsia="IRNazanin"/>
          <w:color w:val="111111"/>
          <w:sz w:val="28"/>
          <w:sz w:val="28"/>
          <w:szCs w:val="28"/>
          <w:rtl w:val="true"/>
          <w:lang w:bidi="fa-IR"/>
        </w:rPr>
        <w:t xml:space="preserve">ویفهم منه هنا التخییر، وهو قولٌ </w:t>
      </w:r>
      <w:r>
        <w:rPr>
          <w:rStyle w:val="FootnoteAnchor"/>
          <w:rtl w:val="true"/>
        </w:rPr>
        <w:footnoteReference w:id="730"/>
      </w:r>
      <w:r>
        <w:rPr>
          <w:rFonts w:ascii="IRNazanin" w:hAnsi="IRNazanin" w:eastAsia="IRNazanin"/>
          <w:color w:val="111111"/>
          <w:sz w:val="28"/>
          <w:sz w:val="28"/>
          <w:szCs w:val="28"/>
          <w:rtl w:val="true"/>
          <w:lang w:bidi="fa-IR"/>
        </w:rPr>
        <w:t>ویجب الاستقبال حینئذٍ بوجهه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ظهره وجعل باطنَ قدمیه إلی القبلة ووجهَه بحیث لو جلس کان مستقبلاً کالمُحتضَر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المراتب حصول مشقّةٍ کثیرة لا تُتحمّل عادةً، سواء نشأ منها زیادة مرضٍ أو حدوثُه أو بُطءُ برئه أو مجرّد المشقّة البالغة، لا العجز الکلّی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ویُومئ للرکوع والسجود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عجز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تقریب الجبهة إلی ما یصحّ السجود علیه أو تقریبه إلیها والاعتماد بها علیه ووضع باقی المساجد معتمداً، وبدونه لو تعذّر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الأحکام آتیةٌ فی جمیع المراتب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یُومئ لهما برأسه یزید السجود انخفاضاً مع</w:t>
      </w:r>
      <w:bookmarkStart w:id="244" w:name="pg19806_203421"/>
    </w:p>
    <w:p>
      <w:pPr>
        <w:pStyle w:val="BookText"/>
        <w:rPr/>
      </w:pPr>
      <w:bookmarkEnd w:id="244"/>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 یماء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غمّض عینیه لهما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مُزیداً للسجود تغمیضاً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مُبصراً مع إمکان الفتح قاصداً بالأبدال تلک الأفعال، وإلّا أجری الأفعال علی قلبه، کلّ واحدٍ فی محلّه، والأذکارَ علی لسانه، وإلّا أخطرها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البدلَ حکمُ المبدل فی الرکنیّة زیادةً ونقصاناً مع القصد،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2027887_2314609296"/>
      <w:bookmarkStart w:id="246" w:name="_Toc91"/>
      <w:bookmarkEnd w:id="245"/>
      <w:r>
        <w:rPr>
          <w:rtl w:val="true"/>
        </w:rPr>
        <w:t>«</w:t>
      </w:r>
      <w:r>
        <w:rPr>
          <w:rtl w:val="true"/>
        </w:rPr>
        <w:t>والنیّة</w:t>
      </w:r>
      <w:r>
        <w:rPr>
          <w:rtl w:val="true"/>
        </w:rPr>
        <w:t>»</w:t>
      </w:r>
      <w:bookmarkEnd w:id="246"/>
    </w:p>
    <w:p>
      <w:pPr>
        <w:pStyle w:val="BookText"/>
        <w:rPr/>
      </w:pPr>
      <w:r>
        <w:rPr>
          <w:rFonts w:ascii="IRNazanin" w:hAnsi="IRNazanin" w:eastAsia="IRNazanin"/>
          <w:color w:val="111111"/>
          <w:sz w:val="28"/>
          <w:sz w:val="28"/>
          <w:szCs w:val="28"/>
          <w:rtl w:val="true"/>
          <w:lang w:bidi="fa-IR"/>
        </w:rPr>
        <w:t>وهی القصد إلی الصلاة المعیّنة، ولمّا کان القصد متوقّفاً علی تعیین المقصود بوجهٍ لیمکن توجّه القصد إلیه اعتُبر فیها إحضارُ ذاتِ الصلاة وصفاتِها الممیّزة لها حیث تکون مشترکة، والقصدُ إلی هذا المعیَّن مُتقرّباً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ویلزم من ذلک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معیّنة الفرض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أو عصرٍ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فَعَلها فی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غیر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 المجعول غایةً؛ لأنّ قصد الفرض یستدعی تمیّز </w:t>
      </w:r>
      <w:r>
        <w:rPr>
          <w:rStyle w:val="FootnoteAnchor"/>
          <w:rtl w:val="true"/>
        </w:rPr>
        <w:footnoteReference w:id="734"/>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أن یرید به الواجب الممیِّز، ویکون الفرض إشارةً إلی نوع الصلاة؛ لأنّ الفرض قد یراد به ذلک، إلّاأ نّه غیر مصطلح شرعاً، ولقد کان أولی </w:t>
      </w:r>
      <w:r>
        <w:rPr>
          <w:rStyle w:val="FootnoteAnchor"/>
          <w:rtl w:val="true"/>
        </w:rPr>
        <w:footnoteReference w:id="735"/>
      </w:r>
      <w:r>
        <w:rPr>
          <w:rFonts w:ascii="IRNazanin" w:hAnsi="IRNazanin" w:eastAsia="IRNazanin"/>
          <w:color w:val="111111"/>
          <w:sz w:val="28"/>
          <w:sz w:val="28"/>
          <w:szCs w:val="28"/>
          <w:rtl w:val="true"/>
          <w:lang w:bidi="fa-IR"/>
        </w:rPr>
        <w:t>بناءً علی أنّ الوجوب الغائی لا دلیل علی وجوبه، کما نبّه علیه المصنّف</w:t>
      </w:r>
    </w:p>
    <w:p>
      <w:pPr>
        <w:pStyle w:val="BookText"/>
        <w:rPr/>
      </w:pPr>
      <w:r>
        <w:rPr>
          <w:rFonts w:ascii="IRNazanin" w:hAnsi="IRNazanin" w:eastAsia="IRNazanin"/>
          <w:color w:val="111111"/>
          <w:sz w:val="28"/>
          <w:sz w:val="28"/>
          <w:szCs w:val="28"/>
          <w:rtl w:val="true"/>
          <w:lang w:bidi="fa-IR"/>
        </w:rPr>
        <w:t xml:space="preserve">فی الذکری </w:t>
      </w:r>
      <w:r>
        <w:rPr>
          <w:rStyle w:val="FootnoteAnchor"/>
          <w:rtl w:val="true"/>
        </w:rPr>
        <w:footnoteReference w:id="736"/>
      </w:r>
      <w:r>
        <w:rPr>
          <w:rFonts w:ascii="IRNazanin" w:hAnsi="IRNazanin" w:eastAsia="IRNazanin"/>
          <w:color w:val="111111"/>
          <w:sz w:val="28"/>
          <w:sz w:val="28"/>
          <w:szCs w:val="28"/>
          <w:rtl w:val="true"/>
          <w:lang w:bidi="fa-IR"/>
        </w:rPr>
        <w:t xml:space="preserve">ولکنّه مشهوریٌّ، فجری علیه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مندوباً، إمّا بالعارض کالمعادة لئلّا ینافی الفرض الأوّل؛ إذ یکفی فی إطلاق الفرض علیه حینئذٍ کونه کذلک بالأصل، أو ما هو أعمّ بأن یراد بالفرض أوّلاً ما هو أعمّ من الواجب، کما ذکر فی الاحتمال، وهذا </w:t>
      </w:r>
      <w:r>
        <w:rPr>
          <w:rStyle w:val="FootnoteAnchor"/>
          <w:rtl w:val="true"/>
        </w:rPr>
        <w:footnoteReference w:id="737"/>
      </w:r>
      <w:r>
        <w:rPr>
          <w:rFonts w:ascii="Amiri" w:hAnsi="Amiri" w:eastAsia="Amiri" w:cs="Amiri"/>
          <w:color w:val="111111"/>
          <w:sz w:val="28"/>
          <w:sz w:val="28"/>
          <w:szCs w:val="28"/>
          <w:rtl w:val="true"/>
          <w:lang w:bidi="ar-SA"/>
        </w:rPr>
        <w:t>قرینةٌ اُخری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الاُمور کلّها ممیّزاتٌ للفعل المنویّ، لا أجزاءٌ للنیّة؛ لأنّها أمرٌ واحدٌ بسیط وهو القصد، وإنّما الترکیب فی متعلّقه ومعروضه، وهو الصلاة الواجبة أو المندوبة المؤدّاة أو المقضاة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اعتبار الوجوب المعلَّل یکون آخر الممیِّزات ما قبل الواجب </w:t>
      </w:r>
      <w:r>
        <w:rPr>
          <w:rStyle w:val="FootnoteAnchor"/>
          <w:rtl w:val="true"/>
        </w:rPr>
        <w:footnoteReference w:id="738"/>
      </w:r>
      <w:r>
        <w:rPr>
          <w:rFonts w:ascii="IRNazanin" w:hAnsi="IRNazanin" w:eastAsia="IRNazanin"/>
          <w:color w:val="111111"/>
          <w:sz w:val="28"/>
          <w:sz w:val="28"/>
          <w:szCs w:val="28"/>
          <w:rtl w:val="true"/>
          <w:lang w:bidi="fa-IR"/>
        </w:rPr>
        <w:t>ویکون قصده لوجوبه إشارةً إلی ما یقوله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یجب فعل الواجب لوجوبه أو ندبه أو لوجههما من الشکر أو اللطف أو الأمر أو المرکّب منها أو من بعضها علی اختلاف الآراء </w:t>
      </w:r>
      <w:r>
        <w:rPr>
          <w:rStyle w:val="FootnoteAnchor"/>
          <w:rtl w:val="true"/>
        </w:rPr>
        <w:footnoteReference w:id="739"/>
      </w:r>
      <w:r>
        <w:rPr>
          <w:rFonts w:ascii="Amiri" w:hAnsi="Amiri" w:eastAsia="Amiri" w:cs="Amiri"/>
          <w:color w:val="111111"/>
          <w:sz w:val="28"/>
          <w:sz w:val="28"/>
          <w:szCs w:val="28"/>
          <w:rtl w:val="true"/>
          <w:lang w:bidi="ar-SA"/>
        </w:rPr>
        <w:t>ووجوب ذلک أمر مرغوبٌ عنه؛ إذ لم یحقّقه المحقّقون، فکیف یُکلَّف به غیرهم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غایة الفعل المتعبَّد به، </w:t>
      </w:r>
      <w:r>
        <w:rPr>
          <w:rStyle w:val="FootnoteAnchor"/>
          <w:rtl w:val="true"/>
        </w:rPr>
        <w:footnoteReference w:id="740"/>
      </w:r>
      <w:r>
        <w:rPr>
          <w:rFonts w:ascii="IRNazanin" w:hAnsi="IRNazanin" w:eastAsia="IRNazanin"/>
          <w:color w:val="111111"/>
          <w:sz w:val="28"/>
          <w:sz w:val="28"/>
          <w:szCs w:val="28"/>
          <w:rtl w:val="true"/>
          <w:lang w:bidi="fa-IR"/>
        </w:rPr>
        <w:t>قرب الشرف لا الزمان والمکان؛ لتنزّهه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وآثرها لورودها کثیراً فی الکتاب </w:t>
      </w:r>
      <w:r>
        <w:rPr>
          <w:rStyle w:val="FootnoteAnchor"/>
          <w:rtl w:val="true"/>
        </w:rPr>
        <w:footnoteReference w:id="741"/>
      </w:r>
      <w:r>
        <w:rPr>
          <w:rFonts w:ascii="Amiri" w:hAnsi="Amiri" w:eastAsia="Amiri" w:cs="Amiri"/>
          <w:color w:val="111111"/>
          <w:sz w:val="28"/>
          <w:sz w:val="28"/>
          <w:szCs w:val="28"/>
          <w:rtl w:val="true"/>
          <w:lang w:bidi="ar-SA"/>
        </w:rPr>
        <w:t xml:space="preserve">والسنّة </w:t>
      </w:r>
      <w:r>
        <w:rPr>
          <w:rStyle w:val="FootnoteAnchor"/>
          <w:rtl w:val="true"/>
        </w:rPr>
        <w:footnoteReference w:id="742"/>
      </w:r>
      <w:bookmarkStart w:id="247" w:name="pg19806_203423"/>
    </w:p>
    <w:p>
      <w:pPr>
        <w:pStyle w:val="BookText"/>
        <w:rPr/>
      </w:pPr>
      <w:bookmarkEnd w:id="247"/>
      <w:r>
        <w:rPr>
          <w:rFonts w:ascii="Amiri" w:hAnsi="Amiri" w:eastAsia="Amiri" w:cs="Amiri"/>
          <w:color w:val="111111"/>
          <w:sz w:val="28"/>
          <w:sz w:val="28"/>
          <w:szCs w:val="28"/>
          <w:rtl w:val="true"/>
          <w:lang w:bidi="ar-SA"/>
        </w:rPr>
        <w:t>ولو جَعَلها للّٰه‌تعالی کفی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تلخّص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النیّة أن یحضر بباله مثلاً صلاةَ الظهر الواجبة المؤدّاة، ویقصد فعلها 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سهل وتکلیفٌ یسیر، قلّ أن ینفکّ عن ذهن المکلّف عند إرادته الصلاة، وکذا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وتجشّمها زیادةً علی ذلک وسواسٌ شیطانی، قد اُمرنا بالاستعاذة منه والبُعد عنه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2027889_2314609296"/>
      <w:bookmarkStart w:id="249" w:name="_Toc92"/>
      <w:bookmarkEnd w:id="248"/>
      <w:r>
        <w:rPr>
          <w:rtl w:val="true"/>
        </w:rPr>
        <w:t>«</w:t>
      </w:r>
      <w:r>
        <w:rPr>
          <w:rtl w:val="true"/>
        </w:rPr>
        <w:t>وتکبیرة الإحرام</w:t>
      </w:r>
      <w:r>
        <w:rPr>
          <w:rtl w:val="true"/>
        </w:rPr>
        <w:t>»</w:t>
      </w:r>
      <w:bookmarkEnd w:id="249"/>
    </w:p>
    <w:p>
      <w:pPr>
        <w:pStyle w:val="BookText"/>
        <w:rPr/>
      </w:pPr>
      <w:r>
        <w:rPr>
          <w:rFonts w:ascii="IRNazanin" w:hAnsi="IRNazanin" w:eastAsia="IRNazanin"/>
          <w:color w:val="111111"/>
          <w:sz w:val="28"/>
          <w:sz w:val="28"/>
          <w:szCs w:val="28"/>
          <w:rtl w:val="true"/>
          <w:lang w:bidi="fa-IR"/>
        </w:rPr>
        <w:t>نسبت إلیه؛ لأنّ بها یحصل الدخول فی الصلاة ویحرم ما کان محلّلاً قبلها من الکلام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التلفّظ بها باللفظ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تأسّیاً بصاحب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فَعَل کذلک وأمرنا </w:t>
      </w:r>
      <w:r>
        <w:rPr>
          <w:rStyle w:val="FootnoteAnchor"/>
          <w:rtl w:val="true"/>
        </w:rPr>
        <w:footnoteReference w:id="744"/>
      </w:r>
      <w:r>
        <w:rPr>
          <w:rFonts w:ascii="Amiri" w:hAnsi="Amiri" w:eastAsia="Amiri" w:cs="Amiri"/>
          <w:color w:val="111111"/>
          <w:sz w:val="28"/>
          <w:sz w:val="28"/>
          <w:szCs w:val="28"/>
          <w:rtl w:val="true"/>
          <w:lang w:bidi="ar-SA"/>
        </w:rPr>
        <w:t xml:space="preserve">بالتأسّی به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تعتبر العربیّة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الأذکار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المندوبة فیصحّ بها وبغیرها فی أشهر القولین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القدرة علیها، أمّا مع العجز وضیق الوقت عن التعلّم فیأتی بها حَسَب ما یعرفه من اللغات، فإن تعدّد </w:t>
      </w:r>
      <w:r>
        <w:rPr>
          <w:rStyle w:val="FootnoteAnchor"/>
          <w:rtl w:val="true"/>
        </w:rPr>
        <w:footnoteReference w:id="747"/>
      </w:r>
      <w:r>
        <w:rPr>
          <w:rFonts w:ascii="IRNazanin" w:hAnsi="IRNazanin" w:eastAsia="IRNazanin"/>
          <w:color w:val="111111"/>
          <w:sz w:val="28"/>
          <w:sz w:val="28"/>
          <w:szCs w:val="28"/>
          <w:rtl w:val="true"/>
          <w:lang w:bidi="fa-IR"/>
        </w:rPr>
        <w:t>تخیّر مراعیاً ما اشتملت علیه من المعنی،</w:t>
      </w:r>
      <w:bookmarkStart w:id="250" w:name="pg19806_203424"/>
    </w:p>
    <w:p>
      <w:pPr>
        <w:pStyle w:val="BookText"/>
        <w:rPr/>
      </w:pPr>
      <w:bookmarkEnd w:id="250"/>
      <w:r>
        <w:rPr>
          <w:rFonts w:ascii="IRNazanin" w:hAnsi="IRNazanin" w:eastAsia="IRNazanin"/>
          <w:color w:val="111111"/>
          <w:sz w:val="28"/>
          <w:sz w:val="28"/>
          <w:szCs w:val="28"/>
          <w:rtl w:val="true"/>
          <w:lang w:bidi="fa-IR"/>
        </w:rPr>
        <w:t xml:space="preserve">ومنه الأفضلیّة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المقارنة للنیّة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یُکبِّر عند حضور القصد المذکور بالبال من غیر أن یتخلّل بینهما زمانٌ وإن قلَّ علی المشهور </w:t>
      </w:r>
      <w:r>
        <w:rPr>
          <w:rStyle w:val="FootnoteAnchor"/>
          <w:rtl w:val="true"/>
        </w:rPr>
        <w:footnoteReference w:id="749"/>
      </w:r>
      <w:r>
        <w:rPr>
          <w:rFonts w:ascii="IRNazanin" w:hAnsi="IRNazanin" w:eastAsia="IRNazanin"/>
          <w:color w:val="111111"/>
          <w:sz w:val="28"/>
          <w:sz w:val="28"/>
          <w:szCs w:val="28"/>
          <w:rtl w:val="true"/>
          <w:lang w:bidi="fa-IR"/>
        </w:rPr>
        <w:t xml:space="preserve">والمعتبر حضور القصد عند أوّل جزءٍ من التکبیر، وهو المفهوم من المقارنة بینهما فی عبارة المصنّف، لکنّه فی غیره اعتبر استمراره إلی آخره إلّامع العسر </w:t>
      </w:r>
      <w:r>
        <w:rPr>
          <w:rStyle w:val="FootnoteAnchor"/>
          <w:rtl w:val="true"/>
        </w:rPr>
        <w:footnoteReference w:id="750"/>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واستدامة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لا یحدث نیّة تنافیها ولو فی بعض ممیّزات المنویّ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فلو نوی الخروج منها ولو فی ثانی الحال قبلَه أو فَعَل بعضَ المنافیات کذلک أو الریاء ولو ببعض </w:t>
      </w:r>
      <w:r>
        <w:rPr>
          <w:rStyle w:val="FootnoteAnchor"/>
          <w:rtl w:val="true"/>
        </w:rPr>
        <w:footnoteReference w:id="751"/>
      </w:r>
      <w:r>
        <w:rPr>
          <w:rFonts w:ascii="IRNazanin" w:hAnsi="IRNazanin" w:eastAsia="IRNazanin"/>
          <w:color w:val="111111"/>
          <w:sz w:val="28"/>
          <w:sz w:val="28"/>
          <w:szCs w:val="28"/>
          <w:rtl w:val="true"/>
          <w:lang w:bidi="fa-IR"/>
        </w:rPr>
        <w:t>الأفعال ونحو ذلک بطلت</w:t>
      </w:r>
      <w:r>
        <w:rPr>
          <w:rFonts w:eastAsia="IRNazanin" w:cs="IRNazanin"/>
          <w:color w:val="111111"/>
          <w:sz w:val="28"/>
          <w:szCs w:val="28"/>
          <w:rtl w:val="true"/>
          <w:lang w:bidi="fa-IR"/>
        </w:rPr>
        <w:t>.</w:t>
      </w:r>
    </w:p>
    <w:p>
      <w:pPr>
        <w:pStyle w:val="Heading4"/>
        <w:numPr>
          <w:ilvl w:val="3"/>
          <w:numId w:val="1"/>
        </w:numPr>
        <w:rPr/>
      </w:pPr>
      <w:bookmarkStart w:id="251" w:name="__RefHeading___Toc2027891_2314609296"/>
      <w:bookmarkStart w:id="252" w:name="_Toc93"/>
      <w:bookmarkEnd w:id="251"/>
      <w:r>
        <w:rPr>
          <w:rtl w:val="true"/>
        </w:rPr>
        <w:t>«</w:t>
      </w:r>
      <w:r>
        <w:rPr>
          <w:rtl w:val="true"/>
        </w:rPr>
        <w:t>وقراءة الحمد وسورة کاملة</w:t>
      </w:r>
      <w:r>
        <w:rPr>
          <w:rtl w:val="true"/>
        </w:rPr>
        <w:t>»</w:t>
      </w:r>
      <w:bookmarkEnd w:id="252"/>
    </w:p>
    <w:p>
      <w:pPr>
        <w:pStyle w:val="BookText"/>
        <w:rPr/>
      </w:pPr>
      <w:r>
        <w:rPr>
          <w:rFonts w:ascii="IRNazanin" w:hAnsi="IRNazanin" w:eastAsia="IRNazanin"/>
          <w:color w:val="111111"/>
          <w:sz w:val="28"/>
          <w:sz w:val="28"/>
          <w:szCs w:val="28"/>
          <w:rtl w:val="true"/>
          <w:lang w:bidi="fa-IR"/>
        </w:rPr>
        <w:t xml:space="preserve">فی أشهر القولین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کضیق وقتٍ وحاجةٍ یضرّ فوتُها وجهالةٍ لها مع العجز عن التعلّم، فتسقط السورة من غیر تعویضٍ عنها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لم یکن غیرهما کالثنائیّة أم کان</w:t>
      </w:r>
    </w:p>
    <w:p>
      <w:pPr>
        <w:pStyle w:val="BookText"/>
        <w:rPr/>
      </w:pPr>
      <w:r>
        <w:rPr>
          <w:rFonts w:ascii="IRNazanin" w:hAnsi="IRNazanin" w:eastAsia="IRNazanin"/>
          <w:color w:val="111111"/>
          <w:sz w:val="28"/>
          <w:sz w:val="28"/>
          <w:szCs w:val="28"/>
          <w:rtl w:val="true"/>
          <w:lang w:bidi="fa-IR"/>
        </w:rPr>
        <w:t xml:space="preserve">کغیرها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ویجزی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وحدها أو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بالأربع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یقولها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التکبیر من الثلاث علی ما دلّت علیه روایة حَریز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بإثباته فی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اثنی عشر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بتکریر الأربع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الاجتزاء بالجمیع ورودُ النصّ الصحیح بها </w:t>
      </w:r>
      <w:r>
        <w:rPr>
          <w:rStyle w:val="FootnoteAnchor"/>
          <w:rtl w:val="true"/>
        </w:rPr>
        <w:footnoteReference w:id="755"/>
      </w:r>
      <w:r>
        <w:rPr>
          <w:rFonts w:ascii="IRNazanin" w:hAnsi="IRNazanin" w:eastAsia="IRNazanin"/>
          <w:color w:val="111111"/>
          <w:sz w:val="28"/>
          <w:sz w:val="28"/>
          <w:szCs w:val="28"/>
          <w:rtl w:val="true"/>
          <w:lang w:bidi="fa-IR"/>
        </w:rPr>
        <w:t>ولا یقدح إسقاط التکبیر فی الثانی؛ لذلک ولقیام غیره مقامه وزیادة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وحیث تأدّی </w:t>
      </w:r>
      <w:r>
        <w:rPr>
          <w:rStyle w:val="FootnoteAnchor"/>
          <w:rtl w:val="true"/>
        </w:rPr>
        <w:footnoteReference w:id="756"/>
      </w:r>
      <w:r>
        <w:rPr>
          <w:rFonts w:ascii="IRNazanin" w:hAnsi="IRNazanin" w:eastAsia="IRNazanin"/>
          <w:color w:val="111111"/>
          <w:sz w:val="28"/>
          <w:sz w:val="28"/>
          <w:szCs w:val="28"/>
          <w:rtl w:val="true"/>
          <w:lang w:bidi="fa-IR"/>
        </w:rPr>
        <w:t xml:space="preserve">الواجب بالأربع جاز ترک الزائد، فیُحتمل کونه مستحبّاً نظراً إلی ذلک، وواجباً مخیَّراً التفاتاً إلی أ نّه أحد أفراد الواجب وجواز ترکه إلی بدل وهو الأربع وإن کان جزؤه </w:t>
      </w:r>
      <w:r>
        <w:rPr>
          <w:rStyle w:val="FootnoteAnchor"/>
          <w:rtl w:val="true"/>
        </w:rPr>
        <w:footnoteReference w:id="757"/>
      </w:r>
      <w:r>
        <w:rPr>
          <w:rFonts w:ascii="IRNazanin" w:hAnsi="IRNazanin" w:eastAsia="IRNazanin"/>
          <w:color w:val="111111"/>
          <w:sz w:val="28"/>
          <w:sz w:val="28"/>
          <w:szCs w:val="28"/>
          <w:rtl w:val="true"/>
          <w:lang w:bidi="fa-IR"/>
        </w:rPr>
        <w:t>کالرکعتین والأربع فی مواضع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النصّ </w:t>
      </w:r>
      <w:r>
        <w:rPr>
          <w:rStyle w:val="FootnoteAnchor"/>
          <w:rtl w:val="true"/>
        </w:rPr>
        <w:footnoteReference w:id="758"/>
      </w:r>
      <w:r>
        <w:rPr>
          <w:rFonts w:ascii="IRNazanin" w:hAnsi="IRNazanin" w:eastAsia="IRNazanin"/>
          <w:color w:val="111111"/>
          <w:sz w:val="28"/>
          <w:sz w:val="28"/>
          <w:szCs w:val="28"/>
          <w:rtl w:val="true"/>
          <w:lang w:bidi="fa-IR"/>
        </w:rPr>
        <w:t>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وبه صرّح المصنّف فی الذکری </w:t>
      </w:r>
      <w:r>
        <w:rPr>
          <w:rStyle w:val="FootnoteAnchor"/>
          <w:rtl w:val="true"/>
        </w:rPr>
        <w:footnoteReference w:id="759"/>
      </w:r>
      <w:r>
        <w:rPr>
          <w:rFonts w:ascii="IRNazanin" w:hAnsi="IRNazanin" w:eastAsia="IRNazanin"/>
          <w:color w:val="111111"/>
          <w:sz w:val="28"/>
          <w:sz w:val="28"/>
          <w:szCs w:val="28"/>
          <w:rtl w:val="true"/>
          <w:lang w:bidi="fa-IR"/>
        </w:rPr>
        <w:t>وهو ظاهر</w:t>
      </w:r>
    </w:p>
    <w:p>
      <w:pPr>
        <w:pStyle w:val="BookText"/>
        <w:rPr/>
      </w:pPr>
      <w:r>
        <w:rPr>
          <w:rFonts w:ascii="Amiri" w:hAnsi="Amiri" w:eastAsia="Amiri" w:cs="Amiri"/>
          <w:color w:val="111111"/>
          <w:sz w:val="28"/>
          <w:sz w:val="28"/>
          <w:szCs w:val="28"/>
          <w:rtl w:val="true"/>
          <w:lang w:bidi="ar-SA"/>
        </w:rPr>
        <w:t>العبارة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وعلیه فلو شرع فی الزائد عن مرتبةٍ فهل یجب علیه البلوغ إلی اُخری؟ یحتمله؛ قضیّة للوجوب وإن جاز ترکه قبل الشروع، والتخییر ثابتٌ قبل الشروع فیوقعه علی وجهه أو یترکه حذراً من تغییر </w:t>
      </w:r>
      <w:r>
        <w:rPr>
          <w:rStyle w:val="FootnoteAnchor"/>
          <w:rtl w:val="true"/>
        </w:rPr>
        <w:footnoteReference w:id="760"/>
      </w:r>
      <w:r>
        <w:rPr>
          <w:rFonts w:ascii="IRNazanin" w:hAnsi="IRNazanin" w:eastAsia="IRNazanin"/>
          <w:color w:val="111111"/>
          <w:sz w:val="28"/>
          <w:sz w:val="28"/>
          <w:szCs w:val="28"/>
          <w:rtl w:val="true"/>
          <w:lang w:bidi="fa-IR"/>
        </w:rPr>
        <w:t>الهیئة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وجوب الإکمال، فینصرف إلی کونه ذکراً للّٰه‌تعالی إن لم یبلغ فرداً آخر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الاُولیین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التسبیح مطلقاً؛ لروایة محمّد بن حکیم عن أبی الحسن علیه السلام </w:t>
      </w:r>
      <w:r>
        <w:rPr>
          <w:rStyle w:val="FootnoteAnchor"/>
          <w:rtl w:val="true"/>
        </w:rPr>
        <w:footnoteReference w:id="761"/>
      </w:r>
      <w:r>
        <w:rPr>
          <w:rFonts w:ascii="IRNazanin" w:hAnsi="IRNazanin" w:eastAsia="IRNazanin"/>
          <w:color w:val="111111"/>
          <w:sz w:val="28"/>
          <w:sz w:val="28"/>
          <w:szCs w:val="28"/>
          <w:rtl w:val="true"/>
          <w:lang w:bidi="fa-IR"/>
        </w:rPr>
        <w:t xml:space="preserve">وروی أفضلیّة التسبیح مطلقاً </w:t>
      </w:r>
      <w:r>
        <w:rPr>
          <w:rStyle w:val="FootnoteAnchor"/>
          <w:rtl w:val="true"/>
        </w:rPr>
        <w:footnoteReference w:id="762"/>
      </w:r>
      <w:r>
        <w:rPr>
          <w:rFonts w:ascii="IRNazanin" w:hAnsi="IRNazanin" w:eastAsia="IRNazanin"/>
          <w:color w:val="111111"/>
          <w:sz w:val="28"/>
          <w:sz w:val="28"/>
          <w:szCs w:val="28"/>
          <w:rtl w:val="true"/>
          <w:lang w:bidi="fa-IR"/>
        </w:rPr>
        <w:t xml:space="preserve">ولغیر الإمام </w:t>
      </w:r>
      <w:r>
        <w:rPr>
          <w:rStyle w:val="FootnoteAnchor"/>
          <w:rtl w:val="true"/>
        </w:rPr>
        <w:footnoteReference w:id="763"/>
      </w:r>
      <w:r>
        <w:rPr>
          <w:rFonts w:ascii="IRNazanin" w:hAnsi="IRNazanin" w:eastAsia="IRNazanin"/>
          <w:color w:val="111111"/>
          <w:sz w:val="28"/>
          <w:sz w:val="28"/>
          <w:szCs w:val="28"/>
          <w:rtl w:val="true"/>
          <w:lang w:bidi="fa-IR"/>
        </w:rPr>
        <w:t xml:space="preserve">وتساویهما </w:t>
      </w:r>
      <w:r>
        <w:rPr>
          <w:rStyle w:val="FootnoteAnchor"/>
          <w:rtl w:val="true"/>
        </w:rPr>
        <w:footnoteReference w:id="764"/>
      </w:r>
      <w:r>
        <w:rPr>
          <w:rFonts w:ascii="IRNazanin" w:hAnsi="IRNazanin" w:eastAsia="IRNazanin"/>
          <w:color w:val="111111"/>
          <w:sz w:val="28"/>
          <w:sz w:val="28"/>
          <w:szCs w:val="28"/>
          <w:rtl w:val="true"/>
          <w:lang w:bidi="fa-IR"/>
        </w:rPr>
        <w:t xml:space="preserve">وبحسبها اختلفت الأقوال </w:t>
      </w:r>
      <w:r>
        <w:rPr>
          <w:rStyle w:val="FootnoteAnchor"/>
          <w:rtl w:val="true"/>
        </w:rPr>
        <w:footnoteReference w:id="765"/>
      </w:r>
      <w:r>
        <w:rPr>
          <w:rFonts w:ascii="IRNazanin" w:hAnsi="IRNazanin" w:eastAsia="IRNazanin"/>
          <w:color w:val="111111"/>
          <w:sz w:val="28"/>
          <w:sz w:val="28"/>
          <w:szCs w:val="28"/>
          <w:rtl w:val="true"/>
          <w:lang w:bidi="fa-IR"/>
        </w:rPr>
        <w:t xml:space="preserve">واختلف اختیار المصنّف، فهنا رجّح القراءة مطلقاً، وفی الدروس للإمام والتسبیح للمنفرد </w:t>
      </w:r>
      <w:r>
        <w:rPr>
          <w:rStyle w:val="FootnoteAnchor"/>
          <w:rtl w:val="true"/>
        </w:rPr>
        <w:footnoteReference w:id="766"/>
      </w:r>
      <w:r>
        <w:rPr>
          <w:rFonts w:ascii="IRNazanin" w:hAnsi="IRNazanin" w:eastAsia="IRNazanin"/>
          <w:color w:val="111111"/>
          <w:sz w:val="28"/>
          <w:sz w:val="28"/>
          <w:szCs w:val="28"/>
          <w:rtl w:val="true"/>
          <w:lang w:bidi="fa-IR"/>
        </w:rPr>
        <w:t xml:space="preserve">وفی البیان جعلهما له سواء </w:t>
      </w:r>
      <w:r>
        <w:rPr>
          <w:rStyle w:val="FootnoteAnchor"/>
          <w:rtl w:val="true"/>
        </w:rPr>
        <w:footnoteReference w:id="767"/>
      </w:r>
      <w:r>
        <w:rPr>
          <w:rFonts w:ascii="IRNazanin" w:hAnsi="IRNazanin" w:eastAsia="IRNazanin"/>
          <w:color w:val="111111"/>
          <w:sz w:val="28"/>
          <w:sz w:val="28"/>
          <w:szCs w:val="28"/>
          <w:rtl w:val="true"/>
          <w:lang w:bidi="fa-IR"/>
        </w:rPr>
        <w:t xml:space="preserve">وتردّد فی الذکری </w:t>
      </w:r>
      <w:r>
        <w:rPr>
          <w:rStyle w:val="FootnoteAnchor"/>
          <w:rtl w:val="true"/>
        </w:rPr>
        <w:footnoteReference w:id="768"/>
      </w:r>
      <w:r>
        <w:rPr>
          <w:rFonts w:ascii="IRNazanin" w:hAnsi="IRNazanin" w:eastAsia="IRNazanin"/>
          <w:color w:val="111111"/>
          <w:sz w:val="28"/>
          <w:sz w:val="28"/>
          <w:szCs w:val="28"/>
          <w:rtl w:val="true"/>
          <w:lang w:bidi="fa-IR"/>
        </w:rPr>
        <w:t>والجمع بین الأخبار هنا</w:t>
      </w:r>
    </w:p>
    <w:p>
      <w:pPr>
        <w:pStyle w:val="BookText"/>
        <w:rPr/>
      </w:pPr>
      <w:r>
        <w:rPr>
          <w:rFonts w:ascii="IRNazanin" w:hAnsi="IRNazanin" w:eastAsia="IRNazanin"/>
          <w:color w:val="111111"/>
          <w:sz w:val="28"/>
          <w:sz w:val="28"/>
          <w:szCs w:val="28"/>
          <w:rtl w:val="true"/>
          <w:lang w:bidi="fa-IR"/>
        </w:rPr>
        <w:t>لا یخلو من تعسّف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بالقراءة علی المشهور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الصبح واُولیی </w:t>
      </w:r>
      <w:r>
        <w:rPr>
          <w:rStyle w:val="FootnoteAnchor"/>
          <w:rtl w:val="true"/>
        </w:rPr>
        <w:footnoteReference w:id="770"/>
      </w:r>
      <w:r>
        <w:rPr>
          <w:rFonts w:ascii="IRNazanin" w:hAnsi="IRNazanin" w:eastAsia="IRNazanin"/>
          <w:color w:val="111111"/>
          <w:sz w:val="28"/>
          <w:sz w:val="28"/>
          <w:szCs w:val="28"/>
          <w:rtl w:val="true"/>
          <w:lang w:bidi="fa-IR"/>
        </w:rPr>
        <w:t>العشاءین والإخفات فی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الجهر والإخفات کیفیّتان متضادّتان مطلقاً، لا یجتمعان فی مادّة، فأقلّ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یسمعه من قرب منه صحیحاً مع اشتمالها علی الصوت الموجب لتسمیته جهراً عرفاً، وأکثره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یبلغ العُلوّ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 نفسه خاصّةً صحیحاً أو تقدیراً، وأکثره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یبلغ أقلّ الجهر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جهر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بل تتخیّر بینه وبین السرّ فی مواضعه إذا لم یسمعها من یحرم استماعه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أفضل لها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ویتخیّر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فی موضع الجهر إن لم یسمعها الأجنبیّ، وإلّا تعیّن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الجهر علیها مراعیةً عدم سماع الأجنبیّ مع الإمکان، وإلّا وجب الإخفات </w:t>
      </w:r>
      <w:r>
        <w:rPr>
          <w:rStyle w:val="FootnoteAnchor"/>
          <w:rtl w:val="true"/>
        </w:rPr>
        <w:footnoteReference w:id="771"/>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للقراءة، وهو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الترسّل فیها والتبیین بغیر بَغْی </w:t>
      </w:r>
      <w:r>
        <w:rPr>
          <w:rStyle w:val="FootnoteAnchor"/>
          <w:rtl w:val="true"/>
        </w:rPr>
        <w:footnoteReference w:id="772"/>
      </w: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حفظ الوقوف وأداء الحروف </w:t>
      </w:r>
      <w:r>
        <w:rPr>
          <w:rStyle w:val="FootnoteAnchor"/>
          <w:rtl w:val="true"/>
        </w:rPr>
        <w:footnoteReference w:id="773"/>
      </w:r>
      <w:r>
        <w:rPr>
          <w:rFonts w:ascii="Amiri" w:hAnsi="Amiri" w:eastAsia="Amiri" w:cs="Amiri"/>
          <w:color w:val="111111"/>
          <w:sz w:val="28"/>
          <w:sz w:val="28"/>
          <w:szCs w:val="28"/>
          <w:rtl w:val="true"/>
          <w:lang w:bidi="ar-SA"/>
        </w:rPr>
        <w:t xml:space="preserve">وهو المرویّ عن ابن عبّاس </w:t>
      </w:r>
      <w:r>
        <w:rPr>
          <w:rStyle w:val="FootnoteAnchor"/>
          <w:rtl w:val="true"/>
        </w:rPr>
        <w:footnoteReference w:id="774"/>
      </w:r>
      <w:r>
        <w:rPr>
          <w:rFonts w:ascii="IRNazanin" w:hAnsi="IRNazanin" w:eastAsia="IRNazanin"/>
          <w:color w:val="111111"/>
          <w:sz w:val="28"/>
          <w:sz w:val="28"/>
          <w:szCs w:val="28"/>
          <w:rtl w:val="true"/>
          <w:lang w:bidi="fa-IR"/>
        </w:rPr>
        <w:t>وقریب منه عن علیّ علیه السلام، إلّاأ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وبیان الحروف</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بدل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مواضعه،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 لفظه ومعناه أو أحدهما، والأفضل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 </w:t>
      </w:r>
      <w:r>
        <w:rPr>
          <w:rStyle w:val="FootnoteAnchor"/>
          <w:rtl w:val="true"/>
        </w:rPr>
        <w:footnoteReference w:id="776"/>
      </w:r>
      <w:r>
        <w:rPr>
          <w:rFonts w:ascii="Amiri" w:hAnsi="Amiri" w:eastAsia="Amiri" w:cs="Amiri"/>
          <w:color w:val="111111"/>
          <w:sz w:val="28"/>
          <w:sz w:val="28"/>
          <w:szCs w:val="28"/>
          <w:rtl w:val="true"/>
          <w:lang w:bidi="ar-SA"/>
        </w:rPr>
        <w:t xml:space="preserve">ثمّ الحسن </w:t>
      </w:r>
      <w:r>
        <w:rPr>
          <w:rStyle w:val="FootnoteAnchor"/>
          <w:rtl w:val="true"/>
        </w:rPr>
        <w:footnoteReference w:id="777"/>
      </w:r>
      <w:r>
        <w:rPr>
          <w:rFonts w:ascii="Amiri" w:hAnsi="Amiri" w:eastAsia="Amiri" w:cs="Amiri"/>
          <w:color w:val="111111"/>
          <w:sz w:val="28"/>
          <w:sz w:val="28"/>
          <w:szCs w:val="28"/>
          <w:rtl w:val="true"/>
          <w:lang w:bidi="ar-SA"/>
        </w:rPr>
        <w:t xml:space="preserve">ثمّ الکافی </w:t>
      </w:r>
      <w:r>
        <w:rPr>
          <w:rStyle w:val="FootnoteAnchor"/>
          <w:rtl w:val="true"/>
        </w:rPr>
        <w:footnoteReference w:id="778"/>
      </w:r>
      <w:r>
        <w:rPr>
          <w:rFonts w:ascii="Amiri" w:hAnsi="Amiri" w:eastAsia="Amiri" w:cs="Amiri"/>
          <w:color w:val="111111"/>
          <w:sz w:val="28"/>
          <w:sz w:val="28"/>
          <w:szCs w:val="28"/>
          <w:rtl w:val="true"/>
          <w:lang w:bidi="ar-SA"/>
        </w:rPr>
        <w:t xml:space="preserve">علی ما هو مقرّر فی محلّه </w:t>
      </w:r>
      <w:r>
        <w:rPr>
          <w:rStyle w:val="FootnoteAnchor"/>
          <w:rtl w:val="true"/>
        </w:rPr>
        <w:footnoteReference w:id="779"/>
      </w:r>
      <w:r>
        <w:rPr>
          <w:rFonts w:ascii="IRNazanin" w:hAnsi="IRNazanin" w:eastAsia="IRNazanin"/>
          <w:color w:val="111111"/>
          <w:sz w:val="28"/>
          <w:sz w:val="28"/>
          <w:szCs w:val="28"/>
          <w:rtl w:val="true"/>
          <w:lang w:bidi="fa-IR"/>
        </w:rPr>
        <w:t xml:space="preserve">ولقد کان یُغنی عنه ذکر الترتیل علی ما فسّره به المصنّف </w:t>
      </w:r>
      <w:r>
        <w:rPr>
          <w:rStyle w:val="FootnoteAnchor"/>
          <w:rtl w:val="true"/>
        </w:rPr>
        <w:footnoteReference w:id="780"/>
      </w:r>
      <w:r>
        <w:rPr>
          <w:rFonts w:ascii="IRNazanin" w:hAnsi="IRNazanin" w:eastAsia="IRNazanin"/>
          <w:color w:val="111111"/>
          <w:sz w:val="28"/>
          <w:sz w:val="28"/>
          <w:szCs w:val="28"/>
          <w:rtl w:val="true"/>
          <w:lang w:bidi="fa-IR"/>
        </w:rPr>
        <w:t>فالجمع بینهما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یحسن الجمع بینهما لو فُسِّر الترتیلُ بأ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الحروف من غیر 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فسّره به فی المعتبر والمنتهی </w:t>
      </w:r>
      <w:r>
        <w:rPr>
          <w:rStyle w:val="FootnoteAnchor"/>
          <w:rtl w:val="true"/>
        </w:rPr>
        <w:footnoteReference w:id="78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الحروف وإظهارُها من غیر مَدٍّ یشبه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فسّره به فی النهایة </w:t>
      </w:r>
      <w:r>
        <w:rPr>
          <w:rStyle w:val="FootnoteAnchor"/>
          <w:rtl w:val="true"/>
        </w:rPr>
        <w:footnoteReference w:id="782"/>
      </w:r>
      <w:r>
        <w:rPr>
          <w:rFonts w:ascii="IRNazanin" w:hAnsi="IRNazanin" w:eastAsia="IRNazanin"/>
          <w:color w:val="111111"/>
          <w:sz w:val="28"/>
          <w:sz w:val="28"/>
          <w:szCs w:val="28"/>
          <w:rtl w:val="true"/>
          <w:lang w:bidi="fa-IR"/>
        </w:rPr>
        <w:t xml:space="preserve">وهو الموافق لتعریف أهل اللغة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وتعمّد </w:t>
      </w:r>
      <w:r>
        <w:rPr>
          <w:rStyle w:val="FootnoteAnchor"/>
          <w:rtl w:val="true"/>
        </w:rPr>
        <w:footnoteReference w:id="784"/>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بإظهار حرکاته وبیانها بیاناً شافیاً بحیث لا یندمج بعضها فی بعض إلی حدٍّ لا یبلغ حدّ المنع، أو بأن لا یکثر الوقوف الموجب للسکون خصوصاً فی الموضع المرجوح، ومثلُه حرکة البناء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وسؤال الرحمة والتعوّذ من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آیتیهما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عُطف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وعَطَفها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الدالّ </w:t>
      </w:r>
      <w:r>
        <w:rPr>
          <w:rStyle w:val="FootnoteAnchor"/>
          <w:rtl w:val="true"/>
        </w:rPr>
        <w:footnoteReference w:id="785"/>
      </w:r>
      <w:r>
        <w:rPr>
          <w:rFonts w:ascii="IRNazanin" w:hAnsi="IRNazanin" w:eastAsia="IRNazanin"/>
          <w:color w:val="111111"/>
          <w:sz w:val="28"/>
          <w:sz w:val="28"/>
          <w:szCs w:val="28"/>
          <w:rtl w:val="true"/>
          <w:lang w:bidi="fa-IR"/>
        </w:rPr>
        <w:t>علی التراخی؛ لما بین الواجب والندب من التغایر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تطویل السورة فی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 التطویل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وتوسّطها فی الظهر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وقصرُها فی العصر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أطلق ولم یخصّ التفصیل بسُوَر المفصَّل؛ لعدم النصّ علی تعیّنه </w:t>
      </w:r>
      <w:r>
        <w:rPr>
          <w:rStyle w:val="FootnoteAnchor"/>
          <w:rtl w:val="true"/>
        </w:rPr>
        <w:footnoteReference w:id="787"/>
      </w:r>
      <w:r>
        <w:rPr>
          <w:rFonts w:ascii="IRNazanin" w:hAnsi="IRNazanin" w:eastAsia="IRNazanin"/>
          <w:color w:val="111111"/>
          <w:sz w:val="28"/>
          <w:sz w:val="28"/>
          <w:szCs w:val="28"/>
          <w:rtl w:val="true"/>
          <w:lang w:bidi="fa-IR"/>
        </w:rPr>
        <w:t xml:space="preserve">بخصوصه عندنا، وإنّما الوارد فی نصوصنا هذه السور وأمثالها </w:t>
      </w:r>
      <w:r>
        <w:rPr>
          <w:rStyle w:val="FootnoteAnchor"/>
          <w:rtl w:val="true"/>
        </w:rPr>
        <w:footnoteReference w:id="788"/>
      </w:r>
      <w:r>
        <w:rPr>
          <w:rFonts w:ascii="Amiri" w:hAnsi="Amiri" w:eastAsia="Amiri" w:cs="Amiri"/>
          <w:color w:val="111111"/>
          <w:sz w:val="28"/>
          <w:sz w:val="28"/>
          <w:szCs w:val="28"/>
          <w:rtl w:val="true"/>
          <w:lang w:bidi="ar-SA"/>
        </w:rPr>
        <w:t xml:space="preserve">لکنّ المصنّف </w:t>
      </w:r>
      <w:r>
        <w:rPr>
          <w:rStyle w:val="FootnoteAnchor"/>
          <w:rtl w:val="true"/>
        </w:rPr>
        <w:footnoteReference w:id="789"/>
      </w:r>
      <w:r>
        <w:rPr>
          <w:rFonts w:ascii="IRNazanin" w:hAnsi="IRNazanin" w:eastAsia="IRNazanin"/>
          <w:color w:val="111111"/>
          <w:sz w:val="28"/>
          <w:sz w:val="28"/>
          <w:szCs w:val="28"/>
          <w:rtl w:val="true"/>
          <w:lang w:bidi="fa-IR"/>
        </w:rPr>
        <w:t xml:space="preserve">وغیره </w:t>
      </w:r>
      <w:r>
        <w:rPr>
          <w:rStyle w:val="FootnoteAnchor"/>
          <w:rtl w:val="true"/>
        </w:rPr>
        <w:footnoteReference w:id="790"/>
      </w:r>
      <w:r>
        <w:rPr>
          <w:rFonts w:ascii="IRNazanin" w:hAnsi="IRNazanin" w:eastAsia="IRNazanin"/>
          <w:color w:val="111111"/>
          <w:sz w:val="28"/>
          <w:sz w:val="28"/>
          <w:szCs w:val="28"/>
          <w:rtl w:val="true"/>
          <w:lang w:bidi="fa-IR"/>
        </w:rPr>
        <w:t>قیّدوا الأقسام بالمفصَّل، 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مبدئه أقوالٌ اُخر </w:t>
      </w:r>
      <w:r>
        <w:rPr>
          <w:rStyle w:val="FootnoteAnchor"/>
          <w:rtl w:val="true"/>
        </w:rPr>
        <w:footnoteReference w:id="791"/>
      </w:r>
      <w:r>
        <w:rPr>
          <w:rFonts w:ascii="IRNazanin" w:hAnsi="IRNazanin" w:eastAsia="IRNazanin"/>
          <w:color w:val="111111"/>
          <w:sz w:val="28"/>
          <w:sz w:val="28"/>
          <w:szCs w:val="28"/>
          <w:rtl w:val="true"/>
          <w:lang w:bidi="fa-IR"/>
        </w:rPr>
        <w:t>أشهرها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مفصَّلاً؛ لکثرة فواصله بالبسملة بالإضافة إلی باقی القرآن، أو لما فیه من الحُکم المفصَّل؛ لعدم المنسوخ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یُستحبّ قصر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خوف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یجب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صبح الاثنین،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قرأهما فی الیومین وقاه اللّٰه شرّهما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والمنافقین فی ظهریها وجمعتها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طریق الاستخدام </w:t>
      </w:r>
      <w:r>
        <w:rPr>
          <w:rStyle w:val="FootnoteAnchor"/>
          <w:rtl w:val="true"/>
        </w:rPr>
        <w:footnoteReference w:id="793"/>
      </w:r>
      <w:r>
        <w:rPr>
          <w:rFonts w:ascii="IRNazanin" w:hAnsi="IRNazanin" w:eastAsia="IRNazanin"/>
          <w:color w:val="111111"/>
          <w:sz w:val="28"/>
          <w:sz w:val="28"/>
          <w:szCs w:val="28"/>
          <w:rtl w:val="true"/>
          <w:lang w:bidi="fa-IR"/>
        </w:rPr>
        <w:t xml:space="preserve">وروی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ترکهما فیها متعمّداً فلا صلاة له</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حتّی قیل بوجوب قراءتهما فی الجمعة وظهرها </w:t>
      </w:r>
      <w:r>
        <w:rPr>
          <w:rStyle w:val="FootnoteAnchor"/>
          <w:rtl w:val="true"/>
        </w:rPr>
        <w:footnoteReference w:id="795"/>
      </w:r>
      <w:r>
        <w:rPr>
          <w:rFonts w:ascii="IRNazanin" w:hAnsi="IRNazanin" w:eastAsia="IRNazanin"/>
          <w:color w:val="111111"/>
          <w:sz w:val="28"/>
          <w:sz w:val="28"/>
          <w:szCs w:val="28"/>
          <w:rtl w:val="true"/>
          <w:lang w:bidi="fa-IR"/>
        </w:rPr>
        <w:t xml:space="preserve">لذلک وحُملت الروایة علی تأکّد الاستحباب جمعاً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والجمعة والتوحید فی صبحها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والمنافقین </w:t>
      </w:r>
      <w:r>
        <w:rPr>
          <w:rStyle w:val="FootnoteAnchor"/>
          <w:rtl w:val="true"/>
        </w:rPr>
        <w:footnoteReference w:id="797"/>
      </w:r>
      <w:r>
        <w:rPr>
          <w:rFonts w:ascii="Amiri" w:hAnsi="Amiri" w:eastAsia="Amiri" w:cs="Amiri"/>
          <w:color w:val="111111"/>
          <w:sz w:val="28"/>
          <w:sz w:val="28"/>
          <w:szCs w:val="28"/>
          <w:rtl w:val="true"/>
          <w:lang w:bidi="ar-SA"/>
        </w:rPr>
        <w:t xml:space="preserve">وهو مرویٌّ أیضاً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والجمعة والأعلی فی عشاءیها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والتوحید </w:t>
      </w:r>
      <w:r>
        <w:rPr>
          <w:rStyle w:val="FootnoteAnchor"/>
          <w:rtl w:val="true"/>
        </w:rPr>
        <w:footnoteReference w:id="799"/>
      </w:r>
      <w:r>
        <w:rPr>
          <w:rFonts w:ascii="IRNazanin" w:hAnsi="IRNazanin" w:eastAsia="IRNazanin"/>
          <w:color w:val="111111"/>
          <w:sz w:val="28"/>
          <w:sz w:val="28"/>
          <w:szCs w:val="28"/>
          <w:rtl w:val="true"/>
          <w:lang w:bidi="fa-IR"/>
        </w:rPr>
        <w:t>ولا مشاحّة فی ذلک؛ لأنّه مقام استحباب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العزیمة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800"/>
      </w:r>
      <w:r>
        <w:rPr>
          <w:rFonts w:ascii="IRNazanin" w:hAnsi="IRNazanin" w:eastAsia="IRNazanin"/>
          <w:color w:val="111111"/>
          <w:sz w:val="28"/>
          <w:sz w:val="28"/>
          <w:szCs w:val="28"/>
          <w:rtl w:val="true"/>
          <w:lang w:bidi="fa-IR"/>
        </w:rPr>
        <w:t>فتبطل</w:t>
      </w:r>
    </w:p>
    <w:p>
      <w:pPr>
        <w:pStyle w:val="BookText"/>
        <w:rPr/>
      </w:pPr>
      <w:r>
        <w:rPr>
          <w:rFonts w:ascii="IRNazanin" w:hAnsi="IRNazanin" w:eastAsia="IRNazanin"/>
          <w:color w:val="111111"/>
          <w:sz w:val="28"/>
          <w:sz w:val="28"/>
          <w:szCs w:val="28"/>
          <w:rtl w:val="true"/>
          <w:lang w:bidi="fa-IR"/>
        </w:rPr>
        <w:t xml:space="preserve">بمجرّد الشروع فیها عمداً؛ للنهی </w:t>
      </w:r>
      <w:r>
        <w:rPr>
          <w:rStyle w:val="FootnoteAnchor"/>
          <w:rtl w:val="true"/>
        </w:rPr>
        <w:footnoteReference w:id="801"/>
      </w:r>
      <w:r>
        <w:rPr>
          <w:rFonts w:ascii="IRNazanin" w:hAnsi="IRNazanin" w:eastAsia="IRNazanin"/>
          <w:color w:val="111111"/>
          <w:sz w:val="28"/>
          <w:sz w:val="28"/>
          <w:szCs w:val="28"/>
          <w:rtl w:val="true"/>
          <w:lang w:bidi="fa-IR"/>
        </w:rPr>
        <w:t xml:space="preserve">ولو شرع فیها ساهیاً عدل عنها وإن تجاوز نصفها ما لم یتجاوز موضَع السجود ومعه، ففی العدول أو کمالها والاجتزاء بها مع قضاء السجود بعدها وجهان، فی الثانی قوّة </w:t>
      </w:r>
      <w:r>
        <w:rPr>
          <w:rStyle w:val="FootnoteAnchor"/>
          <w:rtl w:val="true"/>
        </w:rPr>
        <w:footnoteReference w:id="802"/>
      </w:r>
      <w:r>
        <w:rPr>
          <w:rFonts w:ascii="IRNazanin" w:hAnsi="IRNazanin" w:eastAsia="IRNazanin"/>
          <w:color w:val="111111"/>
          <w:sz w:val="28"/>
          <w:sz w:val="28"/>
          <w:szCs w:val="28"/>
          <w:rtl w:val="true"/>
          <w:lang w:bidi="fa-IR"/>
        </w:rPr>
        <w:t xml:space="preserve">ومال المصنّف فی الذکری إلی الأوّل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النافلة، فیجوز قراءتها فیها، ویسجد لها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استمع فیها إلی قارئٍ أو سمع علی أجود القولین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ویحرم استماعها فی الفریضة، فإن فعل أو سمع اتّفاقاً وقلنا بوجوبه له أومَأ لها وقضاها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مع مخالفٍ تقیّةً فقرأها تابعه فی السجود ولم یعتدّ بها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بجوازها منّا لا یقول بالسجود لها فی الصلاة، فلا منع من الاقتداء به من هذه الجهة، بل من حیث فعله ما یعتقد المأموم الإ بطال به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نوافل اللیل، والسرُّ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قیل فی غیرها من الفرائض </w:t>
      </w:r>
      <w:r>
        <w:rPr>
          <w:rStyle w:val="FootnoteAnchor"/>
          <w:rtl w:val="true"/>
        </w:rPr>
        <w:footnoteReference w:id="805"/>
      </w:r>
      <w:r>
        <w:rPr>
          <w:rFonts w:ascii="IRNazanin" w:hAnsi="IRNazanin" w:eastAsia="IRNazanin"/>
          <w:color w:val="111111"/>
          <w:sz w:val="28"/>
          <w:sz w:val="28"/>
          <w:szCs w:val="28"/>
          <w:rtl w:val="true"/>
          <w:lang w:bidi="fa-IR"/>
        </w:rPr>
        <w:t>بمعنی استحباب الجهر باللیلیة منها والسرّ فی نظیرها نهاراً کالکسوفین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نظیر له فالجهر مطلقاً، کالجمعة</w:t>
      </w:r>
    </w:p>
    <w:p>
      <w:pPr>
        <w:pStyle w:val="BookText"/>
        <w:rPr/>
      </w:pPr>
      <w:r>
        <w:rPr>
          <w:rFonts w:ascii="IRNazanin" w:hAnsi="IRNazanin" w:eastAsia="IRNazanin"/>
          <w:color w:val="111111"/>
          <w:sz w:val="28"/>
          <w:sz w:val="28"/>
          <w:szCs w:val="28"/>
          <w:rtl w:val="true"/>
          <w:lang w:bidi="fa-IR"/>
        </w:rPr>
        <w:t xml:space="preserve">والعید </w:t>
      </w:r>
      <w:r>
        <w:rPr>
          <w:rStyle w:val="FootnoteAnchor"/>
          <w:rtl w:val="true"/>
        </w:rPr>
        <w:footnoteReference w:id="806"/>
      </w:r>
      <w:r>
        <w:rPr>
          <w:rFonts w:ascii="IRNazanin" w:hAnsi="IRNazanin" w:eastAsia="IRNazanin"/>
          <w:color w:val="111111"/>
          <w:sz w:val="28"/>
          <w:sz w:val="28"/>
          <w:szCs w:val="28"/>
          <w:rtl w:val="true"/>
          <w:lang w:bidi="fa-IR"/>
        </w:rPr>
        <w:t>والزلزلة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فی الکسوفین ذلک؛ لعدم اختصاص الخسوف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وجاهل الحمد یجب علیه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إمکانه وسعة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ضاق الوقتُ قرأ ما یحسن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سُمّی قرآناً، فإن لم یُسمّ لقلّته فهو کالجاهل بها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یقتصر علیه أو یعوّض عن الفائت؟ 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807"/>
      </w:r>
      <w:r>
        <w:rPr>
          <w:rFonts w:ascii="IRNazanin" w:hAnsi="IRNazanin" w:eastAsia="IRNazanin"/>
          <w:color w:val="111111"/>
          <w:sz w:val="28"/>
          <w:sz w:val="28"/>
          <w:szCs w:val="28"/>
          <w:rtl w:val="true"/>
          <w:lang w:bidi="fa-IR"/>
        </w:rPr>
        <w:t>وهو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لم یعلم غیرَها من القرآن کرّر ما یعلمه بقدر الفائت، وإن علم ففی التعویض منها أو منه قولان </w:t>
      </w:r>
      <w:r>
        <w:rPr>
          <w:rStyle w:val="FootnoteAnchor"/>
          <w:rtl w:val="true"/>
        </w:rPr>
        <w:footnoteReference w:id="808"/>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الأبعاض أقربَ إلیها، وأنّ الشیء الواحد لا یکون أصلاً وبدلاً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التقدیرین فیجب مساواته له فی الحروف،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الآیات </w:t>
      </w:r>
      <w:r>
        <w:rPr>
          <w:rStyle w:val="FootnoteAnchor"/>
          <w:rtl w:val="true"/>
        </w:rPr>
        <w:footnoteReference w:id="809"/>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مراعاة الترتیب بین البدل والمبدل، فإن علم الأوّل أخّر البدل، أو الآخر قدّمه، أو الطرفین وسّطه، أو الوسطَ حفّه به، وهکذا</w:t>
      </w:r>
      <w:r>
        <w:rPr>
          <w:rFonts w:eastAsia="IRNazanin" w:cs="IRNazanin"/>
          <w:color w:val="111111"/>
          <w:sz w:val="28"/>
          <w:szCs w:val="28"/>
          <w:rtl w:val="true"/>
          <w:lang w:bidi="fa-IR"/>
        </w:rPr>
        <w:t>.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أمکنه الائتمام قدّم علی ذلک؛ لأنّه فی حکم القراءة التامّة </w:t>
      </w:r>
      <w:r>
        <w:rPr>
          <w:rStyle w:val="FootnoteAnchor"/>
          <w:rtl w:val="true"/>
        </w:rPr>
        <w:footnoteReference w:id="810"/>
      </w:r>
      <w:r>
        <w:rPr>
          <w:rFonts w:ascii="IRNazanin" w:hAnsi="IRNazanin" w:eastAsia="IRNazanin"/>
          <w:color w:val="111111"/>
          <w:sz w:val="28"/>
          <w:sz w:val="28"/>
          <w:szCs w:val="28"/>
          <w:rtl w:val="true"/>
          <w:lang w:bidi="fa-IR"/>
        </w:rPr>
        <w:t>ومثله</w:t>
      </w:r>
    </w:p>
    <w:p>
      <w:pPr>
        <w:pStyle w:val="BookText"/>
        <w:rPr/>
      </w:pPr>
      <w:r>
        <w:rPr>
          <w:rFonts w:ascii="IRNazanin" w:hAnsi="IRNazanin" w:eastAsia="IRNazanin"/>
          <w:color w:val="111111"/>
          <w:sz w:val="28"/>
          <w:sz w:val="28"/>
          <w:szCs w:val="28"/>
          <w:rtl w:val="true"/>
          <w:lang w:bidi="fa-IR"/>
        </w:rPr>
        <w:t xml:space="preserve">ما لو أمکن متابعة قاری ٍ أو القراءة من المُصحف، بل قیل بإجزائه اختیاراً </w:t>
      </w:r>
      <w:r>
        <w:rPr>
          <w:rStyle w:val="FootnoteAnchor"/>
          <w:rtl w:val="true"/>
        </w:rPr>
        <w:footnoteReference w:id="811"/>
      </w:r>
      <w:r>
        <w:rPr>
          <w:rFonts w:ascii="IRNazanin" w:hAnsi="IRNazanin" w:eastAsia="IRNazanin"/>
          <w:color w:val="111111"/>
          <w:sz w:val="28"/>
          <w:sz w:val="28"/>
          <w:szCs w:val="28"/>
          <w:rtl w:val="true"/>
          <w:lang w:bidi="fa-IR"/>
        </w:rPr>
        <w:t>والأولی اختصاصه بالنافلة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من غیرها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بقدر الحمد حروفاً، وحروفها مئة وخمسة وخمسون حرفاً بالبسملة، إلّالمن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تزید حرفاً، ویجوز الاقتصار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السورة إن کان یُحسن سورةً تامّةً ولو بتکرارها عنهما مراعیاً فی البدل المساواة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کلّه ولم یحسن شیئاً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 تعالی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بقدر الحمد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السورة فساقطةٌ کما مرّ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یجتزی بمطلق الذکر أم یعتبر الواجب فی الأخیرتین؟ قولان، اختار ثانیهما المصنّف فی الذکری </w:t>
      </w:r>
      <w:r>
        <w:rPr>
          <w:rStyle w:val="FootnoteAnchor"/>
          <w:rtl w:val="true"/>
        </w:rPr>
        <w:footnoteReference w:id="813"/>
      </w:r>
      <w:r>
        <w:rPr>
          <w:rFonts w:ascii="IRNazanin" w:hAnsi="IRNazanin" w:eastAsia="IRNazanin"/>
          <w:color w:val="111111"/>
          <w:sz w:val="28"/>
          <w:sz w:val="28"/>
          <w:szCs w:val="28"/>
          <w:rtl w:val="true"/>
          <w:lang w:bidi="fa-IR"/>
        </w:rPr>
        <w:t>لثبوت بدلیّته عنها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 مطلق الذکر وإن لم یکن بقدرها </w:t>
      </w:r>
      <w:r>
        <w:rPr>
          <w:rStyle w:val="FootnoteAnchor"/>
          <w:rtl w:val="true"/>
        </w:rPr>
        <w:footnoteReference w:id="814"/>
      </w:r>
      <w:r>
        <w:rPr>
          <w:rFonts w:ascii="IRNazanin" w:hAnsi="IRNazanin" w:eastAsia="IRNazanin"/>
          <w:color w:val="111111"/>
          <w:sz w:val="28"/>
          <w:sz w:val="28"/>
          <w:szCs w:val="28"/>
          <w:rtl w:val="true"/>
          <w:lang w:bidi="fa-IR"/>
        </w:rPr>
        <w:t xml:space="preserve">عملاً بمطلق الأمر </w:t>
      </w:r>
      <w:r>
        <w:rPr>
          <w:rStyle w:val="FootnoteAnchor"/>
          <w:rtl w:val="true"/>
        </w:rPr>
        <w:footnoteReference w:id="815"/>
      </w:r>
      <w:r>
        <w:rPr>
          <w:rFonts w:ascii="IRNazanin" w:hAnsi="IRNazanin" w:eastAsia="IRNazanin"/>
          <w:color w:val="111111"/>
          <w:sz w:val="28"/>
          <w:sz w:val="28"/>
          <w:szCs w:val="28"/>
          <w:rtl w:val="true"/>
          <w:lang w:bidi="fa-IR"/>
        </w:rPr>
        <w:t>والأوّل أولی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یحسن الذکر،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بقدرها </w:t>
      </w:r>
      <w:r>
        <w:rPr>
          <w:rStyle w:val="FootnoteAnchor"/>
          <w:rtl w:val="true"/>
        </w:rPr>
        <w:footnoteReference w:id="816"/>
      </w:r>
      <w:r>
        <w:rPr>
          <w:rFonts w:ascii="IRNazanin" w:hAnsi="IRNazanin" w:eastAsia="IRNazanin"/>
          <w:color w:val="111111"/>
          <w:sz w:val="28"/>
          <w:sz w:val="28"/>
          <w:szCs w:val="28"/>
          <w:rtl w:val="true"/>
          <w:lang w:bidi="fa-IR"/>
        </w:rPr>
        <w:t>لأنّه کان یلزمه عند القدرة علی القراءة قیامٌ وقراءةٌ، فإذا فات أحدهما بقی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bookmarkStart w:id="253" w:name="pg19806_203434"/>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 وألم نشرح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والفیل ولإ یلاف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w:t>
      </w:r>
      <w:r>
        <w:rPr>
          <w:rStyle w:val="FootnoteAnchor"/>
          <w:rtl w:val="true"/>
        </w:rPr>
        <w:footnoteReference w:id="817"/>
      </w:r>
      <w:r>
        <w:rPr>
          <w:rFonts w:ascii="IRNazanin" w:hAnsi="IRNazanin" w:eastAsia="IRNazanin"/>
          <w:color w:val="111111"/>
          <w:sz w:val="28"/>
          <w:sz w:val="28"/>
          <w:szCs w:val="28"/>
          <w:rtl w:val="true"/>
          <w:lang w:bidi="fa-IR"/>
        </w:rPr>
        <w:t>فلو قرأ إحداهما فی رکعة وجبت الاُخری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خالیةٌ من الدلالة علی وحدتهما، وإنّما دلّت علی عدم إجزاء إحداهما </w:t>
      </w:r>
      <w:r>
        <w:rPr>
          <w:rStyle w:val="FootnoteAnchor"/>
          <w:rtl w:val="true"/>
        </w:rPr>
        <w:footnoteReference w:id="818"/>
      </w:r>
      <w:r>
        <w:rPr>
          <w:rFonts w:ascii="IRNazanin" w:hAnsi="IRNazanin" w:eastAsia="IRNazanin"/>
          <w:color w:val="111111"/>
          <w:sz w:val="28"/>
          <w:sz w:val="28"/>
          <w:szCs w:val="28"/>
          <w:rtl w:val="true"/>
          <w:lang w:bidi="fa-IR"/>
        </w:rPr>
        <w:t xml:space="preserve">وفی بعضها تصریحٌ بالتعدّد مع الحکم المذکور </w:t>
      </w:r>
      <w:r>
        <w:rPr>
          <w:rStyle w:val="FootnoteAnchor"/>
          <w:rtl w:val="true"/>
        </w:rPr>
        <w:footnoteReference w:id="819"/>
      </w:r>
      <w:r>
        <w:rPr>
          <w:rFonts w:ascii="IRNazanin" w:hAnsi="IRNazanin" w:eastAsia="IRNazanin"/>
          <w:color w:val="111111"/>
          <w:sz w:val="28"/>
          <w:sz w:val="28"/>
          <w:szCs w:val="28"/>
          <w:rtl w:val="true"/>
          <w:lang w:bidi="fa-IR"/>
        </w:rPr>
        <w:t>والحکم من حیث الصلاة واحدٌ، وإنّما تظهر الفائدة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البسملة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التقدیرین فی الأصحّ </w:t>
      </w:r>
      <w:r>
        <w:rPr>
          <w:rStyle w:val="FootnoteAnchor"/>
          <w:rtl w:val="true"/>
        </w:rPr>
        <w:footnoteReference w:id="820"/>
      </w:r>
      <w:r>
        <w:rPr>
          <w:rFonts w:ascii="Amiri" w:hAnsi="Amiri" w:eastAsia="Amiri" w:cs="Amiri"/>
          <w:color w:val="111111"/>
          <w:sz w:val="28"/>
          <w:sz w:val="28"/>
          <w:szCs w:val="28"/>
          <w:rtl w:val="true"/>
          <w:lang w:bidi="ar-SA"/>
        </w:rPr>
        <w:t xml:space="preserve">لثبوتها بینهما تواتراً، وکِتْبَتِها </w:t>
      </w:r>
      <w:r>
        <w:rPr>
          <w:rStyle w:val="FootnoteAnchor"/>
          <w:rtl w:val="true"/>
        </w:rPr>
        <w:footnoteReference w:id="821"/>
      </w:r>
      <w:r>
        <w:rPr>
          <w:rFonts w:ascii="Amiri" w:hAnsi="Amiri" w:eastAsia="Amiri" w:cs="Amiri"/>
          <w:color w:val="111111"/>
          <w:sz w:val="28"/>
          <w:sz w:val="28"/>
          <w:szCs w:val="28"/>
          <w:rtl w:val="true"/>
          <w:lang w:bidi="ar-SA"/>
        </w:rPr>
        <w:t xml:space="preserve">فی المصحف المجرَّد عن غیر القرآن حتّی النُقَط </w:t>
      </w:r>
      <w:r>
        <w:rPr>
          <w:rStyle w:val="FootnoteAnchor"/>
          <w:rtl w:val="true"/>
        </w:rPr>
        <w:footnoteReference w:id="822"/>
      </w:r>
      <w:r>
        <w:rPr>
          <w:rFonts w:ascii="IRNazanin" w:hAnsi="IRNazanin" w:eastAsia="IRNazanin"/>
          <w:color w:val="111111"/>
          <w:sz w:val="28"/>
          <w:sz w:val="28"/>
          <w:szCs w:val="28"/>
          <w:rtl w:val="true"/>
          <w:lang w:bidi="fa-IR"/>
        </w:rPr>
        <w:t xml:space="preserve">والإعراب، ولا ینافی ذلک الوحدة لو سلّمت کما فی سورة النمل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2027893_2314609296"/>
      <w:bookmarkStart w:id="255" w:name="_Toc94"/>
      <w:bookmarkEnd w:id="254"/>
      <w:r>
        <w:rPr>
          <w:rtl w:val="true"/>
        </w:rPr>
        <w:t>«</w:t>
      </w:r>
      <w:r>
        <w:rPr>
          <w:rtl w:val="true"/>
        </w:rPr>
        <w:t>ثمّ یجب الرکوع منحنیاً إلی أن تصل کفّاه</w:t>
      </w:r>
      <w:r>
        <w:rPr>
          <w:rtl w:val="true"/>
        </w:rPr>
        <w:t>»</w:t>
      </w:r>
      <w:bookmarkEnd w:id="2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یکفی وصولهما بغیر انحناءٍ کالانخناس </w:t>
      </w:r>
      <w:r>
        <w:rPr>
          <w:rStyle w:val="FootnoteAnchor"/>
          <w:rtl w:val="true"/>
        </w:rPr>
        <w:footnoteReference w:id="824"/>
      </w:r>
      <w:r>
        <w:rPr>
          <w:rFonts w:ascii="IRNazanin" w:hAnsi="IRNazanin" w:eastAsia="IRNazanin"/>
          <w:color w:val="111111"/>
          <w:sz w:val="28"/>
          <w:sz w:val="28"/>
          <w:szCs w:val="28"/>
          <w:rtl w:val="true"/>
          <w:lang w:bidi="fa-IR"/>
        </w:rPr>
        <w:t>مع إخراج الرکبتین، أو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بوصولهما بلوغهما قدراً لو أراد إیصالهما وصلتا؛ إذ لا یجب الملاصقة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w:t>
      </w:r>
    </w:p>
    <w:p>
      <w:pPr>
        <w:pStyle w:val="BookText"/>
        <w:rPr/>
      </w:pPr>
      <w:r>
        <w:rPr>
          <w:rFonts w:ascii="IRNazanin" w:hAnsi="IRNazanin" w:eastAsia="IRNazanin"/>
          <w:color w:val="111111"/>
          <w:sz w:val="28"/>
          <w:sz w:val="28"/>
          <w:szCs w:val="28"/>
          <w:rtl w:val="true"/>
          <w:lang w:bidi="fa-IR"/>
        </w:rPr>
        <w:t xml:space="preserve">وصول جزء من باطنه لاجمیعه، ولا رؤوس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بحیث تستقرّ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واجب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 الذکر للمضطرّ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المطلق مطلقاً </w:t>
      </w:r>
      <w:r>
        <w:rPr>
          <w:rStyle w:val="FootnoteAnchor"/>
          <w:rtl w:val="true"/>
        </w:rPr>
        <w:footnoteReference w:id="825"/>
      </w:r>
      <w:r>
        <w:rPr>
          <w:rFonts w:ascii="IRNazanin" w:hAnsi="IRNazanin" w:eastAsia="IRNazanin"/>
          <w:color w:val="111111"/>
          <w:sz w:val="28"/>
          <w:sz w:val="28"/>
          <w:szCs w:val="28"/>
          <w:rtl w:val="true"/>
          <w:lang w:bidi="fa-IR"/>
        </w:rPr>
        <w:t xml:space="preserve">وهو أقوی؛ لدلالة الأخبار الصحیحة علیه </w:t>
      </w:r>
      <w:r>
        <w:rPr>
          <w:rStyle w:val="FootnoteAnchor"/>
          <w:rtl w:val="true"/>
        </w:rPr>
        <w:footnoteReference w:id="826"/>
      </w:r>
      <w:r>
        <w:rPr>
          <w:rFonts w:ascii="Amiri" w:hAnsi="Amiri" w:eastAsia="Amiri" w:cs="Amiri"/>
          <w:color w:val="111111"/>
          <w:sz w:val="28"/>
          <w:sz w:val="28"/>
          <w:szCs w:val="28"/>
          <w:rtl w:val="true"/>
          <w:lang w:bidi="ar-SA"/>
        </w:rPr>
        <w:t xml:space="preserve">وما ورد فی غیرها مُعّیناً </w:t>
      </w:r>
      <w:r>
        <w:rPr>
          <w:rStyle w:val="FootnoteAnchor"/>
          <w:rtl w:val="true"/>
        </w:rPr>
        <w:footnoteReference w:id="827"/>
      </w:r>
      <w:r>
        <w:rPr>
          <w:rFonts w:ascii="IRNazanin" w:hAnsi="IRNazanin" w:eastAsia="IRNazanin"/>
          <w:color w:val="111111"/>
          <w:sz w:val="28"/>
          <w:sz w:val="28"/>
          <w:szCs w:val="28"/>
          <w:rtl w:val="true"/>
          <w:lang w:bidi="fa-IR"/>
        </w:rPr>
        <w:t xml:space="preserve">غیر منافٍ له؛ لأنّه بعض أفراد الواجب الکلّی تخییراً، وبه یحصل الجمع بینهما </w:t>
      </w:r>
      <w:r>
        <w:rPr>
          <w:rStyle w:val="FootnoteAnchor"/>
          <w:rtl w:val="true"/>
        </w:rPr>
        <w:footnoteReference w:id="828"/>
      </w:r>
      <w:r>
        <w:rPr>
          <w:rFonts w:ascii="Amiri" w:hAnsi="Amiri" w:eastAsia="Amiri" w:cs="Amiri"/>
          <w:color w:val="111111"/>
          <w:sz w:val="28"/>
          <w:sz w:val="28"/>
          <w:szCs w:val="28"/>
          <w:rtl w:val="true"/>
          <w:lang w:bidi="ar-SA"/>
        </w:rPr>
        <w:t xml:space="preserve">بخلاف ما لو قیّدناه، وعلی تقدیر تعیّنه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أیضاً تخییراً لا عیناً؛ لخُلُوّ کثیرٍ من الأخبار عنه </w:t>
      </w:r>
      <w:r>
        <w:rPr>
          <w:rStyle w:val="FootnoteAnchor"/>
          <w:rtl w:val="true"/>
        </w:rPr>
        <w:footnoteReference w:id="829"/>
      </w:r>
      <w:r>
        <w:rPr>
          <w:rFonts w:ascii="IRNazanin" w:hAnsi="IRNazanin" w:eastAsia="IRNazanin"/>
          <w:color w:val="111111"/>
          <w:sz w:val="28"/>
          <w:sz w:val="28"/>
          <w:szCs w:val="28"/>
          <w:rtl w:val="true"/>
          <w:lang w:bidi="fa-IR"/>
        </w:rPr>
        <w:t>ومثله القول فی التسبیحة الکبری مع کون بعضها ذکراً تامّاً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تنزیهاً له عن النقائص، وهو منصوبٌ علی المصدر بمحذوفٍ من جنسه، ومتعلّق الجارّ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 المحذوف، والتقدیر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اللّٰه تسبیحاً وسبحاناً وسبّحته بحمده، أو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له،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Style w:val="FootnoteAnchor"/>
          <w:rtl w:val="true"/>
        </w:rPr>
        <w:footnoteReference w:id="83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والنعمة 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الرأس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هوی من غیر رفعٍ بطل مع التعمّد، واستدرَکَه مع 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حدّ لها </w:t>
      </w:r>
      <w:r>
        <w:rPr>
          <w:rStyle w:val="FootnoteAnchor"/>
          <w:rtl w:val="true"/>
        </w:rPr>
        <w:footnoteReference w:id="831"/>
      </w:r>
      <w:r>
        <w:rPr>
          <w:rFonts w:ascii="IRNazanin" w:hAnsi="IRNazanin" w:eastAsia="IRNazanin"/>
          <w:color w:val="111111"/>
          <w:sz w:val="28"/>
          <w:sz w:val="28"/>
          <w:szCs w:val="28"/>
          <w:rtl w:val="true"/>
          <w:lang w:bidi="fa-IR"/>
        </w:rPr>
        <w:t>، بل مسمّاها فما زاد، بحیث لا یخرج بها عن</w:t>
      </w:r>
    </w:p>
    <w:p>
      <w:pPr>
        <w:pStyle w:val="BookText"/>
        <w:rPr/>
      </w:pPr>
      <w:r>
        <w:rPr>
          <w:rFonts w:ascii="Amiri" w:hAnsi="Amiri" w:eastAsia="Amiri" w:cs="Amiri"/>
          <w:color w:val="111111"/>
          <w:sz w:val="28"/>
          <w:sz w:val="28"/>
          <w:szCs w:val="28"/>
          <w:rtl w:val="true"/>
          <w:lang w:bidi="ar-SA"/>
        </w:rPr>
        <w:t>کونه مصلّیاً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التثلیث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لا یبلغ السأم، فقد عُدّ علی الصادق علیه السلام ستّون تسبیحةً کبری </w:t>
      </w:r>
      <w:r>
        <w:rPr>
          <w:rStyle w:val="FootnoteAnchor"/>
          <w:rtl w:val="true"/>
        </w:rPr>
        <w:footnoteReference w:id="832"/>
      </w:r>
      <w:r>
        <w:rPr>
          <w:rFonts w:ascii="IRNazanin" w:hAnsi="IRNazanin" w:eastAsia="IRNazanin"/>
          <w:color w:val="111111"/>
          <w:sz w:val="28"/>
          <w:sz w:val="28"/>
          <w:szCs w:val="28"/>
          <w:rtl w:val="true"/>
          <w:lang w:bidi="fa-IR"/>
        </w:rPr>
        <w:t>إلّاأن یکون إماماً، فلا یزید علی الثلاث إلّامع حُبّ المأمومین الإطالة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کون الواجب مع الزیادة علی مرّةٍ الجمیع أو الأولی، ما مرّ فی تسبیح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یکون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أو سبعاً، أو ما زاد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الستّین لا ینافیه؛ لجواز الزیادة من غیر عدّ، أو بیان جواز المزدوج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أمامَ الذکر بالمنقول،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رکعت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وتسویةُ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Style w:val="FootnoteAnchor"/>
          <w:rtl w:val="true"/>
        </w:rPr>
        <w:footnoteReference w:id="834"/>
      </w:r>
      <w:r>
        <w:rPr>
          <w:rFonts w:ascii="Amiri" w:hAnsi="Amiri" w:eastAsia="Amiri" w:cs="Amiri"/>
          <w:color w:val="111111"/>
          <w:sz w:val="28"/>
          <w:sz w:val="28"/>
          <w:szCs w:val="28"/>
          <w:rtl w:val="true"/>
          <w:lang w:bidi="ar-SA"/>
        </w:rPr>
        <w:t>لو صُبَّ علیه ماءٌ لم یزل لاستوائه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مستحضراً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بک ولو ضَرَبتَ عُنُقی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والتجنیحُ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بالعضدین والمرفقین بأن یُخرجهما عن ملاصقة جنبیه فاتحاً إبطیه کالجناحین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الیدین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الذکر أجمع مالئاً کفّیه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والبَدءةُ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w:t>
      </w:r>
      <w:r>
        <w:rPr>
          <w:rFonts w:eastAsia="IRNazanin" w:cs="IRNazanin"/>
          <w:color w:val="111111"/>
          <w:sz w:val="28"/>
          <w:szCs w:val="28"/>
          <w:rtl w:val="true"/>
          <w:lang w:bidi="fa-IR"/>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حالةَ کونهما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w:t>
      </w:r>
    </w:p>
    <w:p>
      <w:pPr>
        <w:pStyle w:val="BookText"/>
        <w:rPr/>
      </w:pPr>
      <w:r>
        <w:rPr>
          <w:rFonts w:ascii="IRNazanin" w:hAnsi="IRNazanin" w:eastAsia="IRNazanin"/>
          <w:color w:val="111111"/>
          <w:sz w:val="28"/>
          <w:sz w:val="28"/>
          <w:szCs w:val="28"/>
          <w:rtl w:val="true"/>
          <w:lang w:bidi="fa-IR"/>
        </w:rPr>
        <w:t>مضمومتی الأصابع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والتکبیرُ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قبلَ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یدیه إلی حِذاء شَحْمَتی اُذُنیه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کغیره من التکبیرات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للّٰه‌ربّ العالمین</w:t>
      </w:r>
      <w:r>
        <w:rPr>
          <w:rFonts w:eastAsia="Amiri" w:cs="Amiri" w:ascii="Amiri" w:hAnsi="Amiri"/>
          <w:color w:val="111111"/>
          <w:sz w:val="28"/>
          <w:szCs w:val="28"/>
          <w:rtl w:val="true"/>
          <w:lang w:bidi="ar-SA"/>
        </w:rPr>
        <w:t xml:space="preserve">»» . . .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تضمیناً، ومن ثَمّ عدّاه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عدّاه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إِلَی اَلْمَلَإِ اَلْأَعْلیٰ</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لمّا ضمّنه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فأصل السماع متعدٍّ بنفسه، هو خبرٌ معناه الدعاء، لا ثناء علی الحامد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أن یرکع ویداه تحت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تکونان بارزتین أو فی کُمَّیه، نسبه المصنِّف فی الذکری إلی الأصحاب </w:t>
      </w:r>
      <w:r>
        <w:rPr>
          <w:rStyle w:val="FootnoteAnchor"/>
          <w:rtl w:val="true"/>
        </w:rPr>
        <w:footnoteReference w:id="840"/>
      </w:r>
      <w:r>
        <w:rPr>
          <w:rFonts w:ascii="Amiri" w:hAnsi="Amiri" w:eastAsia="Amiri" w:cs="Amiri"/>
          <w:color w:val="111111"/>
          <w:sz w:val="28"/>
          <w:sz w:val="28"/>
          <w:szCs w:val="28"/>
          <w:rtl w:val="true"/>
          <w:lang w:bidi="ar-SA"/>
        </w:rPr>
        <w:t xml:space="preserve">لعدم وقوفه علی نصٍّ فیه </w:t>
      </w:r>
      <w:r>
        <w:rPr>
          <w:rStyle w:val="FootnoteAnchor"/>
          <w:rtl w:val="true"/>
        </w:rPr>
        <w:footnoteReference w:id="8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تجب سجدتان </w:t>
      </w:r>
      <w:r>
        <w:rPr>
          <w:rStyle w:val="FootnoteAnchor"/>
          <w:rtl w:val="true"/>
        </w:rPr>
        <w:footnoteReference w:id="842"/>
      </w:r>
      <w:r>
        <w:rPr>
          <w:rFonts w:ascii="IRNazanin" w:hAnsi="IRNazanin" w:eastAsia="IRNazanin"/>
          <w:color w:val="111111"/>
          <w:sz w:val="28"/>
          <w:sz w:val="28"/>
          <w:szCs w:val="28"/>
          <w:rtl w:val="true"/>
          <w:lang w:bidi="fa-IR"/>
        </w:rPr>
        <w:t>علی الأعضاء السبعة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الجبهة والکفّین والرکبتین وإ بهامی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من کلٍّ منها مسمّاه حتی الجبهة علی</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مع ذلک من الانحناء إلی ما یساوی موقفه أو یزید علیه أو ینقص عنه بما لا یزید عن مقدار أربع أصابع مضمومةً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الثلاثة الصغری اختیاراً، أو مطلق الذکر اضطراراً، أو مطلقاً علی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یصیر جالساً، لا مطلق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الرفع بمسمّاه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المسمّاة بجلسة الاستراحة، استحباباً مؤکّداً، بل قیل بوجوبها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والزیادةُ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وترٍ، ودونه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سجدت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والتکبیرات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للسجدتین، إحداها بعد رفعه من الرکوع مطمئنّاً فیه، وثانیتها بعد رفعه من السجدة الاُولی جالساً مطمئنّاً، وثالثتها قبل الهُویّ إلی الثانیة کذلک، ورابعتها بعد رفعه منه معتدلاً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والتخویةُ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الذَکَر، إمّا فی الهُویّ إلیه بأن یسبق بیدیه ثمّ یهوی برکبتیه؛ لما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کان إذا سجد یتخوّی کما یتخوّی البعیر الضامر، یعنی بروکه</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أو بمعنی تجافی الأعضاء حالةَ السجود بأن یجنح</w:t>
      </w:r>
      <w:bookmarkStart w:id="256" w:name="pg19806_203439"/>
    </w:p>
    <w:p>
      <w:pPr>
        <w:pStyle w:val="BookText"/>
        <w:rPr/>
      </w:pPr>
      <w:bookmarkEnd w:id="256"/>
      <w:r>
        <w:rPr>
          <w:rFonts w:ascii="IRNazanin" w:hAnsi="IRNazanin" w:eastAsia="IRNazanin"/>
          <w:color w:val="111111"/>
          <w:sz w:val="28"/>
          <w:sz w:val="28"/>
          <w:szCs w:val="28"/>
          <w:rtl w:val="true"/>
          <w:lang w:bidi="fa-IR"/>
        </w:rPr>
        <w:t xml:space="preserve">بمرفقیه ویرفعهما عن الأرض ولا یفترشهما کافتراش الأسد، ویُسمّی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إلقاء الخُویّ بین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مستحبٌّ للرجل، دون المرأة، بل تسبق فی هُویّها برکبتیها وتبدأ بالقعود وتفترش ذراعیها حالتَه لأنّه أستر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الخنثی؛ لأنّه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الذکری سمّاهما تخویة </w:t>
      </w:r>
      <w:r>
        <w:rPr>
          <w:rStyle w:val="FootnoteAnchor"/>
          <w:rtl w:val="true"/>
        </w:rPr>
        <w:footnoteReference w:id="846"/>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والتورّک بین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یجلس علی ورکه الأیسر ویُخرجَ رجلیه جمیعاً من تحته جاعلاً رجله الیُسری علی الأرض وظاهرَ قدمِه الیُمنی علی باطن الیسری ویفضی بمقعدته إلی الأرض، هذا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الاُنثی فترفع رکبتیها وتضع باطنَ کفّیها علی فخذیها مضمومتی الأصابع</w:t>
      </w:r>
      <w:r>
        <w:rPr>
          <w:rFonts w:eastAsia="IRNazanin" w:cs="IRNazanin"/>
          <w:color w:val="111111"/>
          <w:sz w:val="28"/>
          <w:szCs w:val="28"/>
          <w:rtl w:val="true"/>
          <w:lang w:bidi="fa-IR"/>
        </w:rPr>
        <w:t>.</w:t>
      </w:r>
    </w:p>
    <w:p>
      <w:pPr>
        <w:pStyle w:val="Heading4"/>
        <w:numPr>
          <w:ilvl w:val="3"/>
          <w:numId w:val="1"/>
        </w:numPr>
        <w:rPr/>
      </w:pPr>
      <w:bookmarkStart w:id="257" w:name="__RefHeading___Toc2027895_2314609296"/>
      <w:bookmarkStart w:id="258" w:name="_Toc95"/>
      <w:bookmarkEnd w:id="257"/>
      <w:r>
        <w:rPr>
          <w:rtl w:val="true"/>
        </w:rPr>
        <w:t>«</w:t>
      </w:r>
      <w:r>
        <w:rPr>
          <w:rtl w:val="true"/>
        </w:rPr>
        <w:t>ثمّ یجب التشهّد عقیبَ</w:t>
      </w:r>
      <w:r>
        <w:rPr>
          <w:rtl w:val="true"/>
        </w:rPr>
        <w:t>»</w:t>
      </w:r>
      <w:bookmarkEnd w:id="258"/>
    </w:p>
    <w:p>
      <w:pPr>
        <w:pStyle w:val="BookText"/>
        <w:rPr/>
      </w:pP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تمامها القیام من السجدة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ثلاثیّةً أو رباعیّةً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شریک له، وأشهد أنّ محمّداً عبده ورسوله، اللهمّ صلّ علی محمّد وآل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وإطلاق التشهّد علی ما یشمل الصلاة علی محمّدٍ وآله إمّا تغلیبٌ أو حقیقةٌ شرعیّة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اختاره من صیغته أکملُها، وهی مجزئة بالإجماع، إلّاأ نّه غیر متعیّنٍ عند المصنّف، بل یجوز عنده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مع إضافة الرسول إلی المُظهَر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bookmarkStart w:id="259" w:name="pg19806_203440"/>
    </w:p>
    <w:p>
      <w:pPr>
        <w:pStyle w:val="BookText"/>
        <w:rPr/>
      </w:pPr>
      <w:bookmarkEnd w:id="259"/>
      <w:r>
        <w:rPr>
          <w:rFonts w:ascii="IRNazanin" w:hAnsi="IRNazanin" w:eastAsia="IRNazanin"/>
          <w:color w:val="111111"/>
          <w:sz w:val="28"/>
          <w:sz w:val="28"/>
          <w:szCs w:val="28"/>
          <w:rtl w:val="true"/>
          <w:lang w:bidi="fa-IR"/>
        </w:rPr>
        <w:t>وعلی هذا فما ذکر هنا یجب تخییراً، کزیادة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یرید انحصاره فیه؛ لدلالة النصّ الصحیح علیه </w:t>
      </w:r>
      <w:r>
        <w:rPr>
          <w:rStyle w:val="FootnoteAnchor"/>
          <w:rtl w:val="true"/>
        </w:rPr>
        <w:footnoteReference w:id="848"/>
      </w:r>
      <w:r>
        <w:rPr>
          <w:rFonts w:ascii="IRNazanin" w:hAnsi="IRNazanin" w:eastAsia="IRNazanin"/>
          <w:color w:val="111111"/>
          <w:sz w:val="28"/>
          <w:sz w:val="28"/>
          <w:szCs w:val="28"/>
          <w:rtl w:val="true"/>
          <w:lang w:bidi="fa-IR"/>
        </w:rPr>
        <w:t xml:space="preserve">وفی البیان تردّد فی وجوب ما حذفناه، ثمّ اختار وجوبه تخییراً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ویجب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مطمئنّاً بقدره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حالَته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والزیادة فی الثناء 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وفی أثنائه وبعده بالمنقول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2027897_2314609296"/>
      <w:bookmarkStart w:id="261" w:name="_Toc96"/>
      <w:bookmarkEnd w:id="260"/>
      <w:r>
        <w:rPr>
          <w:rtl w:val="true"/>
        </w:rPr>
        <w:t>«</w:t>
      </w:r>
      <w:r>
        <w:rPr>
          <w:rtl w:val="true"/>
        </w:rPr>
        <w:t>ثم یجب التسلیم</w:t>
      </w:r>
      <w:r>
        <w:rPr>
          <w:rtl w:val="true"/>
        </w:rPr>
        <w:t>»</w:t>
      </w:r>
      <w:bookmarkEnd w:id="261"/>
    </w:p>
    <w:p>
      <w:pPr>
        <w:pStyle w:val="BookText"/>
        <w:rPr/>
      </w:pPr>
      <w:r>
        <w:rPr>
          <w:rFonts w:ascii="IRNazanin" w:hAnsi="IRNazanin" w:eastAsia="IRNazanin"/>
          <w:color w:val="111111"/>
          <w:sz w:val="28"/>
          <w:sz w:val="28"/>
          <w:szCs w:val="28"/>
          <w:rtl w:val="true"/>
          <w:lang w:bidi="fa-IR"/>
        </w:rPr>
        <w:t xml:space="preserve">علی أجود القولین </w:t>
      </w:r>
      <w:r>
        <w:rPr>
          <w:rStyle w:val="FootnoteAnchor"/>
          <w:rtl w:val="true"/>
        </w:rPr>
        <w:footnoteReference w:id="851"/>
      </w:r>
      <w:r>
        <w:rPr>
          <w:rFonts w:ascii="IRNazanin" w:hAnsi="IRNazanin" w:eastAsia="IRNazanin"/>
          <w:color w:val="111111"/>
          <w:sz w:val="28"/>
          <w:sz w:val="28"/>
          <w:szCs w:val="28"/>
          <w:rtl w:val="true"/>
          <w:lang w:bidi="fa-IR"/>
        </w:rPr>
        <w:t xml:space="preserve">عنده </w:t>
      </w:r>
      <w:r>
        <w:rPr>
          <w:rStyle w:val="FootnoteAnchor"/>
          <w:rtl w:val="true"/>
        </w:rPr>
        <w:footnoteReference w:id="852"/>
      </w:r>
      <w:r>
        <w:rPr>
          <w:rFonts w:ascii="IRNazanin" w:hAnsi="IRNazanin" w:eastAsia="IRNazanin"/>
          <w:color w:val="111111"/>
          <w:sz w:val="28"/>
          <w:sz w:val="28"/>
          <w:szCs w:val="28"/>
          <w:rtl w:val="true"/>
          <w:lang w:bidi="fa-IR"/>
        </w:rPr>
        <w:t xml:space="preserve">وأحوطهما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عبارتان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أو 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مخیّراً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 یّهما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الواجب وخرج به من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 الآخر</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العبارة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الاجتزاء بها والخروج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من الصلاة دلّت الأخبار الکثیرة </w:t>
      </w:r>
      <w:r>
        <w:rPr>
          <w:rStyle w:val="FootnoteAnchor"/>
          <w:rtl w:val="true"/>
        </w:rPr>
        <w:footnoteReference w:id="854"/>
      </w: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فمخرِجةٌ بالإجماع، نقله</w:t>
      </w:r>
    </w:p>
    <w:p>
      <w:pPr>
        <w:pStyle w:val="BookText"/>
        <w:rPr/>
      </w:pPr>
      <w:r>
        <w:rPr>
          <w:rFonts w:ascii="Amiri" w:hAnsi="Amiri" w:eastAsia="Amiri" w:cs="Amiri"/>
          <w:color w:val="111111"/>
          <w:sz w:val="28"/>
          <w:sz w:val="28"/>
          <w:szCs w:val="28"/>
          <w:rtl w:val="true"/>
          <w:lang w:bidi="ar-SA"/>
        </w:rPr>
        <w:t xml:space="preserve">المصنّف </w:t>
      </w:r>
      <w:r>
        <w:rPr>
          <w:rStyle w:val="FootnoteAnchor"/>
          <w:rtl w:val="true"/>
        </w:rPr>
        <w:footnoteReference w:id="855"/>
      </w:r>
      <w:r>
        <w:rPr>
          <w:rFonts w:ascii="IRNazanin" w:hAnsi="IRNazanin" w:eastAsia="IRNazanin"/>
          <w:color w:val="111111"/>
          <w:sz w:val="28"/>
          <w:sz w:val="28"/>
          <w:szCs w:val="28"/>
          <w:rtl w:val="true"/>
          <w:lang w:bidi="fa-IR"/>
        </w:rPr>
        <w:t xml:space="preserve">وغیره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الأخبار تقدیم الأوّل مع التسلیم المستحبّ والخروج بالثانی </w:t>
      </w:r>
      <w:r>
        <w:rPr>
          <w:rStyle w:val="FootnoteAnchor"/>
          <w:rtl w:val="true"/>
        </w:rPr>
        <w:footnoteReference w:id="857"/>
      </w:r>
      <w:r>
        <w:rPr>
          <w:rFonts w:ascii="IRNazanin" w:hAnsi="IRNazanin" w:eastAsia="IRNazanin"/>
          <w:color w:val="111111"/>
          <w:sz w:val="28"/>
          <w:sz w:val="28"/>
          <w:szCs w:val="28"/>
          <w:rtl w:val="true"/>
          <w:lang w:bidi="fa-IR"/>
        </w:rPr>
        <w:t xml:space="preserve">وعلیه المصنّف فی الذکری والبیان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جعل الثانی مستحبّاً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دلیلٌ واضح، وقد اختلف فیه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فاختاره هنا وهو من </w:t>
      </w:r>
      <w:r>
        <w:rPr>
          <w:rStyle w:val="FootnoteAnchor"/>
          <w:rtl w:val="true"/>
        </w:rPr>
        <w:footnoteReference w:id="859"/>
      </w:r>
      <w:r>
        <w:rPr>
          <w:rFonts w:ascii="IRNazanin" w:hAnsi="IRNazanin" w:eastAsia="IRNazanin"/>
          <w:color w:val="111111"/>
          <w:sz w:val="28"/>
          <w:sz w:val="28"/>
          <w:szCs w:val="28"/>
          <w:rtl w:val="true"/>
          <w:lang w:bidi="fa-IR"/>
        </w:rPr>
        <w:t xml:space="preserve">آخر ما صنّفه، وفی الرسالة الألفیّة وهی من أوّله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البیان أنکره غایة الإنکار،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البحث عن الصیغة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وأوجبها بعض المتأخّرین وخیّر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الثانیة منهما مستحبّة، وارتکب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ذلک فی خبرٍ ولا مصنّفٍ، بل القائلون بوجوب التسلیم واستحبابه یجعلونها مقدّمة علیه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الذکری نقل وجوب الصیغتین تخییراً عن بعض المتأخّرین،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قویٌّ متین إلّاأ نّه لا قائل به من القدماء، وکیف یخفی علیهم مثله لو کان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الاحتیاط للدین الإتیان بالصیغتین جمیعاً بادئاً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بالعکس، فإنّه لم یأت به خبرٌ منقول ولا مصنّفٌ مشهور سوی ما فی بعض کتب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ویعتقد 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الصیغة الاُخری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جعله احتیاطاً قد أبطله فی الرسالة الألفیّة، فقال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الواجب جعل المُخرِج ما یقدّمه من إحدی العبارتین، فلو جعله الثانیة لم یجزئ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ذلک کلّه، فالأقوی الاجتزاء فی الخروج بکلّ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فی الأخبار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التسلیم المستحبّ، إلّاأ نّه لیس احتیاطاً کما ذکره فی الذکری؛ لما قد عرفت من حکمه بخلافه، فضلاً عن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فیه التورّک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 یماء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القبلة،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بمؤخّر عینیه عن یمینه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نقف علی مستنده، وإنّما النصّ </w:t>
      </w:r>
      <w:r>
        <w:rPr>
          <w:rStyle w:val="FootnoteAnchor"/>
          <w:rtl w:val="true"/>
        </w:rPr>
        <w:footnoteReference w:id="864"/>
      </w:r>
      <w:r>
        <w:rPr>
          <w:rFonts w:ascii="IRNazanin" w:hAnsi="IRNazanin" w:eastAsia="IRNazanin"/>
          <w:color w:val="111111"/>
          <w:sz w:val="28"/>
          <w:sz w:val="28"/>
          <w:szCs w:val="28"/>
          <w:rtl w:val="true"/>
          <w:lang w:bidi="fa-IR"/>
        </w:rPr>
        <w:t xml:space="preserve">والفتوی علی کونه إلی القبلة بغیر إیماءٍ، وفی الذکری ادّعی الإجماع علی نفی الإ یماء إلی القبلة بالصیغتین </w:t>
      </w:r>
      <w:r>
        <w:rPr>
          <w:rStyle w:val="FootnoteAnchor"/>
          <w:rtl w:val="true"/>
        </w:rPr>
        <w:footnoteReference w:id="865"/>
      </w:r>
      <w:r>
        <w:rPr>
          <w:rFonts w:ascii="IRNazanin" w:hAnsi="IRNazanin" w:eastAsia="IRNazanin"/>
          <w:color w:val="111111"/>
          <w:sz w:val="28"/>
          <w:sz w:val="28"/>
          <w:szCs w:val="28"/>
          <w:rtl w:val="true"/>
          <w:lang w:bidi="fa-IR"/>
        </w:rPr>
        <w:t xml:space="preserve">وقد أثبته هنا وفی الرسالة النفلیّة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الشیخ </w:t>
      </w:r>
      <w:r>
        <w:rPr>
          <w:rStyle w:val="FootnoteAnchor"/>
          <w:rtl w:val="true"/>
        </w:rPr>
        <w:footnoteReference w:id="867"/>
      </w:r>
      <w:r>
        <w:rPr>
          <w:rFonts w:ascii="IRNazanin" w:hAnsi="IRNazanin" w:eastAsia="IRNazanin"/>
          <w:color w:val="111111"/>
          <w:sz w:val="28"/>
          <w:sz w:val="28"/>
          <w:szCs w:val="28"/>
          <w:rtl w:val="true"/>
          <w:lang w:bidi="fa-IR"/>
        </w:rPr>
        <w:t xml:space="preserve">وتبعه علیه الجماعة </w:t>
      </w:r>
      <w:r>
        <w:rPr>
          <w:rStyle w:val="FootnoteAnchor"/>
          <w:rtl w:val="true"/>
        </w:rPr>
        <w:footnoteReference w:id="868"/>
      </w:r>
      <w:r>
        <w:rPr>
          <w:rFonts w:ascii="IRNazanin" w:hAnsi="IRNazanin" w:eastAsia="IRNazanin"/>
          <w:color w:val="111111"/>
          <w:sz w:val="28"/>
          <w:sz w:val="28"/>
          <w:szCs w:val="28"/>
          <w:rtl w:val="true"/>
          <w:lang w:bidi="fa-IR"/>
        </w:rPr>
        <w:t>واستدلّوا علیه</w:t>
      </w:r>
    </w:p>
    <w:p>
      <w:pPr>
        <w:pStyle w:val="BookText"/>
        <w:rPr/>
      </w:pPr>
      <w:r>
        <w:rPr>
          <w:rFonts w:ascii="IRNazanin" w:hAnsi="IRNazanin" w:eastAsia="IRNazanin"/>
          <w:color w:val="111111"/>
          <w:sz w:val="28"/>
          <w:sz w:val="28"/>
          <w:szCs w:val="28"/>
          <w:rtl w:val="true"/>
          <w:lang w:bidi="fa-IR"/>
        </w:rPr>
        <w:t xml:space="preserve">بما لا یفیده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بصفحة وجهه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 نّه یبتدئ به إلی القبلة ثمّ یشیر بباقیه إلی الیمین بوجهه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والمأموم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یومئ إلی یمینه بصفحة وجهه کالإمام مقتصراً علی تسلیمةٍ واحدةٍ إن لم یکن علی یساره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علی یساره أحدٌ سلّم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ابنا بابویه الحائط کافیاً فی استحباب التسلیمتین للمأموم </w:t>
      </w:r>
      <w:r>
        <w:rPr>
          <w:rStyle w:val="FootnoteAnchor"/>
          <w:rtl w:val="true"/>
        </w:rPr>
        <w:footnoteReference w:id="870"/>
      </w:r>
      <w:r>
        <w:rPr>
          <w:rFonts w:ascii="IRNazanin" w:hAnsi="IRNazanin" w:eastAsia="IRNazanin"/>
          <w:color w:val="111111"/>
          <w:sz w:val="28"/>
          <w:sz w:val="28"/>
          <w:szCs w:val="28"/>
          <w:rtl w:val="true"/>
          <w:lang w:bidi="fa-IR"/>
        </w:rPr>
        <w:t>والکلام فیه وفی الإ یماء بالصفحة کالإ یماء بمؤخّرِ العین من عدم الدلالة علیه ظاهراً، لکنّه مشهورٌ بین الأصحاب لا رادّ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ولیقصد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الخطاب فی تسلیمه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والملائکةَ والأئمّةَ والمسلمین من 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یُحضرهم بباله ویخاطبهم به، وإلّا کان تسلیمه بصیغة الخطاب لغواً وإن کان مُخرِجاً عن العهدة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داخلٌ فیمن حیّاه، بل یُستحبّ للإمام قصد المأمومین به علی الخصوص مضافاً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وظیفة المأموم التسلیم مرّتین فلیقصد بالاُولی الردّ علی الإمام وبالثانیة مقصده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السلام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الواجب،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 یّها النبیّ ورَحمة اللّٰه وبرکاته، السلام علی أنبیاء اللّٰه ورسله، السلام علی جبرئیلَ ومیکائیلَ والملائکة المقرّبین، السلام علی محمّد بن عبد اللّٰه خاتم النبیّین لا نبیَّ بعدَه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bookmarkStart w:id="262" w:name="pg19806_203445"/>
    </w:p>
    <w:p>
      <w:pPr>
        <w:pStyle w:val="Heading3"/>
        <w:numPr>
          <w:ilvl w:val="2"/>
          <w:numId w:val="1"/>
        </w:numPr>
        <w:rPr/>
      </w:pPr>
      <w:bookmarkStart w:id="263" w:name="__RefHeading___Toc2027899_2314609296"/>
      <w:bookmarkStart w:id="264" w:name="_Toc97"/>
      <w:bookmarkEnd w:id="262"/>
      <w:bookmarkEnd w:id="263"/>
      <w:r>
        <w:rPr>
          <w:rtl w:val="true"/>
        </w:rPr>
        <w:t>«</w:t>
      </w:r>
      <w:r>
        <w:rPr>
          <w:rtl w:val="true"/>
        </w:rPr>
        <w:t>الفصل الرابع</w:t>
      </w:r>
      <w:r>
        <w:rPr>
          <w:rtl w:val="true"/>
        </w:rPr>
        <w:t>» «</w:t>
      </w:r>
      <w:r>
        <w:rPr>
          <w:rtl w:val="true"/>
        </w:rPr>
        <w:t>فی باقی مستحبّاتها</w:t>
      </w:r>
      <w:r>
        <w:rPr>
          <w:rtl w:val="true"/>
        </w:rPr>
        <w:t>»</w:t>
      </w:r>
      <w:bookmarkEnd w:id="264"/>
    </w:p>
    <w:p>
      <w:pPr>
        <w:pStyle w:val="BookText"/>
        <w:rPr/>
      </w:pPr>
      <w:r>
        <w:rPr>
          <w:rFonts w:ascii="IRNazanin" w:hAnsi="IRNazanin" w:eastAsia="IRNazanin"/>
          <w:color w:val="111111"/>
          <w:sz w:val="28"/>
          <w:sz w:val="28"/>
          <w:szCs w:val="28"/>
          <w:rtl w:val="true"/>
          <w:lang w:bidi="fa-IR"/>
        </w:rPr>
        <w:t xml:space="preserve">قد ذکر فی تضاعیفها </w:t>
      </w:r>
      <w:r>
        <w:rPr>
          <w:rStyle w:val="FootnoteAnchor"/>
          <w:rtl w:val="true"/>
        </w:rPr>
        <w:footnoteReference w:id="872"/>
      </w:r>
      <w:r>
        <w:rPr>
          <w:rFonts w:ascii="IRNazanin" w:hAnsi="IRNazanin" w:eastAsia="IRNazanin"/>
          <w:color w:val="111111"/>
          <w:sz w:val="28"/>
          <w:sz w:val="28"/>
          <w:szCs w:val="28"/>
          <w:rtl w:val="true"/>
          <w:lang w:bidi="fa-IR"/>
        </w:rPr>
        <w:t xml:space="preserve">وقبلها جملةً منها، وبقی جملةٌ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بتبیین حروفه وإظهارها شافیاً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الیدین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حِذاء شَحمتی اُذُنیه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تکبیر الرکوع، ولقد کان بیانه فی تکبیر الإحرام أولی منه فیه؛ لأنّه أوّلها، والقول بوجوبه فیه </w:t>
      </w:r>
      <w:r>
        <w:rPr>
          <w:rStyle w:val="FootnoteAnchor"/>
          <w:rtl w:val="true"/>
        </w:rPr>
        <w:footnoteReference w:id="873"/>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القبلة ببطون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الأصابع مبسوطةَ الإ بهامین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القولین،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یضمّهما إلیها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مبتدئاً به عند ابتداء الرفع وبالوضع عند انتهائه علی أصحّ الأقوال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والتوجّهُ بستّ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الصلاة قبل تکبیرة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بعدها أو بالتفریق فی کلّ صلاةٍ فرضٍ أو </w:t>
      </w:r>
      <w:r>
        <w:rPr>
          <w:rStyle w:val="FootnoteAnchor"/>
          <w:rtl w:val="true"/>
        </w:rPr>
        <w:footnoteReference w:id="876"/>
      </w:r>
      <w:r>
        <w:rPr>
          <w:rFonts w:ascii="Amiri" w:hAnsi="Amiri" w:eastAsia="Amiri" w:cs="Amiri"/>
          <w:color w:val="111111"/>
          <w:sz w:val="28"/>
          <w:sz w:val="28"/>
          <w:szCs w:val="28"/>
          <w:rtl w:val="true"/>
          <w:lang w:bidi="ar-SA"/>
        </w:rPr>
        <w:t xml:space="preserve">نفلٍ علی الأقوی، سرّاً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یُکبِّر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الملک الحقّ لا إله إلّا أنت</w:t>
      </w:r>
      <w:r>
        <w:rPr>
          <w:rFonts w:eastAsia="Amiri" w:cs="Amiri" w:ascii="Amiri" w:hAnsi="Amiri"/>
          <w:color w:val="111111"/>
          <w:sz w:val="28"/>
          <w:szCs w:val="28"/>
          <w:rtl w:val="true"/>
          <w:lang w:bidi="ar-SA"/>
        </w:rPr>
        <w:t xml:space="preserve">. . .»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واثنتین ویدعو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وسعدیک</w:t>
      </w:r>
      <w:r>
        <w:rPr>
          <w:rFonts w:eastAsia="IRNazanin" w:cs="IRNazanin"/>
          <w:color w:val="111111"/>
          <w:sz w:val="28"/>
          <w:szCs w:val="28"/>
          <w:rtl w:val="true"/>
          <w:lang w:bidi="fa-IR"/>
        </w:rPr>
        <w:t xml:space="preserve">. . .»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وواحدةً ویدعو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أتاک المسیءُ</w:t>
      </w:r>
      <w:r>
        <w:rPr>
          <w:rFonts w:eastAsia="IRNazanin" w:cs="IRNazanin"/>
          <w:color w:val="111111"/>
          <w:sz w:val="28"/>
          <w:szCs w:val="28"/>
          <w:rtl w:val="true"/>
          <w:lang w:bidi="fa-IR"/>
        </w:rPr>
        <w:t xml:space="preserve">. . .» </w:t>
      </w:r>
      <w:r>
        <w:rPr>
          <w:rStyle w:val="FootnoteAnchor"/>
          <w:rtl w:val="true"/>
        </w:rPr>
        <w:footnoteReference w:id="879"/>
      </w:r>
      <w:r>
        <w:rPr>
          <w:rFonts w:ascii="IRNazanin" w:hAnsi="IRNazanin" w:eastAsia="IRNazanin"/>
          <w:color w:val="111111"/>
          <w:sz w:val="28"/>
          <w:sz w:val="28"/>
          <w:szCs w:val="28"/>
          <w:rtl w:val="true"/>
          <w:lang w:bidi="fa-IR"/>
        </w:rPr>
        <w:t xml:space="preserve">ورُوی أ نّه یجعل هذا الدعاء قبل التکبیرات </w:t>
      </w:r>
      <w:r>
        <w:rPr>
          <w:rStyle w:val="FootnoteAnchor"/>
          <w:rtl w:val="true"/>
        </w:rPr>
        <w:footnoteReference w:id="880"/>
      </w:r>
      <w:r>
        <w:rPr>
          <w:rFonts w:ascii="IRNazanin" w:hAnsi="IRNazanin" w:eastAsia="IRNazanin"/>
          <w:color w:val="111111"/>
          <w:sz w:val="28"/>
          <w:sz w:val="28"/>
          <w:szCs w:val="28"/>
          <w:rtl w:val="true"/>
          <w:lang w:bidi="fa-IR"/>
        </w:rPr>
        <w:t xml:space="preserve">، فلا </w:t>
      </w:r>
      <w:r>
        <w:rPr>
          <w:rStyle w:val="FootnoteAnchor"/>
          <w:rtl w:val="true"/>
        </w:rPr>
        <w:footnoteReference w:id="881"/>
      </w:r>
      <w:r>
        <w:rPr>
          <w:rFonts w:ascii="IRNazanin" w:hAnsi="IRNazanin" w:eastAsia="IRNazanin"/>
          <w:color w:val="111111"/>
          <w:sz w:val="28"/>
          <w:sz w:val="28"/>
          <w:szCs w:val="28"/>
          <w:rtl w:val="true"/>
          <w:lang w:bidi="fa-IR"/>
        </w:rPr>
        <w:t xml:space="preserve">یدعو بعد السادسة، وعلیه المصنّف فی الذکری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نقله 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والدروس والنفلیّة </w:t>
      </w:r>
      <w:r>
        <w:rPr>
          <w:rStyle w:val="FootnoteAnchor"/>
          <w:rtl w:val="true"/>
        </w:rPr>
        <w:footnoteReference w:id="883"/>
      </w:r>
      <w:r>
        <w:rPr>
          <w:rFonts w:ascii="IRNazanin" w:hAnsi="IRNazanin" w:eastAsia="IRNazanin"/>
          <w:color w:val="111111"/>
          <w:sz w:val="28"/>
          <w:sz w:val="28"/>
          <w:szCs w:val="28"/>
          <w:rtl w:val="true"/>
          <w:lang w:bidi="fa-IR"/>
        </w:rPr>
        <w:t xml:space="preserve">وفی البیان کما هنا </w:t>
      </w:r>
      <w:r>
        <w:rPr>
          <w:rStyle w:val="FootnoteAnchor"/>
          <w:rtl w:val="true"/>
        </w:rPr>
        <w:footnoteReference w:id="884"/>
      </w:r>
      <w:r>
        <w:rPr>
          <w:rFonts w:ascii="Amiri" w:hAnsi="Amiri" w:eastAsia="Amiri" w:cs="Amiri"/>
          <w:color w:val="111111"/>
          <w:sz w:val="28"/>
          <w:sz w:val="28"/>
          <w:szCs w:val="28"/>
          <w:rtl w:val="true"/>
          <w:lang w:bidi="ar-SA"/>
        </w:rPr>
        <w:t>والکلّ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جعلُها ولاءً من غیر دعاءٍ بینها </w:t>
      </w:r>
      <w:r>
        <w:rPr>
          <w:rStyle w:val="FootnoteAnchor"/>
          <w:rtl w:val="true"/>
        </w:rPr>
        <w:footnoteReference w:id="885"/>
      </w:r>
      <w:r>
        <w:rPr>
          <w:rFonts w:ascii="IRNazanin" w:hAnsi="IRNazanin" w:eastAsia="IRNazanin"/>
          <w:color w:val="111111"/>
          <w:sz w:val="28"/>
          <w:sz w:val="28"/>
          <w:szCs w:val="28"/>
          <w:rtl w:val="true"/>
          <w:lang w:bidi="fa-IR"/>
        </w:rPr>
        <w:t xml:space="preserve">والاقتصار علی خمس </w:t>
      </w:r>
      <w:r>
        <w:rPr>
          <w:rStyle w:val="FootnoteAnchor"/>
          <w:rtl w:val="true"/>
        </w:rPr>
        <w:footnoteReference w:id="886"/>
      </w:r>
      <w:r>
        <w:rPr>
          <w:rFonts w:ascii="IRNazanin" w:hAnsi="IRNazanin" w:eastAsia="IRNazanin"/>
          <w:color w:val="111111"/>
          <w:sz w:val="28"/>
          <w:sz w:val="28"/>
          <w:szCs w:val="28"/>
          <w:rtl w:val="true"/>
          <w:lang w:bidi="fa-IR"/>
        </w:rPr>
        <w:t xml:space="preserve">وثلاث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بدعاء التوجّه،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التحریمة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 فعلها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وتربُّعُ المصلّی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لعجزٍ أو لکونها نافلة، بأن یجلس علی ألییه وینصب ساقیه ورکبتیه </w:t>
      </w:r>
      <w:r>
        <w:rPr>
          <w:rStyle w:val="FootnoteAnchor"/>
          <w:rtl w:val="true"/>
        </w:rPr>
        <w:footnoteReference w:id="889"/>
      </w:r>
      <w:r>
        <w:rPr>
          <w:rFonts w:ascii="IRNazanin" w:hAnsi="IRNazanin" w:eastAsia="IRNazanin"/>
          <w:color w:val="111111"/>
          <w:sz w:val="28"/>
          <w:sz w:val="28"/>
          <w:szCs w:val="28"/>
          <w:rtl w:val="true"/>
          <w:lang w:bidi="fa-IR"/>
        </w:rPr>
        <w:t xml:space="preserve">کما تجلس المرأة متشهّدةً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قراءته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وثَنْیُ رجلیه حال رکوعه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بأن یَمُدَّهما ویُخرجَهما من ورائه، رافعاً الییه عن عقبیه، مُجافیاً فخذیه عن طَیّة رُکبتیه، منحنیاًقدر ما یُحاذی وجهه ما قدّام رُکبتیه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وتورُّکُه حالَ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یجلس علی وَرِکه الأیسر کما تقدّم، فإنّه مشترک بین المصلّی قائماً وجالساً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قائماً إلی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تحدیق </w:t>
      </w:r>
      <w:r>
        <w:rPr>
          <w:rStyle w:val="FootnoteAnchor"/>
          <w:rtl w:val="true"/>
        </w:rPr>
        <w:footnoteReference w:id="890"/>
      </w:r>
      <w:r>
        <w:rPr>
          <w:rFonts w:ascii="Amiri" w:hAnsi="Amiri" w:eastAsia="Amiri" w:cs="Amiri"/>
          <w:color w:val="111111"/>
          <w:sz w:val="28"/>
          <w:sz w:val="28"/>
          <w:szCs w:val="28"/>
          <w:rtl w:val="true"/>
          <w:lang w:bidi="ar-SA"/>
        </w:rPr>
        <w:t xml:space="preserve">بل خاشعاً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وراکعاً إلی ما بین رجلیه، وساجداً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أنفه، ومتشهّداً إلی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مرویّ </w:t>
      </w:r>
      <w:r>
        <w:rPr>
          <w:rStyle w:val="FootnoteAnchor"/>
          <w:rtl w:val="true"/>
        </w:rPr>
        <w:footnoteReference w:id="891"/>
      </w:r>
      <w:r>
        <w:rPr>
          <w:rFonts w:ascii="Amiri" w:hAnsi="Amiri" w:eastAsia="Amiri" w:cs="Amiri"/>
          <w:color w:val="111111"/>
          <w:sz w:val="28"/>
          <w:sz w:val="28"/>
          <w:szCs w:val="28"/>
          <w:rtl w:val="true"/>
          <w:lang w:bidi="ar-SA"/>
        </w:rPr>
        <w:t xml:space="preserve">إلّاالأخیر </w:t>
      </w:r>
      <w:r>
        <w:rPr>
          <w:rStyle w:val="FootnoteAnchor"/>
          <w:rtl w:val="true"/>
        </w:rPr>
        <w:footnoteReference w:id="892"/>
      </w:r>
      <w:r>
        <w:rPr>
          <w:rFonts w:ascii="IRNazanin" w:hAnsi="IRNazanin" w:eastAsia="IRNazanin"/>
          <w:color w:val="111111"/>
          <w:sz w:val="28"/>
          <w:sz w:val="28"/>
          <w:szCs w:val="28"/>
          <w:rtl w:val="true"/>
          <w:lang w:bidi="fa-IR"/>
        </w:rPr>
        <w:t xml:space="preserve">فذکره الأصحاب </w:t>
      </w:r>
      <w:r>
        <w:rPr>
          <w:rStyle w:val="FootnoteAnchor"/>
          <w:rtl w:val="true"/>
        </w:rPr>
        <w:footnoteReference w:id="893"/>
      </w:r>
      <w:r>
        <w:rPr>
          <w:rFonts w:ascii="IRNazanin" w:hAnsi="IRNazanin" w:eastAsia="IRNazanin"/>
          <w:color w:val="111111"/>
          <w:sz w:val="28"/>
          <w:sz w:val="28"/>
          <w:szCs w:val="28"/>
          <w:rtl w:val="true"/>
          <w:lang w:bidi="fa-IR"/>
        </w:rPr>
        <w:t>ولم نقف علی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مانع من</w:t>
      </w:r>
    </w:p>
    <w:p>
      <w:pPr>
        <w:pStyle w:val="BookText"/>
        <w:rPr/>
      </w:pPr>
      <w:r>
        <w:rPr>
          <w:rFonts w:ascii="IRNazanin" w:hAnsi="IRNazanin" w:eastAsia="IRNazanin"/>
          <w:color w:val="111111"/>
          <w:sz w:val="28"/>
          <w:sz w:val="28"/>
          <w:szCs w:val="28"/>
          <w:rtl w:val="true"/>
          <w:lang w:bidi="fa-IR"/>
        </w:rPr>
        <w:t>النظر إلی ما یشغل القلبَ، ففیه مناسبةٌ کغیره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الیدین قائماً علی فخذیه بحذاء رُکبتیه، مضمومة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الإ 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وراکعاً علی عینی رکبتیه، الأصابع والإ بهام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لبسط الإ بهام والأصابع، وهی مؤنّثة سماعیّة، فلذلک أکّدها بما یؤکّد به جمع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 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الإ بهام </w:t>
      </w:r>
      <w:r>
        <w:rPr>
          <w:rStyle w:val="FootnoteAnchor"/>
          <w:rtl w:val="true"/>
        </w:rPr>
        <w:footnoteReference w:id="894"/>
      </w:r>
      <w:r>
        <w:rPr>
          <w:rFonts w:ascii="IRNazanin" w:hAnsi="IRNazanin" w:eastAsia="IRNazanin"/>
          <w:color w:val="111111"/>
          <w:sz w:val="28"/>
          <w:sz w:val="28"/>
          <w:szCs w:val="28"/>
          <w:rtl w:val="true"/>
          <w:lang w:bidi="fa-IR"/>
        </w:rPr>
        <w:t xml:space="preserve">وهو تخصیصٌ بعد التعمیم؛ لأنّها إحدی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وساجداً بحذاء اُذُنیه، ومتشهّداً وجالساً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فخذیه کهیئة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کونها مضمومة الأصابع بحذاء الرکبتین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مؤکّداً، بل قیل بوجوبه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قراءة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الیومیّة مطلقاً وفی غیرها، عدا الجمعة ففیها قنوتان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الاُولی قبلَ الرکوع والآخر فی الثانیة بعده، والوتر ففیها قنوتان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الرکوع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فعل القنوت مطلقاً قبلَ الرکوع وبعده </w:t>
      </w:r>
      <w:r>
        <w:rPr>
          <w:rStyle w:val="FootnoteAnchor"/>
          <w:rtl w:val="true"/>
        </w:rPr>
        <w:footnoteReference w:id="896"/>
      </w:r>
      <w:r>
        <w:rPr>
          <w:rFonts w:ascii="IRNazanin" w:hAnsi="IRNazanin" w:eastAsia="IRNazanin"/>
          <w:color w:val="111111"/>
          <w:sz w:val="28"/>
          <w:sz w:val="28"/>
          <w:szCs w:val="28"/>
          <w:rtl w:val="true"/>
          <w:lang w:bidi="fa-IR"/>
        </w:rPr>
        <w:t xml:space="preserve">وهو حسنٌ؛ للخبر </w:t>
      </w:r>
      <w:r>
        <w:rPr>
          <w:rStyle w:val="FootnoteAnchor"/>
          <w:rtl w:val="true"/>
        </w:rPr>
        <w:footnoteReference w:id="897"/>
      </w:r>
      <w:r>
        <w:rPr>
          <w:rFonts w:ascii="Amiri" w:hAnsi="Amiri" w:eastAsia="Amiri" w:cs="Amiri"/>
          <w:color w:val="111111"/>
          <w:sz w:val="28"/>
          <w:sz w:val="28"/>
          <w:szCs w:val="28"/>
          <w:rtl w:val="true"/>
          <w:lang w:bidi="ar-SA"/>
        </w:rPr>
        <w:t>وحملُهُ علی التقیّة ضعیفٌ؛ لأنّ العامّة لا یقولون بالتخییر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الأفضل، ویجوز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 کلمات الفرج</w:t>
      </w:r>
      <w:r>
        <w:rPr>
          <w:rFonts w:eastAsia="IRNazanin" w:cs="IRNazanin"/>
          <w:color w:val="111111"/>
          <w:sz w:val="28"/>
          <w:szCs w:val="28"/>
          <w:rtl w:val="true"/>
          <w:lang w:bidi="fa-IR"/>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وارحمنا وعافِنا واعفُ عنّا فی الدنیا والآخرة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 سبحان اللّٰه ثلاثاً أو خمساً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ویستحبّ رفعُ الیدین به موازیاً لوجهه، بطونهما إلی السماء مضمومتی الأصابع إلّاالإ بهامین، والجهرُ به للإمام والمنفرد، والسرُّ للمأموم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ویفعله الناسی قبلَ الرکوع بعدَه وإن قلنا بتعیّنه قبله اختیاراً، فإن لم یذکره حتّی تجاوز قضاه بعد الصلاة جالساً، ثمّ فی الطریق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ویتابع المأمومُ إمامَه فیه وإن کان مسبوقاً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ولیدعُ فیه وفی أحوال الصلاة لدینه ودُنیاه من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هنا مطلق الجائز، وهو غیر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بتحریمه وإن جهل الحکم الوضعی وهو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جاهلُ تحریمه ففی عذره وجهان، أجودهما العدم، صرّح به فی الذکری </w:t>
      </w:r>
      <w:r>
        <w:rPr>
          <w:rStyle w:val="FootnoteAnchor"/>
          <w:rtl w:val="true"/>
        </w:rPr>
        <w:footnoteReference w:id="900"/>
      </w:r>
      <w:r>
        <w:rPr>
          <w:rFonts w:ascii="IRNazanin" w:hAnsi="IRNazanin" w:eastAsia="IRNazanin"/>
          <w:color w:val="111111"/>
          <w:sz w:val="28"/>
          <w:sz w:val="28"/>
          <w:szCs w:val="28"/>
          <w:rtl w:val="true"/>
          <w:lang w:bidi="fa-IR"/>
        </w:rPr>
        <w:t>وهو ظاهر الإطلاق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الاشتغال عقیبَ الصلاة بدعاءٍ أو ذکر، وهو غیر منحصر لکثرة ما ورد منه عن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 التکبیر ثلاثاً 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یدیه إلی حذاء اُذنیه، واضعاً لهما علی رکبتیه أو قریباً منهما مستقبلاً بباطنهما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التهلیل بالمرسوم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إلهاً واحداً ونحن له مسلمون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تسبیح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وتعقیبها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الرتبة لا الفضیلة، وإلّا فهی أفضله مطلقاً، بل روی أ نّها </w:t>
      </w:r>
      <w:r>
        <w:rPr>
          <w:rStyle w:val="FootnoteAnchor"/>
          <w:rtl w:val="true"/>
        </w:rPr>
        <w:footnoteReference w:id="902"/>
      </w:r>
      <w:r>
        <w:rPr>
          <w:rFonts w:ascii="IRNazanin" w:hAnsi="IRNazanin" w:eastAsia="IRNazanin"/>
          <w:color w:val="111111"/>
          <w:sz w:val="28"/>
          <w:sz w:val="28"/>
          <w:szCs w:val="28"/>
          <w:rtl w:val="true"/>
          <w:lang w:bidi="fa-IR"/>
        </w:rPr>
        <w:t xml:space="preserve">أفضل من ألف رکعة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لا تسبیحَ عَقِبَها </w:t>
      </w:r>
      <w:r>
        <w:rPr>
          <w:rStyle w:val="FootnoteAnchor"/>
          <w:rtl w:val="true"/>
        </w:rPr>
        <w:footnoteReference w:id="904"/>
      </w:r>
      <w:r>
        <w:rPr>
          <w:rFonts w:ascii="Amiri" w:hAnsi="Amiri" w:eastAsia="Amiri" w:cs="Amiri"/>
          <w:color w:val="111111"/>
          <w:sz w:val="28"/>
          <w:sz w:val="28"/>
          <w:szCs w:val="28"/>
          <w:rtl w:val="true"/>
          <w:lang w:bidi="ar-SA"/>
        </w:rPr>
        <w:t xml:space="preserve">، وکیفیّتها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یکبّر أربعاً وثلاثین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ویحمّد ثلاثاً وثلاثین، ویسبّح ثلاثاً وثلاثین</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بالمنقول </w:t>
      </w:r>
      <w:r>
        <w:rPr>
          <w:rStyle w:val="FootnoteAnchor"/>
          <w:rtl w:val="true"/>
        </w:rPr>
        <w:footnoteReference w:id="906"/>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سَنَح</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سجدتا الشکر، ویعفِّر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جبینیه وخدّیه الأیمن منهما ثمّ الأیسر، مفترشاً ذراعیه وصدره وبطنه، واضعاً جبهته مکانها حالَ الصلاة، قائلاً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مرّة، وفی کلّ 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للمجیب</w:t>
      </w:r>
      <w:r>
        <w:rPr>
          <w:rFonts w:eastAsia="IRNazanin" w:cs="IRNazanin"/>
          <w:color w:val="111111"/>
          <w:sz w:val="28"/>
          <w:szCs w:val="28"/>
          <w:rtl w:val="true"/>
          <w:lang w:bidi="fa-IR"/>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ودونَه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w:t>
      </w:r>
      <w:r>
        <w:rPr>
          <w:rStyle w:val="FootnoteAnchor"/>
          <w:rtl w:val="true"/>
        </w:rPr>
        <w:footnoteReference w:id="908"/>
      </w:r>
      <w:r>
        <w:rPr>
          <w:rFonts w:ascii="Amiri" w:hAnsi="Amiri" w:eastAsia="Amiri" w:cs="Amiri"/>
          <w:color w:val="111111"/>
          <w:sz w:val="28"/>
          <w:sz w:val="28"/>
          <w:szCs w:val="28"/>
          <w:rtl w:val="true"/>
          <w:lang w:bidi="ar-SA"/>
        </w:rPr>
        <w:t xml:space="preserve">وأقلّه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وبعدهما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بالمرسوم</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bookmarkStart w:id="265" w:name="pg19806_203451"/>
    </w:p>
    <w:p>
      <w:pPr>
        <w:pStyle w:val="Heading3"/>
        <w:numPr>
          <w:ilvl w:val="2"/>
          <w:numId w:val="1"/>
        </w:numPr>
        <w:rPr/>
      </w:pPr>
      <w:bookmarkStart w:id="266" w:name="__RefHeading___Toc2027901_2314609296"/>
      <w:bookmarkStart w:id="267" w:name="_Toc98"/>
      <w:bookmarkEnd w:id="265"/>
      <w:bookmarkEnd w:id="266"/>
      <w:r>
        <w:rPr>
          <w:rtl w:val="true"/>
        </w:rPr>
        <w:t>«</w:t>
      </w:r>
      <w:r>
        <w:rPr>
          <w:rtl w:val="true"/>
        </w:rPr>
        <w:t>الفصل الخامس</w:t>
      </w:r>
      <w:r>
        <w:rPr>
          <w:rtl w:val="true"/>
        </w:rPr>
        <w:t>» «</w:t>
      </w:r>
      <w:r>
        <w:rPr>
          <w:rtl w:val="true"/>
        </w:rPr>
        <w:t>فی التروک</w:t>
      </w:r>
      <w:r>
        <w:rPr>
          <w:rtl w:val="true"/>
        </w:rPr>
        <w:t>»</w:t>
      </w:r>
      <w:bookmarkEnd w:id="267"/>
    </w:p>
    <w:p>
      <w:pPr>
        <w:pStyle w:val="Heading4"/>
        <w:numPr>
          <w:ilvl w:val="3"/>
          <w:numId w:val="1"/>
        </w:numPr>
        <w:rPr/>
      </w:pPr>
      <w:bookmarkStart w:id="268" w:name="__RefHeading___Toc2027903_2314609296"/>
      <w:bookmarkStart w:id="269" w:name="_Toc99"/>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 xml:space="preserve">یمکن أن یرید بها ما یجب ترکه،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إلی آخر الفصل مذکوراً بالتبع، وأن یرید بها ما یُطلب ترکه أعمّ من کون الطلب مانعاً من النقیض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الشرط السادس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أحوال الصلاة وإن کان عقیب الحمد أو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حینئذٍ، بل قد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بفعله لغیرها؛ للنهی عنه </w:t>
      </w:r>
      <w:r>
        <w:rPr>
          <w:rStyle w:val="FootnoteAnchor"/>
          <w:rtl w:val="true"/>
        </w:rPr>
        <w:footnoteReference w:id="913"/>
      </w:r>
      <w:r>
        <w:rPr>
          <w:rFonts w:ascii="IRNazanin" w:hAnsi="IRNazanin" w:eastAsia="IRNazanin"/>
          <w:color w:val="111111"/>
          <w:sz w:val="28"/>
          <w:sz w:val="28"/>
          <w:szCs w:val="28"/>
          <w:rtl w:val="true"/>
          <w:lang w:bidi="fa-IR"/>
        </w:rPr>
        <w:t xml:space="preserve">فی الأخبار </w:t>
      </w:r>
      <w:r>
        <w:rPr>
          <w:rStyle w:val="FootnoteAnchor"/>
          <w:rtl w:val="true"/>
        </w:rPr>
        <w:footnoteReference w:id="914"/>
      </w:r>
      <w:r>
        <w:rPr>
          <w:rFonts w:ascii="IRNazanin" w:hAnsi="IRNazanin" w:eastAsia="IRNazanin"/>
          <w:color w:val="111111"/>
          <w:sz w:val="28"/>
          <w:sz w:val="28"/>
          <w:szCs w:val="28"/>
          <w:rtl w:val="true"/>
          <w:lang w:bidi="fa-IR"/>
        </w:rPr>
        <w:t>المقتضی للفساد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تبطل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بمعناه، وبالغ من أبطل به </w:t>
      </w:r>
      <w:r>
        <w:rPr>
          <w:rStyle w:val="FootnoteAnchor"/>
          <w:rtl w:val="true"/>
        </w:rPr>
        <w:footnoteReference w:id="915"/>
      </w:r>
      <w:r>
        <w:rPr>
          <w:rFonts w:ascii="IRNazanin" w:hAnsi="IRNazanin" w:eastAsia="IRNazanin"/>
          <w:color w:val="111111"/>
          <w:sz w:val="28"/>
          <w:sz w:val="28"/>
          <w:szCs w:val="28"/>
          <w:rtl w:val="true"/>
          <w:lang w:bidi="fa-IR"/>
        </w:rPr>
        <w:t xml:space="preserve">کما ضعف قولُ من کرّه التأمین </w:t>
      </w:r>
      <w:r>
        <w:rPr>
          <w:rStyle w:val="FootnoteAnchor"/>
          <w:rtl w:val="true"/>
        </w:rPr>
        <w:footnoteReference w:id="916"/>
      </w:r>
      <w:r>
        <w:rPr>
          <w:rFonts w:ascii="IRNazanin" w:hAnsi="IRNazanin" w:eastAsia="IRNazanin"/>
          <w:color w:val="111111"/>
          <w:sz w:val="28"/>
          <w:sz w:val="28"/>
          <w:szCs w:val="28"/>
          <w:rtl w:val="true"/>
          <w:lang w:bidi="fa-IR"/>
        </w:rPr>
        <w:t xml:space="preserve">بناءً علی أ نّه دعاءٌ باستجابة ما یدعو به وأنّ الفاتحة تشتمل علی الدعاء، لا لأنّ قصد الدعاء بها یوجب استعمال المشترک فی معنییه علی تقدیر قصد الدعاء بالقرآن، وعدم فائدة التأمین مع انتفاء الأوّل، وانتفاء القرآن مع انتفاء الثانی </w:t>
      </w:r>
      <w:r>
        <w:rPr>
          <w:rStyle w:val="FootnoteAnchor"/>
          <w:rtl w:val="true"/>
        </w:rPr>
        <w:footnoteReference w:id="917"/>
      </w:r>
      <w:r>
        <w:rPr>
          <w:rFonts w:ascii="IRNazanin" w:hAnsi="IRNazanin" w:eastAsia="IRNazanin"/>
          <w:color w:val="111111"/>
          <w:sz w:val="28"/>
          <w:sz w:val="28"/>
          <w:szCs w:val="28"/>
          <w:rtl w:val="true"/>
          <w:lang w:bidi="fa-IR"/>
        </w:rPr>
        <w:t>لأنّ قصد الدعاء بالمنزَّل منه قرآناً لا ینافیه، ولا یوجب الاشتراک؛ لاتّحاد المعنی، ولاشتماله علی طلب الاستجابة لما یدعو به أعمَّ من الحاضر، وإنّما الوجه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تبطل بترکه فی موضع التقیّة؛ لأنّه خارجٌ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 بطال فی الفعل مع کونه کذلک؛ لاشتماله علی الکلام المنهیّ عنه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ترکُ الواجب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 کان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إطلاق الترک علی ترک الترک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فعل الضدّ وهو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التجوّز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الأرکان الخمسة ولو سهواً،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والقیام والتحریمة والرکوع والسجدتان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إحداهما فلیست رکناً علی المشهور، مع أنّ الرکن بهما یکون مرکّباً، وهو یستدعی فواته بفواتها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واعتذار المصنّف عنه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الرکن مسمّی السجود ولا یتحقّق الإخلال به إلّابترکهما معاً </w:t>
      </w:r>
      <w:r>
        <w:rPr>
          <w:rStyle w:val="FootnoteAnchor"/>
          <w:rtl w:val="true"/>
        </w:rPr>
        <w:footnoteReference w:id="920"/>
      </w:r>
      <w:r>
        <w:rPr>
          <w:rFonts w:ascii="IRNazanin" w:hAnsi="IRNazanin" w:eastAsia="IRNazanin"/>
          <w:color w:val="111111"/>
          <w:sz w:val="28"/>
          <w:sz w:val="28"/>
          <w:szCs w:val="28"/>
          <w:rtl w:val="true"/>
          <w:lang w:bidi="fa-IR"/>
        </w:rPr>
        <w:t>خروجٌ عن المتنازع؛ لموافقته علی کونهما معاً هو الرکن، وهو یستلزم الفوات بإحداهما، فکیف یدّعی أ نّه مسمّاه؟ ومع ذلک یستلزم بطلانها بزیادة واحدة لتحقّق المسمّی، ولا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انتفاء الماهیّة هنا غیر مؤثّرٍ مطلقاً وإلّا لکان الإخلال بعضوٍ من أعضاء السجود مبطلاً بل المؤثّر انتفاؤها رأساً </w:t>
      </w:r>
      <w:r>
        <w:rPr>
          <w:rStyle w:val="FootnoteAnchor"/>
          <w:rtl w:val="true"/>
        </w:rPr>
        <w:footnoteReference w:id="921"/>
      </w:r>
      <w:r>
        <w:rPr>
          <w:rFonts w:ascii="Amiri" w:hAnsi="Amiri" w:eastAsia="Amiri" w:cs="Amiri"/>
          <w:color w:val="111111"/>
          <w:sz w:val="28"/>
          <w:sz w:val="28"/>
          <w:szCs w:val="28"/>
          <w:rtl w:val="true"/>
          <w:lang w:bidi="ar-SA"/>
        </w:rPr>
        <w:t xml:space="preserve">فیه ما مرّ </w:t>
      </w:r>
      <w:r>
        <w:rPr>
          <w:rStyle w:val="FootnoteAnchor"/>
          <w:rtl w:val="true"/>
        </w:rPr>
        <w:footnoteReference w:id="922"/>
      </w:r>
      <w:r>
        <w:rPr>
          <w:rFonts w:ascii="IRNazanin" w:hAnsi="IRNazanin" w:eastAsia="IRNazanin"/>
          <w:color w:val="111111"/>
          <w:sz w:val="28"/>
          <w:sz w:val="28"/>
          <w:szCs w:val="28"/>
          <w:rtl w:val="true"/>
          <w:lang w:bidi="fa-IR"/>
        </w:rPr>
        <w:t>والفرق بین الأعضاء غیر الجبهة وبینها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نّها واجبات خارجة عن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کالذکر والطمأنینة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 المصنّف حکم زیادة الرکن مع کون المشهور أنّ زیادته علی حدّ نقیصته؛ تنبیهاً علی فساد الکلّیة فی طرف الزیادة، لتخلّفه فی مواضع کثیرة لا تبطل بزیادته سهواً، کالنیّةِ فإنّ زیادتها موکِّدةٌ لنیابة الاستدامة الحکمیّة عنها تخفیفاً، فإذا حصلت کان أولی، وهی مع التکبیر فیما لو تبیّن للمحتاط الحاجةُ إلیه أو سلّم علی نقصٍ وشرع فی اُخری قبل فعل المنافی مطلقاً </w:t>
      </w:r>
      <w:r>
        <w:rPr>
          <w:rStyle w:val="FootnoteAnchor"/>
          <w:rtl w:val="true"/>
        </w:rPr>
        <w:footnoteReference w:id="923"/>
      </w:r>
      <w:r>
        <w:rPr>
          <w:rFonts w:ascii="IRNazanin" w:hAnsi="IRNazanin" w:eastAsia="IRNazanin"/>
          <w:color w:val="111111"/>
          <w:sz w:val="28"/>
          <w:sz w:val="28"/>
          <w:szCs w:val="28"/>
          <w:rtl w:val="true"/>
          <w:lang w:bidi="fa-IR"/>
        </w:rPr>
        <w:t>والقیام إن جعلناه</w:t>
      </w:r>
      <w:bookmarkStart w:id="270" w:name="pg19806_203454"/>
    </w:p>
    <w:p>
      <w:pPr>
        <w:pStyle w:val="BookText"/>
        <w:rPr/>
      </w:pPr>
      <w:bookmarkEnd w:id="270"/>
      <w:r>
        <w:rPr>
          <w:rFonts w:ascii="IRNazanin" w:hAnsi="IRNazanin" w:eastAsia="IRNazanin"/>
          <w:color w:val="111111"/>
          <w:sz w:val="28"/>
          <w:sz w:val="28"/>
          <w:szCs w:val="28"/>
          <w:rtl w:val="true"/>
          <w:lang w:bidi="fa-IR"/>
        </w:rPr>
        <w:t>مطلقاً رکناً کما أطلقه، والرکوعِ فیما لو سبق به المأمومُ إمامَه سهواً ثمّ عاد إلی المتابعة، والسجود فیما لو زاد واحدةً إن جعلنا الرکن مسمّاه، وزیادة جملة الأرکان غیر النیّة والتحریمة فیما إذا زاد رکعةً آخر الصلاة وقد جلس بقدر واجب التشهّد أو أتمّ المسافر ناسیاً إلی أن خرج الوقت</w:t>
      </w:r>
      <w:r>
        <w:rPr>
          <w:rFonts w:eastAsia="IRNazanin" w:cs="IRNazanin"/>
          <w:color w:val="111111"/>
          <w:sz w:val="28"/>
          <w:szCs w:val="28"/>
          <w:rtl w:val="true"/>
          <w:lang w:bidi="fa-IR"/>
        </w:rPr>
        <w:t>.</w:t>
      </w:r>
    </w:p>
    <w:p>
      <w:pPr>
        <w:pStyle w:val="Heading4"/>
        <w:numPr>
          <w:ilvl w:val="3"/>
          <w:numId w:val="1"/>
        </w:numPr>
        <w:rPr/>
      </w:pPr>
      <w:bookmarkStart w:id="271" w:name="__RefHeading___Toc2027905_2314609296"/>
      <w:bookmarkStart w:id="272" w:name="_Toc100"/>
      <w:bookmarkEnd w:id="271"/>
      <w:r>
        <w:rPr>
          <w:rtl w:val="true"/>
        </w:rPr>
        <w:t>[</w:t>
      </w:r>
      <w:r>
        <w:rPr>
          <w:rtl w:val="true"/>
        </w:rPr>
        <w:t>فی بیان ارکان الصلاة</w:t>
      </w:r>
      <w:r>
        <w:rPr>
          <w:rtl w:val="true"/>
        </w:rPr>
        <w:t>]</w:t>
      </w:r>
      <w:bookmarkEnd w:id="272"/>
    </w:p>
    <w:p>
      <w:pPr>
        <w:pStyle w:val="BookText"/>
        <w:rPr/>
      </w:pPr>
      <w:r>
        <w:rPr>
          <w:rFonts w:ascii="IRNazanin" w:hAnsi="IRNazanin" w:eastAsia="IRNazanin"/>
          <w:color w:val="111111"/>
          <w:sz w:val="28"/>
          <w:sz w:val="28"/>
          <w:szCs w:val="28"/>
          <w:rtl w:val="true"/>
          <w:lang w:bidi="fa-IR"/>
        </w:rPr>
        <w:t xml:space="preserve">واعلم أنّ الحکم برکنیّة النیّة هو أحد الأقوال فیها </w:t>
      </w:r>
      <w:r>
        <w:rPr>
          <w:rStyle w:val="FootnoteAnchor"/>
          <w:rtl w:val="true"/>
        </w:rPr>
        <w:footnoteReference w:id="924"/>
      </w:r>
      <w:r>
        <w:rPr>
          <w:rFonts w:ascii="IRNazanin" w:hAnsi="IRNazanin" w:eastAsia="IRNazanin"/>
          <w:color w:val="111111"/>
          <w:sz w:val="28"/>
          <w:sz w:val="28"/>
          <w:szCs w:val="28"/>
          <w:rtl w:val="true"/>
          <w:lang w:bidi="fa-IR"/>
        </w:rPr>
        <w:t>، وإن کان التحقیق یقتضی کونها بالشرط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رکنٌ فی الجملة إجماعاً علی ما نقله العلّامة </w:t>
      </w:r>
      <w:r>
        <w:rPr>
          <w:rStyle w:val="FootnoteAnchor"/>
          <w:rtl w:val="true"/>
        </w:rPr>
        <w:footnoteReference w:id="925"/>
      </w:r>
      <w:r>
        <w:rPr>
          <w:rFonts w:ascii="IRNazanin" w:hAnsi="IRNazanin" w:eastAsia="IRNazanin"/>
          <w:color w:val="111111"/>
          <w:sz w:val="28"/>
          <w:sz w:val="28"/>
          <w:szCs w:val="28"/>
          <w:rtl w:val="true"/>
          <w:lang w:bidi="fa-IR"/>
        </w:rPr>
        <w:t>ولولاه لأمکن القدح فی رکنیّته؛ لأنّ زیادته ونقصانه لا یُبطلان إلّامع اقترانه بالرکوع، ومعه یُستغنی عن القیام؛ لأنّ الرکوع کافٍ فی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فالرکن منه إمّا ما اتّصل بالرکوع ویکون إسناد الإ بطال إلیه بسبب کونه أحدَ المعرّفین له، أو یُجعل رکناً کیف اتّفق، وفی موضعٍ لا تبطل بزیادته ونقصانه یکون مستثنیً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لیس مجموع القیام المتّصل بالرکوع رکناً، بل الأمر الکلّی منه؛ ومن ثَمّ لو نسی القراءة أو أبعاضَها لم تبطل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یُجعل الرکن منه ما اشتمل علی رکنٍ کالتحریمة، ویُجعل من قبیل المعرِّفات السابقة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التحریمة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التکبیر المنوّی به الدخول فی الصلاة، فمرجع رکنیّتها</w:t>
      </w:r>
    </w:p>
    <w:p>
      <w:pPr>
        <w:pStyle w:val="BookText"/>
        <w:rPr/>
      </w:pPr>
      <w:r>
        <w:rPr>
          <w:rFonts w:ascii="IRNazanin" w:hAnsi="IRNazanin" w:eastAsia="IRNazanin"/>
          <w:color w:val="111111"/>
          <w:sz w:val="28"/>
          <w:sz w:val="28"/>
          <w:szCs w:val="28"/>
          <w:rtl w:val="true"/>
          <w:lang w:bidi="fa-IR"/>
        </w:rPr>
        <w:t>إلی القصد؛ لأنّها ذکر لا تُبطل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رکنیّته، ویتحقّق بالانحناء إلی حدّه، وما زاد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الطمأنینة والذکر والرفع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زائدةٌ علیه، ویتفرّع علیه بطلانها بزیادته کذلک وإن لم یصحبه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بحث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تحقّق </w:t>
      </w:r>
      <w:r>
        <w:rPr>
          <w:rStyle w:val="FootnoteAnchor"/>
          <w:rtl w:val="true"/>
        </w:rPr>
        <w:footnoteReference w:id="928"/>
      </w:r>
      <w:r>
        <w:rPr>
          <w:rFonts w:ascii="IRNazanin" w:hAnsi="IRNazanin" w:eastAsia="IRNazanin"/>
          <w:color w:val="111111"/>
          <w:sz w:val="28"/>
          <w:sz w:val="28"/>
          <w:szCs w:val="28"/>
          <w:rtl w:val="true"/>
          <w:lang w:bidi="fa-IR"/>
        </w:rPr>
        <w:t>رکنیّته ما قد عرفته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المبطل للطهارة من جملة التروک التی یجب اجتنابها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بطلان الصلاة به بین وقوعه عمداً وسهواً علی أشهر القولین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 الصلاة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 إبطال العمل </w:t>
      </w:r>
      <w:r>
        <w:rPr>
          <w:rStyle w:val="FootnoteAnchor"/>
          <w:rtl w:val="true"/>
        </w:rPr>
        <w:footnoteReference w:id="930"/>
      </w:r>
      <w:r>
        <w:rPr>
          <w:rFonts w:ascii="IRNazanin" w:hAnsi="IRNazanin" w:eastAsia="IRNazanin"/>
          <w:color w:val="111111"/>
          <w:sz w:val="28"/>
          <w:sz w:val="28"/>
          <w:szCs w:val="28"/>
          <w:rtl w:val="true"/>
          <w:lang w:bidi="fa-IR"/>
        </w:rPr>
        <w:t>المقتضی له إلّاما أخرجه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قطعها لضرورةٍ، کقبض غریم، وحِفظ نفس محترمة من تلفٍ أو ضررٍ، وقتل حیّة یخافها علی نفس محترمة، وإحراز مال یخاف ضیاعَه، أو لحدثٍ یخاف ضررَ إمساکه ولو بسریان النجاسة إلی ثوبه أو بدنه، فیجوز القطع فی جمیع ذلک</w:t>
      </w:r>
      <w:r>
        <w:rPr>
          <w:rFonts w:eastAsia="IRNazanin" w:cs="IRNazanin"/>
          <w:color w:val="111111"/>
          <w:sz w:val="28"/>
          <w:szCs w:val="28"/>
          <w:rtl w:val="true"/>
          <w:lang w:bidi="fa-IR"/>
        </w:rPr>
        <w:t>.</w:t>
      </w:r>
      <w:bookmarkStart w:id="273" w:name="pg19806_203456"/>
    </w:p>
    <w:p>
      <w:pPr>
        <w:pStyle w:val="BookText"/>
        <w:rPr/>
      </w:pPr>
      <w:bookmarkEnd w:id="273"/>
      <w:r>
        <w:rPr>
          <w:rFonts w:ascii="IRNazanin" w:hAnsi="IRNazanin" w:eastAsia="IRNazanin"/>
          <w:color w:val="111111"/>
          <w:sz w:val="28"/>
          <w:sz w:val="28"/>
          <w:szCs w:val="28"/>
          <w:rtl w:val="true"/>
          <w:lang w:bidi="fa-IR"/>
        </w:rPr>
        <w:t>وقد یجب لکثیرٍ من هذه الأسباب، ویُباح لبعضها، کحفظ المال الیسیر الذی لا یضرّ فوتُه وقتلِ الحیّة التی لا یخاف أذاها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لإحراز یسیر المال الذی لا یبالی بفواته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یُستحبّ لاستدراک الأذان المنسیّ وقراءة الجمعتین </w:t>
      </w:r>
      <w:r>
        <w:rPr>
          <w:rStyle w:val="FootnoteAnchor"/>
          <w:rtl w:val="true"/>
        </w:rPr>
        <w:footnoteReference w:id="931"/>
      </w:r>
      <w:r>
        <w:rPr>
          <w:rFonts w:ascii="IRNazanin" w:hAnsi="IRNazanin" w:eastAsia="IRNazanin"/>
          <w:color w:val="111111"/>
          <w:sz w:val="28"/>
          <w:sz w:val="28"/>
          <w:szCs w:val="28"/>
          <w:rtl w:val="true"/>
          <w:lang w:bidi="fa-IR"/>
        </w:rPr>
        <w:t>فی ظهریها ونحوهما، فهو ینقسم بانقسام الأحکام الخمسة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قتلُ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والعقرب فی أثناء الصلاة من غیر إبطالٍ إذا لم یستلزم فعلاً کثیراً؛ للإذن فیه نصّاً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الرکعات بالحصی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وشبهها خصوصاً لکثیر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صوت فیه من الضحک، علی کراهیّة</w:t>
      </w:r>
      <w:r>
        <w:rPr>
          <w:rFonts w:eastAsia="IRNazanin" w:cs="IRNazanin"/>
          <w:color w:val="111111"/>
          <w:sz w:val="28"/>
          <w:szCs w:val="28"/>
          <w:rtl w:val="true"/>
          <w:lang w:bidi="fa-IR"/>
        </w:rPr>
        <w:t>.</w:t>
      </w:r>
    </w:p>
    <w:p>
      <w:pPr>
        <w:pStyle w:val="Heading4"/>
        <w:numPr>
          <w:ilvl w:val="3"/>
          <w:numId w:val="1"/>
        </w:numPr>
        <w:rPr/>
      </w:pPr>
      <w:bookmarkStart w:id="274" w:name="__RefHeading___Toc2027907_2314609296"/>
      <w:bookmarkStart w:id="275" w:name="_Toc101"/>
      <w:bookmarkEnd w:id="274"/>
      <w:r>
        <w:rPr>
          <w:rtl w:val="true"/>
        </w:rPr>
        <w:t>[</w:t>
      </w:r>
      <w:r>
        <w:rPr>
          <w:rtl w:val="true"/>
        </w:rPr>
        <w:t>الافعال المکروهة فی الصلاة</w:t>
      </w:r>
      <w:r>
        <w:rPr>
          <w:rtl w:val="true"/>
        </w:rPr>
        <w:t>]</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 أو الوجه،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صلاة لملتفتٍ</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وحُمل علی نفی الکمال جمعاً، وفی خبرٍ آخر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یخاف الذی یحوّل وجهه فی الصلاة أن یحوّل اللّٰه وجهه وجه حمار</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والمراد تحویل وجه قلبه کوجه قلب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اطّلاعه علی الاُمور العلْویّة وعدم إکرامه بالکمالات العَلیّة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والتثاؤب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تثاءَبتُ،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تثاوَبْتُ قاله الجوهری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الیدین، فعن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نّهما من الشیطان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من أعضائه؛ لمنافاته الخشوعَ المأمورَ به، وقد رأی</w:t>
      </w:r>
      <w:bookmarkStart w:id="276" w:name="pg19806_203457"/>
    </w:p>
    <w:p>
      <w:pPr>
        <w:pStyle w:val="BookText"/>
        <w:rPr/>
      </w:pPr>
      <w:bookmarkEnd w:id="276"/>
      <w:r>
        <w:rPr>
          <w:rFonts w:ascii="IRNazanin" w:hAnsi="IRNazanin" w:eastAsia="IRNazanin"/>
          <w:color w:val="111111"/>
          <w:sz w:val="28"/>
          <w:sz w:val="28"/>
          <w:szCs w:val="28"/>
          <w:rtl w:val="true"/>
          <w:lang w:bidi="fa-IR"/>
        </w:rPr>
        <w:t>النبیّ صلی الله علیه و آله رجلاً یعبث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خشع قلبُ هذا لخشعت جوارحُه</w:t>
      </w:r>
      <w:r>
        <w:rPr>
          <w:rFonts w:eastAsia="IRNazanin" w:cs="IRNazanin"/>
          <w:color w:val="111111"/>
          <w:sz w:val="28"/>
          <w:szCs w:val="28"/>
          <w:rtl w:val="true"/>
          <w:lang w:bidi="fa-IR"/>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والتنخّمُ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البصاق، وخصوصاً إلی القبلةِ والیمین وبین یدیه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والتأوّه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وأصله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الشکایة والتوجّع، والمراد هنا النطق به علی وجهٍ لا یظهر منه حرفان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بالحرف الواحد، وهو مثل التأوّه، وقد یخصّ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ومدافعةُ الأخبثین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والغائطِ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سلب الخشوع والإقبال بالقلب الذی هو روح العبادة، وکذا مدافعةُ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یُکره إذا وقع ذلک قبل التلبّس بها مع سعة الوقت، وإلّا حرُم القطع إلّاأن یخاف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یُجبره فضیلة الائتمام أو شرف البقعة، وفی نفی الکراهة باحتیاجه إلی التیمّم نظرٌ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2027909_2314609296"/>
      <w:bookmarkStart w:id="278" w:name="_Toc102"/>
      <w:bookmarkEnd w:id="277"/>
      <w:r>
        <w:rPr>
          <w:rtl w:val="true"/>
        </w:rPr>
        <w:t>«</w:t>
      </w:r>
      <w:r>
        <w:rPr>
          <w:rtl w:val="true"/>
        </w:rPr>
        <w:t xml:space="preserve">تتمّة </w:t>
      </w:r>
      <w:r>
        <w:rPr>
          <w:rtl w:val="true"/>
        </w:rPr>
        <w:t>[</w:t>
      </w:r>
      <w:r>
        <w:rPr>
          <w:rtl w:val="true"/>
        </w:rPr>
        <w:t>فی ما یستحب للمراة فی الصلاة</w:t>
      </w:r>
      <w:r>
        <w:rPr>
          <w:rtl w:val="true"/>
        </w:rPr>
        <w:t>] » :</w:t>
      </w:r>
      <w:bookmarkEnd w:id="278"/>
    </w:p>
    <w:p>
      <w:pPr>
        <w:pStyle w:val="BookText"/>
        <w:rPr/>
      </w:pPr>
      <w:r>
        <w:rPr>
          <w:rFonts w:ascii="IRNazanin" w:hAnsi="IRNazanin" w:eastAsia="IRNazanin"/>
          <w:color w:val="111111"/>
          <w:sz w:val="28"/>
          <w:sz w:val="28"/>
          <w:szCs w:val="28"/>
          <w:rtl w:val="true"/>
          <w:lang w:bidi="fa-IR"/>
        </w:rPr>
        <w:t>المرأة کالرجل فی جمیع ما سلف إلّاما استُثنی، وتختصّ عنه أ 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یستحبّ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کانت أم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تجمع بین قدمیها فی القیام، والرجل یفرِّق بینهما بشبرٍ إلی فِتر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قدر ثلاث أصابع مُفرَّجات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وتضُمّ ثَدْییها إلی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وتضعُ یدیها فوق رُکبتیها راکعةً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 نّها تنحنی قدر انحناء الرجل وتخالفه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الروایة أ نّه یجزئها من الانحناء أن تبلغ کفّاها ما فوق </w:t>
      </w:r>
      <w:r>
        <w:rPr>
          <w:rStyle w:val="FootnoteAnchor"/>
          <w:rtl w:val="true"/>
        </w:rPr>
        <w:footnoteReference w:id="940"/>
      </w:r>
      <w:r>
        <w:rPr>
          <w:rFonts w:ascii="Amiri" w:hAnsi="Amiri" w:eastAsia="Amiri" w:cs="Amiri"/>
          <w:color w:val="111111"/>
          <w:sz w:val="28"/>
          <w:sz w:val="28"/>
          <w:szCs w:val="28"/>
          <w:rtl w:val="true"/>
          <w:lang w:bidi="ar-SA"/>
        </w:rPr>
        <w:t>رُکبتیها؛ لأنّه علّله فیها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تطأطأ کثیراً فترتفع عجیزتُها</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وذلک لا یختلف باختلاف وضعهما، بل باختلاف الانحناء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تشهّدها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بالیاءین من دون تاءٍ بینهما علی غیر قیاس، 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فیهما والتاء فی الواحدة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وتبدأ بالقعود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تشهّدت ضمّت فخذیها ورفعت رُکبتیها من الأرض، فإذا نهضت انسلّت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انسلالاً معتمدة علی جنبیها بیدیها من غیر أن ترفع عجیزَتها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ویتخیّر الخنثی بین هیئة </w:t>
      </w:r>
      <w:r>
        <w:rPr>
          <w:rStyle w:val="FootnoteAnchor"/>
          <w:rtl w:val="true"/>
        </w:rPr>
        <w:footnoteReference w:id="942"/>
      </w:r>
      <w:r>
        <w:rPr>
          <w:rFonts w:ascii="Amiri" w:hAnsi="Amiri" w:eastAsia="Amiri" w:cs="Amiri"/>
          <w:color w:val="111111"/>
          <w:sz w:val="28"/>
          <w:sz w:val="28"/>
          <w:szCs w:val="28"/>
          <w:rtl w:val="true"/>
          <w:lang w:bidi="ar-SA"/>
        </w:rPr>
        <w:t>الرجل والمرأة</w:t>
      </w:r>
      <w:r>
        <w:rPr>
          <w:rFonts w:eastAsia="Amiri" w:cs="Amiri" w:ascii="Amiri" w:hAnsi="Amiri"/>
          <w:color w:val="111111"/>
          <w:sz w:val="28"/>
          <w:szCs w:val="28"/>
          <w:rtl w:val="true"/>
          <w:lang w:bidi="ar-SA"/>
        </w:rPr>
        <w:t>.</w:t>
      </w:r>
      <w:bookmarkStart w:id="279" w:name="pg19806_203459"/>
    </w:p>
    <w:p>
      <w:pPr>
        <w:pStyle w:val="Heading3"/>
        <w:numPr>
          <w:ilvl w:val="2"/>
          <w:numId w:val="1"/>
        </w:numPr>
        <w:rPr/>
      </w:pPr>
      <w:bookmarkStart w:id="280" w:name="__RefHeading___Toc2027911_2314609296"/>
      <w:bookmarkStart w:id="281" w:name="_Toc103"/>
      <w:bookmarkEnd w:id="279"/>
      <w:bookmarkEnd w:id="280"/>
      <w:r>
        <w:rPr>
          <w:rtl w:val="true"/>
        </w:rPr>
        <w:t>«</w:t>
      </w:r>
      <w:r>
        <w:rPr>
          <w:rtl w:val="true"/>
        </w:rPr>
        <w:t>الفصل السادس</w:t>
      </w:r>
      <w:r>
        <w:rPr>
          <w:rtl w:val="true"/>
        </w:rPr>
        <w:t>» «</w:t>
      </w:r>
      <w:r>
        <w:rPr>
          <w:rtl w:val="true"/>
        </w:rPr>
        <w:t>فی بقیّة الصلوات</w:t>
      </w:r>
      <w:r>
        <w:rPr>
          <w:rtl w:val="true"/>
        </w:rPr>
        <w:t xml:space="preserve">» </w:t>
      </w:r>
      <w:r>
        <w:rPr>
          <w:rtl w:val="true"/>
        </w:rPr>
        <w:t>الواجبة وما یختاره من المندوبة</w:t>
      </w:r>
      <w:bookmarkEnd w:id="281"/>
    </w:p>
    <w:p>
      <w:pPr>
        <w:pStyle w:val="Heading4"/>
        <w:numPr>
          <w:ilvl w:val="3"/>
          <w:numId w:val="1"/>
        </w:numPr>
        <w:rPr/>
      </w:pPr>
      <w:bookmarkStart w:id="282" w:name="__RefHeading___Toc2027913_2314609296"/>
      <w:bookmarkStart w:id="283" w:name="_Toc104"/>
      <w:bookmarkEnd w:id="282"/>
      <w:r>
        <w:rPr>
          <w:rtl w:val="true"/>
        </w:rPr>
        <w:t>«</w:t>
      </w:r>
      <w:r>
        <w:rPr>
          <w:rtl w:val="true"/>
        </w:rPr>
        <w:t>صلاة</w:t>
      </w:r>
      <w:r>
        <w:rPr>
          <w:rtl w:val="true"/>
        </w:rPr>
        <w:t xml:space="preserve">: </w:t>
      </w:r>
      <w:r>
        <w:rPr>
          <w:rtl w:val="true"/>
        </w:rPr>
        <w:t>الجمعة</w:t>
      </w:r>
      <w:r>
        <w:rPr>
          <w:rtl w:val="true"/>
        </w:rPr>
        <w:t>»</w:t>
      </w:r>
      <w:bookmarkEnd w:id="28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کالصبح عوضَ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یُجمع بینهما، فحیث تقع الجمعة صحیحةً تُجزئ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استفید من حکمه بکونها عوضها مع عدم تعرّضه لوقتها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وقتها وقت الظهر فضیلةً وإجزاءً، وبه قطع فی الدروس والبیان </w:t>
      </w:r>
      <w:r>
        <w:rPr>
          <w:rStyle w:val="FootnoteAnchor"/>
          <w:rtl w:val="true"/>
        </w:rPr>
        <w:footnoteReference w:id="943"/>
      </w:r>
      <w:r>
        <w:rPr>
          <w:rFonts w:ascii="IRNazanin" w:hAnsi="IRNazanin" w:eastAsia="IRNazanin"/>
          <w:color w:val="111111"/>
          <w:sz w:val="28"/>
          <w:sz w:val="28"/>
          <w:szCs w:val="28"/>
          <w:rtl w:val="true"/>
          <w:lang w:bidi="fa-IR"/>
        </w:rPr>
        <w:t xml:space="preserve">وظاهر النصوص یدلّ علیه </w:t>
      </w:r>
      <w:r>
        <w:rPr>
          <w:rStyle w:val="FootnoteAnchor"/>
          <w:rtl w:val="true"/>
        </w:rPr>
        <w:footnoteReference w:id="944"/>
      </w:r>
      <w:r>
        <w:rPr>
          <w:rFonts w:ascii="IRNazanin" w:hAnsi="IRNazanin" w:eastAsia="IRNazanin"/>
          <w:color w:val="111111"/>
          <w:sz w:val="28"/>
          <w:sz w:val="28"/>
          <w:szCs w:val="28"/>
          <w:rtl w:val="true"/>
          <w:lang w:bidi="fa-IR"/>
        </w:rPr>
        <w:t xml:space="preserve">وذهب جماعةٌ إلی امتداد وقتها إلی المثل خاصّة </w:t>
      </w:r>
      <w:r>
        <w:rPr>
          <w:rStyle w:val="FootnoteAnchor"/>
          <w:rtl w:val="true"/>
        </w:rPr>
        <w:footnoteReference w:id="945"/>
      </w:r>
      <w:r>
        <w:rPr>
          <w:rFonts w:ascii="Amiri" w:hAnsi="Amiri" w:eastAsia="Amiri" w:cs="Amiri"/>
          <w:color w:val="111111"/>
          <w:sz w:val="28"/>
          <w:sz w:val="28"/>
          <w:szCs w:val="28"/>
          <w:rtl w:val="true"/>
          <w:lang w:bidi="ar-SA"/>
        </w:rPr>
        <w:t xml:space="preserve">ومال إلیه المصنّفُ فی الألفیّة </w:t>
      </w:r>
      <w:r>
        <w:rPr>
          <w:rStyle w:val="FootnoteAnchor"/>
          <w:rtl w:val="true"/>
        </w:rPr>
        <w:footnoteReference w:id="946"/>
      </w:r>
      <w:r>
        <w:rPr>
          <w:rFonts w:ascii="IRNazanin" w:hAnsi="IRNazanin" w:eastAsia="IRNazanin"/>
          <w:color w:val="111111"/>
          <w:sz w:val="28"/>
          <w:sz w:val="28"/>
          <w:szCs w:val="28"/>
          <w:rtl w:val="true"/>
          <w:lang w:bidi="fa-IR"/>
        </w:rPr>
        <w:t>ولا شاهد له، إلّاأن یقال بأ نّه</w:t>
      </w:r>
    </w:p>
    <w:p>
      <w:pPr>
        <w:pStyle w:val="BookText"/>
        <w:rPr/>
      </w:pPr>
      <w:r>
        <w:rPr>
          <w:rFonts w:ascii="Amiri" w:hAnsi="Amiri" w:eastAsia="Amiri" w:cs="Amiri"/>
          <w:color w:val="111111"/>
          <w:sz w:val="28"/>
          <w:sz w:val="28"/>
          <w:szCs w:val="28"/>
          <w:rtl w:val="true"/>
          <w:lang w:bidi="ar-SA"/>
        </w:rPr>
        <w:t>وقتٌ للظهر أیضاً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فیها تقدیمُ الخُطبتین المشتملتین علی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والثناء علیه</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بما 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الثناء زیادةً علی الحمد نظرٌ، وعبارة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المصنّف فی الذکری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موجودٌ فی الخُطَب المنقولة عن النبیّ وآله علیه وعلیهم السلام </w:t>
      </w:r>
      <w:r>
        <w:rPr>
          <w:rStyle w:val="FootnoteAnchor"/>
          <w:rtl w:val="true"/>
        </w:rPr>
        <w:footnoteReference w:id="949"/>
      </w:r>
      <w:r>
        <w:rPr>
          <w:rFonts w:ascii="IRNazanin" w:hAnsi="IRNazanin" w:eastAsia="IRNazanin"/>
          <w:color w:val="111111"/>
          <w:sz w:val="28"/>
          <w:sz w:val="28"/>
          <w:szCs w:val="28"/>
          <w:rtl w:val="true"/>
          <w:lang w:bidi="fa-IR"/>
        </w:rPr>
        <w:t xml:space="preserve">إلّاأ نّها تشتمل علی زیادةٍ علی أقلّ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علی النبیّ وآله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ویُقرنها بما شاء من النِسَب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الوصیّة بتقوی اللّٰه، والحثّ علی الطاعة، والتحذیر من المعصیة والاغترار بالدنیا، وما شاکل ذلک، ولا یتعیّن له لفظ، ویُجزی مسمّاه، فیکفی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وجوب الحثّ علی الطاعة والزجر عن المعصیة؛ للتأسّی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سورةٍ خفیفةٍ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أو آیةٍ تامّة الفائدة بأن تجمع معنیً مستقلّاً یُعتدّ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وعدٍ أو وعید أو حُکمٍ أو قصّةٍ تدخل فی مقتضی الحال، فلا یُجزی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اَلسَّحَرَةُ سٰاجِدِینَ</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والعربیّةُ، والترتیبُ بین الأجزاء کما ذُکر والموالاةُ، وقیامُ الخطیب مع القدرة، والجلوسُ بینهما، وإسماعُه </w:t>
      </w:r>
      <w:r>
        <w:rPr>
          <w:rStyle w:val="FootnoteAnchor"/>
          <w:rtl w:val="true"/>
        </w:rPr>
        <w:footnoteReference w:id="955"/>
      </w:r>
      <w:r>
        <w:rPr>
          <w:rFonts w:ascii="IRNazanin" w:hAnsi="IRNazanin" w:eastAsia="IRNazanin"/>
          <w:color w:val="111111"/>
          <w:sz w:val="28"/>
          <w:sz w:val="28"/>
          <w:szCs w:val="28"/>
          <w:rtl w:val="true"/>
          <w:lang w:bidi="fa-IR"/>
        </w:rPr>
        <w:t xml:space="preserve">العددَ المعتبر، والطهارةُ من الحدث والخبثِ فی أصحّ القولین </w:t>
      </w:r>
      <w:r>
        <w:rPr>
          <w:rStyle w:val="FootnoteAnchor"/>
          <w:rtl w:val="true"/>
        </w:rPr>
        <w:footnoteReference w:id="956"/>
      </w:r>
      <w:r>
        <w:rPr>
          <w:rFonts w:ascii="IRNazanin" w:hAnsi="IRNazanin" w:eastAsia="IRNazanin"/>
          <w:color w:val="111111"/>
          <w:sz w:val="28"/>
          <w:sz w:val="28"/>
          <w:szCs w:val="28"/>
          <w:rtl w:val="true"/>
          <w:lang w:bidi="fa-IR"/>
        </w:rPr>
        <w:t>والسترُ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وإصغاءُ من یمکن سماعه من المأمومین، وترکُ الکلام مطلقاً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جمعه بین الفصاحة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یقتدر بها علی التعبیر عن مقصوده بلفظٍ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خالٍ عن ضعف التألیف وتنافر الکلمات والتعقید وعن کونها غریبة وحشیّة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البلاغة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یقتدر بها علی التعبیر عن الکلام الفصیح المطابق لمقتضی الحال بحسب الزمان والمکان والسامع والحال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الرذائل الخُلقیّة والذنوب الشرعیّة، بحیث یکون مؤتمراً بما یأمر به، منزجراً عمّا ینهی عنه؛ لتقع موعظته فی القلوب، فإنّ الموعظة إذا خرجت من القلب دخلت فی القلب، وإذا خرجت من مجرّد اللسان لم تتجاوز الآذان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ومحافظتُه علی أوائل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أوفق لقبول موعظته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شتاءً وصیفاً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للتأسّی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مضیفاً إلیها الحنکَ والرداءَ، ولُبس</w:t>
      </w:r>
    </w:p>
    <w:p>
      <w:pPr>
        <w:pStyle w:val="BookText"/>
        <w:rPr/>
      </w:pPr>
      <w:r>
        <w:rPr>
          <w:rFonts w:ascii="Amiri" w:hAnsi="Amiri" w:eastAsia="Amiri" w:cs="Amiri"/>
          <w:color w:val="111111"/>
          <w:sz w:val="28"/>
          <w:sz w:val="28"/>
          <w:szCs w:val="28"/>
          <w:rtl w:val="true"/>
          <w:lang w:bidi="ar-SA"/>
        </w:rPr>
        <w:t>أفضل الثیاب، والتطیّبُ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والاعتمادُ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سیفٍ أو قوسٍ أو عصاً؛ للاتّباع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أو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 لشرائط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الاجتماع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قید فی الاجتزاء بالفقیه حالَ الغیبة؛ لأنّه منصوبٌ من الإمام علیه السلام عموماً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قد روی حدیثنا</w:t>
      </w:r>
      <w:r>
        <w:rPr>
          <w:rFonts w:eastAsia="IRNazanin" w:cs="IRNazanin"/>
          <w:color w:val="111111"/>
          <w:sz w:val="28"/>
          <w:szCs w:val="28"/>
          <w:rtl w:val="true"/>
          <w:lang w:bidi="fa-IR"/>
        </w:rPr>
        <w:t xml:space="preserve">. . .» </w:t>
      </w:r>
      <w:r>
        <w:rPr>
          <w:rStyle w:val="FootnoteAnchor"/>
          <w:rtl w:val="true"/>
        </w:rPr>
        <w:footnoteReference w:id="960"/>
      </w:r>
      <w:r>
        <w:rPr>
          <w:rFonts w:ascii="IRNazanin" w:hAnsi="IRNazanin" w:eastAsia="IRNazanin"/>
          <w:color w:val="111111"/>
          <w:sz w:val="28"/>
          <w:sz w:val="28"/>
          <w:szCs w:val="28"/>
          <w:rtl w:val="true"/>
          <w:lang w:bidi="fa-IR"/>
        </w:rPr>
        <w:t xml:space="preserve">وغیره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 نّه مع حضور الإمام علیه السلام لا تنعقد الجمعة إلّابه أو بنائبه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المنصوب للجمعة أو لما هو أعمّ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وبدونه تسقط، وهو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حال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اختلف الأصحاب فی وجوب الجمعة وتحریمها، فالمصنّف هنا أوجبها مع کون الإمام فقیهاً؛ لتحقّق الشرط وهو إذن الإمام الذی هو شرطٌ فی الجملة إجماعاً، وبهذا القول صرّح فی الدروس أیضاً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قیل بوجوبها حینئذٍ وإن لم یَجْمعها فقیهٌ </w:t>
      </w:r>
      <w:r>
        <w:rPr>
          <w:rStyle w:val="FootnoteAnchor"/>
          <w:rtl w:val="true"/>
        </w:rPr>
        <w:footnoteReference w:id="963"/>
      </w:r>
      <w:r>
        <w:rPr>
          <w:rFonts w:ascii="IRNazanin" w:hAnsi="IRNazanin" w:eastAsia="IRNazanin"/>
          <w:color w:val="111111"/>
          <w:sz w:val="28"/>
          <w:sz w:val="28"/>
          <w:szCs w:val="28"/>
          <w:rtl w:val="true"/>
          <w:lang w:bidi="fa-IR"/>
        </w:rPr>
        <w:t>عملاً بإطلاق الأدلّة، واشتراطُ الإمام علیه السلام أو مَن نصبَه إن سلِّم فهو مختصّ بحالة الحضور أو بإمکانه، فمع عدمه یبقی عموم الأدّلة من الکتاب والسُنّة خالیاً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w:t>
      </w:r>
    </w:p>
    <w:p>
      <w:pPr>
        <w:pStyle w:val="BookText"/>
        <w:rPr/>
      </w:pPr>
      <w:r>
        <w:rPr>
          <w:rFonts w:ascii="IRNazanin" w:hAnsi="IRNazanin" w:eastAsia="IRNazanin"/>
          <w:color w:val="111111"/>
          <w:sz w:val="28"/>
          <w:sz w:val="28"/>
          <w:szCs w:val="28"/>
          <w:rtl w:val="true"/>
          <w:lang w:bidi="fa-IR"/>
        </w:rPr>
        <w:t xml:space="preserve">الأکثر ومنهم المصنّف فی البیان </w:t>
      </w:r>
      <w:r>
        <w:rPr>
          <w:rStyle w:val="FootnoteAnchor"/>
          <w:rtl w:val="true"/>
        </w:rPr>
        <w:footnoteReference w:id="964"/>
      </w:r>
      <w:r>
        <w:rPr>
          <w:rFonts w:ascii="IRNazanin" w:hAnsi="IRNazanin" w:eastAsia="IRNazanin"/>
          <w:color w:val="111111"/>
          <w:sz w:val="28"/>
          <w:sz w:val="28"/>
          <w:szCs w:val="28"/>
          <w:rtl w:val="true"/>
          <w:lang w:bidi="fa-IR"/>
        </w:rPr>
        <w:t>فإنّهم یکتفون بإمکان الاجتماع مع باقی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عبّروا عن حکمها حال الغیبة بالجواز تارةً </w:t>
      </w:r>
      <w:r>
        <w:rPr>
          <w:rStyle w:val="FootnoteAnchor"/>
          <w:rtl w:val="true"/>
        </w:rPr>
        <w:footnoteReference w:id="965"/>
      </w:r>
      <w:r>
        <w:rPr>
          <w:rFonts w:ascii="IRNazanin" w:hAnsi="IRNazanin" w:eastAsia="IRNazanin"/>
          <w:color w:val="111111"/>
          <w:sz w:val="28"/>
          <w:sz w:val="28"/>
          <w:szCs w:val="28"/>
          <w:rtl w:val="true"/>
          <w:lang w:bidi="fa-IR"/>
        </w:rPr>
        <w:t xml:space="preserve">وبالاستحباب اُخری </w:t>
      </w:r>
      <w:r>
        <w:rPr>
          <w:rStyle w:val="FootnoteAnchor"/>
          <w:rtl w:val="true"/>
        </w:rPr>
        <w:footnoteReference w:id="966"/>
      </w:r>
      <w:r>
        <w:rPr>
          <w:rFonts w:ascii="IRNazanin" w:hAnsi="IRNazanin" w:eastAsia="IRNazanin"/>
          <w:color w:val="111111"/>
          <w:sz w:val="28"/>
          <w:sz w:val="28"/>
          <w:szCs w:val="28"/>
          <w:rtl w:val="true"/>
          <w:lang w:bidi="fa-IR"/>
        </w:rPr>
        <w:t>نظراً إلی إجماعهم علی عدم وجوبها حینئذٍ عیناً، وإنّما تجب علی تقدیره تخییراً بینها وبین الظهر، لکنّها عندهم أفضل من الظهر، وهو معنی الاستحباب، بمعنی أ نّها واجبةٌ تخییراً مستحبّةٌ عیناً، کما فی جمیع أفراد الواجب المخیَّر إذا کان بعضها راجحاً علی الباقی، وعلی هذا ینوی بها الوجوب وتُجزئ عن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یحصل الالتباس فی کلامهم بسبب ذلک حیث یشترطون الإمامَ أو نائبَه فی الوجوب إجماعاً، ثمّ یذکرون حال الغیبة ویختلفون فی حکمها فیها، فیوهم أنّ الإجماع المذکور یقتضی عدمَ جوازها حینئذٍ بدون الفقیه، والحال أ نّها فی حال الغیبة لا تجب عندهم عیناً، وذلک شرط الواجب العینی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ذهب جماعةٌ من الأصحاب إلی عدم جوازها حال الغیبة </w:t>
      </w:r>
      <w:r>
        <w:rPr>
          <w:rStyle w:val="FootnoteAnchor"/>
          <w:rtl w:val="true"/>
        </w:rPr>
        <w:footnoteReference w:id="967"/>
      </w:r>
      <w:r>
        <w:rPr>
          <w:rFonts w:ascii="IRNazanin" w:hAnsi="IRNazanin" w:eastAsia="IRNazanin"/>
          <w:color w:val="111111"/>
          <w:sz w:val="28"/>
          <w:sz w:val="28"/>
          <w:szCs w:val="28"/>
          <w:rtl w:val="true"/>
          <w:lang w:bidi="fa-IR"/>
        </w:rPr>
        <w:t>لفقد الشرط المذکور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ویُضعَّف بمنع عدم حصول الشرط أوّلاً؛ لإمکانه بحضور الفقیه، ومنع اشتراطه ثانیاً؛ لعدم الدلیل علیه من جهة النصّ فیما علمناه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یظهر من جعل مستنده الإجماع فإنّما هو علی تقدیر الحضور، أمّا فی حال الغیبة فهو محلّ النزاع فلا یُجعل دلیلاً فیه، مع إطلاق القرآن الکریم </w:t>
      </w:r>
      <w:r>
        <w:rPr>
          <w:rStyle w:val="FootnoteAnchor"/>
          <w:rtl w:val="true"/>
        </w:rPr>
        <w:footnoteReference w:id="968"/>
      </w:r>
      <w:r>
        <w:rPr>
          <w:rFonts w:ascii="IRNazanin" w:hAnsi="IRNazanin" w:eastAsia="IRNazanin"/>
          <w:color w:val="111111"/>
          <w:sz w:val="28"/>
          <w:sz w:val="28"/>
          <w:szCs w:val="28"/>
          <w:rtl w:val="true"/>
          <w:lang w:bidi="fa-IR"/>
        </w:rPr>
        <w:t xml:space="preserve">بالحثّ العظیم المؤکَّد بوجوهٍ کثیرة، مضافاً إلی النصوص المتضافرة علی وجوبها بغیر الشرط المذکور، بل فی بعضها ما یدلّ علی عدمه </w:t>
      </w:r>
      <w:r>
        <w:rPr>
          <w:rStyle w:val="FootnoteAnchor"/>
          <w:rtl w:val="true"/>
        </w:rPr>
        <w:footnoteReference w:id="969"/>
      </w:r>
      <w:r>
        <w:rPr>
          <w:rFonts w:ascii="IRNazanin" w:hAnsi="IRNazanin" w:eastAsia="IRNazanin"/>
          <w:color w:val="111111"/>
          <w:sz w:val="28"/>
          <w:sz w:val="28"/>
          <w:szCs w:val="28"/>
          <w:rtl w:val="true"/>
          <w:lang w:bidi="fa-IR"/>
        </w:rPr>
        <w:t>نعم، یعتبر اجتماع باقی الشرائط، ومنه الصلاة علی الأئمة ولو إجمالاً، ولا ینافیه ذکرُ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دعواهم الإجماع علی عدم الوجوب العینی </w:t>
      </w:r>
      <w:r>
        <w:rPr>
          <w:rStyle w:val="FootnoteAnchor"/>
          <w:rtl w:val="true"/>
        </w:rPr>
        <w:footnoteReference w:id="970"/>
      </w:r>
      <w:r>
        <w:rPr>
          <w:rFonts w:ascii="IRNazanin" w:hAnsi="IRNazanin" w:eastAsia="IRNazanin"/>
          <w:color w:val="111111"/>
          <w:sz w:val="28"/>
          <w:sz w:val="28"/>
          <w:szCs w:val="28"/>
          <w:rtl w:val="true"/>
          <w:lang w:bidi="fa-IR"/>
        </w:rPr>
        <w:t>لکان القول به فی غایة القوّة، فلا أقلّ من التخییری مع رجحان الجمعة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وتعبیر المصنّف وغیره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الاجتماع علی إمام عدل؛ لأنّ ذلک لم یتّفق فی زمن ظهور الأئمة غالباً، وهو السرُّ فی عدم اجتزائهم بها عن الظهر مع ما نُقل من تمام محافظتهم علیها </w:t>
      </w:r>
      <w:r>
        <w:rPr>
          <w:rStyle w:val="FootnoteAnchor"/>
          <w:rtl w:val="true"/>
        </w:rPr>
        <w:footnoteReference w:id="971"/>
      </w:r>
      <w:r>
        <w:rPr>
          <w:rFonts w:ascii="IRNazanin" w:hAnsi="IRNazanin" w:eastAsia="IRNazanin"/>
          <w:color w:val="111111"/>
          <w:sz w:val="28"/>
          <w:sz w:val="28"/>
          <w:szCs w:val="28"/>
          <w:rtl w:val="true"/>
          <w:lang w:bidi="fa-IR"/>
        </w:rPr>
        <w:t xml:space="preserve">ومن ذلک سری الوهم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واجتماع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أحدهم الإمام فی الأصحّ </w:t>
      </w:r>
      <w:r>
        <w:rPr>
          <w:rStyle w:val="FootnoteAnchor"/>
          <w:rtl w:val="true"/>
        </w:rPr>
        <w:footnoteReference w:id="973"/>
      </w:r>
      <w:r>
        <w:rPr>
          <w:rFonts w:ascii="IRNazanin" w:hAnsi="IRNazanin" w:eastAsia="IRNazanin"/>
          <w:color w:val="111111"/>
          <w:sz w:val="28"/>
          <w:sz w:val="28"/>
          <w:szCs w:val="28"/>
          <w:rtl w:val="true"/>
          <w:lang w:bidi="fa-IR"/>
        </w:rPr>
        <w:t>وهذا یشمل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وهو الخمسة فی أصحّ القولین لصحّة مستنده </w:t>
      </w:r>
      <w:r>
        <w:rPr>
          <w:rStyle w:val="FootnoteAnchor"/>
          <w:rtl w:val="true"/>
        </w:rPr>
        <w:footnoteReference w:id="97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w:t>
      </w:r>
      <w:r>
        <w:rPr>
          <w:rStyle w:val="FootnoteAnchor"/>
          <w:rtl w:val="true"/>
        </w:rPr>
        <w:footnoteReference w:id="975"/>
      </w:r>
      <w:r>
        <w:rPr>
          <w:rFonts w:ascii="Amiri" w:hAnsi="Amiri" w:eastAsia="Amiri" w:cs="Amiri"/>
          <w:color w:val="111111"/>
          <w:sz w:val="28"/>
          <w:sz w:val="28"/>
          <w:szCs w:val="28"/>
          <w:rtl w:val="true"/>
          <w:lang w:bidi="ar-SA"/>
        </w:rPr>
        <w:t>ویشترط کونهم ذکوراً أحراراً مکلَّفین مقیمین، سالمین من المرضِ والبُعدِ المُسقِطَین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 ما 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بأن یأتمّوا بإمام منهم، فلا تصحّ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یُشترطان فی الابتداء لا فی الاستدامة، فلو انفضّ العددُ بعدَ تحرّم </w:t>
      </w:r>
      <w:r>
        <w:rPr>
          <w:rStyle w:val="FootnoteAnchor"/>
          <w:rtl w:val="true"/>
        </w:rPr>
        <w:footnoteReference w:id="976"/>
      </w:r>
      <w:r>
        <w:rPr>
          <w:rFonts w:ascii="IRNazanin" w:hAnsi="IRNazanin" w:eastAsia="IRNazanin"/>
          <w:color w:val="111111"/>
          <w:sz w:val="28"/>
          <w:sz w:val="28"/>
          <w:szCs w:val="28"/>
          <w:rtl w:val="true"/>
          <w:lang w:bidi="fa-IR"/>
        </w:rPr>
        <w:t>الإمام أتمّ الباقون ولو فُرادی مع عدم حضور من ینعقد به الجماعة، وقبلَه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العود فی أثناء الخطبة یُعاد ما فات من أرکانها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والخنثی، للشکّ فی ذکوریّته الذی هو </w:t>
      </w:r>
      <w:r>
        <w:rPr>
          <w:rStyle w:val="FootnoteAnchor"/>
          <w:rtl w:val="true"/>
        </w:rPr>
        <w:footnoteReference w:id="977"/>
      </w:r>
      <w:r>
        <w:rPr>
          <w:rFonts w:ascii="IRNazanin" w:hAnsi="IRNazanin" w:eastAsia="IRNazanin"/>
          <w:color w:val="111111"/>
          <w:sz w:val="28"/>
          <w:sz w:val="28"/>
          <w:szCs w:val="28"/>
          <w:rtl w:val="true"/>
          <w:lang w:bidi="fa-IR"/>
        </w:rPr>
        <w:t>شرط الوجوب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مبعَّضاً واتّفقت فی نوبته، مهایاً </w:t>
      </w:r>
      <w:r>
        <w:rPr>
          <w:rStyle w:val="FootnoteAnchor"/>
          <w:rtl w:val="true"/>
        </w:rPr>
        <w:footnoteReference w:id="978"/>
      </w:r>
      <w:r>
        <w:rPr>
          <w:rFonts w:ascii="Amiri" w:hAnsi="Amiri" w:eastAsia="Amiri" w:cs="Amiri"/>
          <w:color w:val="111111"/>
          <w:sz w:val="28"/>
          <w:sz w:val="28"/>
          <w:szCs w:val="28"/>
          <w:rtl w:val="true"/>
          <w:lang w:bidi="ar-SA"/>
        </w:rPr>
        <w:t>أم مدبَّراً أم مکاتَباً</w:t>
      </w:r>
    </w:p>
    <w:p>
      <w:pPr>
        <w:pStyle w:val="BookText"/>
        <w:rPr/>
      </w:pPr>
      <w:r>
        <w:rPr>
          <w:rFonts w:ascii="IRNazanin" w:hAnsi="IRNazanin" w:eastAsia="IRNazanin"/>
          <w:color w:val="111111"/>
          <w:sz w:val="28"/>
          <w:sz w:val="28"/>
          <w:szCs w:val="28"/>
          <w:rtl w:val="true"/>
          <w:lang w:bidi="fa-IR"/>
        </w:rPr>
        <w:t xml:space="preserve">لم یؤدِّ جمیع مال الکتابة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یلزمه القصر فی سفره، فالعاصی به وکثیرُه وناوی إقامة عشرةٍ کالمقیم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الکبیر الذی یعجز عن حضورها أو یشقّ علیه مشقّة لا تُتحمّل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قائداً أو کان قریباً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عَرَجُه حدَّ الإقعاد أو الموجب لمشقّة الحضور کالهِمِّ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عن موضعٍ تُقام فیه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بأزید من 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 نّه یتعذّر علیه إقامتها عنده أو فیما دون فرسخ</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تنعقد جمعتان فی أقلّ من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 من یشتمل علیه الفرسخ الاجتماع علی جمعةٍ واحدة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یختصّ الحضور بقومٍ إلّاأن یکون الإمام فیهم </w:t>
      </w:r>
      <w:r>
        <w:rPr>
          <w:rStyle w:val="FootnoteAnchor"/>
          <w:rtl w:val="true"/>
        </w:rPr>
        <w:footnoteReference w:id="980"/>
      </w:r>
      <w:r>
        <w:rPr>
          <w:rFonts w:ascii="IRNazanin" w:hAnsi="IRNazanin" w:eastAsia="IRNazanin"/>
          <w:color w:val="111111"/>
          <w:sz w:val="28"/>
          <w:sz w:val="28"/>
          <w:szCs w:val="28"/>
          <w:rtl w:val="true"/>
          <w:lang w:bidi="fa-IR"/>
        </w:rPr>
        <w:t>فمتی أخلّوا به أثموا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هذا الشرط وما قبله أنّ مَن بَعُد عنها بدون فرسخ یتعیّن علیه الحضور، ومن زاد عنه إلی فرسخین یتخیّر بینه وبین إقامتها عنده، ومن زاد عنهما یجب إقامتُها عنده أو فیما دون الفرسخ مع الإمکان، وإلّا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صلّوا أزیدَ من جمعةٍ فی ما دون الفرسخ صحّت السابقة خاصّة، ویعید اللاحقة ظهراً، وکذا المشتبهة </w:t>
      </w:r>
      <w:r>
        <w:rPr>
          <w:rStyle w:val="FootnoteAnchor"/>
          <w:rtl w:val="true"/>
        </w:rPr>
        <w:footnoteReference w:id="981"/>
      </w:r>
      <w:r>
        <w:rPr>
          <w:rFonts w:ascii="IRNazanin" w:hAnsi="IRNazanin" w:eastAsia="IRNazanin"/>
          <w:color w:val="111111"/>
          <w:sz w:val="28"/>
          <w:sz w:val="28"/>
          <w:szCs w:val="28"/>
          <w:rtl w:val="true"/>
          <w:lang w:bidi="fa-IR"/>
        </w:rPr>
        <w:t>مع العلم به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اشتبه السبقُ والاقتران وجب إعادة الجمعة مع بقاء وقتها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مجتمعین أو متفرّقین بالمعتبر </w:t>
      </w:r>
      <w:r>
        <w:rPr>
          <w:rStyle w:val="FootnoteAnchor"/>
          <w:rtl w:val="true"/>
        </w:rPr>
        <w:footnoteReference w:id="982"/>
      </w:r>
      <w:r>
        <w:rPr>
          <w:rFonts w:ascii="IRNazanin" w:hAnsi="IRNazanin" w:eastAsia="IRNazanin"/>
          <w:color w:val="111111"/>
          <w:sz w:val="28"/>
          <w:sz w:val="28"/>
          <w:szCs w:val="28"/>
          <w:rtl w:val="true"/>
          <w:lang w:bidi="fa-IR"/>
        </w:rPr>
        <w:t>والظهرِ مع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مسافةٍ أو الموجب تفویتَها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 علی المکلّف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لتفویته الواجبَ وإن أمکنه إقامتُها فی طریقه؛ لأنّ تجویزه علی تقدیره دوریٌّ </w:t>
      </w:r>
      <w:r>
        <w:rPr>
          <w:rStyle w:val="FootnoteAnchor"/>
          <w:rtl w:val="true"/>
        </w:rPr>
        <w:footnoteReference w:id="983"/>
      </w:r>
      <w:r>
        <w:rPr>
          <w:rFonts w:ascii="IRNazanin" w:hAnsi="IRNazanin" w:eastAsia="IRNazanin"/>
          <w:color w:val="111111"/>
          <w:sz w:val="28"/>
          <w:sz w:val="28"/>
          <w:szCs w:val="28"/>
          <w:rtl w:val="true"/>
          <w:lang w:bidi="fa-IR"/>
        </w:rPr>
        <w:t>نعم، یکفی ذلک فی سفرٍ قصیرٍ لا یُقصَّر فیه، مع احتمال الجواز فیما لا قصرَ فیه مطلقاً؛ لعدم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المنع فی السفر الطویل یکون عاصیاً به إلی محلٍّ لا یمکنه فیه العود إلیها، فتُعتبر المسافة حینئذٍ</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اضطرّ إلیه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 حیث یفوت الرِفقَة، أو الجهاد حیث لا یحتمل الحال 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عقلاً بأداء التخلّف إلی فوات غرضٍ یضرّ به فواتُه لم یحرم، والتحریم علی تقدیره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سافروا کذلک فخُسف بهم، وآخرون اضطرم علیهم خباؤهم من غیر أن یروا ناراً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ویزاد فی نافلتها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غیرها من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إلی نافلة الظهرین یصیر الجمیع عشرین، کلّها للجمعة فیها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والأفضل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متفرّقة </w:t>
      </w:r>
      <w:r>
        <w:rPr>
          <w:rStyle w:val="FootnoteAnchor"/>
          <w:rtl w:val="true"/>
        </w:rPr>
        <w:footnoteReference w:id="986"/>
      </w:r>
      <w:r>
        <w:rPr>
          <w:rFonts w:ascii="IRNazanin" w:hAnsi="IRNazanin" w:eastAsia="IRNazanin"/>
          <w:color w:val="111111"/>
          <w:sz w:val="28"/>
          <w:sz w:val="28"/>
          <w:szCs w:val="28"/>
          <w:rtl w:val="true"/>
          <w:lang w:bidi="fa-IR"/>
        </w:rPr>
        <w:t xml:space="preserve">ستّاً 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الأوقات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المعهودة،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الشمس بمقدار ما یذهب شعاعها، وارتفاعُها وقیامها وسطَ النهار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الباقیتان من العشرین عن الأوقات الثلاثة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علی الأفضل، أو قبلَه بیسیرٍ علی روایة </w:t>
      </w:r>
      <w:r>
        <w:rPr>
          <w:rStyle w:val="FootnoteAnchor"/>
          <w:rtl w:val="true"/>
        </w:rPr>
        <w:footnoteReference w:id="987"/>
      </w:r>
      <w:r>
        <w:rPr>
          <w:rFonts w:ascii="IRNazanin" w:hAnsi="IRNazanin" w:eastAsia="IRNazanin"/>
          <w:color w:val="111111"/>
          <w:sz w:val="28"/>
          <w:sz w:val="28"/>
          <w:szCs w:val="28"/>
          <w:rtl w:val="true"/>
          <w:lang w:bidi="fa-IR"/>
        </w:rPr>
        <w:t>ودون بسطها کذلک جعلُ ستّ الانبساط بین الفرضین، ودونَه فعلُها أجمع یومَ الجمعة کیف اتّفق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الرکعة الاُولی یسجد بعد قیامهم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یتمکّن منه إلی أن سجد الإمام فی الثانیة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مع ثانیة الإمام نوی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یسجد لها بعدُ، أو یُطلق فتنصرفان إلی 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نوی بهما الثانیة بطلت الصلاة؛ لزیادة الرکن فی غیر محلّه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زُوحم عن رکوع الاُولی وسجودها، فإن لم یدرکهما مع ثانیة الإمام فاتت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لاشتراط إدراک رکعةٍ منها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واستأنف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العدول؛ لانعقادها صحیحةً والنهی عن قطعها مع إمکان صحّتها</w:t>
      </w:r>
      <w:r>
        <w:rPr>
          <w:rFonts w:eastAsia="IRNazanin" w:cs="IRNazanin"/>
          <w:color w:val="111111"/>
          <w:sz w:val="28"/>
          <w:szCs w:val="28"/>
          <w:rtl w:val="true"/>
          <w:lang w:bidi="fa-IR"/>
        </w:rPr>
        <w:t>.</w:t>
      </w:r>
      <w:bookmarkStart w:id="284" w:name="pg19806_203469"/>
    </w:p>
    <w:p>
      <w:pPr>
        <w:pStyle w:val="Heading4"/>
        <w:numPr>
          <w:ilvl w:val="3"/>
          <w:numId w:val="1"/>
        </w:numPr>
        <w:rPr/>
      </w:pPr>
      <w:bookmarkStart w:id="285" w:name="__RefHeading___Toc2027915_2314609296"/>
      <w:bookmarkStart w:id="286" w:name="_Toc105"/>
      <w:bookmarkEnd w:id="284"/>
      <w:bookmarkEnd w:id="285"/>
      <w:r>
        <w:rPr>
          <w:rtl w:val="true"/>
        </w:rPr>
        <w:t>«</w:t>
      </w:r>
      <w:r>
        <w:rPr>
          <w:rtl w:val="true"/>
        </w:rPr>
        <w:t>صلاة</w:t>
      </w:r>
      <w:r>
        <w:rPr>
          <w:rtl w:val="true"/>
        </w:rPr>
        <w:t xml:space="preserve">: </w:t>
      </w:r>
      <w:r>
        <w:rPr>
          <w:rtl w:val="true"/>
        </w:rPr>
        <w:t>صلاة العیدین</w:t>
      </w:r>
      <w:r>
        <w:rPr>
          <w:rtl w:val="true"/>
        </w:rPr>
        <w:t>»</w:t>
      </w:r>
      <w:bookmarkEnd w:id="286"/>
    </w:p>
    <w:p>
      <w:pPr>
        <w:pStyle w:val="BookText"/>
        <w:rPr/>
      </w:pPr>
      <w:r>
        <w:rPr>
          <w:rFonts w:ascii="IRNazanin" w:hAnsi="IRNazanin" w:eastAsia="IRNazanin"/>
          <w:color w:val="111111"/>
          <w:sz w:val="28"/>
          <w:sz w:val="28"/>
          <w:szCs w:val="28"/>
          <w:rtl w:val="true"/>
          <w:lang w:bidi="fa-IR"/>
        </w:rPr>
        <w:t xml:space="preserve">واحدهما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عوائد اللّٰه تعالی فیه علی عباده وعود السرور والرحمة بعوده، ویاؤه منقلبة عن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قیاس؛ لأنّ الجمع یُردّ إلی الأصل، والتزموه کذلک، للزوم الیاء فی مفرده وتمیّزه عن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العیدین وجوباً عینیّاً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التخییریّة فکاختلال الشرائط؛ لعدم إمکان التخییر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والخطبتان </w:t>
      </w:r>
      <w:r>
        <w:rPr>
          <w:rStyle w:val="FootnoteAnchor"/>
          <w:rtl w:val="true"/>
        </w:rPr>
        <w:footnoteReference w:id="988"/>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وقتَها، وهو ما بین طلوع الشمس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رکعتان کالجمعة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فیها التکبیر زائداً عن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تکبیرة الإحرام وتکبیر 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وأربعاً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القراءة فیهما فی المشهور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والقنوت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التجوّز وإلّا فهو بعد کلّ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التکبیر والقنوت جزءان منها، فیجب حیث تجب، ویُسنّ حیث تُسنّ، فتبطل بالإخلال بهما عمداً علی التقدیرین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أهل الکبریاء</w:t>
      </w:r>
    </w:p>
    <w:p>
      <w:pPr>
        <w:pStyle w:val="BookText"/>
        <w:rPr/>
      </w:pPr>
      <w:r>
        <w:rPr>
          <w:rFonts w:ascii="Amiri" w:hAnsi="Amiri" w:eastAsia="Amiri" w:cs="Amiri"/>
          <w:color w:val="111111"/>
          <w:sz w:val="28"/>
          <w:sz w:val="28"/>
          <w:szCs w:val="28"/>
          <w:rtl w:val="true"/>
          <w:lang w:bidi="ar-SA"/>
        </w:rPr>
        <w:t>والعظمة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ویجوز بغیره وبما سنح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اختلال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جماعةً وفُرادی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حینئذٍ تباعد العیدین بفرسخ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استحبابها تصلّی فرادی خاصّةً </w:t>
      </w:r>
      <w:r>
        <w:rPr>
          <w:rStyle w:val="FootnoteAnchor"/>
          <w:rtl w:val="true"/>
        </w:rPr>
        <w:footnoteReference w:id="991"/>
      </w:r>
      <w:r>
        <w:rPr>
          <w:rFonts w:ascii="IRNazanin" w:hAnsi="IRNazanin" w:eastAsia="IRNazanin"/>
          <w:color w:val="111111"/>
          <w:sz w:val="28"/>
          <w:sz w:val="28"/>
          <w:szCs w:val="28"/>
          <w:rtl w:val="true"/>
          <w:lang w:bidi="fa-IR"/>
        </w:rPr>
        <w:t>وتسقط الخطبة فی الفرادی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وقتها لعذرٍ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أشهر القولین؛ للنصّ </w:t>
      </w:r>
      <w:r>
        <w:rPr>
          <w:rStyle w:val="FootnoteAnchor"/>
          <w:rtl w:val="true"/>
        </w:rPr>
        <w:footnoteReference w:id="992"/>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کما فاتت </w:t>
      </w:r>
      <w:r>
        <w:rPr>
          <w:rStyle w:val="FootnoteAnchor"/>
          <w:rtl w:val="true"/>
        </w:rPr>
        <w:footnoteReference w:id="99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مفصولة </w:t>
      </w:r>
      <w:r>
        <w:rPr>
          <w:rStyle w:val="FootnoteAnchor"/>
          <w:rtl w:val="true"/>
        </w:rPr>
        <w:footnoteReference w:id="99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w:t>
      </w:r>
      <w:r>
        <w:rPr>
          <w:rStyle w:val="FootnoteAnchor"/>
          <w:rtl w:val="true"/>
        </w:rPr>
        <w:footnoteReference w:id="995"/>
      </w:r>
      <w:r>
        <w:rPr>
          <w:rFonts w:ascii="IRNazanin" w:hAnsi="IRNazanin" w:eastAsia="IRNazanin"/>
          <w:color w:val="111111"/>
          <w:sz w:val="28"/>
          <w:sz w:val="28"/>
          <w:szCs w:val="28"/>
          <w:rtl w:val="true"/>
          <w:lang w:bidi="fa-IR"/>
        </w:rPr>
        <w:t xml:space="preserve">وهو ضعیف المأخذ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الإصحار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الاختیار للاتّباع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فمسجدها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حرف المضارعة فسکون الطاء ففتح العین،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بکسرها کعَلِم، أی یأکل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 قبل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الأضحی بعد عوده من اُضحیّته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وتشدید الیاء؛ للاتّباع </w:t>
      </w:r>
      <w:r>
        <w:rPr>
          <w:rStyle w:val="FootnoteAnchor"/>
          <w:rtl w:val="true"/>
        </w:rPr>
        <w:footnoteReference w:id="998"/>
      </w:r>
      <w:r>
        <w:rPr>
          <w:rFonts w:ascii="IRNazanin" w:hAnsi="IRNazanin" w:eastAsia="IRNazanin"/>
          <w:color w:val="111111"/>
          <w:sz w:val="28"/>
          <w:sz w:val="28"/>
          <w:szCs w:val="28"/>
          <w:rtl w:val="true"/>
          <w:lang w:bidi="fa-IR"/>
        </w:rPr>
        <w:t>والفرق 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الفَطرُ فی الفطر علی الحُلو؛ للاتّباع </w:t>
      </w:r>
      <w:r>
        <w:rPr>
          <w:rStyle w:val="FootnoteAnchor"/>
          <w:rtl w:val="true"/>
        </w:rPr>
        <w:footnoteReference w:id="999"/>
      </w:r>
      <w:r>
        <w:rPr>
          <w:rFonts w:ascii="IRNazanin" w:hAnsi="IRNazanin" w:eastAsia="IRNazanin"/>
          <w:color w:val="111111"/>
          <w:sz w:val="28"/>
          <w:sz w:val="28"/>
          <w:szCs w:val="28"/>
          <w:rtl w:val="true"/>
          <w:lang w:bidi="fa-IR"/>
        </w:rPr>
        <w:t>وما روی شاذّاً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الإفطار فیه علی التربة المشرّفة </w:t>
      </w:r>
      <w:r>
        <w:rPr>
          <w:rStyle w:val="FootnoteAnchor"/>
          <w:rtl w:val="true"/>
        </w:rPr>
        <w:footnoteReference w:id="1000"/>
      </w:r>
      <w:r>
        <w:rPr>
          <w:rFonts w:ascii="Amiri" w:hAnsi="Amiri" w:eastAsia="Amiri" w:cs="Amiri"/>
          <w:color w:val="111111"/>
          <w:sz w:val="28"/>
          <w:sz w:val="28"/>
          <w:szCs w:val="28"/>
          <w:rtl w:val="true"/>
          <w:lang w:bidi="ar-SA"/>
        </w:rPr>
        <w:t>محمولٌ علی العلّة جمعاً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ویُکرَه التنفّل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القبلیّة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الزوال بخصوصه للإمام والمأموم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إلّابمسجد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یُستحبّ أن یقصده الخارج إلیها ویُصلّی به رکعتین قبل خروجه؛ للاتّباع </w:t>
      </w:r>
      <w:r>
        <w:rPr>
          <w:rStyle w:val="FootnoteAnchor"/>
          <w:rtl w:val="true"/>
        </w:rPr>
        <w:footnoteReference w:id="1002"/>
      </w:r>
      <w:r>
        <w:rPr>
          <w:rFonts w:ascii="IRNazanin" w:hAnsi="IRNazanin" w:eastAsia="IRNazanin"/>
          <w:color w:val="111111"/>
          <w:sz w:val="28"/>
          <w:sz w:val="28"/>
          <w:szCs w:val="28"/>
          <w:rtl w:val="true"/>
          <w:lang w:bidi="fa-IR"/>
        </w:rPr>
        <w:t>نعم، لو صلّیت فی المساجد لعذرٍ أو غیره استُحبّ صلاة التحیّة للداخل وإن کان مسبوقاً والإمام یخطب؛ لفوات الصلاة المُسقط للمتابعة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1003"/>
      </w:r>
      <w:r>
        <w:rPr>
          <w:rFonts w:ascii="IRNazanin" w:hAnsi="IRNazanin" w:eastAsia="IRNazanin"/>
          <w:color w:val="111111"/>
          <w:sz w:val="28"/>
          <w:sz w:val="28"/>
          <w:szCs w:val="28"/>
          <w:rtl w:val="true"/>
          <w:lang w:bidi="fa-IR"/>
        </w:rPr>
        <w:t xml:space="preserve">للأمر به </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الفِطر عقیبَ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المغرب لیلَتَه، وفی الأضحی عقیبَ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للناسک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ظهر النحر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وآخرها صبح آخر التشریق، أو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 بعضُ هذه الصلوات کبَّر مع قضائها، ولو نسی التکبیر خاصّة أتی به حیث 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أکبر، اللّٰه أکبر لا إله إلّااللّٰه واللّٰه أکبر، اللّٰه أکبرُ </w:t>
      </w:r>
      <w:r>
        <w:rPr>
          <w:rStyle w:val="FootnoteAnchor"/>
          <w:rtl w:val="true"/>
        </w:rPr>
        <w:footnoteReference w:id="1006"/>
      </w:r>
      <w:r>
        <w:rPr>
          <w:rFonts w:ascii="IRNazanin" w:hAnsi="IRNazanin" w:eastAsia="IRNazanin"/>
          <w:color w:val="111111"/>
          <w:sz w:val="28"/>
          <w:sz w:val="28"/>
          <w:szCs w:val="28"/>
          <w:rtl w:val="true"/>
          <w:lang w:bidi="fa-IR"/>
        </w:rPr>
        <w:t>علی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ما رزقنا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فیهما غیرُ ذلک بزیادةٍ ونقصان </w:t>
      </w:r>
      <w:r>
        <w:rPr>
          <w:rStyle w:val="FootnoteAnchor"/>
          <w:rtl w:val="true"/>
        </w:rPr>
        <w:footnoteReference w:id="1007"/>
      </w:r>
      <w:r>
        <w:rPr>
          <w:rFonts w:ascii="Amiri" w:hAnsi="Amiri" w:eastAsia="Amiri" w:cs="Amiri"/>
          <w:color w:val="111111"/>
          <w:sz w:val="28"/>
          <w:sz w:val="28"/>
          <w:szCs w:val="28"/>
          <w:rtl w:val="true"/>
          <w:lang w:bidi="ar-SA"/>
        </w:rPr>
        <w:t xml:space="preserve">وفی الدروس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واللّٰه أکبر، الحمد للّٰه‌علی ما هدانا وله الشکر علی ما أولانا</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والکلّ جائزٌ، وذکر اللّٰه حسنٌ علی کلّ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اتّفق عیدٌ وجمعةٌ تخیّر القرویُّ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حضرها </w:t>
      </w:r>
      <w:r>
        <w:rPr>
          <w:rStyle w:val="FootnoteAnchor"/>
          <w:rtl w:val="true"/>
        </w:rPr>
        <w:footnoteReference w:id="1009"/>
      </w:r>
      <w:r>
        <w:rPr>
          <w:rFonts w:ascii="IRNazanin" w:hAnsi="IRNazanin" w:eastAsia="IRNazanin"/>
          <w:color w:val="111111"/>
          <w:sz w:val="28"/>
          <w:sz w:val="28"/>
          <w:szCs w:val="28"/>
          <w:rtl w:val="true"/>
          <w:lang w:bidi="fa-IR"/>
        </w:rPr>
        <w:t xml:space="preserve">فی البلد من قریته قریبةً کانت أم بعیدةً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حضور العید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فیصلّیها واجباً، وعدمه فتسقط ویصلّی الظهر، فیکون وجوبها علیه تخییریّاً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عموم التخییر لغیر الإمام، وهو الذی اختاره المصنّف فی غیره </w:t>
      </w:r>
      <w:r>
        <w:rPr>
          <w:rStyle w:val="FootnoteAnchor"/>
          <w:rtl w:val="true"/>
        </w:rPr>
        <w:footnoteReference w:id="1010"/>
      </w:r>
      <w:bookmarkStart w:id="287" w:name="pg19806_203473"/>
    </w:p>
    <w:p>
      <w:pPr>
        <w:pStyle w:val="BookText"/>
        <w:rPr/>
      </w:pPr>
      <w:bookmarkEnd w:id="287"/>
      <w:r>
        <w:rPr>
          <w:rFonts w:ascii="IRNazanin" w:hAnsi="IRNazanin" w:eastAsia="IRNazanin"/>
          <w:color w:val="111111"/>
          <w:sz w:val="28"/>
          <w:sz w:val="28"/>
          <w:szCs w:val="28"/>
          <w:rtl w:val="true"/>
          <w:lang w:bidi="fa-IR"/>
        </w:rPr>
        <w:t>أمّا هو فیجب علیه الحضور، فإن تمّت الشرائط صلّاها، وإلّا سقطت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له إعلام الناس بذلک فی خطبة العید</w:t>
      </w:r>
      <w:r>
        <w:rPr>
          <w:rFonts w:eastAsia="IRNazanin" w:cs="IRNazanin"/>
          <w:color w:val="111111"/>
          <w:sz w:val="28"/>
          <w:szCs w:val="28"/>
          <w:rtl w:val="true"/>
          <w:lang w:bidi="fa-IR"/>
        </w:rPr>
        <w:t>.</w:t>
      </w:r>
    </w:p>
    <w:p>
      <w:pPr>
        <w:pStyle w:val="Heading4"/>
        <w:numPr>
          <w:ilvl w:val="3"/>
          <w:numId w:val="1"/>
        </w:numPr>
        <w:rPr/>
      </w:pPr>
      <w:bookmarkStart w:id="288" w:name="__RefHeading___Toc2027917_2314609296"/>
      <w:bookmarkStart w:id="289" w:name="_Toc106"/>
      <w:bookmarkEnd w:id="288"/>
      <w:r>
        <w:rPr>
          <w:rtl w:val="true"/>
        </w:rPr>
        <w:t xml:space="preserve">صلاة </w:t>
      </w:r>
      <w:r>
        <w:rPr>
          <w:rtl w:val="true"/>
        </w:rPr>
        <w:t>«</w:t>
      </w:r>
      <w:r>
        <w:rPr>
          <w:rtl w:val="true"/>
        </w:rPr>
        <w:t>الآیات</w:t>
      </w:r>
      <w:r>
        <w:rPr>
          <w:rtl w:val="true"/>
        </w:rPr>
        <w:t>»</w:t>
      </w:r>
      <w:bookmarkEnd w:id="289"/>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العلامة، سُمّیت بذلک الأسباب المذکورة؛ لأنّها علامات علی أهوال الساعة وأخاویفها وزلازلها وتکویر الشمس والقمر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التی تجب لها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الشمس وخسوفُ القمر، ثنّاهما </w:t>
      </w:r>
      <w:r>
        <w:rPr>
          <w:rStyle w:val="FootnoteAnchor"/>
          <w:rtl w:val="true"/>
        </w:rPr>
        <w:footnoteReference w:id="1011"/>
      </w:r>
      <w:r>
        <w:rPr>
          <w:rFonts w:ascii="IRNazanin" w:hAnsi="IRNazanin" w:eastAsia="IRNazanin"/>
          <w:color w:val="111111"/>
          <w:sz w:val="28"/>
          <w:sz w:val="28"/>
          <w:szCs w:val="28"/>
          <w:rtl w:val="true"/>
          <w:lang w:bidi="fa-IR"/>
        </w:rPr>
        <w:t xml:space="preserve">باسم أحدهما تغلیباً، أو لإطلاق الکسوف علیهما حقیقةً، کما یُطلق الخسوف علی الشمس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الذهنی، وهو الشائع من کسوف النیّرین دون باقی الکواکب أو انکساف الشمس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رجفة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والریحُ السوداء أو الصفراء، وکلُّ مخوّفٍ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کالظلمة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الصفراء المنفکّة عن الریح، والریح العاصفة زیادةً علی المعهود وإن انفکّت عن اللونین أو اتّصفت بلونٍ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أخاف معظمَ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الأخاویف إلی السماء باعتبار کون بعضها فیها، أو أراد بالسماء مطلق العلوّ، أو المنسوبة إلی خالق السماء ونحوه؛ لإطلاق نسبته إلی اللّٰه تعالی کثیراً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وجوبها للجمیع صحیحة زرارة عن الباقر علیه السلام </w:t>
      </w:r>
      <w:r>
        <w:rPr>
          <w:rStyle w:val="FootnoteAnchor"/>
          <w:rtl w:val="true"/>
        </w:rPr>
        <w:footnoteReference w:id="1013"/>
      </w:r>
      <w:r>
        <w:rPr>
          <w:rFonts w:ascii="Amiri" w:hAnsi="Amiri" w:eastAsia="Amiri" w:cs="Amiri"/>
          <w:color w:val="111111"/>
          <w:sz w:val="28"/>
          <w:sz w:val="28"/>
          <w:szCs w:val="28"/>
          <w:rtl w:val="true"/>
          <w:lang w:bidi="ar-SA"/>
        </w:rPr>
        <w:t>المفیدةُ للکلّ، وبها</w:t>
      </w:r>
    </w:p>
    <w:p>
      <w:pPr>
        <w:pStyle w:val="BookText"/>
        <w:rPr/>
      </w:pPr>
      <w:r>
        <w:rPr>
          <w:rFonts w:ascii="Amiri" w:hAnsi="Amiri" w:eastAsia="Amiri" w:cs="Amiri"/>
          <w:color w:val="111111"/>
          <w:sz w:val="28"/>
          <w:sz w:val="28"/>
          <w:szCs w:val="28"/>
          <w:rtl w:val="true"/>
          <w:lang w:bidi="ar-SA"/>
        </w:rPr>
        <w:t xml:space="preserve">یُضعَّف قول من خصّها بالکسوفین </w:t>
      </w:r>
      <w:r>
        <w:rPr>
          <w:rStyle w:val="FootnoteAnchor"/>
          <w:rtl w:val="true"/>
        </w:rPr>
        <w:footnoteReference w:id="1014"/>
      </w:r>
      <w:r>
        <w:rPr>
          <w:rFonts w:ascii="Amiri" w:hAnsi="Amiri" w:eastAsia="Amiri" w:cs="Amiri"/>
          <w:color w:val="111111"/>
          <w:sz w:val="28"/>
          <w:sz w:val="28"/>
          <w:szCs w:val="28"/>
          <w:rtl w:val="true"/>
          <w:lang w:bidi="ar-SA"/>
        </w:rPr>
        <w:t xml:space="preserve">أو أضاف إلیهما شیئاً مخصوصاً کالمصنِّف فی الألفیّة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الصلاة رکعتان فی کلّ رکعة سجدتان وخمس رکوعات وقیامات وقراءات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والتحریمة وقراءة الحمد وسورة، ثمّ الرکوع، ثمّ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منه إلی أن یصیر قائماً مطمئنّاً،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ویقرأهما هکذا خمساً، ثمّ یسجد سجدتین، ثمّ یقوم إلی الثانیة ویصنع کما صنع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بعض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رکوعٍ، ولا یحتاج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 إلّافی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اختار التبعیض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إکمال سورةٍ فی کلّ رکعةٍ مع الحمد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یقرأ فی الأوّل </w:t>
      </w:r>
      <w:r>
        <w:rPr>
          <w:rStyle w:val="FootnoteAnchor"/>
          <w:rtl w:val="true"/>
        </w:rPr>
        <w:footnoteReference w:id="1016"/>
      </w:r>
      <w:r>
        <w:rPr>
          <w:rFonts w:ascii="IRNazanin" w:hAnsi="IRNazanin" w:eastAsia="IRNazanin"/>
          <w:color w:val="111111"/>
          <w:sz w:val="28"/>
          <w:sz w:val="28"/>
          <w:szCs w:val="28"/>
          <w:rtl w:val="true"/>
          <w:lang w:bidi="fa-IR"/>
        </w:rPr>
        <w:t>الحمد وآیة، ثمّ یفرِّق الآیات علی باقی القیامات بحیث یُکملها فی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أتمّ مع الحمد فی رکعةٍ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قرأ فی کلّ قیام منها الحمدَ وسورةً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بل لو أتمّ السورةَ فی‌بعض الرکوعات وبعّض فی آخر جاز</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متی رکع عن سورةٍ تامّةٍ وجب فی القیام عنه الحمد ویتخیَّر بین إکمال سورة معها وتبعیضها، ومتی رکع عن بعض سورةٍ تخیّر فی القیام بعده بین القراءة من موضع القطع ومن غیره من السورة متقدّماً ومتأخّراً، ومن غیرها،</w:t>
      </w:r>
    </w:p>
    <w:p>
      <w:pPr>
        <w:pStyle w:val="BookText"/>
        <w:rPr/>
      </w:pPr>
      <w:r>
        <w:rPr>
          <w:rFonts w:ascii="IRNazanin" w:hAnsi="IRNazanin" w:eastAsia="IRNazanin"/>
          <w:color w:val="111111"/>
          <w:sz w:val="28"/>
          <w:sz w:val="28"/>
          <w:szCs w:val="28"/>
          <w:rtl w:val="true"/>
          <w:lang w:bidi="fa-IR"/>
        </w:rPr>
        <w:t>وتجب إعادة الحمد فیما عدا الأوّل، مع احتمال عدم الوجوب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مراعاة سورةٍ فصاعداً فی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سجد وجب إعادة الحمد سواء کان سجوده عن سورةٍ تامّةٍ أم بعضِ سورة کما لو کان قد أتمّ سورةً قبلَها فی الرکعة، ثمّ له أن یبنی علی ما مضی أو یشرع فی غیرها، فإن بنی علیها وجب سورة غیرها کاملةً فی جملة 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عقیب کلّ زوجٍ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القیامات تنزیلاً لها منزلة الرکعات، فَیَقْنت قبل الرکوع الثانی والرابع،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والتکبیرُ للرفع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الخامس والعاشر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تسمیع، وهو قرینة کونها غیر </w:t>
      </w:r>
      <w:r>
        <w:rPr>
          <w:rStyle w:val="FootnoteAnchor"/>
          <w:rtl w:val="true"/>
        </w:rPr>
        <w:footnoteReference w:id="1018"/>
      </w:r>
      <w:r>
        <w:rPr>
          <w:rFonts w:ascii="IRNazanin" w:hAnsi="IRNazanin" w:eastAsia="IRNazanin"/>
          <w:color w:val="111111"/>
          <w:sz w:val="28"/>
          <w:sz w:val="28"/>
          <w:szCs w:val="28"/>
          <w:rtl w:val="true"/>
          <w:lang w:bidi="fa-IR"/>
        </w:rPr>
        <w:t>رکعات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الخامس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تنزیلاً </w:t>
      </w:r>
      <w:r>
        <w:rPr>
          <w:rStyle w:val="FootnoteAnchor"/>
          <w:rtl w:val="true"/>
        </w:rPr>
        <w:footnoteReference w:id="1019"/>
      </w:r>
      <w:r>
        <w:rPr>
          <w:rFonts w:ascii="IRNazanin" w:hAnsi="IRNazanin" w:eastAsia="IRNazanin"/>
          <w:color w:val="111111"/>
          <w:sz w:val="28"/>
          <w:sz w:val="28"/>
          <w:szCs w:val="28"/>
          <w:rtl w:val="true"/>
          <w:lang w:bidi="fa-IR"/>
        </w:rPr>
        <w:t>للصلاة منزلة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ورد النصّ بما یوجب اشتباه حالها </w:t>
      </w:r>
      <w:r>
        <w:rPr>
          <w:rStyle w:val="FootnoteAnchor"/>
          <w:rtl w:val="true"/>
        </w:rPr>
        <w:footnoteReference w:id="1020"/>
      </w:r>
      <w:r>
        <w:rPr>
          <w:rFonts w:ascii="IRNazanin" w:hAnsi="IRNazanin" w:eastAsia="IRNazanin"/>
          <w:color w:val="111111"/>
          <w:sz w:val="28"/>
          <w:sz w:val="28"/>
          <w:szCs w:val="28"/>
          <w:rtl w:val="true"/>
          <w:lang w:bidi="fa-IR"/>
        </w:rPr>
        <w:t>ومن ثَمّ حصل الاشتباه لو شُکّ فی عددها نظراً إلی أ نّها ثنائیّة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أ نّها فی ذلک ثنائیّة وأنّ الرکوعات أفعال، فالشکّ فیها فی محلّها یوجب فعلَها، وفی عددها یوجب البناء علی الأقلّ، وفی عدد الرکعات مبطل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کالأنبیاء والکهف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ذلک بالإرصاد وإخبار مَنْ یفید قولُه الظنَّ الغالب من أهله أو العدلین، وإلّا فالتخفیف أولی حذراً من خروج الوقت، خصوصاً علی القول بأ نّه الأخذ فی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جعلناه إلی تمامه اتّجه التطویل، نظراً إلی المحسوس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کانت نهاریّةً علی الأصحّ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یجهر </w:t>
      </w:r>
      <w:r>
        <w:rPr>
          <w:rStyle w:val="FootnoteAnchor"/>
          <w:rtl w:val="true"/>
        </w:rPr>
        <w:footnoteReference w:id="1022"/>
      </w:r>
      <w:r>
        <w:rPr>
          <w:rFonts w:ascii="IRNazanin" w:hAnsi="IRNazanin" w:eastAsia="IRNazanin"/>
          <w:color w:val="111111"/>
          <w:sz w:val="28"/>
          <w:sz w:val="28"/>
          <w:szCs w:val="28"/>
          <w:rtl w:val="true"/>
          <w:lang w:bidi="fa-IR"/>
        </w:rPr>
        <w:t>فی الجمعة والعیدین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جامعت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مع سعة وقتهما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تضیّقت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المضیَّقة؛ جمعاً بین الحقّین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تضیّقتا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لأنّ الوقت لها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بقی وقت الآیات صلّاها أداءً، وإلّا سقطت إن لم یکن فرّط فی تأخیر إحداهما، وإلّا فالأقوی وجوب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کانت معقولة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کمرضٍ وزَمَنٍ یشقُّ معهما النزول مشقّةً لا تتحمّل عادة، فتُصلّی علی الراحلة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کغیرها من الفرائض</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الفوات وجوباً مع تعمّد الترک أو 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بالسبب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الاحتراق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للقرص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علم به أم لم یعلم حتّی خرج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یعلم به ولا استوعب الاحتراق فلا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ثبت بعد ذلک وقوعُه بالبیّنة أو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القضاءُ مطلقاً </w:t>
      </w:r>
      <w:r>
        <w:rPr>
          <w:rStyle w:val="FootnoteAnchor"/>
          <w:rtl w:val="true"/>
        </w:rPr>
        <w:footnoteReference w:id="102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مطلقاً وإن تعمّد ما لم یستوعب </w:t>
      </w:r>
      <w:r>
        <w:rPr>
          <w:rStyle w:val="FootnoteAnchor"/>
          <w:rtl w:val="true"/>
        </w:rPr>
        <w:footnoteReference w:id="102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الناسی ما لم یستوعب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قیل بالوجوب مطلقاً فی غیر الکسوفین وفیهما مع الاستیعاب </w:t>
      </w:r>
      <w:r>
        <w:rPr>
          <w:rStyle w:val="FootnoteAnchor"/>
          <w:rtl w:val="true"/>
        </w:rPr>
        <w:footnoteReference w:id="1027"/>
      </w:r>
      <w:r>
        <w:rPr>
          <w:rFonts w:ascii="Amiri" w:hAnsi="Amiri" w:eastAsia="Amiri" w:cs="Amiri"/>
          <w:color w:val="111111"/>
          <w:sz w:val="28"/>
          <w:sz w:val="28"/>
          <w:szCs w:val="28"/>
          <w:rtl w:val="true"/>
          <w:lang w:bidi="ar-SA"/>
        </w:rPr>
        <w:t xml:space="preserve">کان قویّاً، عملاً بالنصّ فی الکسوفین </w:t>
      </w:r>
      <w:r>
        <w:rPr>
          <w:rStyle w:val="FootnoteAnchor"/>
          <w:rtl w:val="true"/>
        </w:rPr>
        <w:footnoteReference w:id="1028"/>
      </w:r>
      <w:r>
        <w:rPr>
          <w:rFonts w:ascii="IRNazanin" w:hAnsi="IRNazanin" w:eastAsia="IRNazanin"/>
          <w:color w:val="111111"/>
          <w:sz w:val="28"/>
          <w:sz w:val="28"/>
          <w:szCs w:val="28"/>
          <w:rtl w:val="true"/>
          <w:lang w:bidi="fa-IR"/>
        </w:rPr>
        <w:t xml:space="preserve">وبالعمومات فی غیرهما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الاغسال المستحبة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التعمّد والاستیعاب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ترکها جهلاً، بل قیل بوجوبه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یُستحبّ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استطرد هنا ذکر الأغسال المسنونة لمناسبةٍ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 ما بین طلوع الفجر یومَها إلی الزوال، وأفضله ما قَرُب إلی الآخر، ویُقضی بعدَه إلی آخر السبت، کما یعجّله خائفُ عدم التمکّن منه فی وقته من الخمیس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031"/>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عشرة، وهی العدد الفرد من أوّله إلی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ولیلتی نصف رجب وشعبان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فی الأوّل، والمروّی فی الثانی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السابع والعشرین من رجب، علی المشهور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الثامن عشر من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رابع عشری </w:t>
      </w:r>
      <w:r>
        <w:rPr>
          <w:rStyle w:val="FootnoteAnchor"/>
          <w:rtl w:val="true"/>
        </w:rPr>
        <w:footnoteReference w:id="1034"/>
      </w:r>
      <w:r>
        <w:rPr>
          <w:rFonts w:ascii="IRNazanin" w:hAnsi="IRNazanin" w:eastAsia="IRNazanin"/>
          <w:color w:val="111111"/>
          <w:sz w:val="28"/>
          <w:sz w:val="28"/>
          <w:szCs w:val="28"/>
          <w:rtl w:val="true"/>
          <w:lang w:bidi="fa-IR"/>
        </w:rPr>
        <w:t>ذی الحجّة علی الأصحّ،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عشریه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ونیروزِ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الآن أ نّه یوم نزول الشمس </w:t>
      </w:r>
      <w:r>
        <w:rPr>
          <w:rStyle w:val="FootnoteAnchor"/>
          <w:rtl w:val="true"/>
        </w:rPr>
        <w:footnoteReference w:id="1036"/>
      </w:r>
      <w:r>
        <w:rPr>
          <w:rFonts w:ascii="Amiri" w:hAnsi="Amiri" w:eastAsia="Amiri" w:cs="Amiri"/>
          <w:color w:val="111111"/>
          <w:sz w:val="28"/>
          <w:sz w:val="28"/>
          <w:szCs w:val="28"/>
          <w:rtl w:val="true"/>
          <w:lang w:bidi="ar-SA"/>
        </w:rPr>
        <w:t>الحَمَلَ، وهو الاعتدال الربیعی</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أو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کان أم ندباً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اجتمعوا فی مکانٍ واحدٍ تداخل کما یتداخل باجتماع أسبابه مطلقاً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إلی رؤیة المصلوب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من صَلْبه مع الرؤیة، سواء فی ذلک مصلوب الشرع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والتوبة عن فسقٍ أو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مطلق الذنب وإن لم یوجب الفسق، کالصغیرة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w:t>
      </w:r>
      <w:r>
        <w:rPr>
          <w:rStyle w:val="FootnoteAnchor"/>
          <w:rtl w:val="true"/>
        </w:rPr>
        <w:footnoteReference w:id="1038"/>
      </w:r>
      <w:r>
        <w:rPr>
          <w:rFonts w:ascii="IRNazanin" w:hAnsi="IRNazanin" w:eastAsia="IRNazanin"/>
          <w:color w:val="111111"/>
          <w:sz w:val="28"/>
          <w:sz w:val="28"/>
          <w:szCs w:val="28"/>
          <w:rtl w:val="true"/>
          <w:lang w:bidi="fa-IR"/>
        </w:rPr>
        <w:t xml:space="preserve">بالتسویة علی خلاف المفید حیث خصّه بالکبائر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الحاجة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مطلقهما، بل فی موارد مخصوصةٍ من أصنافهما، فإنّ منهما ما یُفعل بغُسل وما یفعل بغیره، علی ما فُصّل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مطلقاً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مکّة والمدینة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شرّفهما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وقیّد المفیدُ دخولَ المدینة بأداء فرضٍ أو نفلٍ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bookmarkStart w:id="290" w:name="pg19806_203480"/>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لدخول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جزءاً من المسجد إلّاأ نّه یُستحبّ لخصوص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الفائدة فیما لو لم ینو دخولها عند الغسل السابق، فإنّه لا یدخل فیه، کما لا یدخل غسل المسجد فی غسل دخول مکّة إلّابنیّته عنده،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جمع المقاصد تداخلت</w:t>
      </w:r>
      <w:r>
        <w:rPr>
          <w:rFonts w:eastAsia="IRNazanin" w:cs="IRNazanin"/>
          <w:color w:val="111111"/>
          <w:sz w:val="28"/>
          <w:szCs w:val="28"/>
          <w:rtl w:val="true"/>
          <w:lang w:bidi="fa-IR"/>
        </w:rPr>
        <w:t>.</w:t>
      </w:r>
    </w:p>
    <w:p>
      <w:pPr>
        <w:pStyle w:val="Heading4"/>
        <w:numPr>
          <w:ilvl w:val="3"/>
          <w:numId w:val="1"/>
        </w:numPr>
        <w:rPr/>
      </w:pPr>
      <w:bookmarkStart w:id="291" w:name="__RefHeading___Toc2027919_2314609296"/>
      <w:bookmarkStart w:id="292" w:name="_Toc107"/>
      <w:bookmarkEnd w:id="291"/>
      <w:r>
        <w:rPr>
          <w:rtl w:val="true"/>
        </w:rPr>
        <w:t xml:space="preserve">الصلاة </w:t>
      </w:r>
      <w:r>
        <w:rPr>
          <w:rtl w:val="true"/>
        </w:rPr>
        <w:t>«</w:t>
      </w:r>
      <w:r>
        <w:rPr>
          <w:rtl w:val="true"/>
        </w:rPr>
        <w:t>المنذورة وشبهها</w:t>
      </w:r>
      <w:r>
        <w:rPr>
          <w:rtl w:val="true"/>
        </w:rPr>
        <w:t>»</w:t>
      </w:r>
      <w:bookmarkEnd w:id="292"/>
    </w:p>
    <w:p>
      <w:pPr>
        <w:pStyle w:val="BookText"/>
        <w:rPr/>
      </w:pPr>
      <w:r>
        <w:rPr>
          <w:rFonts w:ascii="IRNazanin" w:hAnsi="IRNazanin" w:eastAsia="IRNazanin"/>
          <w:color w:val="111111"/>
          <w:sz w:val="28"/>
          <w:sz w:val="28"/>
          <w:szCs w:val="28"/>
          <w:rtl w:val="true"/>
          <w:lang w:bidi="fa-IR"/>
        </w:rPr>
        <w:t>من المُعاهَد والمحلوف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تابعةٌ للنذر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 فمتی نذر هیئةً مشروعةً فی وقت إ یقاعها أو عدداً مشروعاً انعقدت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لو نذرها عند ترک واجبٍ أو فعلِ محرَّمٍ شکراً، أو عکسه زجراً، أو رکعتین برکوعٍ واحد أو سجدتین،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نذر صلاة العید فی غیره، ونحوها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وضابط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فعله جائزاً قبل النذر فی ذلک الوقت، فلو نذر رکعتین جالساً أو ماشیاً، أو بغیر سورة، أو إلی غیر القبلة ماشیاً أو راکباً ونحو ذلک انعقد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أطلق فشرطُها شرط الواجبة فی أجود القولین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bookmarkStart w:id="293" w:name="pg19806_203481"/>
    </w:p>
    <w:p>
      <w:pPr>
        <w:pStyle w:val="Heading4"/>
        <w:numPr>
          <w:ilvl w:val="3"/>
          <w:numId w:val="1"/>
        </w:numPr>
        <w:rPr/>
      </w:pPr>
      <w:bookmarkStart w:id="294" w:name="__RefHeading___Toc2027921_2314609296"/>
      <w:bookmarkStart w:id="295" w:name="_Toc108"/>
      <w:bookmarkEnd w:id="293"/>
      <w:bookmarkEnd w:id="294"/>
      <w:r>
        <w:rPr>
          <w:rtl w:val="true"/>
        </w:rPr>
        <w:t xml:space="preserve">«: </w:t>
      </w:r>
      <w:r>
        <w:rPr>
          <w:rtl w:val="true"/>
        </w:rPr>
        <w:t>صلاة النیابة</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المیّت تبرّعاً أو بوصیّته النافذة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تحمُّل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الولیّ وهو أکبر الوُلْد الذکور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فاته من الصلاة فی مرضه، أو سهواً، أو مطلقاً، وسیأتی تحریره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بحسب ما یُلتزَم </w:t>
      </w:r>
      <w:r>
        <w:rPr>
          <w:rStyle w:val="FootnoteAnchor"/>
          <w:rtl w:val="true"/>
        </w:rPr>
        <w:footnoteReference w:id="1044"/>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وکمّیّةً</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027923_2314609296"/>
      <w:bookmarkStart w:id="297" w:name="_Toc109"/>
      <w:bookmarkEnd w:id="296"/>
      <w:r>
        <w:rPr>
          <w:rtl w:val="true"/>
        </w:rPr>
        <w:t>«</w:t>
      </w:r>
      <w:r>
        <w:rPr>
          <w:rtl w:val="true"/>
        </w:rPr>
        <w:t>ومن المندوبات</w:t>
      </w:r>
      <w:r>
        <w:rPr>
          <w:rtl w:val="true"/>
        </w:rPr>
        <w:t xml:space="preserve">: </w:t>
      </w:r>
      <w:r>
        <w:rPr>
          <w:rtl w:val="true"/>
        </w:rPr>
        <w:t>صلاة الاستسقاء</w:t>
      </w:r>
      <w:r>
        <w:rPr>
          <w:rtl w:val="true"/>
        </w:rPr>
        <w:t>»</w:t>
      </w:r>
      <w:bookmarkEnd w:id="297"/>
    </w:p>
    <w:p>
      <w:pPr>
        <w:pStyle w:val="Heading5"/>
        <w:numPr>
          <w:ilvl w:val="4"/>
          <w:numId w:val="1"/>
        </w:numPr>
        <w:rPr/>
      </w:pPr>
      <w:bookmarkStart w:id="298" w:name="__RefHeading___Toc2027925_2314609296"/>
      <w:bookmarkStart w:id="299" w:name="_Toc110"/>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وهو طلب السُّقیا، وهو أنواعٌ، أدناه الدعاء بلا صلاةٍ ولا خَلْفَ صلاةٍ، وأوسطه الدعاء خَلْفَ الصلاة، وأفضله الاستسقاء برکعتین وخُطبتین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والتکبیرات الزائدة فی الرکعتین والجهر والقراءة والخروج إلی الصحراء وغیر ذلک، إلّاأنّ القنوت هنا بطلب الغیث وتوفیر المیاه والرحمة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 یمیناً ویساراً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الصلاة، فیجعل یمینَه یسارَه وبالعکس؛ للاتّباع </w:t>
      </w:r>
      <w:r>
        <w:rPr>
          <w:rStyle w:val="FootnoteAnchor"/>
          <w:rtl w:val="true"/>
        </w:rPr>
        <w:footnoteReference w:id="1045"/>
      </w:r>
      <w:r>
        <w:rPr>
          <w:rFonts w:ascii="Amiri" w:hAnsi="Amiri" w:eastAsia="Amiri" w:cs="Amiri"/>
          <w:color w:val="111111"/>
          <w:sz w:val="28"/>
          <w:sz w:val="28"/>
          <w:szCs w:val="28"/>
          <w:rtl w:val="true"/>
          <w:lang w:bidi="ar-SA"/>
        </w:rPr>
        <w:t xml:space="preserve">والتفؤّل </w:t>
      </w:r>
      <w:r>
        <w:rPr>
          <w:rStyle w:val="FootnoteAnchor"/>
          <w:rtl w:val="true"/>
        </w:rPr>
        <w:footnoteReference w:id="1046"/>
      </w:r>
      <w:r>
        <w:rPr>
          <w:rFonts w:ascii="IRNazanin" w:hAnsi="IRNazanin" w:eastAsia="IRNazanin"/>
          <w:color w:val="111111"/>
          <w:sz w:val="28"/>
          <w:sz w:val="28"/>
          <w:szCs w:val="28"/>
          <w:rtl w:val="true"/>
          <w:lang w:bidi="fa-IR"/>
        </w:rPr>
        <w:t>ولو جعل مع ذلک</w:t>
      </w:r>
      <w:bookmarkStart w:id="300" w:name="pg19806_203482"/>
    </w:p>
    <w:p>
      <w:pPr>
        <w:pStyle w:val="BookText"/>
        <w:rPr/>
      </w:pPr>
      <w:bookmarkEnd w:id="300"/>
      <w:r>
        <w:rPr>
          <w:rFonts w:ascii="Amiri" w:hAnsi="Amiri" w:eastAsia="Amiri" w:cs="Amiri"/>
          <w:color w:val="111111"/>
          <w:sz w:val="28"/>
          <w:sz w:val="28"/>
          <w:szCs w:val="28"/>
          <w:rtl w:val="true"/>
          <w:lang w:bidi="ar-SA"/>
        </w:rPr>
        <w:t>أعلاه أسفله وظاهره باطنه کان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ویُترک محوّلاً حتی یُنزع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صوم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أطلق بعدیّتها علیها تغلیباً؛ لأ نّها تکون فی أوّل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آخرها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منصوصٌ </w:t>
      </w:r>
      <w:r>
        <w:rPr>
          <w:rStyle w:val="FootnoteAnchor"/>
          <w:rtl w:val="true"/>
        </w:rPr>
        <w:footnoteReference w:id="1047"/>
      </w:r>
      <w:r>
        <w:rPr>
          <w:rFonts w:ascii="Amiri" w:hAnsi="Amiri" w:eastAsia="Amiri" w:cs="Amiri"/>
          <w:color w:val="111111"/>
          <w:sz w:val="28"/>
          <w:sz w:val="28"/>
          <w:szCs w:val="28"/>
          <w:rtl w:val="true"/>
          <w:lang w:bidi="ar-SA"/>
        </w:rPr>
        <w:t xml:space="preserve">فلذا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وقتٌ لإجابة الدعاء، حتّی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لیسأل الحاجة فیُؤخَّر قضاؤها إلی الجمعة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تعالی من الذنوب وتطهیر الأخلاق من الرذائل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أرجی للإ جابة، وقد یکون القحط بسبب هذه، کما روی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والخروج من المظالم من جملة التوبة جزءاً أو شرطاً، وخصّها اهتماماً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ولیخرجوا حُفاةً ونِعالُهم بأیدیهم فی ثیابِ بِذْلَةٍ </w:t>
      </w:r>
      <w:r>
        <w:rPr>
          <w:rStyle w:val="FootnoteAnchor"/>
          <w:rtl w:val="true"/>
        </w:rPr>
        <w:footnoteReference w:id="1050"/>
      </w:r>
      <w:r>
        <w:rPr>
          <w:rFonts w:ascii="Amiri" w:hAnsi="Amiri" w:eastAsia="Amiri" w:cs="Amiri"/>
          <w:color w:val="111111"/>
          <w:sz w:val="28"/>
          <w:sz w:val="28"/>
          <w:szCs w:val="28"/>
          <w:rtl w:val="true"/>
          <w:lang w:bidi="ar-SA"/>
        </w:rPr>
        <w:t xml:space="preserve">وتخشّعٍ،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ویُخرجون الصبیان والشیوخَ والبهائمَ؛ لأنّهم مظنّة الرحمة علی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سُقُوا وإلّا عادوا ثانیاً وثالثاً من غیر قُنوطٍ، بانین علی الصوم الأوّل إن لم یفطروا بعدَه، وإلّا فبصومٍ مستأنفٍ</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2027927_2314609296"/>
      <w:bookmarkStart w:id="302" w:name="_Toc111"/>
      <w:bookmarkEnd w:id="301"/>
      <w:r>
        <w:rPr>
          <w:rtl w:val="true"/>
        </w:rPr>
        <w:t>«</w:t>
      </w:r>
      <w:r>
        <w:rPr>
          <w:rtl w:val="true"/>
        </w:rPr>
        <w:t>ومنها</w:t>
      </w:r>
      <w:r>
        <w:rPr>
          <w:rtl w:val="true"/>
        </w:rPr>
        <w:t xml:space="preserve">: </w:t>
      </w:r>
      <w:r>
        <w:rPr>
          <w:rtl w:val="true"/>
        </w:rPr>
        <w:t>نافلة شهر رمضان</w:t>
      </w:r>
      <w:r>
        <w:rPr>
          <w:rtl w:val="true"/>
        </w:rPr>
        <w:t>»</w:t>
      </w:r>
      <w:bookmarkEnd w:id="30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أشهر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موزَّعة علی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الرواتب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کلّ لیلةٍ ثمان بعد المغرب واثنتا عشرة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لیلةٍ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الأخیر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ثمان منها بعد المغرب والباقی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اثنتا عشرة بعد المغرب والباقی بعد العشاء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لیالی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التاسعة عشرة والحادیة والعشرین والثالثة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لیلة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إلی ما عُیّن لها سابقاً، وذلک تمام الألف، خمسمئة فی العشرین، وخمسمئة فی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الاقتصارُ علیها فیُفرَّق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المتخلّفة، وهی العشرون فی التاسعة عشر والستّون فی اللیلتین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فیصلّی فی یوم کلّ جمعةٍ </w:t>
      </w:r>
      <w:r>
        <w:rPr>
          <w:rStyle w:val="FootnoteAnchor"/>
          <w:rtl w:val="true"/>
        </w:rPr>
        <w:footnoteReference w:id="1052"/>
      </w:r>
      <w:r>
        <w:rPr>
          <w:rFonts w:ascii="IRNazanin" w:hAnsi="IRNazanin" w:eastAsia="IRNazanin"/>
          <w:color w:val="111111"/>
          <w:sz w:val="28"/>
          <w:sz w:val="28"/>
          <w:szCs w:val="28"/>
          <w:rtl w:val="true"/>
          <w:lang w:bidi="fa-IR"/>
        </w:rPr>
        <w:t>عشراً بصلاة علیٍّ وفاطمة وجعفر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اتّفق فیه خامسة تخیّر فی الساقطة، ویجوز أن یجعل لها قسطاً یتخیّر فی کمّیته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لیلة آخر جمعة عشرون بصلاة علیٍّ علیه السلام وفی لیلة آخر سبتٍ عشرون بصلاة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تفریق الثمانین علی الجُمع مع وقوع عشرین منها لیلةَ السبت تغلیباً، ولأ نّها عشیّة جمعة تُنسب إلیها فی الجملة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نقص الشهر سقطت وظیفة لیلة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فات شیءٌ منها استُحبّ قضاؤه ولو نهاراً وفی غیره </w:t>
      </w:r>
      <w:r>
        <w:rPr>
          <w:rStyle w:val="FootnoteAnchor"/>
          <w:rtl w:val="true"/>
        </w:rPr>
        <w:footnoteReference w:id="1053"/>
      </w:r>
      <w:r>
        <w:rPr>
          <w:rFonts w:ascii="IRNazanin" w:hAnsi="IRNazanin" w:eastAsia="IRNazanin"/>
          <w:color w:val="111111"/>
          <w:sz w:val="28"/>
          <w:sz w:val="28"/>
          <w:szCs w:val="28"/>
          <w:rtl w:val="true"/>
          <w:lang w:bidi="fa-IR"/>
        </w:rPr>
        <w:t>والأفضل قبل خروجه</w:t>
      </w:r>
      <w:r>
        <w:rPr>
          <w:rFonts w:eastAsia="IRNazanin" w:cs="IRNazanin"/>
          <w:color w:val="111111"/>
          <w:sz w:val="28"/>
          <w:szCs w:val="28"/>
          <w:rtl w:val="true"/>
          <w:lang w:bidi="fa-IR"/>
        </w:rPr>
        <w:t>.</w:t>
      </w:r>
      <w:bookmarkStart w:id="303" w:name="pg19806_203484"/>
    </w:p>
    <w:p>
      <w:pPr>
        <w:pStyle w:val="Heading5"/>
        <w:numPr>
          <w:ilvl w:val="4"/>
          <w:numId w:val="1"/>
        </w:numPr>
        <w:rPr/>
      </w:pPr>
      <w:bookmarkStart w:id="304" w:name="__RefHeading___Toc2027929_2314609296"/>
      <w:bookmarkStart w:id="305" w:name="_Toc112"/>
      <w:bookmarkEnd w:id="303"/>
      <w:bookmarkEnd w:id="304"/>
      <w:r>
        <w:rPr>
          <w:rtl w:val="true"/>
        </w:rPr>
        <w:t>«</w:t>
      </w:r>
      <w:r>
        <w:rPr>
          <w:rtl w:val="true"/>
        </w:rPr>
        <w:t>ومنها</w:t>
      </w:r>
      <w:r>
        <w:rPr>
          <w:rtl w:val="true"/>
        </w:rPr>
        <w:t>» : «</w:t>
      </w:r>
      <w:r>
        <w:rPr>
          <w:rtl w:val="true"/>
        </w:rPr>
        <w:t>نافلة الزیارة</w:t>
      </w:r>
      <w:r>
        <w:rPr>
          <w:rtl w:val="true"/>
        </w:rPr>
        <w:t>»</w:t>
      </w:r>
      <w:bookmarkEnd w:id="305"/>
    </w:p>
    <w:p>
      <w:pPr>
        <w:pStyle w:val="BookText"/>
        <w:rPr/>
      </w:pPr>
      <w:r>
        <w:rPr>
          <w:rFonts w:ascii="IRNazanin" w:hAnsi="IRNazanin" w:eastAsia="IRNazanin"/>
          <w:color w:val="111111"/>
          <w:sz w:val="28"/>
          <w:sz w:val="28"/>
          <w:szCs w:val="28"/>
          <w:rtl w:val="true"/>
          <w:lang w:bidi="fa-IR"/>
        </w:rPr>
        <w:t>للأنبیاء والأئمة علیهم السلام، وأقلّها رکعتان تُهدی للمزور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ووقتها بعد الدخول والسلام، ومکانها مشهدُه وما 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 عند الرأس، بحیث یجعل القبر علی یساره ولا یستقبل شیئاً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بالرقاع الستّ وغیرها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تجدّد نعمةٍ أو دفع نقمةٍ علی ما رُسِّم فی کتبٍ مطوّلةٍ أو مختصّةٍ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الصلوات المسنونة، کصلاة النبیّ صلی الله علیه و آله یومَ الجمعة وعلیٍّ وفاطمةَ وجعفرٍ وغیرهم علیهم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النوافل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حصر لها، فإنّها قربان کلِّ تقیٍّ </w:t>
      </w:r>
      <w:r>
        <w:rPr>
          <w:rStyle w:val="FootnoteAnchor"/>
          <w:rtl w:val="true"/>
        </w:rPr>
        <w:footnoteReference w:id="1054"/>
      </w:r>
      <w:r>
        <w:rPr>
          <w:rFonts w:ascii="IRNazanin" w:hAnsi="IRNazanin" w:eastAsia="IRNazanin"/>
          <w:color w:val="111111"/>
          <w:sz w:val="28"/>
          <w:sz w:val="28"/>
          <w:szCs w:val="28"/>
          <w:rtl w:val="true"/>
          <w:lang w:bidi="fa-IR"/>
        </w:rPr>
        <w:t xml:space="preserve">وخیرُ موضوعٍ، فمن شاء استقلّ ومن شاء استکثر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bookmarkStart w:id="306" w:name="pg19806_203485"/>
    </w:p>
    <w:p>
      <w:pPr>
        <w:pStyle w:val="Heading3"/>
        <w:numPr>
          <w:ilvl w:val="2"/>
          <w:numId w:val="1"/>
        </w:numPr>
        <w:rPr/>
      </w:pPr>
      <w:bookmarkStart w:id="307" w:name="__RefHeading___Toc2027931_2314609296"/>
      <w:bookmarkStart w:id="308" w:name="_Toc113"/>
      <w:bookmarkEnd w:id="306"/>
      <w:bookmarkEnd w:id="307"/>
      <w:r>
        <w:rPr>
          <w:rtl w:val="true"/>
        </w:rPr>
        <w:t>«</w:t>
      </w:r>
      <w:r>
        <w:rPr>
          <w:rtl w:val="true"/>
        </w:rPr>
        <w:t>الفصل السابع</w:t>
      </w:r>
      <w:r>
        <w:rPr>
          <w:rtl w:val="true"/>
        </w:rPr>
        <w:t>» «</w:t>
      </w:r>
      <w:r>
        <w:rPr>
          <w:rtl w:val="true"/>
        </w:rPr>
        <w:t>فی</w:t>
      </w:r>
      <w:r>
        <w:rPr>
          <w:rtl w:val="true"/>
        </w:rPr>
        <w:t xml:space="preserve">» </w:t>
      </w:r>
      <w:r>
        <w:rPr>
          <w:rtl w:val="true"/>
        </w:rPr>
        <w:t xml:space="preserve">بیان أحکام </w:t>
      </w:r>
      <w:r>
        <w:rPr>
          <w:rtl w:val="true"/>
        </w:rPr>
        <w:t>«</w:t>
      </w:r>
      <w:r>
        <w:rPr>
          <w:rtl w:val="true"/>
        </w:rPr>
        <w:t>الخلل</w:t>
      </w:r>
      <w:r>
        <w:rPr>
          <w:rtl w:val="true"/>
        </w:rPr>
        <w:t xml:space="preserve">» </w:t>
      </w:r>
      <w:r>
        <w:rPr>
          <w:rtl w:val="true"/>
        </w:rPr>
        <w:t xml:space="preserve">الواقع </w:t>
      </w:r>
      <w:r>
        <w:rPr>
          <w:rtl w:val="true"/>
        </w:rPr>
        <w:t>«</w:t>
      </w:r>
      <w:r>
        <w:rPr>
          <w:rtl w:val="true"/>
        </w:rPr>
        <w:t>فی الصلاة</w:t>
      </w:r>
      <w:r>
        <w:rPr>
          <w:rtl w:val="true"/>
        </w:rPr>
        <w:t xml:space="preserve">» </w:t>
      </w:r>
      <w:r>
        <w:rPr>
          <w:rtl w:val="true"/>
        </w:rPr>
        <w:t>الواجبة</w:t>
      </w:r>
      <w:bookmarkEnd w:id="308"/>
    </w:p>
    <w:p>
      <w:pPr>
        <w:pStyle w:val="Heading4"/>
        <w:numPr>
          <w:ilvl w:val="3"/>
          <w:numId w:val="1"/>
        </w:numPr>
        <w:rPr/>
      </w:pPr>
      <w:bookmarkStart w:id="309" w:name="__RefHeading___Toc2027933_2314609296"/>
      <w:bookmarkStart w:id="310" w:name="_Toc114"/>
      <w:bookmarkEnd w:id="309"/>
      <w:r>
        <w:rPr>
          <w:rtl w:val="true"/>
        </w:rPr>
        <w:t>اشارة</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صادراً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إلی الخلل، سواء کان عالماً بحکمه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بعُزُوب </w:t>
      </w:r>
      <w:r>
        <w:rPr>
          <w:rStyle w:val="FootnoteAnchor"/>
          <w:rtl w:val="true"/>
        </w:rPr>
        <w:footnoteReference w:id="1056"/>
      </w:r>
      <w:r>
        <w:rPr>
          <w:rFonts w:ascii="IRNazanin" w:hAnsi="IRNazanin" w:eastAsia="IRNazanin"/>
          <w:color w:val="111111"/>
          <w:sz w:val="28"/>
          <w:sz w:val="28"/>
          <w:szCs w:val="28"/>
          <w:rtl w:val="true"/>
          <w:lang w:bidi="fa-IR"/>
        </w:rPr>
        <w:t xml:space="preserve">المعنی عن الذهن حتّی حصل بسببه إهمال بعض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الذهن بین طرفی النقیض حیث لا رجحانَ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بالخلل الواقع عن عمد وسهو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شیءٍ من أفعالها، وبالواقع عن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الحاصل للصلاة بنفس الشکّ، لا أ نّه کان سبباً للترک </w:t>
      </w:r>
      <w:r>
        <w:rPr>
          <w:rStyle w:val="FootnoteAnchor"/>
          <w:rtl w:val="true"/>
        </w:rPr>
        <w:footnoteReference w:id="1057"/>
      </w:r>
      <w:r>
        <w:rPr>
          <w:rFonts w:ascii="IRNazanin" w:hAnsi="IRNazanin" w:eastAsia="IRNazanin"/>
          <w:color w:val="111111"/>
          <w:sz w:val="28"/>
          <w:sz w:val="28"/>
          <w:szCs w:val="28"/>
          <w:rtl w:val="true"/>
          <w:lang w:bidi="fa-IR"/>
        </w:rPr>
        <w:t>کقسیمیه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العمد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بالإخلال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الإخلال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کالطهارة والستر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رکناً، کالقراءة وأجزائها حتّی الحرف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الجزء الکیفیّة؛ لأنّها جزءٌ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الشرعی کالوجوب، أو الوضعی کالبطلان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إلّاالجهر والإخفات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مواضعهما فیُعذر الجاهل بحکمهما وإن علم به فی</w:t>
      </w:r>
    </w:p>
    <w:p>
      <w:pPr>
        <w:pStyle w:val="BookText"/>
        <w:rPr/>
      </w:pPr>
      <w:r>
        <w:rPr>
          <w:rFonts w:ascii="IRNazanin" w:hAnsi="IRNazanin" w:eastAsia="IRNazanin"/>
          <w:color w:val="111111"/>
          <w:sz w:val="28"/>
          <w:sz w:val="28"/>
          <w:szCs w:val="28"/>
          <w:rtl w:val="true"/>
          <w:lang w:bidi="fa-IR"/>
        </w:rPr>
        <w:t>محلّه، کما لو ذکر الناسی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السهو یبطل ما سلف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السهو عن أحد الأرکان الخمسة إذا لم یذکره حتّی تجاوز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 إذا تجاوز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بتجاوز محلّ الجزء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إلی جزءٍ آخر بعدَه، بأن شکّ فی النیّة بعد أن کبّر، أو فی التکبیر بعد أن قرأ، أو شرع فیهما، أو فی القراءة و </w:t>
      </w:r>
      <w:r>
        <w:rPr>
          <w:rStyle w:val="FootnoteAnchor"/>
          <w:rtl w:val="true"/>
        </w:rPr>
        <w:footnoteReference w:id="1060"/>
      </w:r>
      <w:r>
        <w:rPr>
          <w:rFonts w:ascii="IRNazanin" w:hAnsi="IRNazanin" w:eastAsia="IRNazanin"/>
          <w:color w:val="111111"/>
          <w:sz w:val="28"/>
          <w:sz w:val="28"/>
          <w:szCs w:val="28"/>
          <w:rtl w:val="true"/>
          <w:lang w:bidi="fa-IR"/>
        </w:rPr>
        <w:t>أبعاضها بعد الرکوع، أو فیه بعد السجود، أو فیه أو فی التشهّد بعد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الشکّ فی السجود بعد التشهّد أو فی أثنائه ولمّا یقم ففی العود إلیه قولان، أجودهما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مقدّمات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کالهُویّ والأخذ فی القیام قبل الإکمال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یُعدّ انتقالاً إلی جزء، وکذا الفعل المندوب کالقُنوت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ذکر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بعد أن فَعَلَه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زیادة الرکن المبطلة وإن کان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لو شکّ فی الرکوع وهو قائمٌ فرکع ثمّ ذکر فِعلَه قبل رفعه فی أصحّ القولین </w:t>
      </w:r>
      <w:r>
        <w:rPr>
          <w:rStyle w:val="FootnoteAnchor"/>
          <w:rtl w:val="true"/>
        </w:rPr>
        <w:footnoteReference w:id="1061"/>
      </w:r>
      <w:r>
        <w:rPr>
          <w:rFonts w:ascii="IRNazanin" w:hAnsi="IRNazanin" w:eastAsia="IRNazanin"/>
          <w:color w:val="111111"/>
          <w:sz w:val="28"/>
          <w:sz w:val="28"/>
          <w:szCs w:val="28"/>
          <w:rtl w:val="true"/>
          <w:lang w:bidi="fa-IR"/>
        </w:rPr>
        <w:t>لأنّ ذلک هو الرکوع والرفع منه أمرٌ</w:t>
      </w:r>
      <w:bookmarkStart w:id="311" w:name="pg19806_203487"/>
    </w:p>
    <w:p>
      <w:pPr>
        <w:pStyle w:val="BookText"/>
        <w:rPr/>
      </w:pPr>
      <w:bookmarkEnd w:id="311"/>
      <w:r>
        <w:rPr>
          <w:rFonts w:ascii="IRNazanin" w:hAnsi="IRNazanin" w:eastAsia="IRNazanin"/>
          <w:color w:val="111111"/>
          <w:sz w:val="28"/>
          <w:sz w:val="28"/>
          <w:szCs w:val="28"/>
          <w:rtl w:val="true"/>
          <w:lang w:bidi="fa-IR"/>
        </w:rPr>
        <w:t xml:space="preserve">زائدٌ علیه کزیادة الذکر والطمأنینة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لوقوع الزیادة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نسی غیر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ولم یذکر حتّی تجاوز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الصلاة لا تبطل بذلک </w:t>
      </w:r>
      <w:r>
        <w:rPr>
          <w:rStyle w:val="FootnoteAnchor"/>
          <w:rtl w:val="true"/>
        </w:rPr>
        <w:footnoteReference w:id="1062"/>
      </w:r>
      <w:r>
        <w:rPr>
          <w:rFonts w:ascii="IRNazanin" w:hAnsi="IRNazanin" w:eastAsia="IRNazanin"/>
          <w:color w:val="111111"/>
          <w:sz w:val="28"/>
          <w:sz w:val="28"/>
          <w:szCs w:val="28"/>
          <w:rtl w:val="true"/>
          <w:lang w:bidi="fa-IR"/>
        </w:rPr>
        <w:t xml:space="preserve">ولکن قد یجب له شیء آخر من سجودٍ أو قضاءٍ أوهما،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یتجاوز محلَّه أتی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والمراد بمحلّ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وبین أن یصیر فی رکن، أو یستلزم العودُ إلی المنسیّ زیادةَ رکن، فمحلّ السجود والتشهّد المنسیّین ما لم یرکع فی الرکعة اللاحقة له وإن قام؛ لأنّ القیامَ لا یتمحّض للرکنیّة إلی أن یرکع کما مرّ، وکذا القراءة وأبعاضها وصفاتها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ذکر السجود وواجباته غیر وضع الجبهة فلا یعود إلیها متی رفع رأسه وإن لم یدخل فی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وواجبات الرکوع کذلک؛ لأنّ العود إلیها یستلزم زیادة الرکن وإن لم یدخل فی رکن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المنسیّ یأتی به ما لم یدخل فی رکنٍ آخر، فیرجع إلی الرکوع ما لم یصر ساجداً، وإلی السجود ما لم یبلغ حدَّ الراکع </w:t>
      </w:r>
      <w:r>
        <w:rPr>
          <w:rStyle w:val="FootnoteAnchor"/>
          <w:rtl w:val="true"/>
        </w:rPr>
        <w:footnoteReference w:id="1063"/>
      </w:r>
      <w:r>
        <w:rPr>
          <w:rFonts w:ascii="IRNazanin" w:hAnsi="IRNazanin" w:eastAsia="IRNazanin"/>
          <w:color w:val="111111"/>
          <w:sz w:val="28"/>
          <w:sz w:val="28"/>
          <w:szCs w:val="28"/>
          <w:rtl w:val="true"/>
          <w:lang w:bidi="fa-IR"/>
        </w:rPr>
        <w:t>وأمّا نسیان التحریمة إلی أن شرع فی القراءة، فإنّه وإن کان مبطلاً مع أ نّه لم یدخل فی رکن، إلّا أنّ البطلان مستندٌ إلی عدم انعقاد الصلاة من حیث فوات المقارنة بینها وبین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ثَمّ جعل بعض الأصحاب المقارنة رکناً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إلی الاحتراز عنه؛ لأنّ الکلام فی الصلاة الصحیحة</w:t>
      </w:r>
      <w:r>
        <w:rPr>
          <w:rFonts w:eastAsia="IRNazanin" w:cs="IRNazanin"/>
          <w:color w:val="111111"/>
          <w:sz w:val="28"/>
          <w:szCs w:val="28"/>
          <w:rtl w:val="true"/>
          <w:lang w:bidi="fa-IR"/>
        </w:rPr>
        <w:t>.</w:t>
      </w:r>
    </w:p>
    <w:p>
      <w:pPr>
        <w:pStyle w:val="Heading4"/>
        <w:numPr>
          <w:ilvl w:val="3"/>
          <w:numId w:val="1"/>
        </w:numPr>
        <w:rPr/>
      </w:pPr>
      <w:bookmarkStart w:id="312" w:name="__RefHeading___Toc2027935_2314609296"/>
      <w:bookmarkStart w:id="313" w:name="_Toc115"/>
      <w:bookmarkEnd w:id="312"/>
      <w:r>
        <w:rPr>
          <w:rtl w:val="true"/>
        </w:rPr>
        <w:t>[</w:t>
      </w:r>
      <w:r>
        <w:rPr>
          <w:rtl w:val="true"/>
        </w:rPr>
        <w:t>قضاء الاجزاء المنسیة</w:t>
      </w:r>
      <w:r>
        <w:rPr>
          <w:rtl w:val="true"/>
        </w:rPr>
        <w:t>]</w:t>
      </w:r>
      <w:bookmarkEnd w:id="31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الأجزاء المنسیّة التی فات 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w:t>
      </w:r>
      <w:bookmarkStart w:id="314" w:name="pg19806_203488"/>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ومنه الصلاة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علی النبیّ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نسیها منفردة، ومثله ما لو نسی أحد التشهّدین فإنّه أولی بإطلاق التشهّد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نسی الصلاة علی النبیّ خاصّةً أو علی آله خاصّةً فالأجود أ نّه لا یُقضی، کما لا یُقضی غیرها </w:t>
      </w:r>
      <w:r>
        <w:rPr>
          <w:rStyle w:val="FootnoteAnchor"/>
          <w:rtl w:val="true"/>
        </w:rPr>
        <w:footnoteReference w:id="1065"/>
      </w:r>
      <w:r>
        <w:rPr>
          <w:rFonts w:ascii="IRNazanin" w:hAnsi="IRNazanin" w:eastAsia="IRNazanin"/>
          <w:color w:val="111111"/>
          <w:sz w:val="28"/>
          <w:sz w:val="28"/>
          <w:szCs w:val="28"/>
          <w:rtl w:val="true"/>
          <w:lang w:bidi="fa-IR"/>
        </w:rPr>
        <w:t xml:space="preserve">من أجزاء التشهّد علی أصحّ القولین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أنکر بعضهم </w:t>
      </w:r>
      <w:r>
        <w:rPr>
          <w:rStyle w:val="FootnoteAnchor"/>
          <w:rtl w:val="true"/>
        </w:rPr>
        <w:footnoteReference w:id="1067"/>
      </w:r>
      <w:r>
        <w:rPr>
          <w:rFonts w:ascii="Amiri" w:hAnsi="Amiri" w:eastAsia="Amiri" w:cs="Amiri"/>
          <w:color w:val="111111"/>
          <w:sz w:val="28"/>
          <w:sz w:val="28"/>
          <w:szCs w:val="28"/>
          <w:rtl w:val="true"/>
          <w:lang w:bidi="ar-SA"/>
        </w:rPr>
        <w:t xml:space="preserve">قضاءَ الصلاة علی النبیّ وآله؛ لعدم النصّ، وردّه المصنِّف فی الذکری بأنّ التشهّد یُقضی بالنصّ فکذا أبعاضه تسویةً بینهما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لمنع کلّیة الکبری </w:t>
      </w:r>
      <w:r>
        <w:rPr>
          <w:rStyle w:val="FootnoteAnchor"/>
          <w:rtl w:val="true"/>
        </w:rPr>
        <w:footnoteReference w:id="1069"/>
      </w:r>
      <w:r>
        <w:rPr>
          <w:rFonts w:ascii="IRNazanin" w:hAnsi="IRNazanin" w:eastAsia="IRNazanin"/>
          <w:color w:val="111111"/>
          <w:sz w:val="28"/>
          <w:sz w:val="28"/>
          <w:szCs w:val="28"/>
          <w:rtl w:val="true"/>
          <w:lang w:bidi="fa-IR"/>
        </w:rPr>
        <w:t>وبدونها لا یفید، وسند المنع أنّ الصلاة ممّا تُقضی ولا یقضی أکثر أجزائها، وغیر الصلاة من أجزاء التشهّد لا یقول هو بقضائه مع ورود دلیله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قضاء أحد التشهّدین قویٌّ؛ لصدق اسم التشهّد علیه، لا لکونه جزءاً، إلّاأن یُحمل التشهّد علی المعهود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بقضاء هذه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الإتیان بها بعدها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w:t>
      </w:r>
      <w:r>
        <w:rPr>
          <w:rFonts w:eastAsia="Amiri" w:cs="Amiri" w:ascii="Amiri" w:hAnsi="Amiri"/>
          <w:color w:val="111111"/>
          <w:sz w:val="28"/>
          <w:szCs w:val="28"/>
          <w:rtl w:val="true"/>
          <w:lang w:bidi="ar-SA"/>
        </w:rPr>
        <w:t xml:space="preserve">) </w:t>
      </w:r>
      <w:r>
        <w:rPr>
          <w:rStyle w:val="FootnoteAnchor"/>
          <w:rtl w:val="true"/>
        </w:rPr>
        <w:footnoteReference w:id="1070"/>
      </w:r>
      <w:r>
        <w:rPr>
          <w:rFonts w:ascii="IRNazanin" w:hAnsi="IRNazanin" w:eastAsia="IRNazanin"/>
          <w:color w:val="111111"/>
          <w:sz w:val="28"/>
          <w:sz w:val="28"/>
          <w:szCs w:val="28"/>
          <w:rtl w:val="true"/>
          <w:lang w:bidi="fa-IR"/>
        </w:rPr>
        <w:t>لا القضاء المعهود، إلّامع خروج الوقت قبلَه</w:t>
      </w:r>
      <w:r>
        <w:rPr>
          <w:rFonts w:eastAsia="IRNazanin" w:cs="IRNazanin"/>
          <w:color w:val="111111"/>
          <w:sz w:val="28"/>
          <w:szCs w:val="28"/>
          <w:rtl w:val="true"/>
          <w:lang w:bidi="fa-IR"/>
        </w:rPr>
        <w:t>.</w:t>
      </w:r>
    </w:p>
    <w:p>
      <w:pPr>
        <w:pStyle w:val="Heading4"/>
        <w:numPr>
          <w:ilvl w:val="3"/>
          <w:numId w:val="1"/>
        </w:numPr>
        <w:rPr/>
      </w:pPr>
      <w:bookmarkStart w:id="315" w:name="__RefHeading___Toc2027937_2314609296"/>
      <w:bookmarkStart w:id="316" w:name="_Toc116"/>
      <w:bookmarkEnd w:id="315"/>
      <w:r>
        <w:rPr>
          <w:rtl w:val="true"/>
        </w:rPr>
        <w:t>[</w:t>
      </w:r>
      <w:r>
        <w:rPr>
          <w:rtl w:val="true"/>
        </w:rPr>
        <w:t>الکلام فی سجدتی السهو</w:t>
      </w:r>
      <w:r>
        <w:rPr>
          <w:rtl w:val="true"/>
        </w:rPr>
        <w:t>]</w:t>
      </w:r>
      <w:bookmarkEnd w:id="31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ویسجد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النسخ بتثنیة الضمیر جعلاً للتشهّد والصلاة بمنزلةِ</w:t>
      </w:r>
    </w:p>
    <w:p>
      <w:pPr>
        <w:pStyle w:val="BookText"/>
        <w:rPr/>
      </w:pPr>
      <w:r>
        <w:rPr>
          <w:rFonts w:ascii="IRNazanin" w:hAnsi="IRNazanin" w:eastAsia="IRNazanin"/>
          <w:color w:val="111111"/>
          <w:sz w:val="28"/>
          <w:sz w:val="28"/>
          <w:szCs w:val="28"/>
          <w:rtl w:val="true"/>
          <w:lang w:bidi="fa-IR"/>
        </w:rPr>
        <w:t xml:space="preserve">واحدٍ؛ لأنّها جزؤه، ولو جمعه کان أجود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سجدتی السهو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والأولی تقدیم الأجزاء علی السجود لها، کتقدیمها علیه بسببٍ غیرها وإن تقدّم، وتقدیم سجودها علی غیره وإن تقدّم سببه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المصنِّف ذلک کلَّه فی الذکری </w:t>
      </w:r>
      <w:r>
        <w:rPr>
          <w:rStyle w:val="FootnoteAnchor"/>
          <w:rtl w:val="true"/>
        </w:rPr>
        <w:footnoteReference w:id="1071"/>
      </w:r>
      <w:r>
        <w:rPr>
          <w:rFonts w:ascii="Amiri" w:hAnsi="Amiri" w:eastAsia="Amiri" w:cs="Amiri"/>
          <w:color w:val="111111"/>
          <w:sz w:val="28"/>
          <w:sz w:val="28"/>
          <w:szCs w:val="28"/>
          <w:rtl w:val="true"/>
          <w:lang w:bidi="ar-SA"/>
        </w:rPr>
        <w:t>لارتباط الأجزاء بالصلاة وسجودها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ویجبان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ما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للتکلّم ناسیاً، وللتسلیم فی الأوّلتین ناسیاً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للتسلیم فی غیر محلّه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للزیادة أو النقیصة غیر المبطلة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لروایة سفیان بن السمط عن الصادق علیه السلام </w:t>
      </w:r>
      <w:r>
        <w:rPr>
          <w:rStyle w:val="FootnoteAnchor"/>
          <w:rtl w:val="true"/>
        </w:rPr>
        <w:footnoteReference w:id="1072"/>
      </w:r>
      <w:r>
        <w:rPr>
          <w:rFonts w:ascii="IRNazanin" w:hAnsi="IRNazanin" w:eastAsia="IRNazanin"/>
          <w:color w:val="111111"/>
          <w:sz w:val="28"/>
          <w:sz w:val="28"/>
          <w:szCs w:val="28"/>
          <w:rtl w:val="true"/>
          <w:lang w:bidi="fa-IR"/>
        </w:rPr>
        <w:t>ویتناول ذلک زیادةَ المندوب ناسیاً ونقصانَه حیث یکون قد عزم علی فعله کالقُنوت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خروج الثانی؛ إذ لا یُسمّی ذلک نقصاناً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دخول الأوّل نظرٌ؛ لأنّ السهو لا یزید علی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بوجوبهما لکلّ زیادةٍ ونقصانٍ لم نظفر بقائله ولا بمأخذه </w:t>
      </w:r>
      <w:r>
        <w:rPr>
          <w:rStyle w:val="FootnoteAnchor"/>
          <w:rtl w:val="true"/>
        </w:rPr>
        <w:footnoteReference w:id="1073"/>
      </w:r>
      <w:r>
        <w:rPr>
          <w:rFonts w:ascii="IRNazanin" w:hAnsi="IRNazanin" w:eastAsia="IRNazanin"/>
          <w:color w:val="111111"/>
          <w:sz w:val="28"/>
          <w:sz w:val="28"/>
          <w:szCs w:val="28"/>
          <w:rtl w:val="true"/>
          <w:lang w:bidi="fa-IR"/>
        </w:rPr>
        <w:t xml:space="preserve">والمأخذ ما ذکرناه، وهو من جملة القائلین به </w:t>
      </w:r>
      <w:r>
        <w:rPr>
          <w:rStyle w:val="FootnoteAnchor"/>
          <w:rtl w:val="true"/>
        </w:rPr>
        <w:footnoteReference w:id="1074"/>
      </w:r>
      <w:r>
        <w:rPr>
          <w:rFonts w:ascii="IRNazanin" w:hAnsi="IRNazanin" w:eastAsia="IRNazanin"/>
          <w:color w:val="111111"/>
          <w:sz w:val="28"/>
          <w:sz w:val="28"/>
          <w:szCs w:val="28"/>
          <w:rtl w:val="true"/>
          <w:lang w:bidi="fa-IR"/>
        </w:rPr>
        <w:t xml:space="preserve">وقبلَه الفاضل </w:t>
      </w:r>
      <w:r>
        <w:rPr>
          <w:rStyle w:val="FootnoteAnchor"/>
          <w:rtl w:val="true"/>
        </w:rPr>
        <w:footnoteReference w:id="1075"/>
      </w:r>
      <w:r>
        <w:rPr>
          <w:rFonts w:ascii="IRNazanin" w:hAnsi="IRNazanin" w:eastAsia="IRNazanin"/>
          <w:color w:val="111111"/>
          <w:sz w:val="28"/>
          <w:sz w:val="28"/>
          <w:szCs w:val="28"/>
          <w:rtl w:val="true"/>
          <w:lang w:bidi="fa-IR"/>
        </w:rPr>
        <w:t xml:space="preserve">وقبلَهما الصدوق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وللقیام فی موضع قعودٍ وعکسِه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ناسیاً، وقد کانا داخلین فی الزیادة والنقصان، وإنّما خصّهما تأکیداً؛ لأنّه قد قال بوجوبه لهما مَن لم یقل</w:t>
      </w:r>
    </w:p>
    <w:p>
      <w:pPr>
        <w:pStyle w:val="BookText"/>
        <w:rPr/>
      </w:pPr>
      <w:r>
        <w:rPr>
          <w:rFonts w:ascii="IRNazanin" w:hAnsi="IRNazanin" w:eastAsia="IRNazanin"/>
          <w:color w:val="111111"/>
          <w:sz w:val="28"/>
          <w:sz w:val="28"/>
          <w:szCs w:val="28"/>
          <w:rtl w:val="true"/>
          <w:lang w:bidi="fa-IR"/>
        </w:rPr>
        <w:t xml:space="preserve">بوجوبه لهما مطلقاً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وللشکّ بین 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تصحّ معه الصلاة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 قصدهما وتعیین‌السبب إن تعدّد،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المصنّف فی الذکری اعتباره مطلقاً </w:t>
      </w:r>
      <w:r>
        <w:rPr>
          <w:rStyle w:val="FootnoteAnchor"/>
          <w:rtl w:val="true"/>
        </w:rPr>
        <w:footnoteReference w:id="1079"/>
      </w:r>
      <w:r>
        <w:rPr>
          <w:rFonts w:ascii="IRNazanin" w:hAnsi="IRNazanin" w:eastAsia="IRNazanin"/>
          <w:color w:val="111111"/>
          <w:sz w:val="28"/>
          <w:sz w:val="28"/>
          <w:szCs w:val="28"/>
          <w:rtl w:val="true"/>
          <w:lang w:bidi="fa-IR"/>
        </w:rPr>
        <w:t xml:space="preserve">وفی غیرها </w:t>
      </w:r>
      <w:r>
        <w:rPr>
          <w:rStyle w:val="FootnoteAnchor"/>
          <w:rtl w:val="true"/>
        </w:rPr>
        <w:footnoteReference w:id="1080"/>
      </w:r>
      <w:r>
        <w:rPr>
          <w:rFonts w:ascii="Amiri" w:hAnsi="Amiri" w:eastAsia="Amiri" w:cs="Amiri"/>
          <w:color w:val="111111"/>
          <w:sz w:val="28"/>
          <w:sz w:val="28"/>
          <w:szCs w:val="28"/>
          <w:rtl w:val="true"/>
          <w:lang w:bidi="ar-SA"/>
        </w:rPr>
        <w:t xml:space="preserve">عدمَه مطلقاً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أیضاً اختیاره فی اعتبار نیّة الأداء والقضاء فیهما </w:t>
      </w:r>
      <w:r>
        <w:rPr>
          <w:rStyle w:val="FootnoteAnchor"/>
          <w:rtl w:val="true"/>
        </w:rPr>
        <w:footnoteReference w:id="1082"/>
      </w:r>
      <w:r>
        <w:rPr>
          <w:rFonts w:ascii="IRNazanin" w:hAnsi="IRNazanin" w:eastAsia="IRNazanin"/>
          <w:color w:val="111111"/>
          <w:sz w:val="28"/>
          <w:sz w:val="28"/>
          <w:szCs w:val="28"/>
          <w:rtl w:val="true"/>
          <w:lang w:bidi="fa-IR"/>
        </w:rPr>
        <w:t>وفی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واعتبارهما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والنیّة مقارنةٌ لوضع الجبهة علی ما یصحّ السجود علیه، أو بعد الوضع علی الأقوی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یجب فی سجود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وغیرها من الشرائط، ووضع الجبهة علی ما یصحّ السجود علیه، والسجود علی الأعضاء السبعة وغیرِهما من الواجبات والذکر، إلّاأ نّه هنا مخصوص بما رواه الحلبی عن الصادق علیه السلام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bookmarkStart w:id="317" w:name="pg19806_203491"/>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وصلّی اللّٰه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بعض النسخ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آل محمّد، وفی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بسم اللّٰه وباللّٰه والسلام علیک أ 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بحذف واو العطف من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والجمیع مرویّ </w:t>
      </w:r>
      <w:r>
        <w:rPr>
          <w:rStyle w:val="FootnoteAnchor"/>
          <w:rtl w:val="true"/>
        </w:rPr>
        <w:footnoteReference w:id="1086"/>
      </w:r>
      <w:r>
        <w:rPr>
          <w:rFonts w:ascii="IRNazanin" w:hAnsi="IRNazanin" w:eastAsia="IRNazanin"/>
          <w:color w:val="111111"/>
          <w:sz w:val="28"/>
          <w:sz w:val="28"/>
          <w:szCs w:val="28"/>
          <w:rtl w:val="true"/>
          <w:lang w:bidi="fa-IR"/>
        </w:rPr>
        <w:t>مجزئ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رأسه معتدلاً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087"/>
      </w:r>
      <w:r>
        <w:rPr>
          <w:rFonts w:ascii="IRNazanin" w:hAnsi="IRNazanin" w:eastAsia="IRNazanin"/>
          <w:color w:val="111111"/>
          <w:sz w:val="28"/>
          <w:sz w:val="28"/>
          <w:szCs w:val="28"/>
          <w:rtl w:val="true"/>
          <w:lang w:bidi="fa-IR"/>
        </w:rPr>
        <w:t xml:space="preserve">هو المشهور بین الأصحاب، والروایة الصحیحة </w:t>
      </w:r>
      <w:r>
        <w:rPr>
          <w:rStyle w:val="FootnoteAnchor"/>
          <w:rtl w:val="true"/>
        </w:rPr>
        <w:footnoteReference w:id="1088"/>
      </w:r>
      <w:r>
        <w:rPr>
          <w:rFonts w:ascii="Amiri" w:hAnsi="Amiri" w:eastAsia="Amiri" w:cs="Amiri"/>
          <w:color w:val="111111"/>
          <w:sz w:val="28"/>
          <w:sz w:val="28"/>
          <w:szCs w:val="28"/>
          <w:rtl w:val="true"/>
          <w:lang w:bidi="ar-SA"/>
        </w:rPr>
        <w:t>دالّة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أقوالٌ اُخر </w:t>
      </w:r>
      <w:r>
        <w:rPr>
          <w:rStyle w:val="FootnoteAnchor"/>
          <w:rtl w:val="true"/>
        </w:rPr>
        <w:footnoteReference w:id="1089"/>
      </w:r>
      <w:r>
        <w:rPr>
          <w:rFonts w:ascii="IRNazanin" w:hAnsi="IRNazanin" w:eastAsia="IRNazanin"/>
          <w:color w:val="111111"/>
          <w:sz w:val="28"/>
          <w:sz w:val="28"/>
          <w:szCs w:val="28"/>
          <w:rtl w:val="true"/>
          <w:lang w:bidi="fa-IR"/>
        </w:rPr>
        <w:t>ضعیفة المستند</w:t>
      </w:r>
      <w:r>
        <w:rPr>
          <w:rFonts w:eastAsia="IRNazanin" w:cs="IRNazanin"/>
          <w:color w:val="111111"/>
          <w:sz w:val="28"/>
          <w:szCs w:val="28"/>
          <w:rtl w:val="true"/>
          <w:lang w:bidi="fa-IR"/>
        </w:rPr>
        <w:t>.</w:t>
      </w:r>
    </w:p>
    <w:p>
      <w:pPr>
        <w:pStyle w:val="Heading4"/>
        <w:numPr>
          <w:ilvl w:val="3"/>
          <w:numId w:val="1"/>
        </w:numPr>
        <w:rPr/>
      </w:pPr>
      <w:bookmarkStart w:id="318" w:name="__RefHeading___Toc2027939_2314609296"/>
      <w:bookmarkStart w:id="319" w:name="_Toc117"/>
      <w:bookmarkEnd w:id="318"/>
      <w:r>
        <w:rPr>
          <w:rtl w:val="true"/>
        </w:rPr>
        <w:t>[</w:t>
      </w:r>
      <w:r>
        <w:rPr>
          <w:rtl w:val="true"/>
        </w:rPr>
        <w:t>احکام الشکوک</w:t>
      </w:r>
      <w:r>
        <w:rPr>
          <w:rtl w:val="true"/>
        </w:rPr>
        <w:t>]</w:t>
      </w:r>
      <w:bookmarkEnd w:id="31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والشاکّ فی عدد الثنائیّة، أو الثلاثیّة، أو فی الأوّلتین من الرباعیّة، أو فی عددٍ غیر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یَدْرِ کم صلّی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المتحقّق بإتمام </w:t>
      </w:r>
      <w:r>
        <w:rPr>
          <w:rStyle w:val="FootnoteAnchor"/>
          <w:rtl w:val="true"/>
        </w:rPr>
        <w:footnoteReference w:id="1090"/>
      </w:r>
      <w:r>
        <w:rPr>
          <w:rFonts w:ascii="IRNazanin" w:hAnsi="IRNazanin" w:eastAsia="IRNazanin"/>
          <w:color w:val="111111"/>
          <w:sz w:val="28"/>
          <w:sz w:val="28"/>
          <w:szCs w:val="28"/>
          <w:rtl w:val="true"/>
          <w:lang w:bidi="fa-IR"/>
        </w:rPr>
        <w:t xml:space="preserve">ذکر السجدة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أدخل معهما</w:t>
      </w:r>
    </w:p>
    <w:p>
      <w:pPr>
        <w:pStyle w:val="BookText"/>
        <w:rPr/>
      </w:pPr>
      <w:r>
        <w:rPr>
          <w:rFonts w:ascii="IRNazanin" w:hAnsi="IRNazanin" w:eastAsia="IRNazanin"/>
          <w:color w:val="111111"/>
          <w:sz w:val="28"/>
          <w:sz w:val="28"/>
          <w:szCs w:val="28"/>
          <w:rtl w:val="true"/>
          <w:lang w:bidi="fa-IR"/>
        </w:rPr>
        <w:t xml:space="preserve">غیرَهما، وبه یمتاز عن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بمجرّد الشکّ بل بعد استقراره بالتروّی عند عروضه ولم یحصل ظنٌّ بطرفٍ من متعلّقه، وإلّا بنی علیه فی الجمیع، وکذا فی غیره من أقسام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ذکرناه من ذکر الثانیة وإن لم یرفع رأسَه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صورٌ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 بها البلوی أو أ نّها منصوصة، وإلّا فصور الشکّ أزید من ذلک، کما حرّره فی رسالة الصلاة </w:t>
      </w:r>
      <w:r>
        <w:rPr>
          <w:rStyle w:val="FootnoteAnchor"/>
          <w:rtl w:val="true"/>
        </w:rPr>
        <w:footnoteReference w:id="1091"/>
      </w:r>
      <w:r>
        <w:rPr>
          <w:rFonts w:ascii="IRNazanin" w:hAnsi="IRNazanin" w:eastAsia="IRNazanin"/>
          <w:color w:val="111111"/>
          <w:sz w:val="28"/>
          <w:sz w:val="28"/>
          <w:szCs w:val="28"/>
          <w:rtl w:val="true"/>
          <w:lang w:bidi="fa-IR"/>
        </w:rPr>
        <w:t>وسیأتی أنّ الاُولی غیر منصوصة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الاثنتین والثلاث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ویبنی علی الأکثر فیهما ثمّ یحتاط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برکعتین جالساً أو رکعةٍ قائماً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بین الاثنتین والأربع، یبنی علی الأربع ویحتاط برکعتین قائماً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بین الاثنتین والثلاث والأربع یبنی علی الأربع ویحتاط برکعتین قائماً ثمّ برکعتین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ورواه ابن أبی عمیر عن الصادق علیه السلام عاطفاً لرکعتی الجلوس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 xml:space="preserve">کما ذَکَر هنا، فیجب الترتیب بینهما، وفی الدروس جعله أولی </w:t>
      </w:r>
      <w:r>
        <w:rPr>
          <w:rStyle w:val="FootnoteAnchor"/>
          <w:rtl w:val="true"/>
        </w:rPr>
        <w:footnoteReference w:id="109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إبدال الرکعتین جالساً برکعةٍ قائماً؛ لأنّها أقرب إلی المحتمل فواته </w:t>
      </w:r>
      <w:r>
        <w:rPr>
          <w:rStyle w:val="FootnoteAnchor"/>
          <w:rtl w:val="true"/>
        </w:rPr>
        <w:footnoteReference w:id="1094"/>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رکعةً قائماً ورکعتین جالساً،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وابن الجنید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الاعتبار؛ لأنّهما ینضمّان حیث تکون الصلاة اثنتین، ویجتزئ بإحداهما حیث تکون ثلاثاً، إلّاأنّ الأخبار </w:t>
      </w:r>
      <w:r>
        <w:rPr>
          <w:rStyle w:val="FootnoteAnchor"/>
          <w:rtl w:val="true"/>
        </w:rPr>
        <w:footnoteReference w:id="1097"/>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بین الأربع والخمس، وحکمه قبل الرکوع کالشکّ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فیهدم الرکعة ویتشهّد ویسلِّم ویصیر بذلک شاکّاً بین الثلاث والأربع، فیلزمه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عنه سجدتی السهو لما هدمه من القیام وصاحَبَه من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قد سجد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النصّ بأنّ من لم یدرِ أربعاً صلّی أم خمساً یتشهّد ویسلّم ویسجد سجدتی السهو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الصلاة لو شکّ ولمّا یکمل السجود إذا کان قد رکع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لم یکمل الرکعة حتّی یصدق علیه أ نّه شکّ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وتردِّده </w:t>
      </w:r>
      <w:r>
        <w:rPr>
          <w:rStyle w:val="FootnoteAnchor"/>
          <w:rtl w:val="true"/>
        </w:rPr>
        <w:footnoteReference w:id="1100"/>
      </w:r>
      <w:r>
        <w:rPr>
          <w:rFonts w:ascii="Amiri" w:hAnsi="Amiri" w:eastAsia="Amiri" w:cs="Amiri"/>
          <w:color w:val="111111"/>
          <w:sz w:val="28"/>
          <w:sz w:val="28"/>
          <w:szCs w:val="28"/>
          <w:rtl w:val="true"/>
          <w:lang w:bidi="ar-SA"/>
        </w:rPr>
        <w:t>بین محذورین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الإکمال المُعرِّض للزیادة، والهدم المُعرِّض للنقصان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والأصحّ الصحّة؛ 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أعاد الصَلاة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یحتال فیها ویُدبّرها حتّی لا یعیدها </w:t>
      </w:r>
      <w:r>
        <w:rPr>
          <w:rStyle w:val="FootnoteAnchor"/>
          <w:rtl w:val="true"/>
        </w:rPr>
        <w:footnoteReference w:id="1101"/>
      </w:r>
      <w:r>
        <w:rPr>
          <w:rFonts w:ascii="IRNazanin" w:hAnsi="IRNazanin" w:eastAsia="IRNazanin"/>
          <w:color w:val="111111"/>
          <w:sz w:val="28"/>
          <w:sz w:val="28"/>
          <w:szCs w:val="28"/>
          <w:rtl w:val="true"/>
          <w:lang w:bidi="fa-IR"/>
        </w:rPr>
        <w:t>ولأصالة عدم الزیادة، واحتمالُها لو أثّر لأثّر فی جمیع صورها، والمحذور إنّما هو زیادة الرکن، لا الرکن المحتمل زیادته</w:t>
      </w:r>
      <w:r>
        <w:rPr>
          <w:rFonts w:eastAsia="IRNazanin" w:cs="IRNazanin"/>
          <w:color w:val="111111"/>
          <w:sz w:val="28"/>
          <w:szCs w:val="28"/>
          <w:rtl w:val="true"/>
          <w:lang w:bidi="fa-IR"/>
        </w:rPr>
        <w:t>.</w:t>
      </w:r>
      <w:bookmarkStart w:id="320" w:name="pg19806_203494"/>
    </w:p>
    <w:p>
      <w:pPr>
        <w:pStyle w:val="Heading4"/>
        <w:numPr>
          <w:ilvl w:val="3"/>
          <w:numId w:val="1"/>
        </w:numPr>
        <w:rPr/>
      </w:pPr>
      <w:bookmarkStart w:id="321" w:name="__RefHeading___Toc2027941_2314609296"/>
      <w:bookmarkStart w:id="322" w:name="_Toc118"/>
      <w:bookmarkEnd w:id="320"/>
      <w:bookmarkEnd w:id="321"/>
      <w:r>
        <w:rPr>
          <w:rtl w:val="true"/>
        </w:rPr>
        <w:t>[«</w:t>
      </w:r>
      <w:r>
        <w:rPr>
          <w:rtl w:val="true"/>
        </w:rPr>
        <w:t>مسائل</w:t>
      </w:r>
      <w:r>
        <w:rPr>
          <w:rtl w:val="true"/>
        </w:rPr>
        <w:t xml:space="preserve">» </w:t>
      </w:r>
      <w:r>
        <w:rPr>
          <w:rtl w:val="true"/>
        </w:rPr>
        <w:t xml:space="preserve">سبع </w:t>
      </w:r>
      <w:r>
        <w:rPr>
          <w:rtl w:val="true"/>
        </w:rPr>
        <w:t>]</w:t>
      </w:r>
      <w:bookmarkEnd w:id="322"/>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غلب علی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طرفی ما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الطرف الذی غلب علیه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أ نّه غلب ظنُّه علیه ثانیاً بعد أن شکّ فیه أوّلاً؛ لأنّ الشکّ لا یجامع غلبةَ الظنّ؛ لما عرفت من اقتضاء الشکّ تساوی الطرفین والظنّ رجحانَ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البناء علی الطرف الراجح بین الاُولیین وغیرهما، ولا بین الرباعیّة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فرضُه واقعاً والتزام حکمه من صحّةٍ وبطلان وزیادةٍ ونقصان، فإن کان فی الأفعال وغلب الفعلُ بنی علی وقوعه، أو عدمُهُ فَعَله إن کان فی محلّه، وفی عدد الرکعات یجعل الواقعَ ما ظنَّه من غیر احتیاط، فإن غلب الأقلُّ بنی علیه وأکمل، وإن غلب الأکثرُ من غیر زیادةٍ فی عدد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وسلَّم، وإن کان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غلب ظنّه علی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کأ نّه زاد رکعةً آخر الصلاة، فتبطل إن لم یکن جلس عقیب الرابعة بقدر التشهّد، وهکذا</w:t>
      </w:r>
      <w:r>
        <w:rPr>
          <w:rFonts w:eastAsia="IRNazanin" w:cs="IRNazanin"/>
          <w:color w:val="111111"/>
          <w:sz w:val="28"/>
          <w:szCs w:val="28"/>
          <w:rtl w:val="true"/>
          <w:lang w:bidi="fa-IR"/>
        </w:rPr>
        <w:t>. .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أحدث قبل الاحتیاط أو الأجزاء المنسیّة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تُتلافی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تطهّر وأتی بها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تبطل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صلاةٌ منفردة، ومن ثَمّ وجب فیها النیّة والتحریمة والفاتحة، ولا صلاة إلّابها، وکونُها جبراً لما یُحتمل نقصه من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وجبت المطابقة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w:t>
      </w:r>
    </w:p>
    <w:p>
      <w:pPr>
        <w:pStyle w:val="BookText"/>
        <w:rPr/>
      </w:pPr>
      <w:r>
        <w:rPr>
          <w:rFonts w:ascii="IRNazanin" w:hAnsi="IRNazanin" w:eastAsia="IRNazanin"/>
          <w:color w:val="111111"/>
          <w:sz w:val="28"/>
          <w:sz w:val="28"/>
          <w:szCs w:val="28"/>
          <w:rtl w:val="true"/>
          <w:lang w:bidi="fa-IR"/>
        </w:rPr>
        <w:t xml:space="preserve">الجزئیّة، بل یحتمل ذلک والبدلیّة؛ إذ لا یقتضی المساواة من کلّ وجه، ولأصالة الصحّة </w:t>
      </w:r>
      <w:r>
        <w:rPr>
          <w:rStyle w:val="FootnoteAnchor"/>
          <w:rtl w:val="true"/>
        </w:rPr>
        <w:footnoteReference w:id="1103"/>
      </w:r>
      <w:r>
        <w:rPr>
          <w:rFonts w:ascii="IRNazanin" w:hAnsi="IRNazanin" w:eastAsia="IRNazanin"/>
          <w:color w:val="111111"/>
          <w:sz w:val="28"/>
          <w:sz w:val="28"/>
          <w:szCs w:val="28"/>
          <w:rtl w:val="true"/>
          <w:lang w:bidi="fa-IR"/>
        </w:rPr>
        <w:t xml:space="preserve">وعلیه المصنِّف فی مختصراته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واستضعفه فی الذکری، بناءً علی أنّ شرعیّته لیکون استدراکاً للفائت منها، فهو علی تقدیر وجوبه جزءٌ، فیکون الحدث واقعاً فی الصلاة </w:t>
      </w:r>
      <w:r>
        <w:rPr>
          <w:rStyle w:val="FootnoteAnchor"/>
          <w:rtl w:val="true"/>
        </w:rPr>
        <w:footnoteReference w:id="1105"/>
      </w:r>
      <w:r>
        <w:rPr>
          <w:rFonts w:ascii="Amiri" w:hAnsi="Amiri" w:eastAsia="Amiri" w:cs="Amiri"/>
          <w:color w:val="111111"/>
          <w:sz w:val="28"/>
          <w:sz w:val="28"/>
          <w:szCs w:val="28"/>
          <w:rtl w:val="true"/>
          <w:lang w:bidi="ar-SA"/>
        </w:rPr>
        <w:t xml:space="preserve">ولدلالة ظاهر الأخبار </w:t>
      </w:r>
      <w:r>
        <w:rPr>
          <w:rStyle w:val="FootnoteAnchor"/>
          <w:rtl w:val="true"/>
        </w:rPr>
        <w:footnoteReference w:id="1106"/>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دلالةَ البدلیّة </w:t>
      </w:r>
      <w:r>
        <w:rPr>
          <w:rStyle w:val="FootnoteAnchor"/>
          <w:rtl w:val="true"/>
        </w:rPr>
        <w:footnoteReference w:id="1107"/>
      </w:r>
      <w:r>
        <w:rPr>
          <w:rFonts w:ascii="IRNazanin" w:hAnsi="IRNazanin" w:eastAsia="IRNazanin"/>
          <w:color w:val="111111"/>
          <w:sz w:val="28"/>
          <w:sz w:val="28"/>
          <w:szCs w:val="28"/>
          <w:rtl w:val="true"/>
          <w:lang w:bidi="fa-IR"/>
        </w:rPr>
        <w:t>والأخبار إنّما دلّت علی الفوریّة ولا نزاع فیها، إنّما الکلام فی أ نّه بمخالفتها هل یأثم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مقتضی کلّ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یبطلها؟</w:t>
      </w:r>
    </w:p>
    <w:p>
      <w:pPr>
        <w:pStyle w:val="BookText"/>
        <w:rPr/>
      </w:pPr>
      <w:r>
        <w:rPr>
          <w:rFonts w:ascii="IRNazanin" w:hAnsi="IRNazanin" w:eastAsia="IRNazanin"/>
          <w:color w:val="111111"/>
          <w:sz w:val="28"/>
          <w:sz w:val="28"/>
          <w:szCs w:val="28"/>
          <w:rtl w:val="true"/>
          <w:lang w:bidi="fa-IR"/>
        </w:rPr>
        <w:t>وأمّا الأجزاء المنسیّة فقد خرجت عن کونها جزءاً محضاً، وتلافیها بعد الصلاة فعلٌ آخر، ولو بقیت علی محض الجزئیّة کما کانت لبطلت بتخلّل الأرکان بین محلّها وتلافیها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ذکر ما فعل فلا إعادة إلّاأن یکون قد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نقصانَ الصلاة بحیث یحتاج إلی إکمالها بمثل ما فعل صحّت الصلاةُ وکان الاحتیاط متمّماً</w:t>
      </w:r>
    </w:p>
    <w:p>
      <w:pPr>
        <w:pStyle w:val="BookText"/>
        <w:rPr/>
      </w:pPr>
      <w:r>
        <w:rPr>
          <w:rFonts w:ascii="IRNazanin" w:hAnsi="IRNazanin" w:eastAsia="IRNazanin"/>
          <w:color w:val="111111"/>
          <w:sz w:val="28"/>
          <w:sz w:val="28"/>
          <w:szCs w:val="28"/>
          <w:rtl w:val="true"/>
          <w:lang w:bidi="fa-IR"/>
        </w:rPr>
        <w:t xml:space="preserve">لها، وإن اشتمل علی زیادة الأرکان من النیّة والتکبیر، ونقصان بعضٍ کالقیام لو احتاط جالساً، وزیادةِ الرکوع والسجودِ فی الرکعات المتعدّدة </w:t>
      </w:r>
      <w:r>
        <w:rPr>
          <w:rStyle w:val="FootnoteAnchor"/>
          <w:rtl w:val="true"/>
        </w:rPr>
        <w:footnoteReference w:id="1108"/>
      </w:r>
      <w:r>
        <w:rPr>
          <w:rFonts w:ascii="IRNazanin" w:hAnsi="IRNazanin" w:eastAsia="IRNazanin"/>
          <w:color w:val="111111"/>
          <w:sz w:val="28"/>
          <w:sz w:val="28"/>
          <w:szCs w:val="28"/>
          <w:rtl w:val="true"/>
          <w:lang w:bidi="fa-IR"/>
        </w:rPr>
        <w:t>للامتثال المقتضی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اعتبرت المطابقة محضاً لم یَسْلُم احتیاطٌ ذکر فاعِلُه الحاجة إلیه؛ لتحقّق الزیادة إن لم تحصل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وشمل ذلک </w:t>
      </w:r>
      <w:r>
        <w:rPr>
          <w:rStyle w:val="FootnoteAnchor"/>
          <w:rtl w:val="true"/>
        </w:rPr>
        <w:footnoteReference w:id="1109"/>
      </w:r>
      <w:r>
        <w:rPr>
          <w:rFonts w:ascii="IRNazanin" w:hAnsi="IRNazanin" w:eastAsia="IRNazanin"/>
          <w:color w:val="111111"/>
          <w:sz w:val="28"/>
          <w:sz w:val="28"/>
          <w:szCs w:val="28"/>
          <w:rtl w:val="true"/>
          <w:lang w:bidi="fa-IR"/>
        </w:rPr>
        <w:t>ما لو أوجب الشکُّ احتیاطین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ظاهرٌ مع المطابقة، کما لو تذکّر أ نّها اثنتان بعد أن قدَّم رکعتی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ذکر أ نّها ثلاث احتُمل کونُه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ظاهر الفتوی </w:t>
      </w:r>
      <w:r>
        <w:rPr>
          <w:rStyle w:val="FootnoteAnchor"/>
          <w:rtl w:val="true"/>
        </w:rPr>
        <w:footnoteReference w:id="1110"/>
      </w:r>
      <w:r>
        <w:rPr>
          <w:rFonts w:ascii="IRNazanin" w:hAnsi="IRNazanin" w:eastAsia="IRNazanin"/>
          <w:color w:val="111111"/>
          <w:sz w:val="28"/>
          <w:sz w:val="28"/>
          <w:szCs w:val="28"/>
          <w:rtl w:val="true"/>
          <w:lang w:bidi="fa-IR"/>
        </w:rPr>
        <w:t xml:space="preserve">لما ذکر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وإلحاقُه بمن زاد رکعةً آخر الصلاة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ظهر الأوّل بعد تقدیم صلاة الجلوس أو الرکعة قائماً إن جوّزناه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السرّ فی تقدیم رکعتی القیام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اخترناه لا تظهر المخالفة إلّافی الفرض الأوّل من فروضها، وأمره سهلٌ مع إطلاق النصّ وتحقّق الامتثال الموجب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فهو أسهل </w:t>
      </w:r>
      <w:r>
        <w:rPr>
          <w:rStyle w:val="FootnoteAnchor"/>
          <w:rtl w:val="true"/>
        </w:rPr>
        <w:footnoteReference w:id="1112"/>
      </w:r>
      <w:r>
        <w:rPr>
          <w:rFonts w:ascii="IRNazanin" w:hAnsi="IRNazanin" w:eastAsia="IRNazanin"/>
          <w:color w:val="111111"/>
          <w:sz w:val="28"/>
          <w:sz w:val="28"/>
          <w:szCs w:val="28"/>
          <w:rtl w:val="true"/>
          <w:lang w:bidi="fa-IR"/>
        </w:rPr>
        <w:t>من قیام رکعتین من جلوسٍ مقام رکعةٍ من قیام إذا ظهرت الحاجة إلیه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ذکر بعد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أثنائه فکذلک مع المطابقة أو لم یتجاوز القدر المطابق، فیسلّم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مع المخالفة، خصوصاً مع الجلوس إذا کان قد رکع للاُولی؛ لاختلال نظم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قبله فیُکمِل الرکعة قائماً، ویغتفر ما زاده من النیّة والتحریمة کالسابق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الفتوی اغتفارُ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قد أحدث أعاد؛ لظهوره فی أثناء الصلاة، مع احتمال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ذکر بعد الفراغ تمامَ الصلاة فأولی بالصحّة، ولکنّ العبارة لا تتناوله وإن 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استثناءَه الحدَثَ ینافیه؛ إذ لا فرق فی الصحّة بین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ذکر التمام فی الأثناء تخیّر بین قطعه وإتمامه، وهو الأفضل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بابویه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الاثنتین والأربع</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استناداً إلی مقطوعة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لا یدری أصلّی رکعتین أم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والروایة مجهولة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کونُه غیرَ إمام، مع معارضتها بصحیحة محمّد بن مسلم عن الصادق علیه السلام فی من لا یدری أرکعتان صلاته أو أربع؟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ویُصلّی رکعتین بفاتحة الکتاب ویتشهّد وینصرف</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 xml:space="preserve">وفی معناها غیرها </w:t>
      </w:r>
      <w:r>
        <w:rPr>
          <w:rStyle w:val="FootnoteAnchor"/>
          <w:rtl w:val="true"/>
        </w:rPr>
        <w:footnoteReference w:id="1116"/>
      </w:r>
      <w:r>
        <w:rPr>
          <w:rFonts w:ascii="IRNazanin" w:hAnsi="IRNazanin" w:eastAsia="IRNazanin"/>
          <w:color w:val="111111"/>
          <w:sz w:val="28"/>
          <w:sz w:val="28"/>
          <w:szCs w:val="28"/>
          <w:rtl w:val="true"/>
          <w:lang w:bidi="fa-IR"/>
        </w:rPr>
        <w:t>ویمکن حمل المقطوعة علی من شکّ قبل إکمال السجود، أو</w:t>
      </w:r>
    </w:p>
    <w:p>
      <w:pPr>
        <w:pStyle w:val="BookText"/>
        <w:rPr/>
      </w:pPr>
      <w:r>
        <w:rPr>
          <w:rFonts w:ascii="IRNazanin" w:hAnsi="IRNazanin" w:eastAsia="IRNazanin"/>
          <w:color w:val="111111"/>
          <w:sz w:val="28"/>
          <w:sz w:val="28"/>
          <w:szCs w:val="28"/>
          <w:rtl w:val="true"/>
          <w:lang w:bidi="fa-IR"/>
        </w:rPr>
        <w:t>علی الشکّ فی غیر الرباعیّة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الاحتیاط برکعتین جالساً لو شکّ فی المغرب بین الاثنتین والثلاث وذهب 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الثالثة </w:t>
      </w:r>
      <w:r>
        <w:rPr>
          <w:rStyle w:val="FootnoteAnchor"/>
          <w:rtl w:val="true"/>
        </w:rPr>
        <w:footnoteReference w:id="1117"/>
      </w:r>
      <w:r>
        <w:rPr>
          <w:rFonts w:ascii="IRNazanin" w:hAnsi="IRNazanin" w:eastAsia="IRNazanin"/>
          <w:color w:val="111111"/>
          <w:sz w:val="28"/>
          <w:sz w:val="28"/>
          <w:szCs w:val="28"/>
          <w:rtl w:val="true"/>
          <w:lang w:bidi="fa-IR"/>
        </w:rPr>
        <w:t>عملاً بروایة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عن الصادق علیه السلام </w:t>
      </w:r>
      <w:r>
        <w:rPr>
          <w:rStyle w:val="FootnoteAnchor"/>
          <w:rtl w:val="true"/>
        </w:rPr>
        <w:footnoteReference w:id="1118"/>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منسوبٌ إلی الفَطَحیّة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القائلون بإمامة عبد اللّٰه بن جعفر الأفطح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یُعتدّ بروایته، مع کونها شاذّة والقول بها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مع ظنّ أحد الطرفین یبنی علیه من غیر أن یلزمه شیء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رکعتین جلوساً </w:t>
      </w:r>
      <w:r>
        <w:rPr>
          <w:rStyle w:val="FootnoteAnchor"/>
          <w:rtl w:val="true"/>
        </w:rPr>
        <w:footnoteReference w:id="1120"/>
      </w:r>
      <w:r>
        <w:rPr>
          <w:rFonts w:ascii="IRNazanin" w:hAnsi="IRNazanin" w:eastAsia="IRNazanin"/>
          <w:color w:val="111111"/>
          <w:sz w:val="28"/>
          <w:sz w:val="28"/>
          <w:szCs w:val="28"/>
          <w:rtl w:val="true"/>
          <w:lang w:bidi="fa-IR"/>
        </w:rPr>
        <w:t xml:space="preserve">للشکّ بین الأربع والخمس </w:t>
      </w:r>
      <w:r>
        <w:rPr>
          <w:rStyle w:val="FootnoteAnchor"/>
          <w:rtl w:val="true"/>
        </w:rPr>
        <w:footnoteReference w:id="1121"/>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الحقّ فیه ما سبق من التفصیل </w:t>
      </w:r>
      <w:r>
        <w:rPr>
          <w:rStyle w:val="FootnoteAnchor"/>
          <w:rtl w:val="true"/>
        </w:rPr>
        <w:footnoteReference w:id="1122"/>
      </w:r>
      <w:r>
        <w:rPr>
          <w:rFonts w:ascii="Amiri" w:hAnsi="Amiri" w:eastAsia="Amiri" w:cs="Amiri"/>
          <w:color w:val="111111"/>
          <w:sz w:val="28"/>
          <w:sz w:val="28"/>
          <w:szCs w:val="28"/>
          <w:rtl w:val="true"/>
          <w:lang w:bidi="ar-SA"/>
        </w:rPr>
        <w:t>من غیر احتیاط، ولأنّ الاحتیاط جبرٌ لما یُحتمل نقصُه، وهو هنا منفیٌّ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حُمل علی الشکّ فیهما قبل الرکوع، فإنّه یوجب الاحتیاط بهما، کما مرّ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ابن الجنید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الشاکَّ بین الثلاث والأربع بین البناء علی الأقلّ ولا احتیاط </w:t>
      </w:r>
      <w:r>
        <w:rPr>
          <w:rStyle w:val="FootnoteAnchor"/>
          <w:rtl w:val="true"/>
        </w:rPr>
        <w:footnoteReference w:id="1125"/>
      </w:r>
      <w:r>
        <w:rPr>
          <w:rFonts w:ascii="IRNazanin" w:hAnsi="IRNazanin" w:eastAsia="IRNazanin"/>
          <w:color w:val="111111"/>
          <w:sz w:val="28"/>
          <w:sz w:val="28"/>
          <w:szCs w:val="28"/>
          <w:rtl w:val="true"/>
          <w:lang w:bidi="fa-IR"/>
        </w:rPr>
        <w:t>أو علی الأکثر ویحتاط برکعةٍ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خِیَرة الصدوق </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جمعاً بین الأخبار الدالّة علی الاحتیاط المذکور </w:t>
      </w:r>
      <w:r>
        <w:rPr>
          <w:rStyle w:val="FootnoteAnchor"/>
          <w:rtl w:val="true"/>
        </w:rPr>
        <w:footnoteReference w:id="1127"/>
      </w:r>
      <w:r>
        <w:rPr>
          <w:rFonts w:ascii="IRNazanin" w:hAnsi="IRNazanin" w:eastAsia="IRNazanin"/>
          <w:color w:val="111111"/>
          <w:sz w:val="28"/>
          <w:sz w:val="28"/>
          <w:szCs w:val="28"/>
          <w:rtl w:val="true"/>
          <w:lang w:bidi="fa-IR"/>
        </w:rPr>
        <w:t>وروایةِ سهل بن الیسع عن الرضا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یقینه ویسجد للسهو</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بحملها علی التخییر، ولتساویهما فی تحصیل الغرض من فعل ما یُحتمل فواته، ولأصالة عدم فعله، فیتخیّر بین فعله وبدله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البناء علی الأکثر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مطلقاً کروایة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سهوتَ فابنِ علی الأکثر، فإذا فرغت وسلّمت فقم فصلّ ما ظننت أ نّک نقصت، فإن کنتَ أتممت لم یکن علیک شیءٌ، وإن ذکرت أ نّک کنت نقصت کان ما صلّیت تمام ما نقصت</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وغیرها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بخصوص المسألة کروایة عبد الرحمن بن سیابة وأبی العبّاس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ثلاثاً صلّیت أو أربعاً ووقع رأیک علی الثلاث فابنِ علی الثلاث، وإن وقع رأیک علی الأربع فسلِّم وانصرف، وإن اعتدل وهمُک فانصرف وصلّ رکعتین وأنت جالس</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وفی خبرٍ آخر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بالخیار إن شاء صلّی رکعةً قائماً أو رکعتین جالساً</w:t>
      </w:r>
      <w:r>
        <w:rPr>
          <w:rFonts w:eastAsia="IRNazanin" w:cs="IRNazanin"/>
          <w:color w:val="111111"/>
          <w:sz w:val="28"/>
          <w:szCs w:val="28"/>
          <w:rtl w:val="true"/>
          <w:lang w:bidi="fa-IR"/>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وروایةُ ابن الیسع مُطرَّحةٌ لموافقتها لمذهب العامّة، أو محمولةٌ علی غلبة الظنّ بالنقیصة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بن بابویه </w:t>
      </w:r>
      <w:r>
        <w:rPr>
          <w:rStyle w:val="FootnoteAnchor"/>
          <w:rtl w:val="true"/>
        </w:rPr>
        <w:footnoteReference w:id="1133"/>
      </w:r>
      <w:r>
        <w:rPr>
          <w:rFonts w:ascii="IRNazanin" w:hAnsi="IRNazanin" w:eastAsia="IRNazanin"/>
          <w:color w:val="111111"/>
          <w:sz w:val="28"/>
          <w:sz w:val="28"/>
          <w:szCs w:val="28"/>
          <w:rtl w:val="true"/>
          <w:lang w:bidi="fa-IR"/>
        </w:rPr>
        <w:t>رحمه الله فی الشکّ بین الاثنتین والثلاث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ذهب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الثالثة أتمّها رابعةً ثم احتاط برکعة، وإن ذهب الوهم إلی الاثنتین بنی علیه وتشهّد فی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علیه، أی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الثانیة فظاهر، وأمّا علی الثالثة فلجواز أن تکون رابعةً بأن تکون صلاته عند شکّه ثلاثاً، وعلی الرابعة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وسَجَدَ للسهو، وإن اعتدل الوهم تخیّر بین البناء علی الأقلّ والتشهّد فی کلّ رکعة، وبین البناء علی الأکثر والاحتیاط</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مع ندوره لم نقف علی مستنده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الأصحاب فی أنّ حکم هذا الشاکّ مع اعتدال وهمه البناء علی الأکثر والاحتیاط المذکور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نصّ من الجانبین علی الخصوص، والعموم </w:t>
      </w:r>
      <w:r>
        <w:rPr>
          <w:rStyle w:val="FootnoteAnchor"/>
          <w:rtl w:val="true"/>
        </w:rPr>
        <w:footnoteReference w:id="1134"/>
      </w:r>
      <w:r>
        <w:rPr>
          <w:rFonts w:ascii="IRNazanin" w:hAnsi="IRNazanin" w:eastAsia="IRNazanin"/>
          <w:color w:val="111111"/>
          <w:sz w:val="28"/>
          <w:sz w:val="28"/>
          <w:szCs w:val="28"/>
          <w:rtl w:val="true"/>
          <w:lang w:bidi="fa-IR"/>
        </w:rPr>
        <w:t xml:space="preserve">یدلّ علی المشهور، والشکّ بین الثلاث والأربع منصوصٌ </w:t>
      </w:r>
      <w:r>
        <w:rPr>
          <w:rStyle w:val="FootnoteAnchor"/>
          <w:rtl w:val="true"/>
        </w:rPr>
        <w:footnoteReference w:id="1135"/>
      </w:r>
      <w:r>
        <w:rPr>
          <w:rFonts w:ascii="IRNazanin" w:hAnsi="IRNazanin" w:eastAsia="IRNazanin"/>
          <w:color w:val="111111"/>
          <w:sz w:val="28"/>
          <w:sz w:val="28"/>
          <w:szCs w:val="28"/>
          <w:rtl w:val="true"/>
          <w:lang w:bidi="fa-IR"/>
        </w:rPr>
        <w:t>، وهو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هذه المسائل مع السابعة خارجةٌ عن موضوع الکتاب، لالتزامه فیه أن لا یذکر إلّاالمشهور بین الأصحاب؛ لأنّها من شواذّ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أعلم بما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للسهو مع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الصحیح الدالّ علیه، معلّلاً بأ نّه إذا لم یلتفت ترکه الشیطان، فإنّما یرید أن یُطاع فإذا عُصی لم یَعُد </w:t>
      </w:r>
      <w:r>
        <w:rPr>
          <w:rStyle w:val="FootnoteAnchor"/>
          <w:rtl w:val="true"/>
        </w:rPr>
        <w:footnoteReference w:id="1136"/>
      </w:r>
      <w:r>
        <w:rPr>
          <w:rFonts w:ascii="IRNazanin" w:hAnsi="IRNazanin" w:eastAsia="IRNazanin"/>
          <w:color w:val="111111"/>
          <w:sz w:val="28"/>
          <w:sz w:val="28"/>
          <w:szCs w:val="28"/>
          <w:rtl w:val="true"/>
          <w:lang w:bidi="fa-IR"/>
        </w:rPr>
        <w:t>والمرجع فی الکثرة إلی العرف، وهی تحصل بالتوالی ثلاثاً وإن کان فی 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بالسهو ما یشمل الشکّ، فإنّ کلّاً منهما یُطلق علی الآخر استعمالاً شرعیّاً أو تجوّزاً؛ لتقارب المعنیین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عدم الحکم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الالتفات إلی ما شکَّ فیه من فعلٍ أو رکعةٍ، بل یبنی علی وقوعه وإن کان فی محلّه، حتّی لو فعله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المتروک رکناً لم تؤثّر الکثرة فی عدم البطلان، کما أ نّه لو ذکر ترکَ الفعل فی محلّه استدرکه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ویبنی علی الأکثر فی الرکعات ما لم یستلزم الزیادة علی المطلوب منها فیبنی علی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وسقوط </w:t>
      </w:r>
      <w:r>
        <w:rPr>
          <w:rStyle w:val="FootnoteAnchor"/>
          <w:rtl w:val="true"/>
        </w:rPr>
        <w:footnoteReference w:id="1137"/>
      </w:r>
      <w:r>
        <w:rPr>
          <w:rFonts w:ascii="IRNazanin" w:hAnsi="IRNazanin" w:eastAsia="IRNazanin"/>
          <w:color w:val="111111"/>
          <w:sz w:val="28"/>
          <w:sz w:val="28"/>
          <w:szCs w:val="28"/>
          <w:rtl w:val="true"/>
          <w:lang w:bidi="fa-IR"/>
        </w:rPr>
        <w:t>سجود السهو لو فَعَل ما یوجبه بعدها أو تَرَکَ، وإن وجب تلافی المتروک بعد الصلاة تلافاه من غیر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وتتحقّق الکثرة فی الصلاة الواحدة بتخلّل الذکر، لا بالسهو عن أفعال متعدّدة مع استمرار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ثبتت بالثلاث سقط الحکم فی الرابع، ویستمرّ إلی أن تخلو من السهو والشکّ فرائضُ یتحقّق فیها الوصف، فیتعلّق به حکم السهو الطارئ، وهکذا</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للسهو فی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موجَبه من صلاة وسجود، کنسیان ذکرٍ أو قراءةٍ، فإنّه لا 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ممّا یُتلافی تلافاه من غیر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أو ما یشمله علی وجه الاشتراک ولو بین حقیقة الشیء ومجازه، فإنّ حکمه هنا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استُعمل فی الأوّل فالمراد به الشکّ فی موجب السهو من فعلٍ أو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کرکعتی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یبنی علی وقوعه، إلّاأن یستلزم الزیادة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الثانی فالمراد به موجب الشکّ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استُعمل فیهما فالمراد به الشکّ فی موجب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الشکّ فی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لا التفات، وإن کان إطلاق اللفظ علی جمیع ذلک یحتاج إلی تکلُّف</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لسهو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شکِّه، وهو قرینةٌ لما تقدّم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حفظ المأموم وبالعکس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الشاکّ من کلٍّ منهما یرجع إلی حفظ الآخر ولو بالظنّ، وکذا یرجع الظانُّ إلی المتیقِّن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اتّفقا علی الظنّ واختلف محلُّه تعیَّن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ویکفی</w:t>
      </w:r>
    </w:p>
    <w:p>
      <w:pPr>
        <w:pStyle w:val="BookText"/>
        <w:rPr/>
      </w:pPr>
      <w:r>
        <w:rPr>
          <w:rFonts w:ascii="IRNazanin" w:hAnsi="IRNazanin" w:eastAsia="IRNazanin"/>
          <w:color w:val="111111"/>
          <w:sz w:val="28"/>
          <w:sz w:val="28"/>
          <w:szCs w:val="28"/>
          <w:rtl w:val="true"/>
          <w:lang w:bidi="fa-IR"/>
        </w:rPr>
        <w:t>فی رجوعه تنبیهه بتسبیحٍ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عدالة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إلی غیره وإن کان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أفاده الظنّ رجع إلیه لذلک، لا لکونه مُخبراً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اشترکا فی الشکّ واتّحد لزمهما حُکمُه، وإن اختلف رجعا إلی ما اتّفقا علیه وترکا ما انفرد کلٌّ به، فإن لم یجمعهما رابطة تعیّن الانفراد، کما لو شکّ أحدُهما بین الاثنین والثلاث والآخر بین الأربع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تعدّد المأمومون واختلفوا مع الإمام فالحکم کالأوّل فی رجوع الجمیع إلی الرابطة والانفراد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 بین الإمام وبعض المأمومین رجع الإمام إلی الذاکر منهم وإن اتّحد، وباقی المأمومین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 أمکن فی العکس لا الطرد </w:t>
      </w:r>
      <w:r>
        <w:rPr>
          <w:rStyle w:val="FootnoteAnchor"/>
          <w:rtl w:val="true"/>
        </w:rPr>
        <w:footnoteReference w:id="1139"/>
      </w:r>
      <w:r>
        <w:rPr>
          <w:rFonts w:ascii="IRNazanin" w:hAnsi="IRNazanin" w:eastAsia="IRNazanin"/>
          <w:color w:val="111111"/>
          <w:sz w:val="28"/>
          <w:sz w:val="28"/>
          <w:szCs w:val="28"/>
          <w:rtl w:val="true"/>
          <w:lang w:bidi="fa-IR"/>
        </w:rPr>
        <w:t>بناءً علی ما اختاره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المصنّف فی الذکری </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 نّه لا حکم لسهو المأموم مع سلامة الإمام عنه، فلا یجب علیه سجود السهو لو فعل ما یوجبه لو کان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ترک ما یُتلافی مع السجود سقط السجود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الساهی الإمام فلاریب فی الوجوب علیه، إنّماالخلاف فی وجوب متابعة المأموم له وإن کان 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ابنا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وابنه محمّد الصدوقان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سجدتی‌السهو علی من شکّ بین الثلاث والأربع وظنّ الأکثر</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ولا نصّ علیهما</w:t>
      </w:r>
    </w:p>
    <w:p>
      <w:pPr>
        <w:pStyle w:val="BookText"/>
        <w:rPr/>
      </w:pPr>
      <w:r>
        <w:rPr>
          <w:rFonts w:ascii="IRNazanin" w:hAnsi="IRNazanin" w:eastAsia="IRNazanin"/>
          <w:color w:val="111111"/>
          <w:sz w:val="28"/>
          <w:sz w:val="28"/>
          <w:szCs w:val="28"/>
          <w:rtl w:val="true"/>
          <w:lang w:bidi="fa-IR"/>
        </w:rPr>
        <w:t>فی هذا الشکّ بخصوصه، وأخبار الاحتیاط خالیةٌ منهما، والأصل یقتضی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إسحاق بن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ذهب وهمک إلی التمام ابدأ فی کلّ صلاةٍ فاسجد سجدتی السهو</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فتصلح دلیلاً لهما؛ لتضمّنها مطلوبهما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الندب</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لأنّ الأمر حقیقةٌ فی الوجوب، وغیرُها من الأخبار لم یتعرّض لنفی السجود، فلا منافاة بینهما إذا اشتملت علی زیادة، مع أ نّها غیر منافیةٍ لجبر الصلاة؛ لاحتمال النقص، فإنّ الظنّ بالتمام لا یمنع النقص، بخلاف ظنّ النقصان، فإنّ الحکم بالإکمال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ردّها من حیث السند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bookmarkStart w:id="323" w:name="pg19806_203505"/>
    </w:p>
    <w:p>
      <w:pPr>
        <w:pStyle w:val="Heading3"/>
        <w:numPr>
          <w:ilvl w:val="2"/>
          <w:numId w:val="1"/>
        </w:numPr>
        <w:rPr/>
      </w:pPr>
      <w:bookmarkStart w:id="324" w:name="__RefHeading___Toc2027943_2314609296"/>
      <w:bookmarkStart w:id="325" w:name="_Toc119"/>
      <w:bookmarkEnd w:id="323"/>
      <w:bookmarkEnd w:id="324"/>
      <w:r>
        <w:rPr>
          <w:rtl w:val="true"/>
        </w:rPr>
        <w:t>«</w:t>
      </w:r>
      <w:r>
        <w:rPr>
          <w:rtl w:val="true"/>
        </w:rPr>
        <w:t>الفصل الثامن</w:t>
      </w:r>
      <w:r>
        <w:rPr>
          <w:rtl w:val="true"/>
        </w:rPr>
        <w:t>» «</w:t>
      </w:r>
      <w:r>
        <w:rPr>
          <w:rtl w:val="true"/>
        </w:rPr>
        <w:t>فی القضاء</w:t>
      </w:r>
      <w:r>
        <w:rPr>
          <w:rtl w:val="true"/>
        </w:rPr>
        <w:t>»</w:t>
      </w:r>
      <w:bookmarkEnd w:id="325"/>
    </w:p>
    <w:p>
      <w:pPr>
        <w:pStyle w:val="Heading4"/>
        <w:numPr>
          <w:ilvl w:val="3"/>
          <w:numId w:val="1"/>
        </w:numPr>
        <w:rPr/>
      </w:pPr>
      <w:bookmarkStart w:id="326" w:name="__RefHeading___Toc2027945_2314609296"/>
      <w:bookmarkStart w:id="327" w:name="_Toc120"/>
      <w:bookmarkEnd w:id="326"/>
      <w:r>
        <w:rPr>
          <w:rtl w:val="true"/>
        </w:rPr>
        <w:t>اشارة</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قضاء الفرائض الیومیّة مع الفوات حال البلوغ والعقل والخُلُوّ عن الحیض والنفاس والکفر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به عن العارضی بالارتداد، فإنّه لا یسقطه،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فلا قضاء علیه، إلّاأن یکون سببه بفعله، کالسکران مع القصد والاختیار وعدم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دخل فیه المغمی علیه، فإنّ الأشهر عدم القضاء علیه وإن کان بتناول الغذاء المؤدّی إلیه مع الجهل بحاله أو الإکراه علیه أو الحاجة إلیه کما قیّده به المصنّف فی الذکری </w:t>
      </w:r>
      <w:r>
        <w:rPr>
          <w:rStyle w:val="FootnoteAnchor"/>
          <w:rtl w:val="true"/>
        </w:rPr>
        <w:footnoteReference w:id="1144"/>
      </w:r>
      <w:r>
        <w:rPr>
          <w:rFonts w:ascii="IRNazanin" w:hAnsi="IRNazanin" w:eastAsia="IRNazanin"/>
          <w:color w:val="111111"/>
          <w:sz w:val="28"/>
          <w:sz w:val="28"/>
          <w:szCs w:val="28"/>
          <w:rtl w:val="true"/>
          <w:lang w:bidi="fa-IR"/>
        </w:rPr>
        <w:t>بخلاف الحائض والنُفساء، فإنّهما لا تقضیان مطلقاً وإن کان السبب من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أ نّه فیهما عزیمة وفی غیرهما رخصة، وهی لا تناط بالمعصیة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عن فِرَق المسلمین منه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فالمسلم یقضی ما ترکه وإن حُکم بکفره کالناصبی وإن استبصر، وکذا ما صلّاه فاسداً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بحسب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الأوّل منه فالأوّل مع العلم، هذا فی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غیرها ففی ترتّبه فی نفسه وعلی الیومیّة وهی علیه قولان </w:t>
      </w:r>
      <w:r>
        <w:rPr>
          <w:rStyle w:val="FootnoteAnchor"/>
          <w:rtl w:val="true"/>
        </w:rPr>
        <w:footnoteReference w:id="1146"/>
      </w:r>
      <w:r>
        <w:rPr>
          <w:rFonts w:ascii="IRNazanin" w:hAnsi="IRNazanin" w:eastAsia="IRNazanin"/>
          <w:color w:val="111111"/>
          <w:sz w:val="28"/>
          <w:sz w:val="28"/>
          <w:szCs w:val="28"/>
          <w:rtl w:val="true"/>
          <w:lang w:bidi="fa-IR"/>
        </w:rPr>
        <w:t xml:space="preserve">ومال فی الذکری إلی الترتیب </w:t>
      </w:r>
      <w:r>
        <w:rPr>
          <w:rStyle w:val="FootnoteAnchor"/>
          <w:rtl w:val="true"/>
        </w:rPr>
        <w:footnoteReference w:id="1147"/>
      </w:r>
      <w:r>
        <w:rPr>
          <w:rFonts w:ascii="IRNazanin" w:hAnsi="IRNazanin" w:eastAsia="IRNazanin"/>
          <w:color w:val="111111"/>
          <w:sz w:val="28"/>
          <w:sz w:val="28"/>
          <w:szCs w:val="28"/>
          <w:rtl w:val="true"/>
          <w:lang w:bidi="fa-IR"/>
        </w:rPr>
        <w:t xml:space="preserve">واستقرب فی البیان عدمه </w:t>
      </w:r>
      <w:r>
        <w:rPr>
          <w:rStyle w:val="FootnoteAnchor"/>
          <w:rtl w:val="true"/>
        </w:rPr>
        <w:footnoteReference w:id="1148"/>
      </w:r>
      <w:r>
        <w:rPr>
          <w:rFonts w:ascii="IRNazanin" w:hAnsi="IRNazanin" w:eastAsia="IRNazanin"/>
          <w:color w:val="111111"/>
          <w:sz w:val="28"/>
          <w:sz w:val="28"/>
          <w:szCs w:val="28"/>
          <w:rtl w:val="true"/>
          <w:lang w:bidi="fa-IR"/>
        </w:rPr>
        <w:t>وهو 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الترتیب بینه وبین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تقدیمها علیه مع سعة وقتها وإن کان الفائت متّحداً أو لیومه علی الأقوی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ترتیبها علیه ما دام وقتها واسعاً، جمعاً بین الأخبار التی دلّ بعضها علی المضایقة </w:t>
      </w:r>
      <w:r>
        <w:rPr>
          <w:rStyle w:val="FootnoteAnchor"/>
          <w:rtl w:val="true"/>
        </w:rPr>
        <w:footnoteReference w:id="1150"/>
      </w:r>
      <w:r>
        <w:rPr>
          <w:rFonts w:ascii="IRNazanin" w:hAnsi="IRNazanin" w:eastAsia="IRNazanin"/>
          <w:color w:val="111111"/>
          <w:sz w:val="28"/>
          <w:sz w:val="28"/>
          <w:szCs w:val="28"/>
          <w:rtl w:val="true"/>
          <w:lang w:bidi="fa-IR"/>
        </w:rPr>
        <w:t xml:space="preserve">وبعضها علی غیرها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الاُولی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تضیّق وقت الحاضرة قُدّمت إجماعاً، ولأنّ الوقت لها بالأصالة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جهل الترتیب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الأجود؛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ممّا لم یعلموا</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ولاستلزام فعله بتکریر الفرائض علی وجهٍ یحصّله الحرجَ والعسرَ المنفیّین فی کثیرٍ من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وسهولتُهُ فی بعضٍ یستلزم إیجابُه فیه إحداثَ قولٍ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وللمصنّف قولٌ ثان، وهو تقدیم ما ظُنّ سبقه ثم السقوط، اختاره فی الذکری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 وهو العمل بالظنّ أو الوهم فإن انتفیا سقط، اختاره فی الدروس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ولبعض الأصحاب رابع، وهو وجوب تکریر الفرائض حتّی یُحصّله </w:t>
      </w:r>
      <w:r>
        <w:rPr>
          <w:rStyle w:val="FootnoteAnchor"/>
          <w:rtl w:val="true"/>
        </w:rPr>
        <w:footnoteReference w:id="1154"/>
      </w:r>
      <w:r>
        <w:rPr>
          <w:rFonts w:ascii="IRNazanin" w:hAnsi="IRNazanin" w:eastAsia="IRNazanin"/>
          <w:color w:val="111111"/>
          <w:sz w:val="28"/>
          <w:sz w:val="28"/>
          <w:szCs w:val="28"/>
          <w:rtl w:val="true"/>
          <w:lang w:bidi="fa-IR"/>
        </w:rPr>
        <w:t>فیصلّی من فاته الظهران من یومین ظهراً بین عصرین أو بالعکس؛ لحصول الترتیب بینهما علی تقدیر سبق 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جامعهما مغربٌ من ثالثٍ صلّی الثلاث قبل المغرب وبعدها، أو عشاءٌ معها فَعَل السبع قبلها وبعدها، أو صبحٌ معها فَعَل الخمس عشرة قبلها وبعدها، 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تکریرها علی وجهٍ یحصل الترتیب علی جمیع الاحتمالات،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فی الأوّل، وستّة فی الثانی، وأربعة وعشرون فی الثالث، ومئة وعشرون فی الرابع، حاصلة من ضرب ما اجتمع سابقاً فی عدد الفرائض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اُضیف إلیها سادسةٌ صارت الاحتمالات سبعمئة وعشرین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وصحّته علی الأوّل من ثلاث وستّین فریضة، 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ویمکن صحّتها من دون ذلک، بأن یصلّی الفرائض جُمَع کیف شاء مکرّرة عدداً ینقص عنها بواحدٍ، ثم یختمه بما بدأ به منها، فیصحّ فیما عدا الأوّلین من ثلاث عشرة فی الثالث، وإحدی وعشرین فی الرابع، وإحدی وثلاثین فی الخامس، ویمکن فیه بخمسة أیّام ولاءً والختم بالفریضة الزائدة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جهل عینَ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صبحاً ومغرباً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وأربعاً مطلقاً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الرباعیّات الثلاث، ویتخیّر فیها بین الجهر والإخفات وفی تقدیم ما شاء من الثلاث، ولو کان فی وقت العشاء ردّد بین الأداء والقضاء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والمسافر یصلّی مغرباً وثنائیّة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الثنائیّات الأربع مخیّراً، کما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 فیها القصر والتمام فرباعیّةٌ مطلقةٌ ثلاثیّاً وثنائیّةٌ مطلقةٌ رباعیّاً ومغربٌ، یُحصِّل الترتیب علیهما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ویقضی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فطریّاً کان أم ملّیّاً إذا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بقضاء الفائت، خرج عنه الکافر الأصلی وما فی حکمه </w:t>
      </w:r>
      <w:r>
        <w:rPr>
          <w:rStyle w:val="FootnoteAnchor"/>
          <w:rtl w:val="true"/>
        </w:rPr>
        <w:footnoteReference w:id="1157"/>
      </w:r>
      <w:r>
        <w:rPr>
          <w:rFonts w:ascii="IRNazanin" w:hAnsi="IRNazanin" w:eastAsia="IRNazanin"/>
          <w:color w:val="111111"/>
          <w:sz w:val="28"/>
          <w:sz w:val="28"/>
          <w:szCs w:val="28"/>
          <w:rtl w:val="true"/>
          <w:lang w:bidi="fa-IR"/>
        </w:rPr>
        <w:t>فیبقی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قُبلت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کالمرأة والملّی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وإن لم تُقبل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کالفطری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اُمهل بما یمکنه القضاء قَبل قتله قضی، وإلّا بقی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قبول توبته مطلقاً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وتراب عند التمکّن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w:t>
      </w:r>
      <w:r>
        <w:rPr>
          <w:rStyle w:val="FootnoteAnchor"/>
          <w:rtl w:val="true"/>
        </w:rPr>
        <w:footnoteReference w:id="1159"/>
      </w:r>
      <w:r>
        <w:rPr>
          <w:rFonts w:ascii="IRNazanin" w:hAnsi="IRNazanin" w:eastAsia="IRNazanin"/>
          <w:color w:val="111111"/>
          <w:sz w:val="28"/>
          <w:sz w:val="28"/>
          <w:szCs w:val="28"/>
          <w:rtl w:val="true"/>
          <w:lang w:bidi="fa-IR"/>
        </w:rPr>
        <w:t>ولروایة زرارة عن الباقر علیه السلام فی مَن صلّی</w:t>
      </w:r>
    </w:p>
    <w:p>
      <w:pPr>
        <w:pStyle w:val="BookText"/>
        <w:rPr/>
      </w:pPr>
      <w:r>
        <w:rPr>
          <w:rFonts w:ascii="IRNazanin" w:hAnsi="IRNazanin" w:eastAsia="IRNazanin"/>
          <w:color w:val="111111"/>
          <w:sz w:val="28"/>
          <w:sz w:val="28"/>
          <w:szCs w:val="28"/>
          <w:rtl w:val="true"/>
          <w:lang w:bidi="fa-IR"/>
        </w:rPr>
        <w:t>بغیر طهور، أو نسی صلوات، أو نام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إذا ذکرها فی أیّ ساعةٍ ذکرها، لیلاً أو نهاراً</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 xml:space="preserve">وغیرها من الأخبار الدالّة علیه صریحاً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w:t>
      </w:r>
      <w:r>
        <w:rPr>
          <w:rStyle w:val="FootnoteAnchor"/>
          <w:rtl w:val="true"/>
        </w:rPr>
        <w:footnoteReference w:id="1162"/>
      </w:r>
      <w:r>
        <w:rPr>
          <w:rFonts w:ascii="IRNazanin" w:hAnsi="IRNazanin" w:eastAsia="IRNazanin"/>
          <w:color w:val="111111"/>
          <w:sz w:val="28"/>
          <w:sz w:val="28"/>
          <w:szCs w:val="28"/>
          <w:rtl w:val="true"/>
          <w:lang w:bidi="fa-IR"/>
        </w:rPr>
        <w:t>لعدم وجوب الأداء، وأصالةِ البراءة، وتوقّف القضاء علی أمرٍ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ودفعُ الأوّل واضحٌ؛ لانفکاک کلٍّ منهما عن الآخر وجوداً وعدماً، والأخیرَین بما ذُکر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وأوجب ابنُ الجنید </w:t>
      </w:r>
      <w:r>
        <w:rPr>
          <w:rStyle w:val="FootnoteAnchor"/>
          <w:rtl w:val="true"/>
        </w:rPr>
        <w:footnoteReference w:id="1164"/>
      </w:r>
      <w:r>
        <w:rPr>
          <w:rFonts w:ascii="IRNazanin" w:hAnsi="IRNazanin" w:eastAsia="IRNazanin"/>
          <w:color w:val="111111"/>
          <w:sz w:val="28"/>
          <w:sz w:val="28"/>
          <w:szCs w:val="28"/>
          <w:rtl w:val="true"/>
          <w:lang w:bidi="fa-IR"/>
        </w:rPr>
        <w:t>الإعادة علی العاری إذا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لعدم الساتر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 الساترَ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خارجه، محتجّاً بفوات شرط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الإعادة، کالمتیمّم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الصلاة مجزیةً بامتثال الأمر فلا یَستعقِب القضاءَ، والسترُ شرطٌ مع القدرة لا بدونها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روی عمّار عن أبی عبد اللّٰه علیه السلام فی رجل لیس علیه إلّاثوبٌ ولا تحلّ الصلاة فیه، ولیس یجد ماءً یغسله،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ویُصلّی، فإذا أصاب ماءً غسله وأعاد الصلاة</w:t>
      </w:r>
      <w:r>
        <w:rPr>
          <w:rFonts w:eastAsia="IRNazanin" w:cs="IRNazanin"/>
          <w:color w:val="111111"/>
          <w:sz w:val="28"/>
          <w:szCs w:val="28"/>
          <w:rtl w:val="true"/>
          <w:lang w:bidi="fa-IR"/>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ضعف سنده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مطلوبه؛ لجواز استناد الحکم إلی التیمّم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قضاء النوافل 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الیومیّة استحباباً مؤکَّداً، وقد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ترکه تشاغلاً بالدنیا لقی اللّٰه مستخِفّاً متهاوناً مضیِّعاً لسنّة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کلّ رکعتین بمُدٍّ، فإن عجز فعن کلّ أربع، فإن عجز فعن صلاة اللیل بمُدٍّ وعن صلاة النهار بمُدٍّ، فإن عجز فعن کلّ یوم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أفضل من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الولدُ الذکر الأکبر،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وارثٍ مع فقده </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ما فات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مات فیه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w:t>
      </w:r>
      <w:r>
        <w:rPr>
          <w:rStyle w:val="FootnoteAnchor"/>
          <w:rtl w:val="true"/>
        </w:rPr>
        <w:footnoteReference w:id="1169"/>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قطع بقضاء مطلق ما فاته </w:t>
      </w:r>
      <w:r>
        <w:rPr>
          <w:rStyle w:val="FootnoteAnchor"/>
          <w:rtl w:val="true"/>
        </w:rPr>
        <w:footnoteReference w:id="1170"/>
      </w:r>
      <w:r>
        <w:rPr>
          <w:rFonts w:ascii="IRNazanin" w:hAnsi="IRNazanin" w:eastAsia="IRNazanin"/>
          <w:color w:val="111111"/>
          <w:sz w:val="28"/>
          <w:sz w:val="28"/>
          <w:szCs w:val="28"/>
          <w:rtl w:val="true"/>
          <w:lang w:bidi="fa-IR"/>
        </w:rPr>
        <w:t xml:space="preserve">وفی الذکری نقل عن المحقّق وجوب قضاء ما فاته لعذر کالمرض والسفر والحیض، لا ما ترکه عمداً مع قدرته علیه، ونفی عنه البأس، ونقل عن شیخه عمید الدین نُصرته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 للمصنّف فی المسألة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تدلّ بإطلاقها علی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والموافق للأصل ما اختاره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 الصلاة علی غیر الوجه المُجزئ شرعاً کترکها عمداً؛ للتفریط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المصنّفُ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 ونحوها من الأقارب، فلا یجب القضاءُ عنهم علی الوارث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مختلفة، ففی بعضها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وفی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Style w:val="FootnoteAnchor"/>
          <w:rtl w:val="true"/>
        </w:rPr>
        <w:footnoteReference w:id="1173"/>
      </w:r>
      <w:r>
        <w:rPr>
          <w:rFonts w:ascii="IRNazanin" w:hAnsi="IRNazanin" w:eastAsia="IRNazanin"/>
          <w:color w:val="111111"/>
          <w:sz w:val="28"/>
          <w:sz w:val="28"/>
          <w:szCs w:val="28"/>
          <w:rtl w:val="true"/>
          <w:lang w:bidi="fa-IR"/>
        </w:rPr>
        <w:t>ویمکن حمل المطلق علی المقیَّد، خصوصاً فی الحکم المخالف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الذکری عن المحقّق وجوبَ القضاء عن المرأة، ونفی عنه البأس، أخذاً بظاهر الروایات، وحملاً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التمثیل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 والعبد علی الأقوی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یشترط کمال الولیّ عند موته؟ قولان </w:t>
      </w:r>
      <w:r>
        <w:rPr>
          <w:rStyle w:val="FootnoteAnchor"/>
          <w:rtl w:val="true"/>
        </w:rPr>
        <w:footnoteReference w:id="1175"/>
      </w:r>
      <w:r>
        <w:rPr>
          <w:rFonts w:ascii="IRNazanin" w:hAnsi="IRNazanin" w:eastAsia="IRNazanin"/>
          <w:color w:val="111111"/>
          <w:sz w:val="28"/>
          <w:sz w:val="28"/>
          <w:szCs w:val="28"/>
          <w:rtl w:val="true"/>
          <w:lang w:bidi="fa-IR"/>
        </w:rPr>
        <w:t xml:space="preserve">واستقرب فی الذکری اشتراطه؛ لرفعِ القلم عن الصبیّ والمجنون </w:t>
      </w:r>
      <w:r>
        <w:rPr>
          <w:rStyle w:val="FootnoteAnchor"/>
          <w:rtl w:val="true"/>
        </w:rPr>
        <w:footnoteReference w:id="1176"/>
      </w:r>
      <w:r>
        <w:rPr>
          <w:rFonts w:ascii="Amiri" w:hAnsi="Amiri" w:eastAsia="Amiri" w:cs="Amiri"/>
          <w:color w:val="111111"/>
          <w:sz w:val="28"/>
          <w:sz w:val="28"/>
          <w:szCs w:val="28"/>
          <w:rtl w:val="true"/>
          <w:lang w:bidi="ar-SA"/>
        </w:rPr>
        <w:t>وأصالةِ البراءة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الوجوب عند بلوغه إطلاقُ النصّ وکونُه فی مقابلة الحَبْوةَ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یشترط خُلوّ ذمّته من صلاة واجبةٍ؛ لتغایر السبب، فیلزمان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یجب تقدیم ما سبق سببه؟ وجهان، اختار فی الذکری الترتیب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له استئجار غیره؟ یحتمله؛ لأنّ المطلوب القضاء وهو ممّا یقبل النیابة بعد الموت، ومن تعلّقها بحیٍّ واستنابتُه ممتنعة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فی الذکری المنعَ </w:t>
      </w:r>
      <w:r>
        <w:rPr>
          <w:rStyle w:val="FootnoteAnchor"/>
          <w:rtl w:val="true"/>
        </w:rPr>
        <w:footnoteReference w:id="1178"/>
      </w:r>
      <w:r>
        <w:rPr>
          <w:rFonts w:ascii="IRNazanin" w:hAnsi="IRNazanin" w:eastAsia="IRNazanin"/>
          <w:color w:val="111111"/>
          <w:sz w:val="28"/>
          <w:sz w:val="28"/>
          <w:szCs w:val="28"/>
          <w:rtl w:val="true"/>
          <w:lang w:bidi="fa-IR"/>
        </w:rPr>
        <w:t xml:space="preserve">وفی صوم الدروس الجوازَ </w:t>
      </w:r>
      <w:r>
        <w:rPr>
          <w:rStyle w:val="FootnoteAnchor"/>
          <w:rtl w:val="true"/>
        </w:rPr>
        <w:footnoteReference w:id="1179"/>
      </w:r>
      <w:r>
        <w:rPr>
          <w:rFonts w:ascii="Amiri" w:hAnsi="Amiri" w:eastAsia="Amiri" w:cs="Amiri"/>
          <w:color w:val="111111"/>
          <w:sz w:val="28"/>
          <w:sz w:val="28"/>
          <w:szCs w:val="28"/>
          <w:rtl w:val="true"/>
          <w:lang w:bidi="ar-SA"/>
        </w:rPr>
        <w:t>وعلیه یتفرّع تبرّعُ غیره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اختصاصُ الحکم بالولیّ فلا یتحمّلها ولیُّه، وإن تحمَّل ما فاته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أوصی المیّت بقضائها علی وجهٍ تُنفذ سقطت عن الولیّ، وبالبعض وجب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فات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اجتهد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تحصیل ظنٍّ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وبنی علی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ذلک القدر، سواء کان الفائت متعدّداً کأیّام کثیرة، أم متّحداً کفریضةٍ مخصوصةٍ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اشتبه الفائت فی عددٍ منحصرٍ عادةً وجب قضاء ما تیقّن </w:t>
      </w:r>
      <w:r>
        <w:rPr>
          <w:rStyle w:val="FootnoteAnchor"/>
          <w:rtl w:val="true"/>
        </w:rPr>
        <w:footnoteReference w:id="1180"/>
      </w:r>
      <w:r>
        <w:rPr>
          <w:rFonts w:ascii="IRNazanin" w:hAnsi="IRNazanin" w:eastAsia="IRNazanin"/>
          <w:color w:val="111111"/>
          <w:sz w:val="28"/>
          <w:sz w:val="28"/>
          <w:szCs w:val="28"/>
          <w:rtl w:val="true"/>
          <w:lang w:bidi="fa-IR"/>
        </w:rPr>
        <w:t>به البراءة، کالشکّ بین عشر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وجهٌ بالبناء علی الأقلّ </w:t>
      </w:r>
      <w:r>
        <w:rPr>
          <w:rStyle w:val="FootnoteAnchor"/>
          <w:rtl w:val="true"/>
        </w:rPr>
        <w:footnoteReference w:id="1181"/>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 لو شرع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ناسیاً مع إمکانه، بأن لا یزید عددُ ما فعل عن عدد السابقة أو تجاوَزَه ولمّا یرکع فی الزائدة؛ مراعاةً للترتیب حیث یمکن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بقلبه تحویلَ هذه الصلاة إلی 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ممیّزاتها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 اعتبار باقی الممیِّزات، بل فی بعض الأخبار دلالةٌ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تجاوز محلّ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رکع فی زائدةٍ عن عدد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أتمّها ثمّ تدارک السابقة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لاغتفار الترتیب مع النسیان، وکذا لو شرع فی اللاحقة ثمّ علم أنّ علیه 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عدل إلی السابقة ثمّ ذکر سابقةً اُخری عدل إلیها، وهکذا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ولو ذکر بعد العدول براءته من المعدول إلیها عدل إلی اللاحقة المنویّة أوّلاً أو فیما بعده، فعلی هذا یمکن ترامی العدول ودوره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یعدل من فائتة إلی مثلها، فکذا من حاضرةٍ إلی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کالظهرین لمن شرع فی الثانیة ناسیاً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وإلی فائتةٍ، استحباباً علی ما تقدّم </w:t>
      </w:r>
      <w:r>
        <w:rPr>
          <w:rStyle w:val="FootnoteAnchor"/>
          <w:rtl w:val="true"/>
        </w:rPr>
        <w:footnoteReference w:id="1182"/>
      </w:r>
      <w:r>
        <w:rPr>
          <w:rFonts w:ascii="IRNazanin" w:hAnsi="IRNazanin" w:eastAsia="IRNazanin"/>
          <w:color w:val="111111"/>
          <w:sz w:val="28"/>
          <w:sz w:val="28"/>
          <w:szCs w:val="28"/>
          <w:rtl w:val="true"/>
          <w:lang w:bidi="fa-IR"/>
        </w:rPr>
        <w:t>أو وجوباً علی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الفائتة إلی الأداء لو ذکر براءته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ومنهما إلی النافلة فی موارد </w:t>
      </w:r>
      <w:r>
        <w:rPr>
          <w:rStyle w:val="FootnoteAnchor"/>
          <w:rtl w:val="true"/>
        </w:rPr>
        <w:footnoteReference w:id="1183"/>
      </w:r>
      <w:r>
        <w:rPr>
          <w:rFonts w:ascii="IRNazanin" w:hAnsi="IRNazanin" w:eastAsia="IRNazanin"/>
          <w:color w:val="111111"/>
          <w:sz w:val="28"/>
          <w:sz w:val="28"/>
          <w:szCs w:val="28"/>
          <w:rtl w:val="true"/>
          <w:lang w:bidi="fa-IR"/>
        </w:rPr>
        <w:t>ومن النافلة إلی مثلها لا إلی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صُوَره ستّ عشرة، وهی الحاصلة من ضرب صور المعدول عنه وإلیه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 وفرضٌ أداءً وقضاءً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w:t>
      </w:r>
      <w:r>
        <w:rPr>
          <w:rFonts w:eastAsia="IRNazanin" w:cs="IRNazanin"/>
          <w:color w:val="111111"/>
          <w:sz w:val="28"/>
          <w:szCs w:val="28"/>
          <w:rtl w:val="true"/>
          <w:lang w:bidi="fa-IR"/>
        </w:rPr>
        <w:t>.</w:t>
      </w:r>
      <w:bookmarkStart w:id="328" w:name="pg19806_203514"/>
    </w:p>
    <w:p>
      <w:pPr>
        <w:pStyle w:val="Heading4"/>
        <w:numPr>
          <w:ilvl w:val="3"/>
          <w:numId w:val="1"/>
        </w:numPr>
        <w:rPr/>
      </w:pPr>
      <w:bookmarkStart w:id="329" w:name="__RefHeading___Toc2027947_2314609296"/>
      <w:bookmarkStart w:id="330" w:name="_Toc121"/>
      <w:bookmarkEnd w:id="328"/>
      <w:bookmarkEnd w:id="329"/>
      <w:r>
        <w:rPr>
          <w:rtl w:val="true"/>
        </w:rPr>
        <w:t>«</w:t>
      </w:r>
      <w:r>
        <w:rPr>
          <w:rtl w:val="true"/>
        </w:rPr>
        <w:t>مسائل</w:t>
      </w:r>
      <w:r>
        <w:rPr>
          <w:rtl w:val="true"/>
        </w:rPr>
        <w:t>»</w:t>
      </w:r>
      <w:bookmarkEnd w:id="330"/>
    </w:p>
    <w:p>
      <w:pPr>
        <w:pStyle w:val="Heading5"/>
        <w:numPr>
          <w:ilvl w:val="4"/>
          <w:numId w:val="1"/>
        </w:numPr>
        <w:rPr/>
      </w:pPr>
      <w:bookmarkStart w:id="331" w:name="__RefHeading___Toc2027949_2314609296"/>
      <w:bookmarkStart w:id="332" w:name="_Toc122"/>
      <w:bookmarkEnd w:id="331"/>
      <w:r>
        <w:rPr>
          <w:rtl w:val="true"/>
        </w:rPr>
        <w:t>الاُولی</w:t>
      </w:r>
      <w:bookmarkEnd w:id="332"/>
    </w:p>
    <w:p>
      <w:pPr>
        <w:pStyle w:val="BookText"/>
        <w:rPr/>
      </w:pPr>
      <w:r>
        <w:rPr>
          <w:rFonts w:ascii="Amiri" w:hAnsi="Amiri" w:eastAsia="Amiri" w:cs="Amiri"/>
          <w:color w:val="111111"/>
          <w:sz w:val="28"/>
          <w:sz w:val="28"/>
          <w:szCs w:val="28"/>
          <w:rtl w:val="true"/>
          <w:lang w:bidi="ar-SA"/>
        </w:rPr>
        <w:t xml:space="preserve">الاُولی </w:t>
      </w:r>
      <w:r>
        <w:rPr>
          <w:rStyle w:val="FootnoteAnchor"/>
          <w:rtl w:val="true"/>
        </w:rPr>
        <w:footnoteReference w:id="1184"/>
      </w:r>
      <w:r>
        <w:rPr>
          <w:rFonts w:ascii="IRNazanin" w:hAnsi="IRNazanin" w:eastAsia="IRNazanin"/>
          <w:color w:val="111111"/>
          <w:sz w:val="28"/>
          <w:sz w:val="28"/>
          <w:szCs w:val="28"/>
          <w:rtl w:val="true"/>
          <w:lang w:bidi="fa-IR"/>
        </w:rPr>
        <w:t>الأعذار إلی آخر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المرتضی </w:t>
      </w:r>
      <w:r>
        <w:rPr>
          <w:rStyle w:val="FootnoteAnchor"/>
          <w:rtl w:val="true"/>
        </w:rPr>
        <w:footnoteReference w:id="1185"/>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186"/>
      </w:r>
      <w:r>
        <w:rPr>
          <w:rFonts w:ascii="Amiri" w:hAnsi="Amiri" w:eastAsia="Amiri" w:cs="Amiri"/>
          <w:color w:val="111111"/>
          <w:sz w:val="28"/>
          <w:sz w:val="28"/>
          <w:szCs w:val="28"/>
          <w:rtl w:val="true"/>
          <w:lang w:bidi="ar-SA"/>
        </w:rPr>
        <w:t xml:space="preserve">وسلّار </w:t>
      </w:r>
      <w:r>
        <w:rPr>
          <w:rStyle w:val="FootnoteAnchor"/>
          <w:rtl w:val="true"/>
        </w:rPr>
        <w:footnoteReference w:id="1187"/>
      </w:r>
      <w:r>
        <w:rPr>
          <w:rFonts w:ascii="IRNazanin" w:hAnsi="IRNazanin" w:eastAsia="IRNazanin"/>
          <w:color w:val="111111"/>
          <w:sz w:val="28"/>
          <w:sz w:val="28"/>
          <w:szCs w:val="28"/>
          <w:rtl w:val="true"/>
          <w:lang w:bidi="fa-IR"/>
        </w:rPr>
        <w:t xml:space="preserve">إلی وجوب تأخیر اُولی محتجّین بإمکان إیقاع الصلاة تامّة بزوال العذر فیجب، کما یُؤخِّر المتیمّم بالنصّ </w:t>
      </w:r>
      <w:r>
        <w:rPr>
          <w:rStyle w:val="FootnoteAnchor"/>
          <w:rtl w:val="true"/>
        </w:rPr>
        <w:footnoteReference w:id="1188"/>
      </w:r>
      <w:r>
        <w:rPr>
          <w:rFonts w:ascii="IRNazanin" w:hAnsi="IRNazanin" w:eastAsia="IRNazanin"/>
          <w:color w:val="111111"/>
          <w:sz w:val="28"/>
          <w:sz w:val="28"/>
          <w:szCs w:val="28"/>
          <w:rtl w:val="true"/>
          <w:lang w:bidi="fa-IR"/>
        </w:rPr>
        <w:t xml:space="preserve">والإجماع، علی ما ادّعاه المرتضی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وجوّزه الشیخ أبو جعفر الطوسی رحمه الله أوّل الوقت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التأخیر أفضل</w:t>
      </w:r>
      <w:r>
        <w:rPr>
          <w:rFonts w:eastAsia="IRNazanin" w:cs="IRNazanin"/>
          <w:color w:val="111111"/>
          <w:sz w:val="28"/>
          <w:szCs w:val="28"/>
          <w:rtl w:val="true"/>
          <w:lang w:bidi="fa-IR"/>
        </w:rPr>
        <w:t>.</w:t>
      </w:r>
      <w:bookmarkStart w:id="333" w:name="pg19806_203515"/>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لمخاطبتهم بالصلاة من أوّل الوقت بإطلاق الأمر </w:t>
      </w:r>
      <w:r>
        <w:rPr>
          <w:rStyle w:val="FootnoteAnchor"/>
          <w:rtl w:val="true"/>
        </w:rPr>
        <w:footnoteReference w:id="1191"/>
      </w:r>
      <w:r>
        <w:rPr>
          <w:rFonts w:ascii="IRNazanin" w:hAnsi="IRNazanin" w:eastAsia="IRNazanin"/>
          <w:color w:val="111111"/>
          <w:sz w:val="28"/>
          <w:sz w:val="28"/>
          <w:szCs w:val="28"/>
          <w:rtl w:val="true"/>
          <w:lang w:bidi="fa-IR"/>
        </w:rPr>
        <w:t>فتکون مجزئةً؛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ذکروه من الإمکان معارَضٌ بالأمرِ واستحباب المبادرة إلیها فی أوّل الوقت، ومجرّدُ الاحتمال لا یوجب القدرة علی الشرط، ویمکن فواتها بموتٍ وغیره فضلاً عنه </w:t>
      </w:r>
      <w:r>
        <w:rPr>
          <w:rStyle w:val="FootnoteAnchor"/>
          <w:rtl w:val="true"/>
        </w:rPr>
        <w:footnoteReference w:id="1192"/>
      </w:r>
      <w:r>
        <w:rPr>
          <w:rFonts w:ascii="Amiri" w:hAnsi="Amiri" w:eastAsia="Amiri" w:cs="Amiri"/>
          <w:color w:val="111111"/>
          <w:sz w:val="28"/>
          <w:sz w:val="28"/>
          <w:szCs w:val="28"/>
          <w:rtl w:val="true"/>
          <w:lang w:bidi="ar-SA"/>
        </w:rPr>
        <w:t xml:space="preserve">والتیمّم خرج بالنصّ </w:t>
      </w:r>
      <w:r>
        <w:rPr>
          <w:rStyle w:val="FootnoteAnchor"/>
          <w:rtl w:val="true"/>
        </w:rPr>
        <w:footnoteReference w:id="1193"/>
      </w:r>
      <w:r>
        <w:rPr>
          <w:rFonts w:ascii="IRNazanin" w:hAnsi="IRNazanin" w:eastAsia="IRNazanin"/>
          <w:color w:val="111111"/>
          <w:sz w:val="28"/>
          <w:sz w:val="28"/>
          <w:szCs w:val="28"/>
          <w:rtl w:val="true"/>
          <w:lang w:bidi="fa-IR"/>
        </w:rPr>
        <w:t>وإلّا لکان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التأخیرُ مع الرجاء؛ خروجاً من خلافهم، ولولاه لکان فیه نظر</w:t>
      </w:r>
      <w:r>
        <w:rPr>
          <w:rFonts w:eastAsia="IRNazanin" w:cs="IRNazanin"/>
          <w:color w:val="111111"/>
          <w:sz w:val="28"/>
          <w:szCs w:val="28"/>
          <w:rtl w:val="true"/>
          <w:lang w:bidi="fa-IR"/>
        </w:rPr>
        <w:t>.</w:t>
      </w:r>
    </w:p>
    <w:p>
      <w:pPr>
        <w:pStyle w:val="Heading5"/>
        <w:numPr>
          <w:ilvl w:val="4"/>
          <w:numId w:val="1"/>
        </w:numPr>
        <w:rPr/>
      </w:pPr>
      <w:bookmarkStart w:id="334" w:name="__RefHeading___Toc2027951_2314609296"/>
      <w:bookmarkStart w:id="335" w:name="_Toc123"/>
      <w:bookmarkEnd w:id="334"/>
      <w:r>
        <w:rPr>
          <w:rtl w:val="true"/>
        </w:rPr>
        <w:t>«</w:t>
      </w:r>
      <w:r>
        <w:rPr>
          <w:rtl w:val="true"/>
        </w:rPr>
        <w:t>الثانیة</w:t>
      </w:r>
      <w:r>
        <w:rPr>
          <w:rtl w:val="true"/>
        </w:rPr>
        <w:t>» : «</w:t>
      </w:r>
      <w:r>
        <w:rPr>
          <w:rtl w:val="true"/>
        </w:rPr>
        <w:t>المرویّ فی المبطون</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المرویّ فی المبطون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به داء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ریحٍ أو غائطٍ علی وجهٍ لا یمکنه منعُه مقدار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لکلّ 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مضی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فجأه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أثنائها بعد الوضوء، واغتفارُ هذا الفعل وإن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جماعةٌ من المتقدّمین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وأنکره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المتأخّرین </w:t>
      </w:r>
      <w:r>
        <w:rPr>
          <w:rStyle w:val="FootnoteAnchor"/>
          <w:rtl w:val="true"/>
        </w:rPr>
        <w:footnoteReference w:id="1196"/>
      </w:r>
      <w:r>
        <w:rPr>
          <w:rFonts w:ascii="IRNazanin" w:hAnsi="IRNazanin" w:eastAsia="IRNazanin"/>
          <w:color w:val="111111"/>
          <w:sz w:val="28"/>
          <w:sz w:val="28"/>
          <w:szCs w:val="28"/>
          <w:rtl w:val="true"/>
          <w:lang w:bidi="fa-IR"/>
        </w:rPr>
        <w:t>وحکموا باغتفار ما یتجدّد من</w:t>
      </w:r>
    </w:p>
    <w:p>
      <w:pPr>
        <w:pStyle w:val="BookText"/>
        <w:rPr/>
      </w:pPr>
      <w:r>
        <w:rPr>
          <w:rFonts w:ascii="IRNazanin" w:hAnsi="IRNazanin" w:eastAsia="IRNazanin"/>
          <w:color w:val="111111"/>
          <w:sz w:val="28"/>
          <w:sz w:val="28"/>
          <w:szCs w:val="28"/>
          <w:rtl w:val="true"/>
          <w:lang w:bidi="fa-IR"/>
        </w:rPr>
        <w:t>الحدث بعد الوضوء، سواء وقع فی الصلاة أم قبلها إن لم یتمکّن من حفظ نفسه مقدار الصلاة، وإلّا استأنفها، محتجّین بأنّ الحدث المتجدّد لو نقض الطهارة لأبطل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المشروط عَدَمٌ عند عَدَمِ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وبالأخبار الدالّة علی أنّ الحدث یقطع الصلاة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الأوّل، لتوثیقِ رجال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البناء علی ما مضی من الصلاة بعد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Style w:val="FootnoteAnchor"/>
          <w:rtl w:val="true"/>
        </w:rPr>
        <w:footnoteReference w:id="1198"/>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توثیق رجاله علی وجهٍ یستلزم صحّةَ الخبر، فإنّ التوثیق أعمّ منه عندنا، والحال أنّ الخبرَ الوارد فی ذلک صحیحٌ باعتراف الخصم </w:t>
      </w:r>
      <w:r>
        <w:rPr>
          <w:rStyle w:val="FootnoteAnchor"/>
          <w:rtl w:val="true"/>
        </w:rPr>
        <w:footnoteReference w:id="1199"/>
      </w:r>
      <w:r>
        <w:rPr>
          <w:rFonts w:ascii="IRNazanin" w:hAnsi="IRNazanin" w:eastAsia="IRNazanin"/>
          <w:color w:val="111111"/>
          <w:sz w:val="28"/>
          <w:sz w:val="28"/>
          <w:szCs w:val="28"/>
          <w:rtl w:val="true"/>
          <w:lang w:bidi="fa-IR"/>
        </w:rPr>
        <w:t xml:space="preserve">فیتعیّن العمل به؛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وشهرتِهِ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المتقدّمین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خالف حُکمَه أوَّلَه بأنّ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الاستئناف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علی الشیء یستلزم سبق شیءٍ منه یُبنی علیه، لیکون الماضی بمنزلة الأساس لغةً وعرفاً، مع أ نّهم لا یوجبون الاستئناف، فلا وجه لحملهم علیه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والاحتجاج بالاستلزام </w:t>
      </w:r>
      <w:r>
        <w:rPr>
          <w:rStyle w:val="FootnoteAnchor"/>
          <w:rtl w:val="true"/>
        </w:rPr>
        <w:footnoteReference w:id="1201"/>
      </w:r>
      <w:r>
        <w:rPr>
          <w:rFonts w:ascii="IRNazanin" w:hAnsi="IRNazanin" w:eastAsia="IRNazanin"/>
          <w:color w:val="111111"/>
          <w:sz w:val="28"/>
          <w:sz w:val="28"/>
          <w:szCs w:val="28"/>
          <w:rtl w:val="true"/>
          <w:lang w:bidi="fa-IR"/>
        </w:rPr>
        <w:t>مصادرةٌ؛ وکیف یتحقّق التلازم مع ورود النصّ</w:t>
      </w:r>
      <w:bookmarkStart w:id="336" w:name="pg19806_203517"/>
    </w:p>
    <w:p>
      <w:pPr>
        <w:pStyle w:val="BookText"/>
        <w:rPr/>
      </w:pPr>
      <w:bookmarkEnd w:id="336"/>
      <w:r>
        <w:rPr>
          <w:rFonts w:ascii="IRNazanin" w:hAnsi="IRNazanin" w:eastAsia="IRNazanin"/>
          <w:color w:val="111111"/>
          <w:sz w:val="28"/>
          <w:sz w:val="28"/>
          <w:szCs w:val="28"/>
          <w:rtl w:val="true"/>
          <w:lang w:bidi="fa-IR"/>
        </w:rPr>
        <w:t>الصحیح بخلافه؟</w:t>
      </w:r>
    </w:p>
    <w:p>
      <w:pPr>
        <w:pStyle w:val="BookText"/>
        <w:rPr/>
      </w:pPr>
      <w:r>
        <w:rPr>
          <w:rFonts w:ascii="IRNazanin" w:hAnsi="IRNazanin" w:eastAsia="IRNazanin"/>
          <w:color w:val="111111"/>
          <w:sz w:val="28"/>
          <w:sz w:val="28"/>
          <w:szCs w:val="28"/>
          <w:rtl w:val="true"/>
          <w:lang w:bidi="fa-IR"/>
        </w:rPr>
        <w:t xml:space="preserve">والأخبارُ الدالّة علی قطع مطلق الحدث لها مخصوصةٌ بالمستحاضة والسَّلس اتّفاقاً، وهذا الفرد یشارکهما بالنصِّ الصحیح ومصیرِ جمعٍ إلیه </w:t>
      </w:r>
      <w:r>
        <w:rPr>
          <w:rStyle w:val="FootnoteAnchor"/>
          <w:rtl w:val="true"/>
        </w:rPr>
        <w:footnoteReference w:id="1202"/>
      </w:r>
      <w:r>
        <w:rPr>
          <w:rFonts w:ascii="IRNazanin" w:hAnsi="IRNazanin" w:eastAsia="IRNazanin"/>
          <w:color w:val="111111"/>
          <w:sz w:val="28"/>
          <w:sz w:val="28"/>
          <w:szCs w:val="28"/>
          <w:rtl w:val="true"/>
          <w:lang w:bidi="fa-IR"/>
        </w:rPr>
        <w:t>وهو کافٍ فی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غریبٌ، لکنّه لیس بعادم للنظیر، فقد ورد صحیحاً قطع الصلاة والبناء علیها فی غیره </w:t>
      </w:r>
      <w:r>
        <w:rPr>
          <w:rStyle w:val="FootnoteAnchor"/>
          <w:rtl w:val="true"/>
        </w:rPr>
        <w:footnoteReference w:id="1203"/>
      </w:r>
      <w:r>
        <w:rPr>
          <w:rFonts w:ascii="IRNazanin" w:hAnsi="IRNazanin" w:eastAsia="IRNazanin"/>
          <w:color w:val="111111"/>
          <w:sz w:val="28"/>
          <w:sz w:val="28"/>
          <w:szCs w:val="28"/>
          <w:rtl w:val="true"/>
          <w:lang w:bidi="fa-IR"/>
        </w:rPr>
        <w:t>مع أنّ الاستبعاد غیر مسموع</w:t>
      </w:r>
      <w:r>
        <w:rPr>
          <w:rFonts w:eastAsia="IRNazanin" w:cs="IRNazanin"/>
          <w:color w:val="111111"/>
          <w:sz w:val="28"/>
          <w:szCs w:val="28"/>
          <w:rtl w:val="true"/>
          <w:lang w:bidi="fa-IR"/>
        </w:rPr>
        <w:t>.</w:t>
      </w:r>
    </w:p>
    <w:p>
      <w:pPr>
        <w:pStyle w:val="Heading5"/>
        <w:numPr>
          <w:ilvl w:val="4"/>
          <w:numId w:val="1"/>
        </w:numPr>
        <w:rPr/>
      </w:pPr>
      <w:bookmarkStart w:id="337" w:name="__RefHeading___Toc2027953_2314609296"/>
      <w:bookmarkStart w:id="338" w:name="_Toc124"/>
      <w:bookmarkEnd w:id="337"/>
      <w:r>
        <w:rPr>
          <w:rtl w:val="true"/>
        </w:rPr>
        <w:t>«</w:t>
      </w:r>
      <w:r>
        <w:rPr>
          <w:rtl w:val="true"/>
        </w:rPr>
        <w:t>الثالثة</w:t>
      </w:r>
      <w:r>
        <w:rPr>
          <w:rtl w:val="true"/>
        </w:rPr>
        <w:t>» : «</w:t>
      </w:r>
      <w:r>
        <w:rPr>
          <w:rtl w:val="true"/>
        </w:rPr>
        <w:t>یُستحبّ تعجیل القضاء</w:t>
      </w:r>
      <w:r>
        <w:rPr>
          <w:rtl w:val="true"/>
        </w:rPr>
        <w:t>»</w:t>
      </w:r>
      <w:bookmarkEnd w:id="33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استحباباً مؤکَّداً، سواء الفرض والنفل، بل الأکثر علی فوریّة قضاء الفرض </w:t>
      </w:r>
      <w:r>
        <w:rPr>
          <w:rStyle w:val="FootnoteAnchor"/>
          <w:rtl w:val="true"/>
        </w:rPr>
        <w:footnoteReference w:id="1204"/>
      </w:r>
      <w:r>
        <w:rPr>
          <w:rFonts w:ascii="IRNazanin" w:hAnsi="IRNazanin" w:eastAsia="IRNazanin"/>
          <w:color w:val="111111"/>
          <w:sz w:val="28"/>
          <w:sz w:val="28"/>
          <w:szCs w:val="28"/>
          <w:rtl w:val="true"/>
          <w:lang w:bidi="fa-IR"/>
        </w:rPr>
        <w:t>وأ نّه لا یجوز الاشتغال عنه بغیر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ما یُمسک الرمق، ونومٍ یضطرّ إلیه، وشغلٍ یتوقّف علیه </w:t>
      </w:r>
      <w:r>
        <w:rPr>
          <w:rStyle w:val="FootnoteAnchor"/>
          <w:rtl w:val="true"/>
        </w:rPr>
        <w:footnoteReference w:id="1205"/>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وأفرده بالتصنیف جماعة </w:t>
      </w:r>
      <w:r>
        <w:rPr>
          <w:rStyle w:val="FootnoteAnchor"/>
          <w:rtl w:val="true"/>
        </w:rPr>
        <w:footnoteReference w:id="1206"/>
      </w:r>
      <w:r>
        <w:rPr>
          <w:rFonts w:ascii="IRNazanin" w:hAnsi="IRNazanin" w:eastAsia="IRNazanin"/>
          <w:color w:val="111111"/>
          <w:sz w:val="28"/>
          <w:sz w:val="28"/>
          <w:szCs w:val="28"/>
          <w:rtl w:val="true"/>
          <w:lang w:bidi="fa-IR"/>
        </w:rPr>
        <w:t xml:space="preserve">وفی کثیرٍ من الأخبار دلالةٌ علیه </w:t>
      </w:r>
      <w:r>
        <w:rPr>
          <w:rStyle w:val="FootnoteAnchor"/>
          <w:rtl w:val="true"/>
        </w:rPr>
        <w:footnoteReference w:id="1207"/>
      </w:r>
      <w:r>
        <w:rPr>
          <w:rFonts w:ascii="Amiri" w:hAnsi="Amiri" w:eastAsia="Amiri" w:cs="Amiri"/>
          <w:color w:val="111111"/>
          <w:sz w:val="28"/>
          <w:sz w:val="28"/>
          <w:szCs w:val="28"/>
          <w:rtl w:val="true"/>
          <w:lang w:bidi="ar-SA"/>
        </w:rPr>
        <w:t>إلّاأنّ حملها علی</w:t>
      </w:r>
    </w:p>
    <w:p>
      <w:pPr>
        <w:pStyle w:val="BookText"/>
        <w:rPr/>
      </w:pPr>
      <w:r>
        <w:rPr>
          <w:rFonts w:ascii="IRNazanin" w:hAnsi="IRNazanin" w:eastAsia="IRNazanin"/>
          <w:color w:val="111111"/>
          <w:sz w:val="28"/>
          <w:sz w:val="28"/>
          <w:szCs w:val="28"/>
          <w:rtl w:val="true"/>
          <w:lang w:bidi="fa-IR"/>
        </w:rPr>
        <w:t xml:space="preserve">الاستحباب المؤکَّد طریق الجمع بینها وبین ما دلّ علی التوسعة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لم ینتظر بقضائها مثلَ زمان 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لیلٍ أو نهارٍ، بل یقضی نافلة اللیل نهاراً وبالعکس؛ لأنّ اللّٰه تعالی جعل کلّاً منهما خِلْفةً للآخر </w:t>
      </w:r>
      <w:r>
        <w:rPr>
          <w:rStyle w:val="FootnoteAnchor"/>
          <w:rtl w:val="true"/>
        </w:rPr>
        <w:footnoteReference w:id="1209"/>
      </w:r>
      <w:r>
        <w:rPr>
          <w:rFonts w:ascii="IRNazanin" w:hAnsi="IRNazanin" w:eastAsia="IRNazanin"/>
          <w:color w:val="111111"/>
          <w:sz w:val="28"/>
          <w:sz w:val="28"/>
          <w:szCs w:val="28"/>
          <w:rtl w:val="true"/>
          <w:lang w:bidi="fa-IR"/>
        </w:rPr>
        <w:t xml:space="preserve">وللأمر بالمسارعة إلی أسباب المغفرة </w:t>
      </w:r>
      <w:r>
        <w:rPr>
          <w:rStyle w:val="FootnoteAnchor"/>
          <w:rtl w:val="true"/>
        </w:rPr>
        <w:footnoteReference w:id="1210"/>
      </w:r>
      <w:r>
        <w:rPr>
          <w:rFonts w:ascii="IRNazanin" w:hAnsi="IRNazanin" w:eastAsia="IRNazanin"/>
          <w:color w:val="111111"/>
          <w:sz w:val="28"/>
          <w:sz w:val="28"/>
          <w:szCs w:val="28"/>
          <w:rtl w:val="true"/>
          <w:lang w:bidi="fa-IR"/>
        </w:rPr>
        <w:t xml:space="preserve">وللأخبار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جماعةٌ من الأصحاب إلی استحباب المماثلة </w:t>
      </w:r>
      <w:r>
        <w:rPr>
          <w:rStyle w:val="FootnoteAnchor"/>
          <w:rtl w:val="true"/>
        </w:rPr>
        <w:footnoteReference w:id="1212"/>
      </w:r>
      <w:r>
        <w:rPr>
          <w:rFonts w:ascii="IRNazanin" w:hAnsi="IRNazanin" w:eastAsia="IRNazanin"/>
          <w:color w:val="111111"/>
          <w:sz w:val="28"/>
          <w:sz w:val="28"/>
          <w:szCs w:val="28"/>
          <w:rtl w:val="true"/>
          <w:lang w:bidi="fa-IR"/>
        </w:rPr>
        <w:t>استناداً إلی روایةِ إسماعیل الجعفی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قضاء النوافل قضاء صلاة اللیل باللیل وصلاة النهار بالنهار</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وغیرها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بینهما بالحمل بالأفضل </w:t>
      </w:r>
      <w:r>
        <w:rPr>
          <w:rStyle w:val="FootnoteAnchor"/>
          <w:rtl w:val="true"/>
        </w:rPr>
        <w:footnoteReference w:id="1215"/>
      </w:r>
      <w:r>
        <w:rPr>
          <w:rFonts w:ascii="IRNazanin" w:hAnsi="IRNazanin" w:eastAsia="IRNazanin"/>
          <w:color w:val="111111"/>
          <w:sz w:val="28"/>
          <w:sz w:val="28"/>
          <w:szCs w:val="28"/>
          <w:rtl w:val="true"/>
          <w:lang w:bidi="fa-IR"/>
        </w:rPr>
        <w:t>والفضیلة؛ إذ عدم انتظار مثل الوقت فیه مسارعةٌ إلی الخیر، وهو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أجاب فی الذکری </w:t>
      </w:r>
      <w:r>
        <w:rPr>
          <w:rStyle w:val="FootnoteAnchor"/>
          <w:rtl w:val="true"/>
        </w:rPr>
        <w:footnoteReference w:id="1216"/>
      </w:r>
      <w:r>
        <w:rPr>
          <w:rFonts w:ascii="IRNazanin" w:hAnsi="IRNazanin" w:eastAsia="IRNazanin"/>
          <w:color w:val="111111"/>
          <w:sz w:val="28"/>
          <w:sz w:val="28"/>
          <w:szCs w:val="28"/>
          <w:rtl w:val="true"/>
          <w:lang w:bidi="fa-IR"/>
        </w:rPr>
        <w:t>وهو یُؤذِن بأفضلیّة المماثلة؛ إذ لم یذکر الأفضل إلّافی دلیلها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فی باقی کتبه استحبابَ</w:t>
      </w:r>
    </w:p>
    <w:p>
      <w:pPr>
        <w:pStyle w:val="BookText"/>
        <w:rPr/>
      </w:pPr>
      <w:r>
        <w:rPr>
          <w:rFonts w:ascii="IRNazanin" w:hAnsi="IRNazanin" w:eastAsia="IRNazanin"/>
          <w:color w:val="111111"/>
          <w:sz w:val="28"/>
          <w:sz w:val="28"/>
          <w:szCs w:val="28"/>
          <w:rtl w:val="true"/>
          <w:lang w:bidi="fa-IR"/>
        </w:rPr>
        <w:t xml:space="preserve">التعجیل </w:t>
      </w:r>
      <w:r>
        <w:rPr>
          <w:rStyle w:val="FootnoteAnchor"/>
          <w:rtl w:val="true"/>
        </w:rPr>
        <w:footnoteReference w:id="1217"/>
      </w:r>
      <w:r>
        <w:rPr>
          <w:rFonts w:ascii="IRNazanin" w:hAnsi="IRNazanin" w:eastAsia="IRNazanin"/>
          <w:color w:val="111111"/>
          <w:sz w:val="28"/>
          <w:sz w:val="28"/>
          <w:szCs w:val="28"/>
          <w:rtl w:val="true"/>
          <w:lang w:bidi="fa-IR"/>
        </w:rPr>
        <w:t xml:space="preserve">والأخبار به کثیرة </w:t>
      </w:r>
      <w:r>
        <w:rPr>
          <w:rStyle w:val="FootnoteAnchor"/>
          <w:rtl w:val="true"/>
        </w:rPr>
        <w:footnoteReference w:id="1218"/>
      </w:r>
      <w:r>
        <w:rPr>
          <w:rFonts w:ascii="IRNazanin" w:hAnsi="IRNazanin" w:eastAsia="IRNazanin"/>
          <w:color w:val="111111"/>
          <w:sz w:val="28"/>
          <w:sz w:val="28"/>
          <w:szCs w:val="28"/>
          <w:rtl w:val="true"/>
          <w:lang w:bidi="fa-IR"/>
        </w:rPr>
        <w:t>إلّاأ نّها خالیةٌ عن الأفضلیّة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جواز النافلة لمن علیه فریضةٌ قولان </w:t>
      </w:r>
      <w:r>
        <w:rPr>
          <w:rStyle w:val="FootnoteAnchor"/>
          <w:rtl w:val="true"/>
        </w:rPr>
        <w:footnoteReference w:id="1219"/>
      </w:r>
      <w:r>
        <w:rPr>
          <w:rFonts w:ascii="IRNazanin" w:hAnsi="IRNazanin" w:eastAsia="IRNazanin"/>
          <w:color w:val="111111"/>
          <w:sz w:val="28"/>
          <w:sz w:val="28"/>
          <w:szCs w:val="28"/>
          <w:rtl w:val="true"/>
          <w:lang w:bidi="fa-IR"/>
        </w:rPr>
        <w:t>أقربهما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الکثیرة الدالّة علیه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بیّنّا مأخذه فی کتاب الذکری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 یراد ما ورد فیه من الأخبار، وحرّرنا نحن ما فیه فی شرح الإرشاد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واستند المانع أیضاً إلی أخبار دلّت علی النهی </w:t>
      </w:r>
      <w:r>
        <w:rPr>
          <w:rStyle w:val="FootnoteAnchor"/>
          <w:rtl w:val="true"/>
        </w:rPr>
        <w:footnoteReference w:id="1223"/>
      </w:r>
      <w:r>
        <w:rPr>
          <w:rFonts w:ascii="IRNazanin" w:hAnsi="IRNazanin" w:eastAsia="IRNazanin"/>
          <w:color w:val="111111"/>
          <w:sz w:val="28"/>
          <w:sz w:val="28"/>
          <w:szCs w:val="28"/>
          <w:rtl w:val="true"/>
          <w:lang w:bidi="fa-IR"/>
        </w:rPr>
        <w:t>وحَمْلُه علی الکراهة طریق الجمع، نعم یعتبر عدم إضرارها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ذوات الأسباب وغیرها</w:t>
      </w:r>
      <w:r>
        <w:rPr>
          <w:rFonts w:eastAsia="IRNazanin" w:cs="IRNazanin"/>
          <w:color w:val="111111"/>
          <w:sz w:val="28"/>
          <w:szCs w:val="28"/>
          <w:rtl w:val="true"/>
          <w:lang w:bidi="fa-IR"/>
        </w:rPr>
        <w:t>.</w:t>
      </w:r>
      <w:bookmarkStart w:id="339" w:name="pg19806_203521"/>
    </w:p>
    <w:p>
      <w:pPr>
        <w:pStyle w:val="Heading3"/>
        <w:numPr>
          <w:ilvl w:val="2"/>
          <w:numId w:val="1"/>
        </w:numPr>
        <w:rPr/>
      </w:pPr>
      <w:bookmarkStart w:id="340" w:name="__RefHeading___Toc2027955_2314609296"/>
      <w:bookmarkStart w:id="341" w:name="_Toc125"/>
      <w:bookmarkEnd w:id="339"/>
      <w:bookmarkEnd w:id="340"/>
      <w:r>
        <w:rPr>
          <w:rtl w:val="true"/>
        </w:rPr>
        <w:t>«</w:t>
      </w:r>
      <w:r>
        <w:rPr>
          <w:rtl w:val="true"/>
        </w:rPr>
        <w:t>الفصل التاسع</w:t>
      </w:r>
      <w:r>
        <w:rPr>
          <w:rtl w:val="true"/>
        </w:rPr>
        <w:t>» «</w:t>
      </w:r>
      <w:r>
        <w:rPr>
          <w:rtl w:val="true"/>
        </w:rPr>
        <w:t>فی صلاة الخوف</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مقصورةٌ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الأصحّ؛ للنصّ </w:t>
      </w:r>
      <w:r>
        <w:rPr>
          <w:rStyle w:val="FootnoteAnchor"/>
          <w:rtl w:val="true"/>
        </w:rPr>
        <w:footnoteReference w:id="1224"/>
      </w:r>
      <w:r>
        <w:rPr>
          <w:rFonts w:ascii="Amiri" w:hAnsi="Amiri" w:eastAsia="Amiri" w:cs="Amiri"/>
          <w:color w:val="111111"/>
          <w:sz w:val="28"/>
          <w:sz w:val="28"/>
          <w:szCs w:val="28"/>
          <w:rtl w:val="true"/>
          <w:lang w:bidi="ar-SA"/>
        </w:rPr>
        <w:t xml:space="preserve">وحُجّةُ مشترِط السفر بظاهر الآیة </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اقتضت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مندفَعةٌ بالقصر للسفر المجرَّد عن الخوف، والنصُّ محکّمٌ فیهما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الأشهر </w:t>
      </w:r>
      <w:r>
        <w:rPr>
          <w:rStyle w:val="FootnoteAnchor"/>
          <w:rtl w:val="true"/>
        </w:rPr>
        <w:footnoteReference w:id="1227"/>
      </w:r>
      <w:r>
        <w:rPr>
          <w:rFonts w:ascii="IRNazanin" w:hAnsi="IRNazanin" w:eastAsia="IRNazanin"/>
          <w:color w:val="111111"/>
          <w:sz w:val="28"/>
          <w:sz w:val="28"/>
          <w:szCs w:val="28"/>
          <w:rtl w:val="true"/>
          <w:lang w:bidi="fa-IR"/>
        </w:rPr>
        <w:t xml:space="preserve">لإطلاق النصّ واستنادُ مشترطِها إلی فعل النبیّ صلی الله علیه و آله لها جماعة </w:t>
      </w:r>
      <w:r>
        <w:rPr>
          <w:rStyle w:val="FootnoteAnchor"/>
          <w:rtl w:val="true"/>
        </w:rPr>
        <w:footnoteReference w:id="1228"/>
      </w:r>
      <w:r>
        <w:rPr>
          <w:rFonts w:ascii="IRNazanin" w:hAnsi="IRNazanin" w:eastAsia="IRNazanin"/>
          <w:color w:val="111111"/>
          <w:sz w:val="28"/>
          <w:sz w:val="28"/>
          <w:szCs w:val="28"/>
          <w:rtl w:val="true"/>
          <w:lang w:bidi="fa-IR"/>
        </w:rPr>
        <w:t>لا یدلّ علی الشرطیّة، فیبقی ما دلّ علی الإطلاق سالماً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أنواعٌ کثیرة تبلغ العشرة </w:t>
      </w:r>
      <w:r>
        <w:rPr>
          <w:rStyle w:val="FootnoteAnchor"/>
          <w:rtl w:val="true"/>
        </w:rPr>
        <w:footnoteReference w:id="1229"/>
      </w:r>
      <w:r>
        <w:rPr>
          <w:rFonts w:ascii="Amiri" w:hAnsi="Amiri" w:eastAsia="Amiri" w:cs="Amiri"/>
          <w:color w:val="111111"/>
          <w:sz w:val="28"/>
          <w:sz w:val="28"/>
          <w:szCs w:val="28"/>
          <w:rtl w:val="true"/>
          <w:lang w:bidi="ar-SA"/>
        </w:rPr>
        <w:t>أشهرُها صلاةُ ذات الرِقاع، فلذا لم یَذکُر</w:t>
      </w:r>
    </w:p>
    <w:p>
      <w:pPr>
        <w:pStyle w:val="BookText"/>
        <w:rPr/>
      </w:pP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ولها شروط أشار إلیها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إمکان الافتراق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المسلمین أو قوّتهم، بحیث یقاوِم کلّ فرقةٍ العدوَّ حالةَ اشتغال الاُخری بالصلاة وإن لم یتساویا عدداً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فی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فی دَبرها أو عن </w:t>
      </w:r>
      <w:r>
        <w:rPr>
          <w:rStyle w:val="FootnoteAnchor"/>
          <w:rtl w:val="true"/>
        </w:rPr>
        <w:footnoteReference w:id="1230"/>
      </w:r>
      <w:r>
        <w:rPr>
          <w:rFonts w:ascii="IRNazanin" w:hAnsi="IRNazanin" w:eastAsia="IRNazanin"/>
          <w:color w:val="111111"/>
          <w:sz w:val="28"/>
          <w:sz w:val="28"/>
          <w:szCs w:val="28"/>
          <w:rtl w:val="true"/>
          <w:lang w:bidi="fa-IR"/>
        </w:rPr>
        <w:t>أحد جانبیها بحیث لا یمکنهم القتال مصلّین إلّابالانحراف عنها، أو فی جهتها مع وجود حائلٍ یمنع من 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واشتُرط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العدوّ ذا قوّةٍ یُخاف هجومُه علیهم حالَ الصلاة </w:t>
      </w:r>
      <w:r>
        <w:rPr>
          <w:rStyle w:val="FootnoteAnchor"/>
          <w:rtl w:val="true"/>
        </w:rPr>
        <w:footnoteReference w:id="1231"/>
      </w:r>
      <w:r>
        <w:rPr>
          <w:rFonts w:ascii="IRNazanin" w:hAnsi="IRNazanin" w:eastAsia="IRNazanin"/>
          <w:color w:val="111111"/>
          <w:sz w:val="28"/>
          <w:sz w:val="28"/>
          <w:szCs w:val="28"/>
          <w:rtl w:val="true"/>
          <w:lang w:bidi="fa-IR"/>
        </w:rPr>
        <w:t>فلو أمن صلّوا بغیر تغییر یذکر هنا، وتَرَکَه اختصاراً وإشعاراً به من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الاحتیاج إلی الزیادة علی فرقتین </w:t>
      </w:r>
      <w:r>
        <w:rPr>
          <w:rStyle w:val="FootnoteAnchor"/>
          <w:rtl w:val="true"/>
        </w:rPr>
        <w:footnoteReference w:id="1232"/>
      </w:r>
      <w:r>
        <w:rPr>
          <w:rFonts w:ascii="IRNazanin" w:hAnsi="IRNazanin" w:eastAsia="IRNazanin"/>
          <w:color w:val="111111"/>
          <w:sz w:val="28"/>
          <w:sz w:val="28"/>
          <w:szCs w:val="28"/>
          <w:rtl w:val="true"/>
          <w:lang w:bidi="fa-IR"/>
        </w:rPr>
        <w:t>لاختصاص هذه الکیفیّة بإدراک کلّ فرقةٍ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الغَناء عنه فی المغرب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اجتماع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یصلّون صلاةَ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بذلک؛ لأنّ القتال کان فی سفح جبلٍ فیه جُدَدٌ </w:t>
      </w:r>
      <w:r>
        <w:rPr>
          <w:rStyle w:val="FootnoteAnchor"/>
          <w:rtl w:val="true"/>
        </w:rPr>
        <w:footnoteReference w:id="1233"/>
      </w:r>
      <w:r>
        <w:rPr>
          <w:rFonts w:ascii="Amiri" w:hAnsi="Amiri" w:eastAsia="Amiri" w:cs="Amiri"/>
          <w:color w:val="111111"/>
          <w:sz w:val="28"/>
          <w:sz w:val="28"/>
          <w:szCs w:val="28"/>
          <w:rtl w:val="true"/>
          <w:lang w:bidi="ar-SA"/>
        </w:rPr>
        <w:t>حُمرٌ وصفرٌ وسودٌ کالرقاع، أو لأنّ الصحابة کانوا حُفاةً فلفّوا علی أرجلهم الرِقاع من جلودٍ وخِرَقٍ لشدّة الحرّ، أو لأنّ الرقاع کانت فی ألویتهم، أو لمرور قومٍ به حُفاةً فتشقّقت أرجلُهم فکانوا یَلفّون علیها الخِرَق، أو لأنّها اسم شجرة کانت فی موضع الغزوة، وهی علی ثلاثة أمیال من المدینة عند بئر أرُوما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نجد، وهی أرض غَطفان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یصلّی الإمام بفرقةٍ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مکانٍ لا یبلغهم سهام العدوّ، ثمّ ینفردون بعد 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رکعةً اُخری مُخفَّفةً ویُسلّمون ویأخذون موقفَ الفرقة المقاتلة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فی قراءة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فیصلّی‌بهم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یرفعوا من سجود الثانیة فینفردون ویُتمّون صلاتَهم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ینتظرهم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یتمّوا ویسلّم 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وإنّما حکمنا بانفرادهم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العبارة لا تقتضیه، بل ربما دلّ سلامُه بهم علی بقاء القُدوَة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للمصنّف حیث ذهب فی کتبه إلی انفرادهم </w:t>
      </w:r>
      <w:r>
        <w:rPr>
          <w:rStyle w:val="FootnoteAnchor"/>
          <w:rtl w:val="true"/>
        </w:rPr>
        <w:footnoteReference w:id="1236"/>
      </w:r>
      <w:r>
        <w:rPr>
          <w:rFonts w:ascii="Amiri" w:hAnsi="Amiri" w:eastAsia="Amiri" w:cs="Amiri"/>
          <w:color w:val="111111"/>
          <w:sz w:val="28"/>
          <w:sz w:val="28"/>
          <w:szCs w:val="28"/>
          <w:rtl w:val="true"/>
          <w:lang w:bidi="ar-SA"/>
        </w:rPr>
        <w:t>وظاهرُ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صرّح کثیرٌ منهم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علیه تحمّل الإمام أوهامَهم 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اختاره المصنّف لا یخلو من قوّةٍ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المغرب یصلّی بإحداهما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وبالاُخری رکعةً مخیّراً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تخصیص الاُولی بالاُولی، والثانیة بالباقی؛ تأسّیاً بعلیّ علیه السلام لیلة الهَریر </w:t>
      </w:r>
      <w:r>
        <w:rPr>
          <w:rStyle w:val="FootnoteAnchor"/>
          <w:rtl w:val="true"/>
        </w:rPr>
        <w:footnoteReference w:id="1238"/>
      </w:r>
      <w:r>
        <w:rPr>
          <w:rFonts w:ascii="IRNazanin" w:hAnsi="IRNazanin" w:eastAsia="IRNazanin"/>
          <w:color w:val="111111"/>
          <w:sz w:val="28"/>
          <w:sz w:val="28"/>
          <w:szCs w:val="28"/>
          <w:rtl w:val="true"/>
          <w:lang w:bidi="fa-IR"/>
        </w:rPr>
        <w:t>ولیتقاربا فی إدراک الأرکان والقراءة المتعیّنة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وتکلیفُ الثانیة بالجلوس</w:t>
      </w:r>
    </w:p>
    <w:p>
      <w:pPr>
        <w:pStyle w:val="BookText"/>
        <w:rPr/>
      </w:pPr>
      <w:r>
        <w:rPr>
          <w:rFonts w:ascii="IRNazanin" w:hAnsi="IRNazanin" w:eastAsia="IRNazanin"/>
          <w:color w:val="111111"/>
          <w:sz w:val="28"/>
          <w:sz w:val="28"/>
          <w:szCs w:val="28"/>
          <w:rtl w:val="true"/>
          <w:lang w:bidi="fa-IR"/>
        </w:rPr>
        <w:t xml:space="preserve">للتشهّد الأوّل مع بنائها علی التخفیف یندفع باستدعائه زماناً علی التقدیرین، فلا یحصل بإ یثار الاُولی تخفیفٌ، ولتکلیف الثانیة بالجلوس للتشهّد الأوّل علی التقدیر الآخر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به </w:t>
      </w:r>
      <w:r>
        <w:rPr>
          <w:rStyle w:val="FootnoteAnchor"/>
          <w:rtl w:val="true"/>
        </w:rPr>
        <w:footnoteReference w:id="1240"/>
      </w:r>
      <w:r>
        <w:rPr>
          <w:rFonts w:ascii="IRNazanin" w:hAnsi="IRNazanin" w:eastAsia="IRNazanin"/>
          <w:color w:val="111111"/>
          <w:sz w:val="28"/>
          <w:sz w:val="28"/>
          <w:szCs w:val="28"/>
          <w:rtl w:val="true"/>
          <w:lang w:bidi="fa-IR"/>
        </w:rPr>
        <w:t>المقتضی له، وهو آلة القتال والدفع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السیف والسکّین والرمح وغیرِها وإن کان نجساً، إلّاأن یمنع شیئاً من الواجبات أو یؤذی غیرَه، فلا یجوز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المانعة من الافتراق کذلک والصلاة جمیعاً بأحد الوجوه المقرّرة فی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 بحسب المکنة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رکباناً ومشاةً جماعةً وفُرادی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ویُغتفر اختلاف الجهة هنا بخلاف المختلفین فی الاجتهاد؛ لأنّ الجهات قبلة فی حقّهم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عدم تقدّم المأموم علی الإمام نحوَ 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والأفعال الکثیرة المفتقر إلیها مغتفرة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ویُؤْمون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إیماءً مع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علی القَرَبوس بالرأس، ثمّ بالعینین فتحاً وغمضاً کما مرّ </w:t>
      </w:r>
      <w:r>
        <w:rPr>
          <w:rStyle w:val="FootnoteAnchor"/>
          <w:rtl w:val="true"/>
        </w:rPr>
        <w:footnoteReference w:id="1241"/>
      </w:r>
      <w:r>
        <w:rPr>
          <w:rFonts w:ascii="IRNazanin" w:hAnsi="IRNazanin" w:eastAsia="IRNazanin"/>
          <w:color w:val="111111"/>
          <w:sz w:val="28"/>
          <w:sz w:val="28"/>
          <w:szCs w:val="28"/>
          <w:rtl w:val="true"/>
          <w:lang w:bidi="fa-IR"/>
        </w:rPr>
        <w:t>ویجب الاستقبال بما أمکن ولو بالتحریمة، فإن عجز سقط</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إمکان الصلاة بالقراءة والإ یماء للرکوع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یجزیهم عن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القراءة والرکوع والسجود وواجباتهما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للّٰه‌ولا إله إلّااللّٰه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علیهما </w:t>
      </w:r>
      <w:r>
        <w:rPr>
          <w:rStyle w:val="FootnoteAnchor"/>
          <w:rtl w:val="true"/>
        </w:rPr>
        <w:footnoteReference w:id="1242"/>
      </w:r>
      <w:r>
        <w:rPr>
          <w:rFonts w:ascii="IRNazanin" w:hAnsi="IRNazanin" w:eastAsia="IRNazanin"/>
          <w:color w:val="111111"/>
          <w:sz w:val="28"/>
          <w:sz w:val="28"/>
          <w:szCs w:val="28"/>
          <w:rtl w:val="true"/>
          <w:lang w:bidi="fa-IR"/>
        </w:rPr>
        <w:t>النیّة والتکبیر، خاتماً بالتشهّد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صلّی علیٌّ علیه السلام وأصحابه لیلةَ الهَریر</w:t>
      </w:r>
    </w:p>
    <w:p>
      <w:pPr>
        <w:pStyle w:val="BookText"/>
        <w:rPr/>
      </w:pPr>
      <w:r>
        <w:rPr>
          <w:rFonts w:ascii="IRNazanin" w:hAnsi="IRNazanin" w:eastAsia="IRNazanin"/>
          <w:color w:val="111111"/>
          <w:sz w:val="28"/>
          <w:sz w:val="28"/>
          <w:szCs w:val="28"/>
          <w:rtl w:val="true"/>
          <w:lang w:bidi="fa-IR"/>
        </w:rPr>
        <w:t xml:space="preserve">الظهرین والعشاءین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الخوف الموجب لقصر الکمّیة وتغیّر </w:t>
      </w:r>
      <w:r>
        <w:rPr>
          <w:rStyle w:val="FootnoteAnchor"/>
          <w:rtl w:val="true"/>
        </w:rPr>
        <w:footnoteReference w:id="1244"/>
      </w:r>
      <w:r>
        <w:rPr>
          <w:rFonts w:ascii="Amiri" w:hAnsi="Amiri" w:eastAsia="Amiri" w:cs="Amiri"/>
          <w:color w:val="111111"/>
          <w:sz w:val="28"/>
          <w:sz w:val="28"/>
          <w:szCs w:val="28"/>
          <w:rtl w:val="true"/>
          <w:lang w:bidi="ar-SA"/>
        </w:rPr>
        <w:t>الکیفیّة بین کونه من عدوٍّ ولُصٍّ وسَبُعٍ، لا من وَحَلٍ وغَرَقٍ بالنسبة إلی الکمیّة، أمّا الکیفیّة فجائزٌ حیث لا یمکن غیرها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فی الذکری لهما </w:t>
      </w:r>
      <w:r>
        <w:rPr>
          <w:rStyle w:val="FootnoteAnchor"/>
          <w:rtl w:val="true"/>
        </w:rPr>
        <w:footnoteReference w:id="1245"/>
      </w:r>
      <w:r>
        <w:rPr>
          <w:rFonts w:ascii="IRNazanin" w:hAnsi="IRNazanin" w:eastAsia="IRNazanin"/>
          <w:color w:val="111111"/>
          <w:sz w:val="28"/>
          <w:sz w:val="28"/>
          <w:szCs w:val="28"/>
          <w:rtl w:val="true"/>
          <w:lang w:bidi="fa-IR"/>
        </w:rPr>
        <w:t xml:space="preserve">قصر الکمیّة مع خوف التلف بدونه ورجاء السلامة به وضیق الوقت </w:t>
      </w:r>
      <w:r>
        <w:rPr>
          <w:rStyle w:val="FootnoteAnchor"/>
          <w:rtl w:val="true"/>
        </w:rPr>
        <w:footnoteReference w:id="1246"/>
      </w:r>
      <w:r>
        <w:rPr>
          <w:rFonts w:ascii="IRNazanin" w:hAnsi="IRNazanin" w:eastAsia="IRNazanin"/>
          <w:color w:val="111111"/>
          <w:sz w:val="28"/>
          <w:sz w:val="28"/>
          <w:szCs w:val="28"/>
          <w:rtl w:val="true"/>
          <w:lang w:bidi="fa-IR"/>
        </w:rPr>
        <w:t>وهو یقتضی جواز الترک لو توقّف علیه، أمّا سقوط القضاء بذلک فلا؛ لعدم الدلیل</w:t>
      </w:r>
      <w:r>
        <w:rPr>
          <w:rFonts w:eastAsia="IRNazanin" w:cs="IRNazanin"/>
          <w:color w:val="111111"/>
          <w:sz w:val="28"/>
          <w:szCs w:val="28"/>
          <w:rtl w:val="true"/>
          <w:lang w:bidi="fa-IR"/>
        </w:rPr>
        <w:t>.</w:t>
      </w:r>
      <w:bookmarkStart w:id="342" w:name="pg19806_203527"/>
    </w:p>
    <w:p>
      <w:pPr>
        <w:pStyle w:val="Heading3"/>
        <w:numPr>
          <w:ilvl w:val="2"/>
          <w:numId w:val="1"/>
        </w:numPr>
        <w:rPr/>
      </w:pPr>
      <w:bookmarkStart w:id="343" w:name="__RefHeading___Toc2027957_2314609296"/>
      <w:bookmarkStart w:id="344" w:name="_Toc126"/>
      <w:bookmarkEnd w:id="342"/>
      <w:bookmarkEnd w:id="343"/>
      <w:r>
        <w:rPr>
          <w:rtl w:val="true"/>
        </w:rPr>
        <w:t>«</w:t>
      </w:r>
      <w:r>
        <w:rPr>
          <w:rtl w:val="true"/>
        </w:rPr>
        <w:t>الفصل العاشر</w:t>
      </w:r>
      <w:r>
        <w:rPr>
          <w:rtl w:val="true"/>
        </w:rPr>
        <w:t>» «</w:t>
      </w:r>
      <w:r>
        <w:rPr>
          <w:rtl w:val="true"/>
        </w:rPr>
        <w:t>فی صلاة المسافر</w:t>
      </w:r>
      <w:r>
        <w:rPr>
          <w:rtl w:val="true"/>
        </w:rPr>
        <w:t xml:space="preserve">» </w:t>
      </w:r>
      <w:r>
        <w:rPr>
          <w:rtl w:val="true"/>
        </w:rPr>
        <w:t>التی یجب قصرُها کمّیةً</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وشروطها</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المسافة، وهی ثمانیة فراسخ کلُّ فرسخٍ ثلاثة أمیال، کلّ میل أربع آلاف ذراع، فتکون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وتسعین ألف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حاصلة من ضرب ثلاثة فی ثمانیة ثمّ المرتفع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ذراع أربع وعشرون إصبعاً، کلّ إصبع سبع شَعیرات متلاصقات بالسطح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کلّ شَعیرة سبع شَعَرات من شَعْر البِرذَون </w:t>
      </w:r>
      <w:r>
        <w:rPr>
          <w:rStyle w:val="FootnoteAnchor"/>
          <w:rtl w:val="true"/>
        </w:rPr>
        <w:footnoteReference w:id="1248"/>
      </w:r>
      <w:r>
        <w:rPr>
          <w:rFonts w:ascii="IRNazanin" w:hAnsi="IRNazanin" w:eastAsia="IRNazanin"/>
          <w:color w:val="111111"/>
          <w:sz w:val="28"/>
          <w:sz w:val="28"/>
          <w:szCs w:val="28"/>
          <w:rtl w:val="true"/>
          <w:lang w:bidi="fa-IR"/>
        </w:rPr>
        <w:t>، ویجمعها مسیر یوم معتدل الوقت والمکان والسیر لأثقال الإ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ومبدأ التقدیر من آخر خِطّة البلد </w:t>
      </w:r>
      <w:r>
        <w:rPr>
          <w:rStyle w:val="FootnoteAnchor"/>
          <w:rtl w:val="true"/>
        </w:rPr>
        <w:footnoteReference w:id="1249"/>
      </w:r>
      <w:r>
        <w:rPr>
          <w:rFonts w:ascii="IRNazanin" w:hAnsi="IRNazanin" w:eastAsia="IRNazanin"/>
          <w:color w:val="111111"/>
          <w:sz w:val="28"/>
          <w:sz w:val="28"/>
          <w:szCs w:val="28"/>
          <w:rtl w:val="true"/>
          <w:lang w:bidi="fa-IR"/>
        </w:rPr>
        <w:t>المعتدل، وآخر محلّته فی المتّسع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نصفها لمرید الرجوع لیومه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لیلته أو الملفَّق منهما مع اتّصال السیر عرفاً، دون الذهاب فی أوّل أحدهما والعود فی آخر الآخر ونحوه، فی المشهور </w:t>
      </w:r>
      <w:r>
        <w:rPr>
          <w:rStyle w:val="FootnoteAnchor"/>
          <w:rtl w:val="true"/>
        </w:rPr>
        <w:footnoteReference w:id="1250"/>
      </w:r>
      <w:r>
        <w:rPr>
          <w:rFonts w:ascii="IRNazanin" w:hAnsi="IRNazanin" w:eastAsia="IRNazanin"/>
          <w:color w:val="111111"/>
          <w:sz w:val="28"/>
          <w:sz w:val="28"/>
          <w:szCs w:val="28"/>
          <w:rtl w:val="true"/>
          <w:lang w:bidi="fa-IR"/>
        </w:rPr>
        <w:t xml:space="preserve">وفی الأخبار الصحیحة الاکتفاء به مطلقاً </w:t>
      </w:r>
      <w:r>
        <w:rPr>
          <w:rStyle w:val="FootnoteAnchor"/>
          <w:rtl w:val="true"/>
        </w:rPr>
        <w:footnoteReference w:id="1251"/>
      </w:r>
      <w:r>
        <w:rPr>
          <w:rFonts w:ascii="Amiri" w:hAnsi="Amiri" w:eastAsia="Amiri" w:cs="Amiri"/>
          <w:color w:val="111111"/>
          <w:sz w:val="28"/>
          <w:sz w:val="28"/>
          <w:szCs w:val="28"/>
          <w:rtl w:val="true"/>
          <w:lang w:bidi="ar-SA"/>
        </w:rPr>
        <w:t xml:space="preserve">وعلیه جماعةٌ مخیِّرین فی القصر والإتمام جمعاً </w:t>
      </w:r>
      <w:r>
        <w:rPr>
          <w:rStyle w:val="FootnoteAnchor"/>
          <w:rtl w:val="true"/>
        </w:rPr>
        <w:footnoteReference w:id="1252"/>
      </w:r>
      <w:r>
        <w:rPr>
          <w:rFonts w:ascii="Amiri" w:hAnsi="Amiri" w:eastAsia="Amiri" w:cs="Amiri"/>
          <w:color w:val="111111"/>
          <w:sz w:val="28"/>
          <w:sz w:val="28"/>
          <w:szCs w:val="28"/>
          <w:rtl w:val="true"/>
          <w:lang w:bidi="ar-SA"/>
        </w:rPr>
        <w:t xml:space="preserve">وآخرون فی الصلاة خاصّةً </w:t>
      </w:r>
      <w:r>
        <w:rPr>
          <w:rStyle w:val="FootnoteAnchor"/>
          <w:rtl w:val="true"/>
        </w:rPr>
        <w:footnoteReference w:id="1253"/>
      </w:r>
      <w:r>
        <w:rPr>
          <w:rFonts w:ascii="IRNazanin" w:hAnsi="IRNazanin" w:eastAsia="IRNazanin"/>
          <w:color w:val="111111"/>
          <w:sz w:val="28"/>
          <w:sz w:val="28"/>
          <w:szCs w:val="28"/>
          <w:rtl w:val="true"/>
          <w:lang w:bidi="fa-IR"/>
        </w:rPr>
        <w:t xml:space="preserve">وحملها الأکثر علی مرید الرجوع لیومه فیتحتّم القصر </w:t>
      </w:r>
      <w:r>
        <w:rPr>
          <w:rStyle w:val="FootnoteAnchor"/>
          <w:rtl w:val="true"/>
        </w:rPr>
        <w:footnoteReference w:id="1254"/>
      </w:r>
      <w:r>
        <w:rPr>
          <w:rFonts w:ascii="IRNazanin" w:hAnsi="IRNazanin" w:eastAsia="IRNazanin"/>
          <w:color w:val="111111"/>
          <w:sz w:val="28"/>
          <w:sz w:val="28"/>
          <w:szCs w:val="28"/>
          <w:rtl w:val="true"/>
          <w:lang w:bidi="fa-IR"/>
        </w:rPr>
        <w:t xml:space="preserve">أو یتخیّر، وعلیه المصنّف فی الذکری </w:t>
      </w:r>
      <w:r>
        <w:rPr>
          <w:rStyle w:val="FootnoteAnchor"/>
          <w:rtl w:val="true"/>
        </w:rPr>
        <w:footnoteReference w:id="1255"/>
      </w:r>
      <w:r>
        <w:rPr>
          <w:rFonts w:ascii="IRNazanin" w:hAnsi="IRNazanin" w:eastAsia="IRNazanin"/>
          <w:color w:val="111111"/>
          <w:sz w:val="28"/>
          <w:sz w:val="28"/>
          <w:szCs w:val="28"/>
          <w:rtl w:val="true"/>
          <w:lang w:bidi="fa-IR"/>
        </w:rPr>
        <w:t xml:space="preserve">وفی الأخبار </w:t>
      </w:r>
      <w:r>
        <w:rPr>
          <w:rStyle w:val="FootnoteAnchor"/>
          <w:rtl w:val="true"/>
        </w:rPr>
        <w:footnoteReference w:id="1256"/>
      </w:r>
      <w:r>
        <w:rPr>
          <w:rFonts w:ascii="IRNazanin" w:hAnsi="IRNazanin" w:eastAsia="IRNazanin"/>
          <w:color w:val="111111"/>
          <w:sz w:val="28"/>
          <w:sz w:val="28"/>
          <w:szCs w:val="28"/>
          <w:rtl w:val="true"/>
          <w:lang w:bidi="fa-IR"/>
        </w:rPr>
        <w:t>ما یدفع هذا الجمع بمعنییه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بقصد المقدَّر السفرُ إلی المسافة بغیره، کطالب حاجةٍ یرجع متی وجدها إلّاأن یعلم عادةً توقّفه علی المسافة، وفی إلحاق الظنّ القویّ به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 متغلّبٍ یفارقه متی قَدَر مع إمکانه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الزوجة والعبد یُجوّزان الطلاق والعتق مع ظهور أمارتهما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ظنّ التابع بقاءَ الصحبة قصّر مع قصد المسافة ولو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یبلغ المسافة یقصّر فی الرجوع مطلقاً </w:t>
      </w:r>
      <w:r>
        <w:rPr>
          <w:rStyle w:val="FootnoteAnchor"/>
          <w:rtl w:val="true"/>
        </w:rPr>
        <w:footnoteReference w:id="1257"/>
      </w:r>
      <w:r>
        <w:rPr>
          <w:rFonts w:ascii="IRNazanin" w:hAnsi="IRNazanin" w:eastAsia="IRNazanin"/>
          <w:color w:val="111111"/>
          <w:sz w:val="28"/>
          <w:sz w:val="28"/>
          <w:szCs w:val="28"/>
          <w:rtl w:val="true"/>
          <w:lang w:bidi="fa-IR"/>
        </w:rPr>
        <w:t>ولا یضمّ إلیه</w:t>
      </w:r>
    </w:p>
    <w:p>
      <w:pPr>
        <w:pStyle w:val="BookText"/>
        <w:rPr/>
      </w:pPr>
      <w:r>
        <w:rPr>
          <w:rFonts w:ascii="IRNazanin" w:hAnsi="IRNazanin" w:eastAsia="IRNazanin"/>
          <w:color w:val="111111"/>
          <w:sz w:val="28"/>
          <w:sz w:val="28"/>
          <w:szCs w:val="28"/>
          <w:rtl w:val="true"/>
          <w:lang w:bidi="fa-IR"/>
        </w:rPr>
        <w:t>ما بقی من الذهاب بعد القصد متّصلاً به ممّا یقصر عن المسافة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یقطع السفر بمروره علی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ملکُه من العقار الذی قد استوطنه، أو بلدُه الذی لا یخرج عن حدودها الشرعیّة </w:t>
      </w:r>
      <w:r>
        <w:rPr>
          <w:rStyle w:val="FootnoteAnchor"/>
          <w:rtl w:val="true"/>
        </w:rPr>
        <w:footnoteReference w:id="1258"/>
      </w:r>
      <w:r>
        <w:rPr>
          <w:rFonts w:ascii="IRNazanin" w:hAnsi="IRNazanin" w:eastAsia="IRNazanin"/>
          <w:color w:val="111111"/>
          <w:sz w:val="28"/>
          <w:sz w:val="28"/>
          <w:szCs w:val="28"/>
          <w:rtl w:val="true"/>
          <w:lang w:bidi="fa-IR"/>
        </w:rPr>
        <w:t>ستّة أشهر فصاعداً بنیّة الإقامة الموجبة للإتمام، متوالیةً أو متفرّقةً، أو منویّ الإقامة علی الدوام مع استیطانه المدّة وإن لم یکن له به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خرج الملک عنه أو رجع عن نیّة الإقامة ساوی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نیّةِ مُقام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تامّة بلیالیها متتالیة، ولو بتعلیق السفر علی ما لا یحصل عادةً فی أقل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مُضیِّ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نیّة الإقامة وإن جزم بالسفر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مکان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المصر بمعنی المدینة أو البلد فلیس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کملت الثلاثون أتمّ بعدها ما یصلّیه قبل السفر ولو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انقطع السفر بأحد هذه افتقر العود إلی القصر إلی قصد مسافةٍ جدیدة، فلو خرج بعدها </w:t>
      </w:r>
      <w:r>
        <w:rPr>
          <w:rStyle w:val="FootnoteAnchor"/>
          <w:rtl w:val="true"/>
        </w:rPr>
        <w:footnoteReference w:id="1259"/>
      </w:r>
      <w:r>
        <w:rPr>
          <w:rFonts w:ascii="IRNazanin" w:hAnsi="IRNazanin" w:eastAsia="IRNazanin"/>
          <w:color w:val="111111"/>
          <w:sz w:val="28"/>
          <w:sz w:val="28"/>
          <w:szCs w:val="28"/>
          <w:rtl w:val="true"/>
          <w:lang w:bidi="fa-IR"/>
        </w:rPr>
        <w:t>بقی علی التمام إلی أن یقصد المسافة، سواء عزم علی العود إلی موضع الإقامة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نوی الإقامة فی عدّة مواطن فی ابتداء السفر أو کان له منازلُ، اعتُبرت المسافة بین کلّ منزلین وبین الأخیر وغایةِ السفر، فیقصِّر فی ما بلغه، ویُتمّ فی الباقی وإن تمادی السفر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یکثر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یسافر ثلاث سفرات إلی مسافةٍ ولا یقیم بین سفرتین منها عشرة أیّام فی بلده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مع النیّة، أو یصدق علیه</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وإخوته، وحینئذٍ فیتمّ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صدق الاسم یستمرّ </w:t>
      </w:r>
      <w:r>
        <w:rPr>
          <w:rStyle w:val="FootnoteAnchor"/>
          <w:rtl w:val="true"/>
        </w:rPr>
        <w:footnoteReference w:id="1261"/>
      </w:r>
      <w:r>
        <w:rPr>
          <w:rFonts w:ascii="IRNazanin" w:hAnsi="IRNazanin" w:eastAsia="IRNazanin"/>
          <w:color w:val="111111"/>
          <w:sz w:val="28"/>
          <w:sz w:val="28"/>
          <w:szCs w:val="28"/>
          <w:rtl w:val="true"/>
          <w:lang w:bidi="fa-IR"/>
        </w:rPr>
        <w:t>متمّاً إلی أن یزول الاسم، أو یقیم عشرة أیّام متوالیة أو مفصولة بغیر مسافة فی بلده أو مع نیّة الإقامة، أو یمضی علیه أربعون یوماً متردّداً فی الإقامة أو جازماً بالسفر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یکثر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وتخفیف الیاء، وهو مَنْ یُکری دابّته لغیره ویذهب معها فلا یقیم ببلده غالباً لإعداده نفسَه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یُؤجِر نفسه للأسفار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 نفسَه للرسالة، أو </w:t>
      </w:r>
      <w:r>
        <w:rPr>
          <w:rStyle w:val="FootnoteAnchor"/>
          <w:rtl w:val="true"/>
        </w:rPr>
        <w:footnoteReference w:id="1262"/>
      </w:r>
      <w:r>
        <w:rPr>
          <w:rFonts w:ascii="IRNazanin" w:hAnsi="IRNazanin" w:eastAsia="IRNazanin"/>
          <w:color w:val="111111"/>
          <w:sz w:val="28"/>
          <w:sz w:val="28"/>
          <w:szCs w:val="28"/>
          <w:rtl w:val="true"/>
          <w:lang w:bidi="fa-IR"/>
        </w:rPr>
        <w:t xml:space="preserve">أمین </w:t>
      </w:r>
      <w:r>
        <w:rPr>
          <w:rStyle w:val="FootnoteAnchor"/>
          <w:rtl w:val="true"/>
        </w:rPr>
        <w:footnoteReference w:id="1263"/>
      </w:r>
      <w:r>
        <w:rPr>
          <w:rFonts w:ascii="IRNazanin" w:hAnsi="IRNazanin" w:eastAsia="IRNazanin"/>
          <w:color w:val="111111"/>
          <w:sz w:val="28"/>
          <w:sz w:val="28"/>
          <w:szCs w:val="28"/>
          <w:rtl w:val="true"/>
          <w:lang w:bidi="fa-IR"/>
        </w:rPr>
        <w:t xml:space="preserve">البیدر </w:t>
      </w:r>
      <w:r>
        <w:rPr>
          <w:rStyle w:val="FootnoteAnchor"/>
          <w:rtl w:val="true"/>
        </w:rPr>
        <w:footnoteReference w:id="1264"/>
      </w:r>
      <w:r>
        <w:rPr>
          <w:rFonts w:ascii="IRNazanin" w:hAnsi="IRNazanin" w:eastAsia="IRNazanin"/>
          <w:color w:val="111111"/>
          <w:sz w:val="28"/>
          <w:sz w:val="28"/>
          <w:szCs w:val="28"/>
          <w:rtl w:val="true"/>
          <w:lang w:bidi="fa-IR"/>
        </w:rPr>
        <w:t xml:space="preserve">أو الاشتقان </w:t>
      </w:r>
      <w:r>
        <w:rPr>
          <w:rStyle w:val="FootnoteAnchor"/>
          <w:rtl w:val="true"/>
        </w:rPr>
        <w:footnoteReference w:id="1265"/>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یسافر إلی المسافة ولا یقیم العشرة کما مرّ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یکون غایته معصیةً أو مشترکةً بینها وبین الطاعة أو مستلزمةً لها، کالتاجر فی المُحرَّم، والآبق، والناشزِ والساعی علی ضررِ محترم، وسالک طریقٍ یُغلَب فیه العَطَب ولو علی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به تارکُ</w:t>
      </w:r>
    </w:p>
    <w:p>
      <w:pPr>
        <w:pStyle w:val="BookText"/>
        <w:rPr/>
      </w:pPr>
      <w:r>
        <w:rPr>
          <w:rFonts w:ascii="Amiri" w:hAnsi="Amiri" w:eastAsia="Amiri" w:cs="Amiri"/>
          <w:color w:val="111111"/>
          <w:sz w:val="28"/>
          <w:sz w:val="28"/>
          <w:szCs w:val="28"/>
          <w:rtl w:val="true"/>
          <w:lang w:bidi="ar-SA"/>
        </w:rPr>
        <w:t>کلّ واجبٍ به بحیث ینافیه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مانعةٌ ابتداءً واستدامةً، فلو عرض قصدُها فی أثنائه انقطع الترخّص حینئذٍ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حینئذٍ کون الباقی مسافةً ولو بالعود، لا بضمِّ باقی الذهاب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یتواری عن </w:t>
      </w:r>
      <w:r>
        <w:rPr>
          <w:rStyle w:val="FootnoteAnchor"/>
          <w:rtl w:val="true"/>
        </w:rPr>
        <w:footnoteReference w:id="1266"/>
      </w:r>
      <w:r>
        <w:rPr>
          <w:rFonts w:ascii="IRNazanin" w:hAnsi="IRNazanin" w:eastAsia="IRNazanin"/>
          <w:color w:val="111111"/>
          <w:sz w:val="28"/>
          <w:sz w:val="28"/>
          <w:szCs w:val="28"/>
          <w:rtl w:val="true"/>
          <w:lang w:bidi="fa-IR"/>
        </w:rPr>
        <w:t>جُدران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بالضرب فی الأرض لا مطلق المواراة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یخفی علیه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تقدیراً، کالبلد المنخفض والمرتفع ومختلفِ الأرض، وعادِم الجدار </w:t>
      </w:r>
      <w:r>
        <w:rPr>
          <w:rStyle w:val="FootnoteAnchor"/>
          <w:rtl w:val="true"/>
        </w:rPr>
        <w:footnoteReference w:id="1267"/>
      </w:r>
      <w:r>
        <w:rPr>
          <w:rFonts w:ascii="IRNazanin" w:hAnsi="IRNazanin" w:eastAsia="IRNazanin"/>
          <w:color w:val="111111"/>
          <w:sz w:val="28"/>
          <w:sz w:val="28"/>
          <w:szCs w:val="28"/>
          <w:rtl w:val="true"/>
          <w:lang w:bidi="fa-IR"/>
        </w:rPr>
        <w:t>والأذان والسمع والبصر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البلد المتوسّط فما دون، ومحلّتُه فی المتّسع، وصورةُ الجدار والصوت، لا الشبح والکلام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والاکتفاء بأحد الأمرین مذهب جماعة </w:t>
      </w:r>
      <w:r>
        <w:rPr>
          <w:rStyle w:val="FootnoteAnchor"/>
          <w:rtl w:val="true"/>
        </w:rPr>
        <w:footnoteReference w:id="1268"/>
      </w:r>
      <w:r>
        <w:rPr>
          <w:rFonts w:ascii="IRNazanin" w:hAnsi="IRNazanin" w:eastAsia="IRNazanin"/>
          <w:color w:val="111111"/>
          <w:sz w:val="28"/>
          <w:sz w:val="28"/>
          <w:szCs w:val="28"/>
          <w:rtl w:val="true"/>
          <w:lang w:bidi="fa-IR"/>
        </w:rPr>
        <w:t xml:space="preserve">والأقوی اعتبار خفائهما معاً ذهاباً وعوداً، وعلیه المصنّفُ فی سائر کتبه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اجتماع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أخیرتی الرباعیّة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مواطن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مسجدی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ومسجد الکوفةوالحائر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دار علیه سور حضرته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بین الإتمام والقصر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والإتمامُ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الحکم أخبارٌ کثیرة </w:t>
      </w:r>
      <w:r>
        <w:rPr>
          <w:rStyle w:val="FootnoteAnchor"/>
          <w:rtl w:val="true"/>
        </w:rPr>
        <w:footnoteReference w:id="1270"/>
      </w:r>
      <w:r>
        <w:rPr>
          <w:rFonts w:ascii="Amiri" w:hAnsi="Amiri" w:eastAsia="Amiri" w:cs="Amiri"/>
          <w:color w:val="111111"/>
          <w:sz w:val="28"/>
          <w:sz w:val="28"/>
          <w:szCs w:val="28"/>
          <w:rtl w:val="true"/>
          <w:lang w:bidi="ar-SA"/>
        </w:rPr>
        <w:t>وفی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 مخزون علم اللّٰه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التخییر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وحَتَم القصرَ فیها کغیرها </w:t>
      </w:r>
      <w:r>
        <w:rPr>
          <w:rStyle w:val="FootnoteAnchor"/>
          <w:rtl w:val="true"/>
        </w:rPr>
        <w:footnoteReference w:id="1272"/>
      </w:r>
      <w:r>
        <w:rPr>
          <w:rFonts w:ascii="IRNazanin" w:hAnsi="IRNazanin" w:eastAsia="IRNazanin"/>
          <w:color w:val="111111"/>
          <w:sz w:val="28"/>
          <w:sz w:val="28"/>
          <w:szCs w:val="28"/>
          <w:rtl w:val="true"/>
          <w:lang w:bidi="fa-IR"/>
        </w:rPr>
        <w:t>والأخبارُ الصحیحة حجّة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وطرّد المرتضی وابن الجنید الحکمَ فی مشاهد الأئمة علیهم السلام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 آخرون الحکمَ فی البلدان الأربع </w:t>
      </w:r>
      <w:r>
        <w:rPr>
          <w:rStyle w:val="FootnoteAnchor"/>
          <w:rtl w:val="true"/>
        </w:rPr>
        <w:footnoteReference w:id="1274"/>
      </w:r>
      <w:r>
        <w:rPr>
          <w:rFonts w:ascii="IRNazanin" w:hAnsi="IRNazanin" w:eastAsia="IRNazanin"/>
          <w:color w:val="111111"/>
          <w:sz w:val="28"/>
          <w:sz w:val="28"/>
          <w:szCs w:val="28"/>
          <w:rtl w:val="true"/>
          <w:lang w:bidi="fa-IR"/>
        </w:rPr>
        <w:t xml:space="preserve">وثالثٌ فی بلدی المسجدین الحرمین دون الآخرین </w:t>
      </w:r>
      <w:r>
        <w:rPr>
          <w:rStyle w:val="FootnoteAnchor"/>
          <w:rtl w:val="true"/>
        </w:rPr>
        <w:footnoteReference w:id="1275"/>
      </w:r>
      <w:r>
        <w:rPr>
          <w:rFonts w:ascii="IRNazanin" w:hAnsi="IRNazanin" w:eastAsia="IRNazanin"/>
          <w:color w:val="111111"/>
          <w:sz w:val="28"/>
          <w:sz w:val="28"/>
          <w:szCs w:val="28"/>
          <w:rtl w:val="true"/>
          <w:lang w:bidi="fa-IR"/>
        </w:rPr>
        <w:t xml:space="preserve">ورابعٌ فی البلدان الثلاثة غیر الحائر </w:t>
      </w:r>
      <w:r>
        <w:rPr>
          <w:rStyle w:val="FootnoteAnchor"/>
          <w:rtl w:val="true"/>
        </w:rPr>
        <w:footnoteReference w:id="1276"/>
      </w:r>
      <w:r>
        <w:rPr>
          <w:rFonts w:ascii="IRNazanin" w:hAnsi="IRNazanin" w:eastAsia="IRNazanin"/>
          <w:color w:val="111111"/>
          <w:sz w:val="28"/>
          <w:sz w:val="28"/>
          <w:szCs w:val="28"/>
          <w:rtl w:val="true"/>
          <w:lang w:bidi="fa-IR"/>
        </w:rPr>
        <w:t xml:space="preserve">ومال إلیه المصنّف فی الذکری </w:t>
      </w:r>
      <w:r>
        <w:rPr>
          <w:rStyle w:val="FootnoteAnchor"/>
          <w:rtl w:val="true"/>
        </w:rPr>
        <w:footnoteReference w:id="1277"/>
      </w:r>
      <w:r>
        <w:rPr>
          <w:rFonts w:ascii="IRNazanin" w:hAnsi="IRNazanin" w:eastAsia="IRNazanin"/>
          <w:color w:val="111111"/>
          <w:sz w:val="28"/>
          <w:sz w:val="28"/>
          <w:szCs w:val="28"/>
          <w:rtl w:val="true"/>
          <w:lang w:bidi="fa-IR"/>
        </w:rPr>
        <w:t>والاقتصار علیها موضع الیقین فی ما خالف الأصل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دخل علیه الوقتُ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مضی منه قدْر الصلاة بشرائطها المفقودة قبل مجاوزة الحدّین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أدرکه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أدرک منه رکعةً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الأقوی </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بالأصل</w:t>
      </w:r>
    </w:p>
    <w:p>
      <w:pPr>
        <w:pStyle w:val="BookText"/>
        <w:rPr/>
      </w:pPr>
      <w:r>
        <w:rPr>
          <w:rFonts w:ascii="IRNazanin" w:hAnsi="IRNazanin" w:eastAsia="IRNazanin"/>
          <w:color w:val="111111"/>
          <w:sz w:val="28"/>
          <w:sz w:val="28"/>
          <w:szCs w:val="28"/>
          <w:rtl w:val="true"/>
          <w:lang w:bidi="fa-IR"/>
        </w:rPr>
        <w:t xml:space="preserve">ولدلالة بعض الأخبار علیه </w:t>
      </w:r>
      <w:r>
        <w:rPr>
          <w:rStyle w:val="FootnoteAnchor"/>
          <w:rtl w:val="true"/>
        </w:rPr>
        <w:footnoteReference w:id="1279"/>
      </w:r>
      <w:r>
        <w:rPr>
          <w:rFonts w:ascii="IRNazanin" w:hAnsi="IRNazanin" w:eastAsia="IRNazanin"/>
          <w:color w:val="111111"/>
          <w:sz w:val="28"/>
          <w:sz w:val="28"/>
          <w:szCs w:val="28"/>
          <w:rtl w:val="true"/>
          <w:lang w:bidi="fa-IR"/>
        </w:rPr>
        <w:t xml:space="preserve">والقولُ الآخر القصر فیهما </w:t>
      </w:r>
      <w:r>
        <w:rPr>
          <w:rStyle w:val="FootnoteAnchor"/>
          <w:rtl w:val="true"/>
        </w:rPr>
        <w:footnoteReference w:id="1280"/>
      </w:r>
      <w:r>
        <w:rPr>
          <w:rFonts w:ascii="IRNazanin" w:hAnsi="IRNazanin" w:eastAsia="IRNazanin"/>
          <w:color w:val="111111"/>
          <w:sz w:val="28"/>
          <w:sz w:val="28"/>
          <w:szCs w:val="28"/>
          <w:rtl w:val="true"/>
          <w:lang w:bidi="fa-IR"/>
        </w:rPr>
        <w:t xml:space="preserve">وفی ثالث التخییر </w:t>
      </w:r>
      <w:r>
        <w:rPr>
          <w:rStyle w:val="FootnoteAnchor"/>
          <w:rtl w:val="true"/>
        </w:rPr>
        <w:footnoteReference w:id="1281"/>
      </w:r>
      <w:r>
        <w:rPr>
          <w:rFonts w:ascii="IRNazanin" w:hAnsi="IRNazanin" w:eastAsia="IRNazanin"/>
          <w:color w:val="111111"/>
          <w:sz w:val="28"/>
          <w:sz w:val="28"/>
          <w:szCs w:val="28"/>
          <w:rtl w:val="true"/>
          <w:lang w:bidi="fa-IR"/>
        </w:rPr>
        <w:t xml:space="preserve">ورابعٍ القصر فی الأوّل والإتمام فی الثانی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متعارضة، والمحصَّل ما اختاره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جبر کلّ مقصورةٍ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صلاةٍ تُصلّی سفراً </w:t>
      </w:r>
      <w:r>
        <w:rPr>
          <w:rStyle w:val="FootnoteAnchor"/>
          <w:rtl w:val="true"/>
        </w:rPr>
        <w:footnoteReference w:id="1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بالتسبیحات الأربع 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والمرویّ التقیید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استحبابُ فعلها عقیبَ کلّ فریضةٍ فی جملة التعقیب </w:t>
      </w:r>
      <w:r>
        <w:rPr>
          <w:rStyle w:val="FootnoteAnchor"/>
          <w:rtl w:val="true"/>
        </w:rPr>
        <w:footnoteReference w:id="1285"/>
      </w:r>
      <w:r>
        <w:rPr>
          <w:rFonts w:ascii="IRNazanin" w:hAnsi="IRNazanin" w:eastAsia="IRNazanin"/>
          <w:color w:val="111111"/>
          <w:sz w:val="28"/>
          <w:sz w:val="28"/>
          <w:szCs w:val="28"/>
          <w:rtl w:val="true"/>
          <w:lang w:bidi="fa-IR"/>
        </w:rPr>
        <w:t>فاستحبابها عقیب المقصورة یکون آکد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یتداخل الجبر والتعقیب أم یستحبّ تکرارها؟ وجهان، أجودهما الأوّل؛ لتحقّق الامتثال فیهما</w:t>
      </w:r>
      <w:r>
        <w:rPr>
          <w:rFonts w:eastAsia="IRNazanin" w:cs="IRNazanin"/>
          <w:color w:val="111111"/>
          <w:sz w:val="28"/>
          <w:szCs w:val="28"/>
          <w:rtl w:val="true"/>
          <w:lang w:bidi="fa-IR"/>
        </w:rPr>
        <w:t>.</w:t>
      </w:r>
      <w:bookmarkStart w:id="345" w:name="pg19806_203535"/>
    </w:p>
    <w:p>
      <w:pPr>
        <w:pStyle w:val="Heading3"/>
        <w:numPr>
          <w:ilvl w:val="2"/>
          <w:numId w:val="1"/>
        </w:numPr>
        <w:rPr/>
      </w:pPr>
      <w:bookmarkStart w:id="346" w:name="__RefHeading___Toc2027959_2314609296"/>
      <w:bookmarkStart w:id="347" w:name="_Toc127"/>
      <w:bookmarkEnd w:id="345"/>
      <w:bookmarkEnd w:id="346"/>
      <w:r>
        <w:rPr>
          <w:rtl w:val="true"/>
        </w:rPr>
        <w:t>«</w:t>
      </w:r>
      <w:r>
        <w:rPr>
          <w:rtl w:val="true"/>
        </w:rPr>
        <w:t>الفصل الحادی عشر</w:t>
      </w:r>
      <w:r>
        <w:rPr>
          <w:rtl w:val="true"/>
        </w:rPr>
        <w:t>» «</w:t>
      </w:r>
      <w:r>
        <w:rPr>
          <w:rtl w:val="true"/>
        </w:rPr>
        <w:t>فی الجماعة</w:t>
      </w:r>
      <w:r>
        <w:rPr>
          <w:rtl w:val="true"/>
        </w:rPr>
        <w:t>»</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مستحبّة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1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متأکّدةٌ فی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الصلاة الواحدة منها تعدل خمساً أو سبعاً وعشرین صلاةً مع غیر العالم، ومعه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وقعت فی مسجد تضاعف بمضروب عدده فی عددها </w:t>
      </w:r>
      <w:r>
        <w:rPr>
          <w:rStyle w:val="FootnoteAnchor"/>
          <w:rtl w:val="true"/>
        </w:rPr>
        <w:footnoteReference w:id="1287"/>
      </w:r>
      <w:r>
        <w:rPr>
          <w:rFonts w:ascii="IRNazanin" w:hAnsi="IRNazanin" w:eastAsia="IRNazanin"/>
          <w:color w:val="111111"/>
          <w:sz w:val="28"/>
          <w:sz w:val="28"/>
          <w:szCs w:val="28"/>
          <w:rtl w:val="true"/>
          <w:lang w:bidi="fa-IR"/>
        </w:rPr>
        <w:t>، ففی الجامع مع غیر العالم ألفان وسبعمئة، ومعه مئة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ذلک مع اتّحاد المأموم، فلو تعدّد تضاعف فی کلّ واحدٍ بقدر المجموع فی سابقه </w:t>
      </w:r>
      <w:r>
        <w:rPr>
          <w:rStyle w:val="FootnoteAnchor"/>
          <w:rtl w:val="true"/>
        </w:rPr>
        <w:footnoteReference w:id="1288"/>
      </w:r>
      <w:r>
        <w:rPr>
          <w:rFonts w:ascii="Amiri" w:hAnsi="Amiri" w:eastAsia="Amiri" w:cs="Amiri"/>
          <w:color w:val="111111"/>
          <w:sz w:val="28"/>
          <w:sz w:val="28"/>
          <w:szCs w:val="28"/>
          <w:rtl w:val="true"/>
          <w:lang w:bidi="ar-SA"/>
        </w:rPr>
        <w:t>إلی العشرة، ثمّ لا یُحصیه إلّااللّٰه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فی الجمعة والعیدین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وجوبهما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الاستسقاء، والعیدین المندوبة،</w:t>
      </w:r>
    </w:p>
    <w:p>
      <w:pPr>
        <w:pStyle w:val="BookText"/>
        <w:rPr/>
      </w:pPr>
      <w:r>
        <w:rPr>
          <w:rFonts w:ascii="IRNazanin" w:hAnsi="IRNazanin" w:eastAsia="IRNazanin"/>
          <w:color w:val="111111"/>
          <w:sz w:val="28"/>
          <w:sz w:val="28"/>
          <w:szCs w:val="28"/>
          <w:rtl w:val="true"/>
          <w:lang w:bidi="fa-IR"/>
        </w:rPr>
        <w:t>والغدیر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لم یجزم به المصنّف إلّاهنا، ونسبه فی غیره إلی التقیّ </w:t>
      </w:r>
      <w:r>
        <w:rPr>
          <w:rStyle w:val="FootnoteAnchor"/>
          <w:rtl w:val="true"/>
        </w:rPr>
        <w:footnoteReference w:id="1289"/>
      </w:r>
      <w:r>
        <w:rPr>
          <w:rFonts w:ascii="IRNazanin" w:hAnsi="IRNazanin" w:eastAsia="IRNazanin"/>
          <w:color w:val="111111"/>
          <w:sz w:val="28"/>
          <w:sz w:val="28"/>
          <w:szCs w:val="28"/>
          <w:rtl w:val="true"/>
          <w:lang w:bidi="fa-IR"/>
        </w:rPr>
        <w:t xml:space="preserve">ولعلّ مأخذه شرعیّتها فی صلاة العید وأ نّه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أو المأموم أو هما، وإن ترامت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بإدراک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یجتمعا فی حدّ الراکع ولو قبل ذکر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إدراک الجماعة فسیأتی أ نّه یحصل بدون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إدراک حدّ الإجزاء لم یحتسب رکعةً؛ لأصالة عدمه، فیتبعه فی السجود ثمّ یستأنف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یؤمّ مثلَه، أو فی نافلة عند المصنّف فی الدروس </w:t>
      </w:r>
      <w:r>
        <w:rPr>
          <w:rStyle w:val="FootnoteAnchor"/>
          <w:rtl w:val="true"/>
        </w:rPr>
        <w:footnoteReference w:id="1290"/>
      </w:r>
      <w:r>
        <w:rPr>
          <w:rFonts w:ascii="Amiri" w:hAnsi="Amiri" w:eastAsia="Amiri" w:cs="Amiri"/>
          <w:color w:val="111111"/>
          <w:sz w:val="28"/>
          <w:sz w:val="28"/>
          <w:szCs w:val="28"/>
          <w:rtl w:val="true"/>
          <w:lang w:bidi="ar-SA"/>
        </w:rPr>
        <w:t>وهو یتمّ مع کون صلاته شرعیّةً لا تمرینیّة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الإمامة وإن عرض له الجنون فی غیرها، کذی الأدوار علی 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مَلَکةٌ نفسانیّةٌ باعثةٌ علی ملازمةِ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القیام بالواجبات وترک المنهیّات الکبیرة مطلقاً، والصغیرة مع الإصرار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وملازمةِ المروءة، التی هی اتّباع محاسن العادات واجتناب مساوئها وما یُنفر عنه من المباحات ویُؤذِن بِخسَّة النفس ودناءة الهمّة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بالاختبار المستفاد من التکرار المُطْلِع علی الخُلق من التخلّق والطبع من التکلّف غالباً، وبشهادة عدلین بها، وشیاعها، واقتداء العدلین به فی الصلاة بحیث یُعلَم رکونهما إلیه 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یقدح المخالفة فی الفروع، إلّاأن تکون صلاته باطلة عند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أن یذکر اشتراط طهارة مولد الإمام؛ فإنّه شرطٌ إجماعاً، کما ادّعاه فی الذکری </w:t>
      </w:r>
      <w:r>
        <w:rPr>
          <w:rStyle w:val="FootnoteAnchor"/>
          <w:rtl w:val="true"/>
        </w:rPr>
        <w:footnoteReference w:id="1291"/>
      </w:r>
      <w:r>
        <w:rPr>
          <w:rFonts w:ascii="IRNazanin" w:hAnsi="IRNazanin" w:eastAsia="IRNazanin"/>
          <w:color w:val="111111"/>
          <w:sz w:val="28"/>
          <w:sz w:val="28"/>
          <w:szCs w:val="28"/>
          <w:rtl w:val="true"/>
          <w:lang w:bidi="fa-IR"/>
        </w:rPr>
        <w:t>فلا تصحّ إمامة ولد الزنا وإن کان عدلاً أمّا ولدُ الشبهة ومن تنالُه الألسن من غیر تحقیق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المأموم ذکراً أو خُنثی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وتؤمّ المرأة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ولا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ذکوریّته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تؤمّ الخنثی غیر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اُنوثیّته وذکوریّة المأموم لو کان خنثی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تصحّ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 بین الإمام والمأموم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المشاهدة أجمع فی سائر الأحوال للإمام أو من یشاهده من المأمومین ولو بوسائط منهم، فلو شاهد بعضه فی بعضها کفی، کما لا تمنع حیلولة الظلمة والعمی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المرأة خلف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 الحائل مطلقاً مع علمها بأفعاله الّتی یجب فیها المتابعة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 کون الإمام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 فی المشهور، وقدّره فی الدروس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بشبر </w:t>
      </w:r>
      <w:r>
        <w:rPr>
          <w:rStyle w:val="FootnoteAnchor"/>
          <w:rtl w:val="true"/>
        </w:rPr>
        <w:footnoteReference w:id="1293"/>
      </w:r>
      <w:r>
        <w:rPr>
          <w:rFonts w:ascii="IRNazanin" w:hAnsi="IRNazanin" w:eastAsia="IRNazanin"/>
          <w:color w:val="111111"/>
          <w:sz w:val="28"/>
          <w:sz w:val="28"/>
          <w:szCs w:val="28"/>
          <w:rtl w:val="true"/>
          <w:lang w:bidi="fa-IR"/>
        </w:rPr>
        <w:t>ولا یضرّ علوّ المأموم مطلقاً ما لم یؤدّ إلی البعد المُفرط، ولو کانت الأرض منحدرة اغتفر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یذکر اشتراط عدم تقدّم المأموم، ولا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فیه العَقِبُ قائماً، والمقعدُ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والجَنْبُ نائماً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وتُکره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فی الجهریّة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یسمعها ولو همهمةً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السرّیّة، ولو لم یسمع ولو 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الصوت الخفیّ من غیر تفصیل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الجهریّة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 الحمد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أحد الأقوال فی المسألة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ترک القراءة فی الجهریّة المسموعة فعلیه الکلّ، لکن علی وجه الکراهة عند الأکثر </w:t>
      </w:r>
      <w:r>
        <w:rPr>
          <w:rStyle w:val="FootnoteAnchor"/>
          <w:rtl w:val="true"/>
        </w:rPr>
        <w:footnoteReference w:id="1295"/>
      </w:r>
      <w:r>
        <w:rPr>
          <w:rFonts w:ascii="IRNazanin" w:hAnsi="IRNazanin" w:eastAsia="IRNazanin"/>
          <w:color w:val="111111"/>
          <w:sz w:val="28"/>
          <w:sz w:val="28"/>
          <w:szCs w:val="28"/>
          <w:rtl w:val="true"/>
          <w:lang w:bidi="fa-IR"/>
        </w:rPr>
        <w:t xml:space="preserve">والتحریم عند بعضٍ </w:t>
      </w:r>
      <w:r>
        <w:rPr>
          <w:rStyle w:val="FootnoteAnchor"/>
          <w:rtl w:val="true"/>
        </w:rPr>
        <w:footnoteReference w:id="1296"/>
      </w:r>
      <w:r>
        <w:rPr>
          <w:rFonts w:ascii="IRNazanin" w:hAnsi="IRNazanin" w:eastAsia="IRNazanin"/>
          <w:color w:val="111111"/>
          <w:sz w:val="28"/>
          <w:sz w:val="28"/>
          <w:szCs w:val="28"/>
          <w:rtl w:val="true"/>
          <w:lang w:bidi="fa-IR"/>
        </w:rPr>
        <w:t xml:space="preserve">للأمر بالإنصات لسامع القرآن </w:t>
      </w:r>
      <w:r>
        <w:rPr>
          <w:rStyle w:val="FootnoteAnchor"/>
          <w:rtl w:val="true"/>
        </w:rPr>
        <w:footnoteReference w:id="1297"/>
      </w:r>
      <w:r>
        <w:rPr>
          <w:rFonts w:ascii="IRNazanin" w:hAnsi="IRNazanin" w:eastAsia="IRNazanin"/>
          <w:color w:val="111111"/>
          <w:sz w:val="28"/>
          <w:sz w:val="28"/>
          <w:szCs w:val="28"/>
          <w:rtl w:val="true"/>
          <w:lang w:bidi="fa-IR"/>
        </w:rPr>
        <w:t>وأمّا مع عدم سماعها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الاستحباب فی اُولییها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إلحاق اُخرییها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تلحقان بالسرّیة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السرّیة فالمشهور کراهة القراءة فیها، وهو اختیار المصنّف فی سائر کتبه </w:t>
      </w:r>
      <w:r>
        <w:rPr>
          <w:rStyle w:val="FootnoteAnchor"/>
          <w:rtl w:val="true"/>
        </w:rPr>
        <w:footnoteReference w:id="1299"/>
      </w:r>
      <w:r>
        <w:rPr>
          <w:rFonts w:ascii="IRNazanin" w:hAnsi="IRNazanin" w:eastAsia="IRNazanin"/>
          <w:color w:val="111111"/>
          <w:sz w:val="28"/>
          <w:sz w:val="28"/>
          <w:szCs w:val="28"/>
          <w:rtl w:val="true"/>
          <w:lang w:bidi="fa-IR"/>
        </w:rPr>
        <w:t>ولکنّه هنا ذهب إلی عدم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الأصحاب من أسقط القراءة وجوباً </w:t>
      </w:r>
      <w:r>
        <w:rPr>
          <w:rStyle w:val="FootnoteAnchor"/>
          <w:rtl w:val="true"/>
        </w:rPr>
        <w:footnoteReference w:id="1300"/>
      </w:r>
      <w:r>
        <w:rPr>
          <w:rFonts w:ascii="IRNazanin" w:hAnsi="IRNazanin" w:eastAsia="IRNazanin"/>
          <w:color w:val="111111"/>
          <w:sz w:val="28"/>
          <w:sz w:val="28"/>
          <w:szCs w:val="28"/>
          <w:rtl w:val="true"/>
          <w:lang w:bidi="fa-IR"/>
        </w:rPr>
        <w:t xml:space="preserve">أو </w:t>
      </w:r>
      <w:r>
        <w:rPr>
          <w:rStyle w:val="FootnoteAnchor"/>
          <w:rtl w:val="true"/>
        </w:rPr>
        <w:footnoteReference w:id="1301"/>
      </w:r>
      <w:r>
        <w:rPr>
          <w:rFonts w:ascii="Amiri" w:hAnsi="Amiri" w:eastAsia="Amiri" w:cs="Amiri"/>
          <w:color w:val="111111"/>
          <w:sz w:val="28"/>
          <w:sz w:val="28"/>
          <w:szCs w:val="28"/>
          <w:rtl w:val="true"/>
          <w:lang w:bidi="ar-SA"/>
        </w:rPr>
        <w:t xml:space="preserve">استحباباً </w:t>
      </w:r>
      <w:r>
        <w:rPr>
          <w:rStyle w:val="FootnoteAnchor"/>
          <w:rtl w:val="true"/>
        </w:rPr>
        <w:footnoteReference w:id="1302"/>
      </w:r>
      <w:r>
        <w:rPr>
          <w:rFonts w:ascii="IRNazanin" w:hAnsi="IRNazanin" w:eastAsia="IRNazanin"/>
          <w:color w:val="111111"/>
          <w:sz w:val="28"/>
          <w:sz w:val="28"/>
          <w:szCs w:val="28"/>
          <w:rtl w:val="true"/>
          <w:lang w:bidi="fa-IR"/>
        </w:rPr>
        <w:t>مطلقاً، وهو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زرارة فی الصحیح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خلف إمامٍ یأتمّ به بُعث علی غیر فطرة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الائتمام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بالاسم أو الصفة أو القصد الذهنی، فلو أخلّ بها أو اقتدی بأحد هذین أو بهما وإن اتّفقا فعلاً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أخطأ تعیینه بطلت وإن کان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فلا تجب علیه نیّة الإمامة، إلّاأن تجب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w:t>
      </w:r>
      <w:r>
        <w:rPr>
          <w:rStyle w:val="FootnoteAnchor"/>
          <w:rtl w:val="true"/>
        </w:rPr>
        <w:footnoteReference w:id="1304"/>
      </w:r>
      <w:r>
        <w:rPr>
          <w:rFonts w:ascii="IRNazanin" w:hAnsi="IRNazanin" w:eastAsia="IRNazanin"/>
          <w:color w:val="111111"/>
          <w:sz w:val="28"/>
          <w:sz w:val="28"/>
          <w:szCs w:val="28"/>
          <w:rtl w:val="true"/>
          <w:lang w:bidi="fa-IR"/>
        </w:rPr>
        <w:t>، نعم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حضر المأموم فی أثناء صلاته نواها بقلبه متقرّباً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الإمام بالفریضة، وفی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 متی اُقیمت الجماعة ولمّا یُکملها لیفوز بفضیلتها أجمع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خاف الفوت</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أی فوت الجماعة فی مجموع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واختاره المصنّف فی غیر الکتاب </w:t>
      </w:r>
      <w:r>
        <w:rPr>
          <w:rStyle w:val="FootnoteAnchor"/>
          <w:rtl w:val="true"/>
        </w:rPr>
        <w:footnoteReference w:id="1307"/>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البیان جعلها کالنافلة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وإتمامُها رکعتین </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لیجمع بین فضیلة الجماعة وترک إ بطال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یخف الفوت، وإلّا قَطَعَها بعد النقل إلی النفل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قد تجاوز رکعتین من الفریضة ففی الاستمرار أو العدول إلی النفل خصوصاً قبل رکوع الثالثة؟ وجهان، وفی القطع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لإمام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استحباباً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أدرکه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یجتمع معه بعد التحریمة فی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بغیر رکوعٍ إن لم‌یکن رکع أو رکع طلباً لإدراکه فلم‌یُدرکه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استأنف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مؤتمّاً إن بقی‌للإمام رکعةٌ اُخری، ومنفرداً بعد تسلیم الإمام إن أدرکه فی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إدراکه بعد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یجلس معه ویتشهّد مستحبّاً إن کان یتشهّد ویکمل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تجزیه ویُدرک فضیلةَ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إدراکه بعد الرکوع وبعد السجود؛ للأمر بها </w:t>
      </w:r>
      <w:r>
        <w:rPr>
          <w:rStyle w:val="FootnoteAnchor"/>
          <w:rtl w:val="true"/>
        </w:rPr>
        <w:footnoteReference w:id="1310"/>
      </w:r>
      <w:r>
        <w:rPr>
          <w:rFonts w:ascii="IRNazanin" w:hAnsi="IRNazanin" w:eastAsia="IRNazanin"/>
          <w:color w:val="111111"/>
          <w:sz w:val="28"/>
          <w:sz w:val="28"/>
          <w:szCs w:val="28"/>
          <w:rtl w:val="true"/>
          <w:lang w:bidi="fa-IR"/>
        </w:rPr>
        <w:t>ولیس إلّالإدراکها، وأمّا کونها کفضیلة مَن‌أدرکها من أوّلهافغیرُ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استمرّ فی الصورتین قائماً إلی أن فرغ الإمام أو قام أو جلس معه ولم یسجد صحّ أیضاً من غیر 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یدخل معه فی سائر الأحوال، فإن زاد معه رکناً استأنف النیّة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زیادة سجدةٍ واحدةٍ وجهان، أحوطهما الاستئناف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لمن لم یُدرک الرکعة قطع الصلاة بغیر المتابعة اختیاراً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لإمامه فی الأفعال إجماعاً، بمعنی أن لا یتقدّمه فیها، بل إمّا أن یتأخّر عنه وهو الأفضل، أو یقارنه، لکن مع المقارنة</w:t>
      </w:r>
    </w:p>
    <w:p>
      <w:pPr>
        <w:pStyle w:val="BookText"/>
        <w:rPr/>
      </w:pPr>
      <w:r>
        <w:rPr>
          <w:rFonts w:ascii="IRNazanin" w:hAnsi="IRNazanin" w:eastAsia="IRNazanin"/>
          <w:color w:val="111111"/>
          <w:sz w:val="28"/>
          <w:sz w:val="28"/>
          <w:szCs w:val="28"/>
          <w:rtl w:val="true"/>
          <w:lang w:bidi="fa-IR"/>
        </w:rPr>
        <w:t>تفوت فضیلة الجماعة وإن صحّت الصلاة، وإنّما فَضْلُها مع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الأقوال، فقد قطع المصنّف بوجوب المتابعة فیها أیضاً فی غیره </w:t>
      </w:r>
      <w:r>
        <w:rPr>
          <w:rStyle w:val="FootnoteAnchor"/>
          <w:rtl w:val="true"/>
        </w:rPr>
        <w:footnoteReference w:id="1311"/>
      </w:r>
      <w:r>
        <w:rPr>
          <w:rFonts w:ascii="IRNazanin" w:hAnsi="IRNazanin" w:eastAsia="IRNazanin"/>
          <w:color w:val="111111"/>
          <w:sz w:val="28"/>
          <w:sz w:val="28"/>
          <w:szCs w:val="28"/>
          <w:rtl w:val="true"/>
          <w:lang w:bidi="fa-IR"/>
        </w:rPr>
        <w:t>وأطلق هنا بما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الوجوب أوضح إلّافی تکبیرة الإحرام فیُعتبر تأخّره بها، فلو قارنه أو سبقه لم تنعقد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تجب المتابعة فی ما لا یجب سماعه ولا إسماعه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إیجابهم علمَه بأفعاله، وما ذاک إلّالوجوب المتابعة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 علی الإمام فی ما یجب فیه المتابعة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ناسیاً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یأثم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یستمرّ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 حتّی یلحَقَه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لاحقٌ لترک المتابعة لا لذات الصلاة أو جزئها، ومن ثَمّ لم تبطل، ولو عاد بطلت؛ للزیادة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بطلان صلاة الناسی لو لم یعد قولان </w:t>
      </w:r>
      <w:r>
        <w:rPr>
          <w:rStyle w:val="FootnoteAnchor"/>
          <w:rtl w:val="true"/>
        </w:rPr>
        <w:footnoteReference w:id="1313"/>
      </w:r>
      <w:r>
        <w:rPr>
          <w:rFonts w:ascii="IRNazanin" w:hAnsi="IRNazanin" w:eastAsia="IRNazanin"/>
          <w:color w:val="111111"/>
          <w:sz w:val="28"/>
          <w:sz w:val="28"/>
          <w:szCs w:val="28"/>
          <w:rtl w:val="true"/>
          <w:lang w:bidi="fa-IR"/>
        </w:rPr>
        <w:t>أجودهما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والظانّ کالناسی، والجاهل عامد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إسماع الإمام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أذکارَه لیتابعه فیها وإن کان مسبوقاً ما لم یؤدّ إلی العُلُوّ المفرط، فیسقط الإسماع المؤدّی إلیه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یُستحبّ للمأموم ترک إسماع الإمام مطلقاً عدا تکبیرة الإحرام لو کان الإمام منتظراً له فی الرکوع ونحوه </w:t>
      </w:r>
      <w:r>
        <w:rPr>
          <w:rStyle w:val="FootnoteAnchor"/>
          <w:rtl w:val="true"/>
        </w:rPr>
        <w:footnoteReference w:id="1314"/>
      </w:r>
      <w:r>
        <w:rPr>
          <w:rFonts w:ascii="IRNazanin" w:hAnsi="IRNazanin" w:eastAsia="IRNazanin"/>
          <w:color w:val="111111"/>
          <w:sz w:val="28"/>
          <w:sz w:val="28"/>
          <w:szCs w:val="28"/>
          <w:rtl w:val="true"/>
          <w:lang w:bidi="fa-IR"/>
        </w:rPr>
        <w:t>وما یفتح به</w:t>
      </w:r>
    </w:p>
    <w:p>
      <w:pPr>
        <w:pStyle w:val="BookText"/>
        <w:rPr/>
      </w:pPr>
      <w:r>
        <w:rPr>
          <w:rFonts w:ascii="IRNazanin" w:hAnsi="IRNazanin" w:eastAsia="IRNazanin"/>
          <w:color w:val="111111"/>
          <w:sz w:val="28"/>
          <w:sz w:val="28"/>
          <w:szCs w:val="28"/>
          <w:rtl w:val="true"/>
          <w:lang w:bidi="fa-IR"/>
        </w:rPr>
        <w:t xml:space="preserve">علی الإمام </w:t>
      </w:r>
      <w:r>
        <w:rPr>
          <w:rStyle w:val="FootnoteAnchor"/>
          <w:rtl w:val="true"/>
        </w:rPr>
        <w:footnoteReference w:id="1315"/>
      </w:r>
      <w:r>
        <w:rPr>
          <w:rFonts w:ascii="IRNazanin" w:hAnsi="IRNazanin" w:eastAsia="IRNazanin"/>
          <w:color w:val="111111"/>
          <w:sz w:val="28"/>
          <w:sz w:val="28"/>
          <w:szCs w:val="28"/>
          <w:rtl w:val="true"/>
          <w:lang w:bidi="fa-IR"/>
        </w:rPr>
        <w:t xml:space="preserve">والقنوت علی قول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یأتمّ کلٌّ من الحاضر والمسافر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فریضة مقصورة، وهو مذهبه فی البیان </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الحضر والسفر أو فی الفریضة غیر المقصورة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یؤمّ الأجذمُ والأبرصُ الصحیحَ</w:t>
      </w:r>
      <w:r>
        <w:rPr>
          <w:rFonts w:eastAsia="Amiri" w:cs="Amiri" w:ascii="Amiri" w:hAnsi="Amiri"/>
          <w:color w:val="111111"/>
          <w:sz w:val="28"/>
          <w:szCs w:val="28"/>
          <w:rtl w:val="true"/>
          <w:lang w:bidi="ar-SA"/>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للنهی عنه وعمّا قبله فی الأخبار </w:t>
      </w:r>
      <w:r>
        <w:rPr>
          <w:rStyle w:val="FootnoteAnchor"/>
          <w:rtl w:val="true"/>
        </w:rPr>
        <w:footnoteReference w:id="1319"/>
      </w:r>
      <w:r>
        <w:rPr>
          <w:rFonts w:ascii="IRNazanin" w:hAnsi="IRNazanin" w:eastAsia="IRNazanin"/>
          <w:color w:val="111111"/>
          <w:sz w:val="28"/>
          <w:sz w:val="28"/>
          <w:szCs w:val="28"/>
          <w:rtl w:val="true"/>
          <w:lang w:bidi="fa-IR"/>
        </w:rPr>
        <w:t>المحمول علی الکراهة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والمحدودُ بعد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کذلک </w:t>
      </w:r>
      <w:r>
        <w:rPr>
          <w:rStyle w:val="FootnoteAnchor"/>
          <w:rtl w:val="true"/>
        </w:rPr>
        <w:footnoteReference w:id="1320"/>
      </w:r>
      <w:r>
        <w:rPr>
          <w:rFonts w:ascii="Amiri" w:hAnsi="Amiri" w:eastAsia="Amiri" w:cs="Amiri"/>
          <w:color w:val="111111"/>
          <w:sz w:val="28"/>
          <w:sz w:val="28"/>
          <w:szCs w:val="28"/>
          <w:rtl w:val="true"/>
          <w:lang w:bidi="ar-SA"/>
        </w:rPr>
        <w:t>وسقوطِ محلّه من القلوب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سکّان البادیة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المدنی المقابل للأعرابی، أو المهاجر حقیقة من بلاد الکفر إلی بلاد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الکراهة فی الأوّل مع النصّ بُعدُه عن مکارم الأخلاق ومحاسن الشِیَم المستفادة من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بعض الأصحاب إمامةَ الأعرابی </w:t>
      </w:r>
      <w:r>
        <w:rPr>
          <w:rStyle w:val="FootnoteAnchor"/>
          <w:rtl w:val="true"/>
        </w:rPr>
        <w:footnoteReference w:id="1321"/>
      </w:r>
      <w:r>
        <w:rPr>
          <w:rFonts w:ascii="IRNazanin" w:hAnsi="IRNazanin" w:eastAsia="IRNazanin"/>
          <w:color w:val="111111"/>
          <w:sz w:val="28"/>
          <w:sz w:val="28"/>
          <w:szCs w:val="28"/>
          <w:rtl w:val="true"/>
          <w:lang w:bidi="fa-IR"/>
        </w:rPr>
        <w:t xml:space="preserve">عملاً بظاهر النهی </w:t>
      </w:r>
      <w:r>
        <w:rPr>
          <w:rStyle w:val="FootnoteAnchor"/>
          <w:rtl w:val="true"/>
        </w:rPr>
        <w:footnoteReference w:id="1322"/>
      </w:r>
      <w:r>
        <w:rPr>
          <w:rFonts w:ascii="Amiri" w:hAnsi="Amiri" w:eastAsia="Amiri" w:cs="Amiri"/>
          <w:color w:val="111111"/>
          <w:sz w:val="28"/>
          <w:sz w:val="28"/>
          <w:szCs w:val="28"/>
          <w:rtl w:val="true"/>
          <w:lang w:bidi="ar-SA"/>
        </w:rPr>
        <w:t>ویمکن أن یرید به من لا یعرف محاسنَ الإسلام وتفاصیلَ الأحکام منهم، المعنیّ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کُفْراً</w:t>
      </w:r>
    </w:p>
    <w:p>
      <w:pPr>
        <w:pStyle w:val="BookText"/>
        <w:rPr/>
      </w:pPr>
      <w:r>
        <w:rPr>
          <w:rFonts w:ascii="Amiri" w:hAnsi="Amiri" w:eastAsia="Amiri" w:cs="Amiri"/>
          <w:color w:val="111111"/>
          <w:sz w:val="28"/>
          <w:sz w:val="28"/>
          <w:szCs w:val="28"/>
          <w:rtl w:val="true"/>
          <w:lang w:bidi="ar-SA"/>
        </w:rPr>
        <w:t>وَ نِفٰاقاً</w:t>
      </w:r>
      <w:r>
        <w:rPr>
          <w:rFonts w:eastAsia="Amiri" w:cs="Amiri" w:ascii="Amiri" w:hAnsi="Amiri"/>
          <w:color w:val="111111"/>
          <w:sz w:val="28"/>
          <w:szCs w:val="28"/>
          <w:rtl w:val="true"/>
          <w:lang w:bidi="ar-SA"/>
        </w:rPr>
        <w:t xml:space="preserve">) </w:t>
      </w:r>
      <w:r>
        <w:rPr>
          <w:rStyle w:val="FootnoteAnchor"/>
          <w:rtl w:val="true"/>
        </w:rPr>
        <w:footnoteReference w:id="1323"/>
      </w:r>
      <w:r>
        <w:rPr>
          <w:rFonts w:ascii="IRNazanin" w:hAnsi="IRNazanin" w:eastAsia="IRNazanin"/>
          <w:color w:val="111111"/>
          <w:sz w:val="28"/>
          <w:sz w:val="28"/>
          <w:szCs w:val="28"/>
          <w:rtl w:val="true"/>
          <w:lang w:bidi="fa-IR"/>
        </w:rPr>
        <w:t>أو علی من عرف ذلک وترک المهاجرة مع وجوبها علیه، فإنّه حینئذٍ تمتنع إمامته؛ لإخلاله بالواجب من التعلّم والمهاجرة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والمتیمّم بالمتطهّر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w:t>
      </w:r>
      <w:r>
        <w:rPr>
          <w:rStyle w:val="FootnoteAnchor"/>
          <w:rtl w:val="true"/>
        </w:rPr>
        <w:footnoteReference w:id="1324"/>
      </w:r>
      <w:r>
        <w:rPr>
          <w:rFonts w:ascii="IRNazanin" w:hAnsi="IRNazanin" w:eastAsia="IRNazanin"/>
          <w:color w:val="111111"/>
          <w:sz w:val="28"/>
          <w:sz w:val="28"/>
          <w:szCs w:val="28"/>
          <w:rtl w:val="true"/>
          <w:lang w:bidi="fa-IR"/>
        </w:rPr>
        <w:t>ونقصه، لا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یُستناب المسبوق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برکعةٍ أو مطلقاً إذا عرض للإمام مانعٌ من الإتمام، بل ینبغی استنابة من شهد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بطلت صلاة الإمام فإن بقی مکلّفاً فالاستنابة له، وإلّا فللمأمومین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w:t>
      </w:r>
      <w:r>
        <w:rPr>
          <w:rStyle w:val="FootnoteAnchor"/>
          <w:rtl w:val="true"/>
        </w:rPr>
        <w:footnoteReference w:id="1325"/>
      </w:r>
      <w:r>
        <w:rPr>
          <w:rFonts w:ascii="IRNazanin" w:hAnsi="IRNazanin" w:eastAsia="IRNazanin"/>
          <w:color w:val="111111"/>
          <w:sz w:val="28"/>
          <w:sz w:val="28"/>
          <w:szCs w:val="28"/>
          <w:rtl w:val="true"/>
          <w:lang w:bidi="fa-IR"/>
        </w:rPr>
        <w:t>یفتقرون إلی نیّة الائتمام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فیها سوی القصد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فی الأوّل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 خلیفة الإمام فیکون بحکمه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حصل قبل القراءة قرأ المستخلف أو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أثنائها، ففی البناء علی ما وقع من الأوّل أو الاستئناف أو الاکتفاء بإعادة السورة التی فارق فیها أوجهٌ، أجودها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بعدها ففی إعادتها وجهان، أجودهما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للإمامة بحدثٍ أو فسقٍ أو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الأثناء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فی القراءة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الفراغ لا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 مطلقاً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فی الوقت لفوات الشرط </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مع عدم إفضائه إلی المدّعی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عرض للإمام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لا یُخرج عن الأهلیّة کالحدث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وکذا لو تبیّن کونه خارجاً ابتداءً لعدم الطهارة، ویمکن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أ نّهم بعدها کالمصلّین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والمصلّی خلف من لا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مخالفاً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لنفسه ویقیم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وقع منهما ما یُجزئ عن فعله، کالأذان للبلد إذا سمعه أو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لخوف فوت واجب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فی الصلاة منفرداً بصورة الاقتداء فإن سبقه الإمامُ بقراءة السورة سقطت، وإن سبقه بالفاتحة أو بعضها قرأ إلی حدّ الراکع وسقط عنه ما بقی، وإن سبق الإمامَ سبّح اللّٰه استحباباً إلی أن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ذلک غُفر له بعدد من خالفه وخرج بحسناتهم، رُوی ذلک عن الصادق علیه السلام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یؤمّ القاعدُ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جمیع المراتب لا یؤمّ الناقصُ فیها الکامل؛ للنهی </w:t>
      </w:r>
      <w:r>
        <w:rPr>
          <w:rStyle w:val="FootnoteAnchor"/>
          <w:rtl w:val="true"/>
        </w:rPr>
        <w:footnoteReference w:id="1330"/>
      </w:r>
      <w:r>
        <w:rPr>
          <w:rFonts w:ascii="IRNazanin" w:hAnsi="IRNazanin" w:eastAsia="IRNazanin"/>
          <w:color w:val="111111"/>
          <w:sz w:val="28"/>
          <w:sz w:val="28"/>
          <w:szCs w:val="28"/>
          <w:rtl w:val="true"/>
          <w:lang w:bidi="fa-IR"/>
        </w:rPr>
        <w:t>والنقص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عرض العجز فی الأثناء انفرد المأمومُ الکاملُ حینئذٍ إن لم یمکن استخلاف بعضهم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لا یحسن قراءة الحمد والسورة أو أبعاضهما ولو حرفاً أو تشدیداً أو صفةً واجبة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یحسن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بمثله مع تساویهما فی شخص المجهول أو نقصان المأموم وعجزهما عن</w:t>
      </w:r>
    </w:p>
    <w:p>
      <w:pPr>
        <w:pStyle w:val="BookText"/>
        <w:rPr/>
      </w:pPr>
      <w:r>
        <w:rPr>
          <w:rFonts w:ascii="IRNazanin" w:hAnsi="IRNazanin" w:eastAsia="IRNazanin"/>
          <w:color w:val="111111"/>
          <w:sz w:val="28"/>
          <w:sz w:val="28"/>
          <w:szCs w:val="28"/>
          <w:rtl w:val="true"/>
          <w:lang w:bidi="fa-IR"/>
        </w:rPr>
        <w:t>التعلیم لضیق الوقت وعن الائتمام بقارئٍ أو أتمّ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فیه لم یجز وإن نقص قدر مجهول الإمام، إلّاأن یقتدی جاهلُ الأوّل بجاهل الآخر ثمّ ینفرد عنه بعد تمام معلومه، کاقتداء محسن السورة خاصّة بجاهلها، ولا یتعاکسان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المؤوف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کالألثغ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یبدّل حرفاً بغیره، وبالمثنّاة من تحت، وهو الّذی لا یبین الکلام، والتمتام والفأفاء وهو الذی لا یحسن تأدیة الحرفین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لم تبلغ آفته إسقاطَ الحرف ولا إبدالَه أو تکرَّره فتکره إمامته بالمتقِن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ویُقدَّم الأقرأ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الأئمّة لو تشاحّوا أو تشاحّ المأمومون، وهو الأجود أداءً وإتقاناً للقراءة ومعرفة أحکامها ومحاسنها وإن کان أقلّ حفظاً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تساووا فالأحفظ، فإن تساووا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الصلاة، فإن تساووا فیها فالأفقه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وأسقط المصنّف فی الذکری اعتبار الزائد لخروجه عن کمال الصلاة </w:t>
      </w:r>
      <w:r>
        <w:rPr>
          <w:rStyle w:val="FootnoteAnchor"/>
          <w:rtl w:val="true"/>
        </w:rPr>
        <w:footnoteReference w:id="1332"/>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المرجِّح لا ینحصر فیها، بل کثیرٌ منها کمال فی نفسه، وهذا منها، مع شمول النصّ </w:t>
      </w:r>
      <w:r>
        <w:rPr>
          <w:rStyle w:val="FootnoteAnchor"/>
          <w:rtl w:val="true"/>
        </w:rPr>
        <w:footnoteReference w:id="1333"/>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تساووا فی الفقه والقراءة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فالأقدم 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 الحرب إلی دار الإسلام، هذا 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زماننا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السبق إلی طلب العلم </w:t>
      </w:r>
      <w:r>
        <w:rPr>
          <w:rStyle w:val="FootnoteAnchor"/>
          <w:rtl w:val="true"/>
        </w:rPr>
        <w:footnoteReference w:id="133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سکنی الأمصار </w:t>
      </w:r>
      <w:r>
        <w:rPr>
          <w:rStyle w:val="FootnoteAnchor"/>
          <w:rtl w:val="true"/>
        </w:rPr>
        <w:footnoteReference w:id="1335"/>
      </w:r>
      <w:r>
        <w:rPr>
          <w:rFonts w:ascii="IRNazanin" w:hAnsi="IRNazanin" w:eastAsia="IRNazanin"/>
          <w:color w:val="111111"/>
          <w:sz w:val="28"/>
          <w:sz w:val="28"/>
          <w:szCs w:val="28"/>
          <w:rtl w:val="true"/>
          <w:lang w:bidi="fa-IR"/>
        </w:rPr>
        <w:t>مجازاً عن الهجرة الحقیقیة؛ لأنّها مظنّة الاتّصاف بالأخلاق</w:t>
      </w:r>
    </w:p>
    <w:p>
      <w:pPr>
        <w:pStyle w:val="BookText"/>
        <w:rPr/>
      </w:pPr>
      <w:r>
        <w:rPr>
          <w:rFonts w:ascii="IRNazanin" w:hAnsi="IRNazanin" w:eastAsia="IRNazanin"/>
          <w:color w:val="111111"/>
          <w:sz w:val="28"/>
          <w:sz w:val="28"/>
          <w:szCs w:val="28"/>
          <w:rtl w:val="true"/>
          <w:lang w:bidi="fa-IR"/>
        </w:rPr>
        <w:t>الفاضلة والکمالات النفسیّة، بخلاف القری والبادیة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الجفاء والقسوة فی الفدادین </w:t>
      </w:r>
      <w:r>
        <w:rPr>
          <w:rStyle w:val="FootnoteAnchor"/>
          <w:rtl w:val="true"/>
        </w:rPr>
        <w:footnoteReference w:id="1336"/>
      </w:r>
      <w:r>
        <w:rPr>
          <w:rFonts w:ascii="IRNazanin" w:hAnsi="IRNazanin" w:eastAsia="IRNazanin"/>
          <w:color w:val="111111"/>
          <w:sz w:val="28"/>
          <w:sz w:val="28"/>
          <w:szCs w:val="28"/>
          <w:rtl w:val="true"/>
          <w:lang w:bidi="fa-IR"/>
        </w:rPr>
        <w:t>بالتشدید، أو حذف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أولاد من تقدّمت هجرته علی غیره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تساووا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فی الإسلام، کما قیّده فی غیره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تساووا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w:t>
      </w:r>
      <w:r>
        <w:rPr>
          <w:rStyle w:val="FootnoteAnchor"/>
          <w:rtl w:val="true"/>
        </w:rPr>
        <w:footnoteReference w:id="1339"/>
      </w:r>
      <w:r>
        <w:rPr>
          <w:rFonts w:ascii="IRNazanin" w:hAnsi="IRNazanin" w:eastAsia="IRNazanin"/>
          <w:color w:val="111111"/>
          <w:sz w:val="28"/>
          <w:sz w:val="28"/>
          <w:szCs w:val="28"/>
          <w:rtl w:val="true"/>
          <w:lang w:bidi="fa-IR"/>
        </w:rPr>
        <w:t xml:space="preserve">لدلالته علی مزید عنایة اللّٰه تعالی </w:t>
      </w:r>
      <w:r>
        <w:rPr>
          <w:rStyle w:val="FootnoteAnchor"/>
          <w:rtl w:val="true"/>
        </w:rPr>
        <w:footnoteReference w:id="1340"/>
      </w:r>
      <w:r>
        <w:rPr>
          <w:rFonts w:ascii="Amiri" w:hAnsi="Amiri" w:eastAsia="Amiri" w:cs="Amiri"/>
          <w:color w:val="111111"/>
          <w:sz w:val="28"/>
          <w:sz w:val="28"/>
          <w:szCs w:val="28"/>
          <w:rtl w:val="true"/>
          <w:lang w:bidi="ar-SA"/>
        </w:rPr>
        <w:t xml:space="preserve">أو ذِکراً بین الناس؛ لأنّه یُستدلّ علی الصالحین بما یجری اللّٰه لهم علی ألسنة عباده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 هنا ترجیحَ الهاشمی؛ لعدم دلیل صالح لترجیحه، وجعله فی الدروس بعد الأفقه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وزاد بعضهم فی المرجِّحات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الأتقی، والأورع، ثمّ القرعة </w:t>
      </w:r>
      <w:r>
        <w:rPr>
          <w:rStyle w:val="FootnoteAnchor"/>
          <w:rtl w:val="true"/>
        </w:rPr>
        <w:footnoteReference w:id="1343"/>
      </w:r>
      <w:r>
        <w:rPr>
          <w:rFonts w:ascii="IRNazanin" w:hAnsi="IRNazanin" w:eastAsia="IRNazanin"/>
          <w:color w:val="111111"/>
          <w:sz w:val="28"/>
          <w:sz w:val="28"/>
          <w:szCs w:val="28"/>
          <w:rtl w:val="true"/>
          <w:lang w:bidi="fa-IR"/>
        </w:rPr>
        <w:t xml:space="preserve">وفی الدروس جعل القرعة بعد الأصبح </w:t>
      </w:r>
      <w:r>
        <w:rPr>
          <w:rStyle w:val="FootnoteAnchor"/>
          <w:rtl w:val="true"/>
        </w:rPr>
        <w:footnoteReference w:id="1344"/>
      </w:r>
      <w:r>
        <w:rPr>
          <w:rFonts w:ascii="IRNazanin" w:hAnsi="IRNazanin" w:eastAsia="IRNazanin"/>
          <w:color w:val="111111"/>
          <w:sz w:val="28"/>
          <w:sz w:val="28"/>
          <w:szCs w:val="28"/>
          <w:rtl w:val="true"/>
          <w:lang w:bidi="fa-IR"/>
        </w:rPr>
        <w:t>وبعض هذه المرجِّحات ضعیف المستند، لکنّه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منهم ومن الراتب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إمارته أولی من جمیع مَن ذُکر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وأولویّة هذه الثلاثة سیاسةٌ أدبیّةٌ لا فضیلةٌ ذاتیّة، فلو أذنوا لغیرهم انتفت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یتوقّف أولویّة الراتب علی حضوره، بل یُنتظَر لو تأخّر، ویُراجَع إلی أن یضیق وقت الفضیلة فیسقط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صاحب المنزل بین المالک للعین والمنفعة، وغیره کالمستعیر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اجتمعا فالمالک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مالک الأصل والمنفعة فالثانی أولی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إمامة الأبرص والأجذم والأعمی بغیرهم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یتّصف بصفتهم؛ للنهی عنه </w:t>
      </w:r>
      <w:r>
        <w:rPr>
          <w:rStyle w:val="FootnoteAnchor"/>
          <w:rtl w:val="true"/>
        </w:rPr>
        <w:footnoteReference w:id="1345"/>
      </w:r>
      <w:r>
        <w:rPr>
          <w:rFonts w:ascii="IRNazanin" w:hAnsi="IRNazanin" w:eastAsia="IRNazanin"/>
          <w:color w:val="111111"/>
          <w:sz w:val="28"/>
          <w:sz w:val="28"/>
          <w:szCs w:val="28"/>
          <w:rtl w:val="true"/>
          <w:lang w:bidi="fa-IR"/>
        </w:rPr>
        <w:t xml:space="preserve">المحمول علی الکراهة جمعاً، وقد تقدّم </w:t>
      </w:r>
      <w:r>
        <w:rPr>
          <w:rStyle w:val="FootnoteAnchor"/>
          <w:rtl w:val="true"/>
        </w:rPr>
        <w:footnoteReference w:id="1346"/>
      </w:r>
      <w:bookmarkStart w:id="348" w:name="pg19806_203549"/>
    </w:p>
    <w:p>
      <w:pPr>
        <w:pStyle w:val="Heading2"/>
        <w:numPr>
          <w:ilvl w:val="1"/>
          <w:numId w:val="1"/>
        </w:numPr>
        <w:rPr/>
      </w:pPr>
      <w:bookmarkStart w:id="349" w:name="__RefHeading___Toc2027961_2314609296"/>
      <w:bookmarkStart w:id="350" w:name="_Toc128"/>
      <w:bookmarkEnd w:id="348"/>
      <w:bookmarkEnd w:id="349"/>
      <w:r>
        <w:rPr>
          <w:rtl w:val="true"/>
        </w:rPr>
        <w:t>کتاب الزکاة</w:t>
      </w:r>
      <w:bookmarkEnd w:id="3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2027963_2314609296"/>
      <w:bookmarkStart w:id="352" w:name="_Toc129"/>
      <w:bookmarkEnd w:id="351"/>
      <w:r>
        <w:rPr>
          <w:rtl w:val="true"/>
        </w:rPr>
        <w:t>اشارة</w:t>
      </w:r>
      <w:bookmarkStart w:id="353" w:name="pg19806_203551"/>
      <w:bookmarkEnd w:id="352"/>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وفصوله أربعة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2027965_2314609296"/>
      <w:bookmarkStart w:id="355" w:name="_Toc130"/>
      <w:bookmarkEnd w:id="354"/>
      <w:r>
        <w:rPr>
          <w:rtl w:val="true"/>
        </w:rPr>
        <w:t xml:space="preserve">الفصل </w:t>
      </w:r>
      <w:r>
        <w:rPr>
          <w:rtl w:val="true"/>
        </w:rPr>
        <w:t>«</w:t>
      </w:r>
      <w:r>
        <w:rPr>
          <w:rtl w:val="true"/>
        </w:rPr>
        <w:t>الأوّل</w:t>
      </w:r>
      <w:r>
        <w:rPr>
          <w:rtl w:val="true"/>
        </w:rPr>
        <w:t>» «</w:t>
      </w:r>
      <w:r>
        <w:rPr>
          <w:rtl w:val="true"/>
        </w:rPr>
        <w:t>تجب زکاة المال علی البالغ العاقل</w:t>
      </w:r>
      <w:r>
        <w:rPr>
          <w:rtl w:val="true"/>
        </w:rPr>
        <w:t>»</w:t>
      </w:r>
      <w:bookmarkEnd w:id="355"/>
    </w:p>
    <w:p>
      <w:pPr>
        <w:pStyle w:val="Heading4"/>
        <w:numPr>
          <w:ilvl w:val="3"/>
          <w:numId w:val="1"/>
        </w:numPr>
        <w:rPr/>
      </w:pPr>
      <w:bookmarkStart w:id="356" w:name="__RefHeading___Toc2027967_2314609296"/>
      <w:bookmarkStart w:id="357" w:name="_Toc131"/>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 xml:space="preserve">فلا زکاة علی الصبیّ والمجنون فی النقدین إجماعاً، ولا فی غیرهما علی أصحّ القولین </w:t>
      </w:r>
      <w:r>
        <w:rPr>
          <w:rStyle w:val="FootnoteAnchor"/>
          <w:rtl w:val="true"/>
        </w:rPr>
        <w:footnoteReference w:id="1347"/>
      </w:r>
      <w:r>
        <w:rPr>
          <w:rFonts w:ascii="IRNazanin" w:hAnsi="IRNazanin" w:eastAsia="IRNazanin"/>
          <w:color w:val="111111"/>
          <w:sz w:val="28"/>
          <w:sz w:val="28"/>
          <w:szCs w:val="28"/>
          <w:rtl w:val="true"/>
          <w:lang w:bidi="fa-IR"/>
        </w:rPr>
        <w:t>نعم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اتّجر الولیّ أو مأذونه للطفل واجتمعت شرائط التجارة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تجب علی العبد لو </w:t>
      </w:r>
      <w:r>
        <w:rPr>
          <w:rStyle w:val="FootnoteAnchor"/>
          <w:rtl w:val="true"/>
        </w:rPr>
        <w:footnoteReference w:id="1349"/>
      </w:r>
      <w:r>
        <w:rPr>
          <w:rFonts w:ascii="IRNazanin" w:hAnsi="IRNazanin" w:eastAsia="IRNazanin"/>
          <w:color w:val="111111"/>
          <w:sz w:val="28"/>
          <w:sz w:val="28"/>
          <w:szCs w:val="28"/>
          <w:rtl w:val="true"/>
          <w:lang w:bidi="fa-IR"/>
        </w:rPr>
        <w:t>قلنا بملکه؛ لعدم تمکّنه من التصرّف</w:t>
      </w:r>
    </w:p>
    <w:p>
      <w:pPr>
        <w:pStyle w:val="BookText"/>
        <w:rPr/>
      </w:pPr>
      <w:r>
        <w:rPr>
          <w:rFonts w:ascii="IRNazanin" w:hAnsi="IRNazanin" w:eastAsia="IRNazanin"/>
          <w:color w:val="111111"/>
          <w:sz w:val="28"/>
          <w:sz w:val="28"/>
          <w:szCs w:val="28"/>
          <w:rtl w:val="true"/>
          <w:lang w:bidi="fa-IR"/>
        </w:rPr>
        <w:t>بالحجر علیه وإن أذن له المولی؛ لتزلزله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القنّ والمدبَّر واُمّ الولد والمکاتَب الذی لم یتحرّر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تبعّضت رقّیّته فیجب فی نصیب الحریّة بشرطه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المتمکّن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المال، فلا زکاة علی الممنوع منه شرعاً، کالراهن غیر المتمکّن من فکّه ولو ببیعه، وناذر الصدقة بعینه مطلقاً أو مشروطاً وإن لم یحصل شرطه علی قول </w:t>
      </w:r>
      <w:r>
        <w:rPr>
          <w:rStyle w:val="FootnoteAnchor"/>
          <w:rtl w:val="true"/>
        </w:rPr>
        <w:footnoteReference w:id="1350"/>
      </w:r>
      <w:r>
        <w:rPr>
          <w:rFonts w:ascii="IRNazanin" w:hAnsi="IRNazanin" w:eastAsia="IRNazanin"/>
          <w:color w:val="111111"/>
          <w:sz w:val="28"/>
          <w:sz w:val="28"/>
          <w:szCs w:val="28"/>
          <w:rtl w:val="true"/>
          <w:lang w:bidi="fa-IR"/>
        </w:rPr>
        <w:t>والموقوف علیه بالنسبة إلی الأصل، أمّا النتاج فیزکّی بشرطه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قهراً، کالمغصوب والمسروق، والمجحود إذا لم یمکن تخلیصه ولو ببعضه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فیما زاد علی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بالاستعانة ولو بظالم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لغیبةٍ </w:t>
      </w:r>
      <w:r>
        <w:rPr>
          <w:rStyle w:val="FootnoteAnchor"/>
          <w:rtl w:val="true"/>
        </w:rPr>
        <w:footnoteReference w:id="1351"/>
      </w:r>
      <w:r>
        <w:rPr>
          <w:rFonts w:ascii="IRNazanin" w:hAnsi="IRNazanin" w:eastAsia="IRNazanin"/>
          <w:color w:val="111111"/>
          <w:sz w:val="28"/>
          <w:sz w:val="28"/>
          <w:szCs w:val="28"/>
          <w:rtl w:val="true"/>
          <w:lang w:bidi="fa-IR"/>
        </w:rPr>
        <w:t>بضلالٍ أو إرثٍ لم یقبض ولو بوکیله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یتعلّق بالفعل السابق، أی تجب الزکاة بشرطها فی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 بل والبقر والغنم بأنواعها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عِرابٍ وبَخاتیّ </w:t>
      </w:r>
      <w:r>
        <w:rPr>
          <w:rStyle w:val="FootnoteAnchor"/>
          <w:rtl w:val="true"/>
        </w:rPr>
        <w:footnoteReference w:id="1352"/>
      </w:r>
      <w:r>
        <w:rPr>
          <w:rFonts w:ascii="IRNazanin" w:hAnsi="IRNazanin" w:eastAsia="IRNazanin"/>
          <w:color w:val="111111"/>
          <w:sz w:val="28"/>
          <w:sz w:val="28"/>
          <w:szCs w:val="28"/>
          <w:rtl w:val="true"/>
          <w:lang w:bidi="fa-IR"/>
        </w:rPr>
        <w:t>وبقرٍ وجاموس، ومَعزٍ وضأن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بها وبالإ بل؛ للبدأة بها فی الحدیث </w:t>
      </w:r>
      <w:r>
        <w:rPr>
          <w:rStyle w:val="FootnoteAnchor"/>
          <w:rtl w:val="true"/>
        </w:rPr>
        <w:footnoteReference w:id="1353"/>
      </w:r>
      <w:r>
        <w:rPr>
          <w:rFonts w:ascii="Amiri" w:hAnsi="Amiri" w:eastAsia="Amiri" w:cs="Amiri"/>
          <w:color w:val="111111"/>
          <w:sz w:val="28"/>
          <w:sz w:val="28"/>
          <w:szCs w:val="28"/>
          <w:rtl w:val="true"/>
          <w:lang w:bidi="ar-SA"/>
        </w:rPr>
        <w:t>ولأنّ الإ بل</w:t>
      </w:r>
      <w:bookmarkStart w:id="358" w:name="pg19806_203553"/>
    </w:p>
    <w:p>
      <w:pPr>
        <w:pStyle w:val="BookText"/>
        <w:rPr/>
      </w:pPr>
      <w:bookmarkEnd w:id="358"/>
      <w:r>
        <w:rPr>
          <w:rFonts w:ascii="IRNazanin" w:hAnsi="IRNazanin" w:eastAsia="IRNazanin"/>
          <w:color w:val="111111"/>
          <w:sz w:val="28"/>
          <w:sz w:val="28"/>
          <w:szCs w:val="28"/>
          <w:rtl w:val="true"/>
          <w:lang w:bidi="fa-IR"/>
        </w:rPr>
        <w:t xml:space="preserve">أکثر أموال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والغلّات الأربع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الحنطة بأنواعها ومنها العَلَس </w:t>
      </w:r>
      <w:r>
        <w:rPr>
          <w:rStyle w:val="FootnoteAnchor"/>
          <w:rtl w:val="true"/>
        </w:rPr>
        <w:footnoteReference w:id="1354"/>
      </w:r>
      <w:r>
        <w:rPr>
          <w:rFonts w:ascii="Amiri" w:hAnsi="Amiri" w:eastAsia="Amiri" w:cs="Amiri"/>
          <w:color w:val="111111"/>
          <w:sz w:val="28"/>
          <w:sz w:val="28"/>
          <w:szCs w:val="28"/>
          <w:rtl w:val="true"/>
          <w:lang w:bidi="ar-SA"/>
        </w:rPr>
        <w:t xml:space="preserve">والشعیر ومنه السُّلت </w:t>
      </w:r>
      <w:r>
        <w:rPr>
          <w:rStyle w:val="FootnoteAnchor"/>
          <w:rtl w:val="true"/>
        </w:rPr>
        <w:footnoteReference w:id="1355"/>
      </w:r>
      <w:r>
        <w:rPr>
          <w:rFonts w:ascii="IRNazanin" w:hAnsi="IRNazanin" w:eastAsia="IRNazanin"/>
          <w:color w:val="111111"/>
          <w:sz w:val="28"/>
          <w:sz w:val="28"/>
          <w:szCs w:val="28"/>
          <w:rtl w:val="true"/>
          <w:lang w:bidi="fa-IR"/>
        </w:rPr>
        <w:t xml:space="preserve">والتمر والزبیب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تُنبت الأرض من المکیل والموزون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واستثنی المصنّف فی غیره الخُضَر </w:t>
      </w:r>
      <w:r>
        <w:rPr>
          <w:rStyle w:val="FootnoteAnchor"/>
          <w:rtl w:val="true"/>
        </w:rPr>
        <w:footnoteReference w:id="1356"/>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استثناء الثمار أیضاً </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الأشهر روایةً </w:t>
      </w:r>
      <w:r>
        <w:rPr>
          <w:rStyle w:val="FootnoteAnchor"/>
          <w:rtl w:val="true"/>
        </w:rPr>
        <w:footnoteReference w:id="1358"/>
      </w:r>
      <w:r>
        <w:rPr>
          <w:rFonts w:ascii="IRNazanin" w:hAnsi="IRNazanin" w:eastAsia="IRNazanin"/>
          <w:color w:val="111111"/>
          <w:sz w:val="28"/>
          <w:sz w:val="28"/>
          <w:szCs w:val="28"/>
          <w:rtl w:val="true"/>
          <w:lang w:bidi="fa-IR"/>
        </w:rPr>
        <w:t xml:space="preserve">وفتوی </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وأوجبها ابن بابویه فیه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إلی روایةٍ </w:t>
      </w:r>
      <w:r>
        <w:rPr>
          <w:rStyle w:val="FootnoteAnchor"/>
          <w:rtl w:val="true"/>
        </w:rPr>
        <w:footnoteReference w:id="1361"/>
      </w:r>
      <w:r>
        <w:rPr>
          <w:rFonts w:ascii="IRNazanin" w:hAnsi="IRNazanin" w:eastAsia="IRNazanin"/>
          <w:color w:val="111111"/>
          <w:sz w:val="28"/>
          <w:sz w:val="28"/>
          <w:szCs w:val="28"/>
          <w:rtl w:val="true"/>
          <w:lang w:bidi="fa-IR"/>
        </w:rPr>
        <w:t>حَمْلُها علی الاستحباب طریق الجمع بینها وبین ما دلّ علی السقوط</w:t>
      </w:r>
      <w:r>
        <w:rPr>
          <w:rFonts w:eastAsia="IRNazanin" w:cs="IRNazanin"/>
          <w:color w:val="111111"/>
          <w:sz w:val="28"/>
          <w:szCs w:val="28"/>
          <w:rtl w:val="true"/>
          <w:lang w:bidi="fa-IR"/>
        </w:rPr>
        <w:t>.</w:t>
      </w:r>
    </w:p>
    <w:p>
      <w:pPr>
        <w:pStyle w:val="Heading4"/>
        <w:numPr>
          <w:ilvl w:val="3"/>
          <w:numId w:val="1"/>
        </w:numPr>
        <w:rPr/>
      </w:pPr>
      <w:bookmarkStart w:id="359" w:name="__RefHeading___Toc2027969_2314609296"/>
      <w:bookmarkStart w:id="360" w:name="_Toc132"/>
      <w:bookmarkEnd w:id="359"/>
      <w:r>
        <w:rPr>
          <w:rtl w:val="true"/>
        </w:rPr>
        <w:t>[</w:t>
      </w:r>
      <w:r>
        <w:rPr>
          <w:rtl w:val="true"/>
        </w:rPr>
        <w:t>زکاة الانعام و نصبها</w:t>
      </w:r>
      <w:r>
        <w:rPr>
          <w:rtl w:val="true"/>
        </w:rPr>
        <w:t>]</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إناث الخیل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المعلوفة من مال المالک عرفاً، ومقدار زکاتها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مثقالٌ من الذهب الخالص، أو قیمته وإن زادت عن عشرة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الکریم 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ودینار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ردیء الطرفین وهو البرذون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طرف الاُمّ وهو الهجین، أم طرف الأب وهو المُقْرِف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یطلق علی الثلاثة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البرذون</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مع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عوامل، وأن یخلص للواحد رأسٌ کاملٌ</w:t>
      </w:r>
    </w:p>
    <w:p>
      <w:pPr>
        <w:pStyle w:val="BookText"/>
        <w:rPr/>
      </w:pPr>
      <w:r>
        <w:rPr>
          <w:rFonts w:ascii="IRNazanin" w:hAnsi="IRNazanin" w:eastAsia="IRNazanin"/>
          <w:color w:val="111111"/>
          <w:sz w:val="28"/>
          <w:sz w:val="28"/>
          <w:szCs w:val="28"/>
          <w:rtl w:val="true"/>
          <w:lang w:bidi="fa-IR"/>
        </w:rPr>
        <w:t>ولو بالشرکة کنصف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وفیهما خلاف، والمصنّف علی الاشتراط فی غیره </w:t>
      </w:r>
      <w:r>
        <w:rPr>
          <w:rStyle w:val="FootnoteAnchor"/>
          <w:rtl w:val="true"/>
        </w:rPr>
        <w:footnoteReference w:id="1362"/>
      </w:r>
      <w:r>
        <w:rPr>
          <w:rFonts w:ascii="IRNazanin" w:hAnsi="IRNazanin" w:eastAsia="IRNazanin"/>
          <w:color w:val="111111"/>
          <w:sz w:val="28"/>
          <w:sz w:val="28"/>
          <w:szCs w:val="28"/>
          <w:rtl w:val="true"/>
          <w:lang w:bidi="fa-IR"/>
        </w:rPr>
        <w:t>فترکه هنا یجوز کونه اختصاراً أو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یستحبّ فی الرقیق والبغال والحمیر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بلوغ النصاب، وهو المقدار الذی یشترط بلوغه فی وجوبها أو وجوب قدرٍ مخصوص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فنُصُب الإ بل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النصب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 نّه لا یجب فیما دون خمس، فإذا بلغت خمساً ففیها شاة، ثمّ لا تجب فی الزائد إلی أن تبلغ عشراً ففیها شاتان، ثمّ لا یجب شیءٌ فی الزائد إلی أن یبلغ خمس عشرة ففیها ثلاث شیاه، ثمّ فی عشرین أربع، ثمّ فی خمس وعشرین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فیها بین الذکر والاُنثی، وتأنیثها هنا تبعاً للنصّ </w:t>
      </w:r>
      <w:r>
        <w:rPr>
          <w:rStyle w:val="FootnoteAnchor"/>
          <w:rtl w:val="true"/>
        </w:rPr>
        <w:footnoteReference w:id="1363"/>
      </w:r>
      <w:r>
        <w:rPr>
          <w:rFonts w:ascii="IRNazanin" w:hAnsi="IRNazanin" w:eastAsia="IRNazanin"/>
          <w:color w:val="111111"/>
          <w:sz w:val="28"/>
          <w:sz w:val="28"/>
          <w:szCs w:val="28"/>
          <w:rtl w:val="true"/>
          <w:lang w:bidi="fa-IR"/>
        </w:rPr>
        <w:t>بتأویل الدابّة، ومثلها الغنم بتأویل الشاة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ستٌّ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واحدة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أی بنت ما من شأنها أن تکون ماخضاً أی حاملاً، وهی ما دخلت فی السنة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ستٌّ وثلاثون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أی بنت ذات لبنٍ ولو بالصلاحیّة، وسنّها سنتان إلی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ستٌّ وأربعون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الحاء، سنّها ثلاث سنین إلی أربع فاستحقّت الحمل أو الفحل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إحدی وستّون فجَذَعة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 والذال، سنّها أربع سنین إلی خمس،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بذلک لأنّها تجذع مقدّم أسنانها أی تُسقطه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ستٌّ وسبعون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w:t>
      </w:r>
    </w:p>
    <w:p>
      <w:pPr>
        <w:pStyle w:val="BookText"/>
        <w:rPr/>
      </w:pPr>
      <w:r>
        <w:rPr>
          <w:rFonts w:ascii="Amiri" w:hAnsi="Amiri" w:eastAsia="Amiri" w:cs="Amiri"/>
          <w:color w:val="111111"/>
          <w:sz w:val="28"/>
          <w:sz w:val="28"/>
          <w:szCs w:val="28"/>
          <w:rtl w:val="true"/>
          <w:lang w:bidi="ar-SA"/>
        </w:rPr>
        <w:t>لبون، ثمّ إحدی وتسعون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مئة وإحدی وعشرین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خمسین حِقّة وکلّ أربعین بنت لبون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إطلاق المصنّف الحکم بذلک بعد الإحدی وتسعین نظرٌ؛ لشموله ما دون ذلک، ولم یقل أحدٌ بالتخییر قبل ما ذکرناه من النصاب، فإنّ من جملته ما لو کانت مئة وعشرین، فعلی إطلاق العبارة فیها ثلاث بنات لبون وإن لم تزد الواحدة، ولم یقل بذلک أحدٌ من الأصحاب، والمصنّف قد نقل فی الدروس والبیان </w:t>
      </w:r>
      <w:r>
        <w:rPr>
          <w:rStyle w:val="FootnoteAnchor"/>
          <w:rtl w:val="true"/>
        </w:rPr>
        <w:footnoteReference w:id="1364"/>
      </w:r>
      <w:r>
        <w:rPr>
          <w:rFonts w:ascii="IRNazanin" w:hAnsi="IRNazanin" w:eastAsia="IRNazanin"/>
          <w:color w:val="111111"/>
          <w:sz w:val="28"/>
          <w:sz w:val="28"/>
          <w:szCs w:val="28"/>
          <w:rtl w:val="true"/>
          <w:lang w:bidi="fa-IR"/>
        </w:rPr>
        <w:t>أقوالاً نادرة ولیس من جملتها ذلک، بل اتّفق الکلّ علی أنّ النصاب بعد الإحدی وتسعین لا یکون أقلّ من مئة وإحدی وعشرین، وإنّما الخلاف فیما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والحامل له علی الإطلاق أنّ الزائد عن النصاب الحادی عشر لا یحسب إلّا بخمسین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کالمئة وما زاد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 فیه حقَّتان، وهو صحیح، وإنّما یتخلّف فی المئة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توقّف فی البیان </w:t>
      </w:r>
      <w:r>
        <w:rPr>
          <w:rStyle w:val="FootnoteAnchor"/>
          <w:rtl w:val="true"/>
        </w:rPr>
        <w:footnoteReference w:id="1365"/>
      </w:r>
      <w:r>
        <w:rPr>
          <w:rFonts w:ascii="IRNazanin" w:hAnsi="IRNazanin" w:eastAsia="IRNazanin"/>
          <w:color w:val="111111"/>
          <w:sz w:val="28"/>
          <w:sz w:val="28"/>
          <w:szCs w:val="28"/>
          <w:rtl w:val="true"/>
          <w:lang w:bidi="fa-IR"/>
        </w:rPr>
        <w:t xml:space="preserve">فی کون الواحدة الزائدة جزءاً من الواجب أو شرطاً؛ من حیث اعتبارها فی العدد نصّاً </w:t>
      </w:r>
      <w:r>
        <w:rPr>
          <w:rStyle w:val="FootnoteAnchor"/>
          <w:rtl w:val="true"/>
        </w:rPr>
        <w:footnoteReference w:id="1366"/>
      </w:r>
      <w:r>
        <w:rPr>
          <w:rFonts w:ascii="Amiri" w:hAnsi="Amiri" w:eastAsia="Amiri" w:cs="Amiri"/>
          <w:color w:val="111111"/>
          <w:sz w:val="28"/>
          <w:sz w:val="28"/>
          <w:szCs w:val="28"/>
          <w:rtl w:val="true"/>
          <w:lang w:bidi="ar-SA"/>
        </w:rPr>
        <w:t xml:space="preserve">وفتویً </w:t>
      </w:r>
      <w:r>
        <w:rPr>
          <w:rStyle w:val="FootnoteAnchor"/>
          <w:rtl w:val="true"/>
        </w:rPr>
        <w:footnoteReference w:id="1367"/>
      </w:r>
      <w:r>
        <w:rPr>
          <w:rFonts w:ascii="IRNazanin" w:hAnsi="IRNazanin" w:eastAsia="IRNazanin"/>
          <w:color w:val="111111"/>
          <w:sz w:val="28"/>
          <w:sz w:val="28"/>
          <w:szCs w:val="28"/>
          <w:rtl w:val="true"/>
          <w:lang w:bidi="fa-IR"/>
        </w:rPr>
        <w:t>ومن أنّ إ یجاب بنت اللبون فی کل أربعین یخرجها فیکون شرطاً لا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فتجوّز هنا وأطلق عدّه بأحدهما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التخییر فی عدّه بأحد العددین إنّما یتمّ مع مطابقته بهما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کالمئتین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تعیّن المطابق، کالمئة وإحدی وعشرین بالأربعین، والمئة وخمسین بالخمسین، والمئة وثلاثین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یطابق أحدهما تحرّی أقلّهما عفواً، مع احتمال التخییر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البقر 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فتبیع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سنةٍ إلی 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مخیّراً </w:t>
      </w:r>
      <w:r>
        <w:rPr>
          <w:rStyle w:val="FootnoteAnchor"/>
          <w:rtl w:val="true"/>
        </w:rPr>
        <w:footnoteReference w:id="1368"/>
      </w:r>
      <w:r>
        <w:rPr>
          <w:rFonts w:ascii="Amiri" w:hAnsi="Amiri" w:eastAsia="Amiri" w:cs="Amiri"/>
          <w:color w:val="111111"/>
          <w:sz w:val="28"/>
          <w:sz w:val="28"/>
          <w:szCs w:val="28"/>
          <w:rtl w:val="true"/>
          <w:lang w:bidi="ar-SA"/>
        </w:rPr>
        <w:t xml:space="preserve">فی ذلک، سمّی بذلک لأنّه تبع قرنه اُذنه، أو تبع اُمّه فی المرعی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وأربعون فمُسنّة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اُنثی سنّها ما بین سنتین إلی ثلاث، ولا یجزئ المُسنّ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أبداً یعتبر بالمطابق من العددین وبهما مع مطابقتهما، کالستّین بالثلاثین، والسبعین بهما، والثمانین بالأربعین، ویتخیّر فی المئة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وللغنم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أربعون فشاة، ثمّ مئة وإحدی وعشرون فشاتان، ثمّ مئتان وواحدة فثلاث، ثمّ ثلاثمئة وواحدة فأربع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Style w:val="FootnoteAnchor"/>
          <w:rtl w:val="true"/>
        </w:rPr>
        <w:footnoteReference w:id="1369"/>
      </w:r>
      <w:r>
        <w:rPr>
          <w:rFonts w:ascii="Amiri" w:hAnsi="Amiri" w:eastAsia="Amiri" w:cs="Amiri"/>
          <w:color w:val="111111"/>
          <w:sz w:val="28"/>
          <w:sz w:val="28"/>
          <w:szCs w:val="28"/>
          <w:rtl w:val="true"/>
          <w:lang w:bidi="ar-SA"/>
        </w:rPr>
        <w:t>نظراً إلی أ نّه آخر النصب وأنّ فی کلّ مئةٍ حینئذٍ شاةً بالغاً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الخلاف اختلاف الروایات ظاهراً، وأصحّها سنداً ما دلّ علی الثانی </w:t>
      </w:r>
      <w:r>
        <w:rPr>
          <w:rStyle w:val="FootnoteAnchor"/>
          <w:rtl w:val="true"/>
        </w:rPr>
        <w:footnoteReference w:id="1370"/>
      </w:r>
      <w:r>
        <w:rPr>
          <w:rFonts w:ascii="IRNazanin" w:hAnsi="IRNazanin" w:eastAsia="IRNazanin"/>
          <w:color w:val="111111"/>
          <w:sz w:val="28"/>
          <w:sz w:val="28"/>
          <w:szCs w:val="28"/>
          <w:rtl w:val="true"/>
          <w:lang w:bidi="fa-IR"/>
        </w:rPr>
        <w:t xml:space="preserve">وأشهرها بین الأصحاب ما دلّ علی الأوّل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أربعمئة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فی آخر نصب الإ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لشموله ما زاد عن الثلاثمئة وواحدة ولم تبلغ</w:t>
      </w:r>
    </w:p>
    <w:p>
      <w:pPr>
        <w:pStyle w:val="BookText"/>
        <w:rPr/>
      </w:pPr>
      <w:r>
        <w:rPr>
          <w:rFonts w:ascii="IRNazanin" w:hAnsi="IRNazanin" w:eastAsia="IRNazanin"/>
          <w:color w:val="111111"/>
          <w:sz w:val="28"/>
          <w:sz w:val="28"/>
          <w:szCs w:val="28"/>
          <w:rtl w:val="true"/>
          <w:lang w:bidi="fa-IR"/>
        </w:rPr>
        <w:t>الأربعمئة، فإنّه یستلزم وجوب ثلاث شیاه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اکتفی بالنصاب المشهور إذ لا قائل بالواسطة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نقص عن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الثلاثة، وهو ما بین النصابین وما دون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کالأربع من الإ بل بین النصب الخمسة وقبلها، والتسع بین نصابی البقر، والتسع عشرة بعدهما، والثمانین بین نصابی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کونها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الوجوب بها، فلا یسقط بتلفها بعد الحول شیءٌ، بخلاف تلف بعض النصاب بغیر تفریط، فإنّه یسقط من الواجب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تظهر فائدة النصابین الأخیرین من الغنم علی القولین؛ فإنّ وجوب الأربع فی الأزید والأنقص یختلف حکمه مع تلف بعض النصاب کذلک، فیسقط من الواجب بنسبة ما اعتبر من النصاب، فبالواحدة من الثلاثمئة وواحدةٍ، جزءٌ من ثلاثمئة جزءٍ وجزءٍ من أربع شیاه، ومن الأربعمئة جزءٌ من أربعمئة جزءٍ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الأنعام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الرعی، والمراد هنا الرعی من غیر المملوک، والمرجع فیه إلی العرف، فلا عبرة بعَلْفها یوماً فی السنة ولا 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العَلْف بإطعامها المملوکَ ولو بالرعی، کما لو زرع لها قصیلاً، لا ما استأجره من الأرض لترعی فیها أو دفعه إلی الظالم عن الکَلَأ، وفاقاً للدروس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وقوعه لعذر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تحقّقه بعلْف غیر المالک لها علی وجهٍ لا یستلزم غرامة المالک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انتفاء السوم،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وأجودهما التحقّق؛ لتعلیق الحکم علی الاسم لا علی الحکمة، وإن کانت مناسبة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یشترط فیها أن لا تکون عوامل عرفاً ولو فی بعض الحول وإن کانت</w:t>
      </w:r>
    </w:p>
    <w:p>
      <w:pPr>
        <w:pStyle w:val="BookText"/>
        <w:rPr/>
      </w:pPr>
      <w:r>
        <w:rPr>
          <w:rFonts w:ascii="IRNazanin" w:hAnsi="IRNazanin" w:eastAsia="IRNazanin"/>
          <w:color w:val="111111"/>
          <w:sz w:val="28"/>
          <w:sz w:val="28"/>
          <w:szCs w:val="28"/>
          <w:rtl w:val="true"/>
          <w:lang w:bidi="fa-IR"/>
        </w:rPr>
        <w:t>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أن یذکره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ویحصل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بمضیّ أحد عشر شهراً 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بدخول الثانی عشر وإن لم یکمل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یستقرّ الوجوب بذلک أم یتوقّف علی تمامه؟ قولان </w:t>
      </w:r>
      <w:r>
        <w:rPr>
          <w:rStyle w:val="FootnoteAnchor"/>
          <w:rtl w:val="true"/>
        </w:rPr>
        <w:footnoteReference w:id="1373"/>
      </w:r>
      <w:r>
        <w:rPr>
          <w:rFonts w:ascii="IRNazanin" w:hAnsi="IRNazanin" w:eastAsia="IRNazanin"/>
          <w:color w:val="111111"/>
          <w:sz w:val="28"/>
          <w:sz w:val="28"/>
          <w:szCs w:val="28"/>
          <w:rtl w:val="true"/>
          <w:lang w:bidi="fa-IR"/>
        </w:rPr>
        <w:t>أجودهما الثانی، فیکون الثانی عشر من الأوّل، فله استرجاع العین لو اختلّت الشرائط فیه مع بقائها أو علم القابض بالحال، کما فی کلّ دفعٍ متزلزلٍ أو معجّلٍ أو غیر مصاحبٍ للنیّة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وللسِّخال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بانفرادها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نصاباً مستقلّاً بعد نصاب الاُمّهات، کما لو ولدت خمسٌ من الإ بل خمساً، أو أربعون من البقر أربعین أو ثلاثین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کان </w:t>
      </w:r>
      <w:r>
        <w:rPr>
          <w:rStyle w:val="FootnoteAnchor"/>
          <w:rtl w:val="true"/>
        </w:rPr>
        <w:footnoteReference w:id="1374"/>
      </w:r>
      <w:r>
        <w:rPr>
          <w:rFonts w:ascii="IRNazanin" w:hAnsi="IRNazanin" w:eastAsia="IRNazanin"/>
          <w:color w:val="111111"/>
          <w:sz w:val="28"/>
          <w:sz w:val="28"/>
          <w:szCs w:val="28"/>
          <w:rtl w:val="true"/>
          <w:lang w:bidi="fa-IR"/>
        </w:rPr>
        <w:t>غیر مستقلٍّ، ففی ابتداء حوله مطلقاً، أو مع إکماله النصاب الذی بعده، أو عدم ابتدائه حتّی یکمل الأوّل فیُجزئ الثانی لهما؟ أوجهٌ، أجودها الأخیر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عنده أربعون شاةً فولدت أربعین لم یجب فیها شیءٌ، وعلی الأوّل فشاةٌ عند تمام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ثمانون فولدت اثنین وأربعین فشاةٌ للاُولی </w:t>
      </w:r>
      <w:r>
        <w:rPr>
          <w:rStyle w:val="FootnoteAnchor"/>
          <w:rtl w:val="true"/>
        </w:rPr>
        <w:footnoteReference w:id="1375"/>
      </w:r>
      <w:r>
        <w:rPr>
          <w:rFonts w:ascii="Amiri" w:hAnsi="Amiri" w:eastAsia="Amiri" w:cs="Amiri"/>
          <w:color w:val="111111"/>
          <w:sz w:val="28"/>
          <w:sz w:val="28"/>
          <w:szCs w:val="28"/>
          <w:rtl w:val="true"/>
          <w:lang w:bidi="ar-SA"/>
        </w:rPr>
        <w:t>خاصّةً، ثمّ یستأنف حول الجمیع بعد تمام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الأوّلین تجب اُخری عند تمام حول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وابتداء حول السخال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غنائها بالرعی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زمن الرضاع معلوفةٌ من مال المالک وإن رعت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المصنّف فی البیان بکون اللبن عن معلوفة، وإلّا فمن حین النِّتاج </w:t>
      </w:r>
      <w:r>
        <w:rPr>
          <w:rStyle w:val="FootnoteAnchor"/>
          <w:rtl w:val="true"/>
        </w:rPr>
        <w:footnoteReference w:id="1376"/>
      </w:r>
      <w:r>
        <w:rPr>
          <w:rFonts w:ascii="IRNazanin" w:hAnsi="IRNazanin" w:eastAsia="IRNazanin"/>
          <w:color w:val="111111"/>
          <w:sz w:val="28"/>
          <w:sz w:val="28"/>
          <w:szCs w:val="28"/>
          <w:rtl w:val="true"/>
          <w:lang w:bidi="fa-IR"/>
        </w:rPr>
        <w:t>نظراً إلی الحکمة فی العَلْف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الکلفة علی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عرفت ضعفه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واللبن مملوکٌ علی التقدیرین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مبدأه النِّتاج مطلقاً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المرویّ صحیحاً </w:t>
      </w:r>
      <w:r>
        <w:rPr>
          <w:rStyle w:val="FootnoteAnchor"/>
          <w:rtl w:val="true"/>
        </w:rPr>
        <w:footnoteReference w:id="1379"/>
      </w:r>
      <w:r>
        <w:rPr>
          <w:rFonts w:ascii="IRNazanin" w:hAnsi="IRNazanin" w:eastAsia="IRNazanin"/>
          <w:color w:val="111111"/>
          <w:sz w:val="28"/>
          <w:sz w:val="28"/>
          <w:szCs w:val="28"/>
          <w:rtl w:val="true"/>
          <w:lang w:bidi="fa-IR"/>
        </w:rPr>
        <w:t>، فالعمل به متعیّن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ثُلِمَ النصاب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بلحظةٍ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الزکاة علی الأقوی، وما فاته به من الخیر أعظم ممّا أحرزه من المال، کما ورد فی الخبر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الشاة الواجبة فی الإ بل والغنم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الجَذَعُ من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کمل سنّه سبعة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والثنیُّ 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کمل سنّه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 الضأن ینزو حینئذٍ، والمعز لاینزو إلّابعد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یُجذع کذلک إذا کان أبواه شابّین، وإلّا لم یُجذِع إلی ثمانیة أشهر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تؤخذ 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وتشدید الباء، وهی الوالدة من الأنعام عن قربٍ إلی خمسة عشر یوماً؛ لأنّها نفساء، فلا تجزی وإن رضی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جُمع رُبّی لم یکلّف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ذاتُ العوار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وضمّها، مطلق العیب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تُعدّ الأکولة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وهی المعدّة للأکل، وتؤخذ مع بذل المالک لها لا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فحل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المحتاج إلیه لضرب الماشیة عادةً، فلو زاد کان کغیره فی 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الإخراج فلا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عدّها مع تساوی الذکور والإناث أو زیادة الذکور دون ما نقص </w:t>
      </w:r>
      <w:r>
        <w:rPr>
          <w:rStyle w:val="FootnoteAnchor"/>
          <w:rtl w:val="true"/>
        </w:rPr>
        <w:footnoteReference w:id="1383"/>
      </w:r>
      <w:r>
        <w:rPr>
          <w:rFonts w:ascii="IRNazanin" w:hAnsi="IRNazanin" w:eastAsia="IRNazanin"/>
          <w:color w:val="111111"/>
          <w:sz w:val="28"/>
          <w:sz w:val="28"/>
          <w:szCs w:val="28"/>
          <w:rtl w:val="true"/>
          <w:lang w:bidi="fa-IR"/>
        </w:rPr>
        <w:t xml:space="preserve">وأطلق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وتجزئ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القیمة أنفع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کانت الغنم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غیرها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نوع المرض، وإلّا لم یُجزِ الأدون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ماکس المالک قُسِّط واُخرج وسطٌ یقتضیه، أو القیمة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لو کانت کلّها من جنسٍ لا یخرج، کالرُّبّی والهَرِم والمعیب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یُجمَع بین مفترقٍ فی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مشترکاً أو مختلطاً متّحد المَسْرَح والمُراح والمَشرع والفحل والحالب والِمحلَب، بل یعتبر النصاب فی کلّ ملکٍ علی 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یفرَّق بین مجتمعٍ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الملک الواحد وإن تباعد،</w:t>
      </w:r>
      <w:bookmarkStart w:id="361" w:name="pg19806_203561"/>
    </w:p>
    <w:p>
      <w:pPr>
        <w:pStyle w:val="BookText"/>
        <w:rPr/>
      </w:pPr>
      <w:bookmarkEnd w:id="361"/>
      <w:r>
        <w:rPr>
          <w:rFonts w:ascii="Amiri" w:hAnsi="Amiri" w:eastAsia="Amiri" w:cs="Amiri"/>
          <w:color w:val="111111"/>
          <w:sz w:val="28"/>
          <w:sz w:val="28"/>
          <w:szCs w:val="28"/>
          <w:rtl w:val="true"/>
          <w:lang w:bidi="ar-SA"/>
        </w:rPr>
        <w:t>بأن کان له بکلّ بلدٍ شاةٌ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2027971_2314609296"/>
      <w:bookmarkStart w:id="363" w:name="_Toc133"/>
      <w:bookmarkEnd w:id="362"/>
      <w:r>
        <w:rPr>
          <w:rtl w:val="true"/>
        </w:rPr>
        <w:t>[</w:t>
      </w:r>
      <w:r>
        <w:rPr>
          <w:rtl w:val="true"/>
        </w:rPr>
        <w:t xml:space="preserve">زکاة النقدین </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النقدان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فیهما النصاب والسکّة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النقش الموضوع للدلالة علی المعاملة الخاصّة بکتابةٍ وغیرها وإن هجرت، فلا زکاة فی السبائک، والممسوح وإن تُعومل به، والحُلیِّ، وزکاته إعارته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اتُّخذ المضروب بالسکّة آلةً للزینة وغیرها لم یتغیّر الحکم وإن زاده أو نقصه، ما دامت المعاملة به علی وجهه ممکنة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فنصاب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مثقالٌ، وهو درهمٌ وثلاثة أسباع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أربعة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فیما دون العشرین ولا فیما دون أربعة بعدها، بل یعتبر الزائد أربعةً أربعةً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ونصاب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والدرهم نصف المثقال وخُمسه، أو ثمانیة وأربعون حبّة شعیر متوسّطةً، هی ستّة دوانیق </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 ما بلغ، فلا زکاة فیما نقص عنهما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عشرین مثقالاً نصف مثقال، ومن الأربعة قیراطان، ومن المئتین خمسة دراهم، ومن الأربعین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أخرج ربع العشر من جملة ما عنده من غیر أن یعتبر مقداره مع العلم باشتماله علی النصاب الأوّل أجزأ، وربّما زاد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الإخراج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العین، وتُجزئ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کغیرهما</w:t>
      </w:r>
      <w:r>
        <w:rPr>
          <w:rFonts w:eastAsia="IRNazanin" w:cs="IRNazanin"/>
          <w:color w:val="111111"/>
          <w:sz w:val="28"/>
          <w:szCs w:val="28"/>
          <w:rtl w:val="true"/>
          <w:lang w:bidi="fa-IR"/>
        </w:rPr>
        <w:t>.</w:t>
      </w:r>
      <w:bookmarkStart w:id="364" w:name="pg19806_203562"/>
    </w:p>
    <w:p>
      <w:pPr>
        <w:pStyle w:val="Heading4"/>
        <w:numPr>
          <w:ilvl w:val="3"/>
          <w:numId w:val="1"/>
        </w:numPr>
        <w:rPr/>
      </w:pPr>
      <w:bookmarkStart w:id="365" w:name="__RefHeading___Toc2027973_2314609296"/>
      <w:bookmarkStart w:id="366" w:name="_Toc134"/>
      <w:bookmarkEnd w:id="364"/>
      <w:bookmarkEnd w:id="365"/>
      <w:r>
        <w:rPr>
          <w:rtl w:val="true"/>
        </w:rPr>
        <w:t>[</w:t>
      </w:r>
      <w:r>
        <w:rPr>
          <w:rtl w:val="true"/>
        </w:rPr>
        <w:t xml:space="preserve">اما الغلات الاربع </w:t>
      </w:r>
      <w:r>
        <w:rPr>
          <w:rtl w:val="true"/>
        </w:rPr>
        <w:t>]</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فیشترط فیها التملّک بالزراعة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ممّا یُزرع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انتقال الزرع أو الثمرة مع الشجرة أو منفردةً إلی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انعقاد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الکرم، وبُدُوّ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الاحمرار أو الاصفرار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الزرع، فتجب الزکاة حینئذٍ علی المنتقل إلیه وإن لم یکن زارعاً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اُطلقت الزراعة علی ملک الحبّ والثمرة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أن یذکر بُدُوّ الصلاح فی النخل لئلّا یدخل فی الانعقاد، مع أ نّه لا قائل بتعلّق الوجوب فیه به، وإن کان الحکم بکون الانتقال قبل الانعقاد مطلقاً یوجب الزکاة علی المنتقَل إلیه صحیحاً، إلّاأ نّه فی النخل خالٍ عن الفائدة؛ إذ هو کغیره من الحالات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استفید من فحوی الشرط أنّ تعلّق الوجوب بالغلّات عند انعقاد الحبّ والثمرة وبدوّ صلاح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بعضهم إلی أنّ الوجوب لا یتعلّق بها إلی أن یصیر أحدَ الأربعة حقیقةً </w:t>
      </w:r>
      <w:r>
        <w:rPr>
          <w:rStyle w:val="FootnoteAnchor"/>
          <w:rtl w:val="true"/>
        </w:rPr>
        <w:footnoteReference w:id="1389"/>
      </w:r>
      <w:r>
        <w:rPr>
          <w:rFonts w:ascii="IRNazanin" w:hAnsi="IRNazanin" w:eastAsia="IRNazanin"/>
          <w:color w:val="111111"/>
          <w:sz w:val="28"/>
          <w:sz w:val="28"/>
          <w:szCs w:val="28"/>
          <w:rtl w:val="true"/>
          <w:lang w:bidi="fa-IR"/>
        </w:rPr>
        <w:t>وهو بلوغها حدّ الیُبس الموجب للاسم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النصوص دالٌّ علیه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تجب فیها بدون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واکتفی عن اعتباره شرطاً بذکر مقداره تجوّزاً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ألفان وسبعمئة رطلٍ 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خمسة أوسُق،</w:t>
      </w:r>
    </w:p>
    <w:p>
      <w:pPr>
        <w:pStyle w:val="BookText"/>
        <w:rPr/>
      </w:pPr>
      <w:r>
        <w:rPr>
          <w:rFonts w:ascii="IRNazanin" w:hAnsi="IRNazanin" w:eastAsia="IRNazanin"/>
          <w:color w:val="111111"/>
          <w:sz w:val="28"/>
          <w:sz w:val="28"/>
          <w:szCs w:val="28"/>
          <w:rtl w:val="true"/>
          <w:lang w:bidi="fa-IR"/>
        </w:rPr>
        <w:t>ومقدار الوَسْق ستّون صاعاً، والصاع تسعة أرطالٍ بالعراقی، ومضروب ستّین فی خمسة ثمّ فی تسعة تبلغ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 بمعنی أن لیس له إلّانصابٌ واحد، ولا عفو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النصاب وما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إن سقی 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الجاری علی وجه الأرض، سواءً کان قبل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شربه بعروقه القریبة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عِذیاً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وهو أن یُسقی بالمطر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 العُشر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سُقی بالدلو والناضح والدالیة،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سقی بهما فالأغلب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مع تساویهما فی النفع، أو نفعاً ونموّاً لو اختلفا، وفاقاً للمصنّف </w:t>
      </w:r>
      <w:r>
        <w:rPr>
          <w:rStyle w:val="FootnoteAnchor"/>
          <w:rtl w:val="true"/>
        </w:rPr>
        <w:footnoteReference w:id="1391"/>
      </w:r>
      <w:r>
        <w:rPr>
          <w:rFonts w:ascii="IRNazanin" w:hAnsi="IRNazanin" w:eastAsia="IRNazanin"/>
          <w:color w:val="111111"/>
          <w:sz w:val="28"/>
          <w:sz w:val="28"/>
          <w:szCs w:val="28"/>
          <w:rtl w:val="true"/>
          <w:lang w:bidi="fa-IR"/>
        </w:rPr>
        <w:t>ویحتمل اعتبار العدد والزمان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اعتبر التفاضل فیه فالواجب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الواجب حینئذٍ فی نصفه العشر، وفی نصفه نصفُه، وذلک ثلاثة أرباعه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اُشکل الأغلب احتمل وجوب الأقلّ للأصل، والعشر للاحتیاط، وإلحاقه بتساویهما لتحقّق تأثیرهما والأصل عدم 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إطلاقه الحکم بوجوب المقدّر فیما ذکر یؤذن بعدم اعتبار استثناء المؤونة، وهو قول الشیخ رحمه الله محتجّاً بالإ جماع علیه منّا ومن العامّة </w:t>
      </w:r>
      <w:r>
        <w:rPr>
          <w:rStyle w:val="FootnoteAnchor"/>
          <w:rtl w:val="true"/>
        </w:rPr>
        <w:footnoteReference w:id="1392"/>
      </w:r>
      <w:r>
        <w:rPr>
          <w:rFonts w:ascii="IRNazanin" w:hAnsi="IRNazanin" w:eastAsia="IRNazanin"/>
          <w:color w:val="111111"/>
          <w:sz w:val="28"/>
          <w:sz w:val="28"/>
          <w:szCs w:val="28"/>
          <w:rtl w:val="true"/>
          <w:lang w:bidi="fa-IR"/>
        </w:rPr>
        <w:t xml:space="preserve">ولکنّ المشهور بعد الشیخ استثناؤها، وعلیه المصنّف فی سائر کتبه وفتاواه </w:t>
      </w:r>
      <w:r>
        <w:rPr>
          <w:rStyle w:val="FootnoteAnchor"/>
          <w:rtl w:val="true"/>
        </w:rPr>
        <w:footnoteReference w:id="1393"/>
      </w:r>
      <w:r>
        <w:rPr>
          <w:rFonts w:ascii="IRNazanin" w:hAnsi="IRNazanin" w:eastAsia="IRNazanin"/>
          <w:color w:val="111111"/>
          <w:sz w:val="28"/>
          <w:sz w:val="28"/>
          <w:szCs w:val="28"/>
          <w:rtl w:val="true"/>
          <w:lang w:bidi="fa-IR"/>
        </w:rPr>
        <w:t>والنصوص</w:t>
      </w:r>
    </w:p>
    <w:p>
      <w:pPr>
        <w:pStyle w:val="BookText"/>
        <w:rPr/>
      </w:pPr>
      <w:r>
        <w:rPr>
          <w:rFonts w:ascii="IRNazanin" w:hAnsi="IRNazanin" w:eastAsia="IRNazanin"/>
          <w:color w:val="111111"/>
          <w:sz w:val="28"/>
          <w:sz w:val="28"/>
          <w:szCs w:val="28"/>
          <w:rtl w:val="true"/>
          <w:lang w:bidi="fa-IR"/>
        </w:rPr>
        <w:t>خالیةٌ من استثنائها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استثناء حصّة السلطان </w:t>
      </w:r>
      <w:r>
        <w:rPr>
          <w:rStyle w:val="FootnoteAnchor"/>
          <w:rtl w:val="true"/>
        </w:rPr>
        <w:footnoteReference w:id="1394"/>
      </w:r>
      <w:r>
        <w:rPr>
          <w:rFonts w:ascii="IRNazanin" w:hAnsi="IRNazanin" w:eastAsia="IRNazanin"/>
          <w:color w:val="111111"/>
          <w:sz w:val="28"/>
          <w:sz w:val="28"/>
          <w:szCs w:val="28"/>
          <w:rtl w:val="true"/>
          <w:lang w:bidi="fa-IR"/>
        </w:rPr>
        <w:t xml:space="preserve">وهو أمرٌ خارجٌ عن المؤونة وإن ذکرت منها فی بعض العبارات </w:t>
      </w:r>
      <w:r>
        <w:rPr>
          <w:rStyle w:val="FootnoteAnchor"/>
          <w:rtl w:val="true"/>
        </w:rPr>
        <w:footnoteReference w:id="1395"/>
      </w:r>
      <w:r>
        <w:rPr>
          <w:rFonts w:ascii="Amiri" w:hAnsi="Amiri" w:eastAsia="Amiri" w:cs="Amiri"/>
          <w:color w:val="111111"/>
          <w:sz w:val="28"/>
          <w:sz w:val="28"/>
          <w:szCs w:val="28"/>
          <w:rtl w:val="true"/>
          <w:lang w:bidi="ar-SA"/>
        </w:rPr>
        <w:t>تجوّزاً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یغرمه المالک علی الغلّة من ابتداء العمل لأجلها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تقدّم علی عامها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تمام التصفیة ویُبس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البذر، ولو اشتراه اعتبر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النصاب بعد ما تقدّم منها علی تعلّق الوجوب، وما تأخّر عنه یستثنی ولو من نفسه ویُزکّی الباقی وإن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وحصّة السلطان کالثانی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اشتری الزرع أو الثمرة فالثمن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اشتراها مع الأصل وُزّع الثمن علیهما، کما یوزّع المؤونة علی الزکویّ وغیره لو جمعهما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ما غَرَمه بعده ویسقط ما قبله، کما یسقط اعتبار المتبرّع وإن کان غلامه أو ولده</w:t>
      </w:r>
      <w:r>
        <w:rPr>
          <w:rFonts w:eastAsia="IRNazanin" w:cs="IRNazanin"/>
          <w:color w:val="111111"/>
          <w:sz w:val="28"/>
          <w:szCs w:val="28"/>
          <w:rtl w:val="true"/>
          <w:lang w:bidi="fa-IR"/>
        </w:rPr>
        <w:t>.</w:t>
      </w:r>
      <w:bookmarkStart w:id="367" w:name="pg19806_203565"/>
    </w:p>
    <w:p>
      <w:pPr>
        <w:pStyle w:val="Heading3"/>
        <w:numPr>
          <w:ilvl w:val="2"/>
          <w:numId w:val="1"/>
        </w:numPr>
        <w:rPr/>
      </w:pPr>
      <w:bookmarkStart w:id="368" w:name="__RefHeading___Toc2027975_2314609296"/>
      <w:bookmarkStart w:id="369" w:name="_Toc135"/>
      <w:bookmarkEnd w:id="367"/>
      <w:bookmarkEnd w:id="368"/>
      <w:r>
        <w:rPr>
          <w:rtl w:val="true"/>
        </w:rPr>
        <w:t>«</w:t>
      </w:r>
      <w:r>
        <w:rPr>
          <w:rtl w:val="true"/>
        </w:rPr>
        <w:t>الفصل الثانی أنّما تستحبّ زکاة التجارة مع</w:t>
      </w:r>
      <w:r>
        <w:rPr>
          <w:rtl w:val="true"/>
        </w:rPr>
        <w:t>»</w:t>
      </w:r>
      <w:bookmarkEnd w:id="369"/>
    </w:p>
    <w:p>
      <w:pPr>
        <w:pStyle w:val="Heading4"/>
        <w:numPr>
          <w:ilvl w:val="3"/>
          <w:numId w:val="1"/>
        </w:numPr>
        <w:rPr/>
      </w:pPr>
      <w:bookmarkStart w:id="370" w:name="__RefHeading___Toc2027977_2314609296"/>
      <w:bookmarkStart w:id="371" w:name="_Toc136"/>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 xml:space="preserve">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وقیام رأس المال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الحول، فلو طلب المتاع بأنقص منه وإن قلّ فی بعض الحول فلا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ونصاب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النقدان بأ یّهما بلغ إن کان أصله عَروضاً، وإلّا فنصاب أصله وإن نقص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وفهم من الحصر أنّ قصد الاکتساب عند التملّک لیس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وبه صرّح فی الدروس </w:t>
      </w:r>
      <w:r>
        <w:rPr>
          <w:rStyle w:val="FootnoteAnchor"/>
          <w:rtl w:val="true"/>
        </w:rPr>
        <w:footnoteReference w:id="1396"/>
      </w:r>
      <w:r>
        <w:rPr>
          <w:rFonts w:ascii="IRNazanin" w:hAnsi="IRNazanin" w:eastAsia="IRNazanin"/>
          <w:color w:val="111111"/>
          <w:sz w:val="28"/>
          <w:sz w:val="28"/>
          <w:szCs w:val="28"/>
          <w:rtl w:val="true"/>
          <w:lang w:bidi="fa-IR"/>
        </w:rPr>
        <w:t xml:space="preserve">وإن کان المشهور خلافه، وهو خیرة البیان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کانت التجارة بید عاملٍ فنصیب المالک من الربح یُضمّ إلی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بلوغ حصّة العامل نصاباً فی ثبوتها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تجتمع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ربع عُشر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کالنقدین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باقی أجناس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یستحبّ فیه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النصاب، والزراعة وما فی حکمها، وقدرِ الواجب وغیرها</w:t>
      </w:r>
      <w:r>
        <w:rPr>
          <w:rFonts w:eastAsia="IRNazanin" w:cs="IRNazanin"/>
          <w:color w:val="111111"/>
          <w:sz w:val="28"/>
          <w:szCs w:val="28"/>
          <w:rtl w:val="true"/>
          <w:lang w:bidi="fa-IR"/>
        </w:rPr>
        <w:t>.</w:t>
      </w:r>
      <w:bookmarkStart w:id="372" w:name="pg19806_203566"/>
    </w:p>
    <w:p>
      <w:pPr>
        <w:pStyle w:val="Heading4"/>
        <w:numPr>
          <w:ilvl w:val="3"/>
          <w:numId w:val="1"/>
        </w:numPr>
        <w:rPr/>
      </w:pPr>
      <w:bookmarkStart w:id="373" w:name="__RefHeading___Toc2027979_2314609296"/>
      <w:bookmarkStart w:id="374" w:name="_Toc137"/>
      <w:bookmarkEnd w:id="372"/>
      <w:bookmarkEnd w:id="373"/>
      <w:r>
        <w:rPr>
          <w:rtl w:val="true"/>
        </w:rPr>
        <w:t>[</w:t>
      </w:r>
      <w:r>
        <w:rPr>
          <w:rtl w:val="true"/>
        </w:rPr>
        <w:t>حکم تاخیر دفع الزکاة</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تأخیر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جعلنا وقته ووقت الإخراج واحداً، وهو التسمیة بأحد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المشهور فوقت الوجوب مغایرٌ لوقت الإخراج؛ لأنّه بعد التصفیة ویُبس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بوقت الوجوب وجوبَ الإخراج لا وجوب الزکاة، لیناسب مذهبه؛ إذ یجوز علی التفصیل تأخیره عن أوّل وقت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وقت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بعده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التمکّن من المال أو الخوف من التغلّب أو عدم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التأخیر إلی زوال العذر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بالتأخیر لا لعذرٍ وإن تلف المال بغیر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ویأثم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للإخلال بالفوریّة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الوکیل والوصیّ بالتفرقة لها ولغیرها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المصنّف فی الدروس تأخیرها لانتظار الأفضل أو التعمیم </w:t>
      </w:r>
      <w:r>
        <w:rPr>
          <w:rStyle w:val="FootnoteAnchor"/>
          <w:rtl w:val="true"/>
        </w:rPr>
        <w:footnoteReference w:id="1399"/>
      </w:r>
      <w:r>
        <w:rPr>
          <w:rFonts w:ascii="IRNazanin" w:hAnsi="IRNazanin" w:eastAsia="IRNazanin"/>
          <w:color w:val="111111"/>
          <w:sz w:val="28"/>
          <w:sz w:val="28"/>
          <w:szCs w:val="28"/>
          <w:rtl w:val="true"/>
          <w:lang w:bidi="fa-IR"/>
        </w:rPr>
        <w:t xml:space="preserve">وفی البیان کذلک، وزاد تأخیرها لمعتاد الطلب منه بما لا یؤدّی إلی الإهمال </w:t>
      </w:r>
      <w:r>
        <w:rPr>
          <w:rStyle w:val="FootnoteAnchor"/>
          <w:rtl w:val="true"/>
        </w:rPr>
        <w:footnoteReference w:id="1400"/>
      </w:r>
      <w:r>
        <w:rPr>
          <w:rFonts w:ascii="IRNazanin" w:hAnsi="IRNazanin" w:eastAsia="IRNazanin"/>
          <w:color w:val="111111"/>
          <w:sz w:val="28"/>
          <w:sz w:val="28"/>
          <w:szCs w:val="28"/>
          <w:rtl w:val="true"/>
          <w:lang w:bidi="fa-IR"/>
        </w:rPr>
        <w:t xml:space="preserve">وآخرون شهراً وشهرین مطلقاً </w:t>
      </w:r>
      <w:r>
        <w:rPr>
          <w:rStyle w:val="FootnoteAnchor"/>
          <w:rtl w:val="true"/>
        </w:rPr>
        <w:footnoteReference w:id="1401"/>
      </w:r>
      <w:r>
        <w:rPr>
          <w:rFonts w:ascii="Amiri" w:hAnsi="Amiri" w:eastAsia="Amiri" w:cs="Amiri"/>
          <w:color w:val="111111"/>
          <w:sz w:val="28"/>
          <w:sz w:val="28"/>
          <w:szCs w:val="28"/>
          <w:rtl w:val="true"/>
          <w:lang w:bidi="ar-SA"/>
        </w:rPr>
        <w:t>خصوصاً مع المزیّة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یُقدّم </w:t>
      </w:r>
      <w:r>
        <w:rPr>
          <w:rStyle w:val="FootnoteAnchor"/>
          <w:rtl w:val="true"/>
        </w:rPr>
        <w:footnoteReference w:id="1402"/>
      </w:r>
      <w:r>
        <w:rPr>
          <w:rFonts w:ascii="IRNazanin" w:hAnsi="IRNazanin" w:eastAsia="IRNazanin"/>
          <w:color w:val="111111"/>
          <w:sz w:val="28"/>
          <w:sz w:val="28"/>
          <w:szCs w:val="28"/>
          <w:rtl w:val="true"/>
          <w:lang w:bidi="fa-IR"/>
        </w:rPr>
        <w:t>علی وقت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إلّاقرضاً،</w:t>
      </w:r>
      <w:bookmarkStart w:id="375" w:name="pg19806_203567"/>
    </w:p>
    <w:p>
      <w:pPr>
        <w:pStyle w:val="BookText"/>
        <w:rPr/>
      </w:pPr>
      <w:bookmarkEnd w:id="375"/>
      <w:r>
        <w:rPr>
          <w:rFonts w:ascii="IRNazanin" w:hAnsi="IRNazanin" w:eastAsia="IRNazanin"/>
          <w:color w:val="111111"/>
          <w:sz w:val="28"/>
          <w:sz w:val="28"/>
          <w:szCs w:val="28"/>
          <w:rtl w:val="true"/>
          <w:lang w:bidi="fa-IR"/>
        </w:rPr>
        <w:t xml:space="preserve">فیحتسب </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الوجوب بشرط بقاء القابض علی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للاستحقاق، فلو خرج عنها ولو باستغنائه بنمائها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بأصلها، ولا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علی غیره</w:t>
      </w:r>
      <w:r>
        <w:rPr>
          <w:rFonts w:eastAsia="IRNazanin" w:cs="IRNazanin"/>
          <w:color w:val="111111"/>
          <w:sz w:val="28"/>
          <w:szCs w:val="28"/>
          <w:rtl w:val="true"/>
          <w:lang w:bidi="fa-IR"/>
        </w:rPr>
        <w:t>.</w:t>
      </w:r>
    </w:p>
    <w:p>
      <w:pPr>
        <w:pStyle w:val="Heading4"/>
        <w:numPr>
          <w:ilvl w:val="3"/>
          <w:numId w:val="1"/>
        </w:numPr>
        <w:rPr/>
      </w:pPr>
      <w:bookmarkStart w:id="376" w:name="__RefHeading___Toc2027981_2314609296"/>
      <w:bookmarkStart w:id="377" w:name="_Toc138"/>
      <w:bookmarkEnd w:id="376"/>
      <w:r>
        <w:rPr>
          <w:rtl w:val="true"/>
        </w:rPr>
        <w:t>[</w:t>
      </w:r>
      <w:r>
        <w:rPr>
          <w:rtl w:val="true"/>
        </w:rPr>
        <w:t>حکم نقل الزکاة</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نقلها عن بلد المال إلّامع إعواز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فیجوز إخراجها إلی غیره مقدّماً للأقرب إلیه فالأقرب، إلّاأن یختصّ الأبعد بالأمن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واُجرة النقل حینئذٍ 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نقلها إلی غیر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مع الإعواز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الإثم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خیرة الدروس </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 </w:t>
      </w:r>
      <w:r>
        <w:rPr>
          <w:rStyle w:val="FootnoteAnchor"/>
          <w:rtl w:val="true"/>
        </w:rPr>
        <w:footnoteReference w:id="1406"/>
      </w:r>
      <w:r>
        <w:rPr>
          <w:rFonts w:ascii="IRNazanin" w:hAnsi="IRNazanin" w:eastAsia="IRNazanin"/>
          <w:color w:val="111111"/>
          <w:sz w:val="28"/>
          <w:sz w:val="28"/>
          <w:szCs w:val="28"/>
          <w:rtl w:val="true"/>
          <w:lang w:bidi="fa-IR"/>
        </w:rPr>
        <w:t xml:space="preserve">لصحیحة هشام عن الصادق علیه السلام </w:t>
      </w:r>
      <w:r>
        <w:rPr>
          <w:rStyle w:val="FootnoteAnchor"/>
          <w:rtl w:val="true"/>
        </w:rPr>
        <w:footnoteReference w:id="1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نقلها وأخرجها فی غیره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العدم؛ للنهی </w:t>
      </w:r>
      <w:r>
        <w:rPr>
          <w:rStyle w:val="FootnoteAnchor"/>
          <w:rtl w:val="true"/>
        </w:rPr>
        <w:footnoteReference w:id="1408"/>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یتحقّق نقل الواجب مع عزله قبله بالنیّة، وإلّا فالذاهب من ماله؛ لعدم تعیینه وإن عدم المستحقّ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المستحقّ معدوماً فی البلد جاز العزل قطعاً، وإلّا ففیه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الدین لا یتعیّن بدون قبض مالکه أو ما فی حکمه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الدروس صحّة العزل بالنیّة مطلقاً </w:t>
      </w:r>
      <w:r>
        <w:rPr>
          <w:rStyle w:val="FootnoteAnchor"/>
          <w:rtl w:val="true"/>
        </w:rPr>
        <w:footnoteReference w:id="1409"/>
      </w:r>
      <w:r>
        <w:rPr>
          <w:rFonts w:ascii="IRNazanin" w:hAnsi="IRNazanin" w:eastAsia="IRNazanin"/>
          <w:color w:val="111111"/>
          <w:sz w:val="28"/>
          <w:sz w:val="28"/>
          <w:szCs w:val="28"/>
          <w:rtl w:val="true"/>
          <w:lang w:bidi="fa-IR"/>
        </w:rPr>
        <w:t>وعلیه تبنی المسألة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نقل قدر الحقّ</w:t>
      </w:r>
    </w:p>
    <w:p>
      <w:pPr>
        <w:pStyle w:val="BookText"/>
        <w:rPr/>
      </w:pPr>
      <w:r>
        <w:rPr>
          <w:rFonts w:ascii="IRNazanin" w:hAnsi="IRNazanin" w:eastAsia="IRNazanin"/>
          <w:color w:val="111111"/>
          <w:sz w:val="28"/>
          <w:sz w:val="28"/>
          <w:szCs w:val="28"/>
          <w:rtl w:val="true"/>
          <w:lang w:bidi="fa-IR"/>
        </w:rPr>
        <w:t>بدون النیّة فهو کنقل شیءٍ من ماله، فلا شبهة فی جوازه مطلقاً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صار فی بلدٍ آخر ففی جواز احتسابه علی مستحقّیه مع وجودهم فی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صدق النقل الموجب للتغریر بالمال، وجواز کون الحکمة نفع المستحقّین بالبلد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وعلیه‌یتفرّع ما لو احتسب القیمة فی غیر بلده أو المثل من غیره</w:t>
      </w:r>
      <w:r>
        <w:rPr>
          <w:rFonts w:eastAsia="IRNazanin" w:cs="IRNazanin"/>
          <w:color w:val="111111"/>
          <w:sz w:val="28"/>
          <w:szCs w:val="28"/>
          <w:rtl w:val="true"/>
          <w:lang w:bidi="fa-IR"/>
        </w:rPr>
        <w:t>.</w:t>
      </w:r>
      <w:bookmarkStart w:id="378" w:name="pg19806_203569"/>
    </w:p>
    <w:p>
      <w:pPr>
        <w:pStyle w:val="Heading3"/>
        <w:numPr>
          <w:ilvl w:val="2"/>
          <w:numId w:val="1"/>
        </w:numPr>
        <w:rPr/>
      </w:pPr>
      <w:bookmarkStart w:id="379" w:name="__RefHeading___Toc2027983_2314609296"/>
      <w:bookmarkStart w:id="380" w:name="_Toc139"/>
      <w:bookmarkEnd w:id="378"/>
      <w:bookmarkEnd w:id="379"/>
      <w:r>
        <w:rPr>
          <w:rtl w:val="true"/>
        </w:rPr>
        <w:t>«</w:t>
      </w:r>
      <w:r>
        <w:rPr>
          <w:rtl w:val="true"/>
        </w:rPr>
        <w:t>الفصل الثالث فی المستحقّ</w:t>
      </w:r>
      <w:r>
        <w:rPr>
          <w:rtl w:val="true"/>
        </w:rPr>
        <w:t>»</w:t>
      </w:r>
      <w:bookmarkEnd w:id="380"/>
    </w:p>
    <w:p>
      <w:pPr>
        <w:pStyle w:val="Heading4"/>
        <w:numPr>
          <w:ilvl w:val="3"/>
          <w:numId w:val="1"/>
        </w:numPr>
        <w:rPr/>
      </w:pPr>
      <w:bookmarkStart w:id="381" w:name="__RefHeading___Toc2027985_2314609296"/>
      <w:bookmarkStart w:id="382" w:name="_Toc140"/>
      <w:bookmarkEnd w:id="381"/>
      <w:r>
        <w:rPr>
          <w:rtl w:val="true"/>
        </w:rPr>
        <w:t>[</w:t>
      </w:r>
      <w:r>
        <w:rPr>
          <w:rtl w:val="true"/>
        </w:rPr>
        <w:t>اصناف المستحقین للزکاة</w:t>
      </w:r>
      <w:r>
        <w:rPr>
          <w:rtl w:val="true"/>
        </w:rPr>
        <w:t>]</w:t>
      </w:r>
      <w:bookmarkEnd w:id="382"/>
    </w:p>
    <w:p>
      <w:pPr>
        <w:pStyle w:val="BookText"/>
        <w:rPr/>
      </w:pPr>
      <w:r>
        <w:rPr>
          <w:rFonts w:ascii="IRNazanin" w:hAnsi="IRNazanin" w:eastAsia="IRNazanin"/>
          <w:color w:val="111111"/>
          <w:sz w:val="28"/>
          <w:sz w:val="28"/>
          <w:szCs w:val="28"/>
          <w:rtl w:val="true"/>
          <w:lang w:bidi="fa-IR"/>
        </w:rPr>
        <w:t xml:space="preserve">اللام للجنس أو الاستغراق؛ فإنّ المستحقّین لها ثمانیة أصناف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w:t>
      </w:r>
      <w:r>
        <w:rPr>
          <w:rStyle w:val="FootnoteAnchor"/>
          <w:rtl w:val="true"/>
        </w:rPr>
        <w:footnoteReference w:id="1410"/>
      </w:r>
      <w:r>
        <w:rPr>
          <w:rFonts w:ascii="IRNazanin" w:hAnsi="IRNazanin" w:eastAsia="IRNazanin"/>
          <w:color w:val="111111"/>
          <w:sz w:val="28"/>
          <w:sz w:val="28"/>
          <w:szCs w:val="28"/>
          <w:rtl w:val="true"/>
          <w:lang w:bidi="fa-IR"/>
        </w:rPr>
        <w:t xml:space="preserve">الفقراء والمساکین، ویشملهما من لا یملک مؤونة سنة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وفعلاً </w:t>
      </w:r>
      <w:r>
        <w:rPr>
          <w:rStyle w:val="FootnoteAnchor"/>
          <w:rtl w:val="true"/>
        </w:rPr>
        <w:footnoteReference w:id="1412"/>
      </w:r>
      <w:r>
        <w:rPr>
          <w:rFonts w:ascii="IRNazanin" w:hAnsi="IRNazanin" w:eastAsia="IRNazanin"/>
          <w:color w:val="111111"/>
          <w:sz w:val="28"/>
          <w:sz w:val="28"/>
          <w:szCs w:val="28"/>
          <w:rtl w:val="true"/>
          <w:lang w:bidi="fa-IR"/>
        </w:rPr>
        <w:t>له ولعیاله الواجبی النفقة بحسب حاله فی الشرف وما دونه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أ یّهما أسوأ حالاً </w:t>
      </w:r>
      <w:r>
        <w:rPr>
          <w:rStyle w:val="FootnoteAnchor"/>
          <w:rtl w:val="true"/>
        </w:rPr>
        <w:footnoteReference w:id="1414"/>
      </w:r>
      <w:r>
        <w:rPr>
          <w:rFonts w:ascii="IRNazanin" w:hAnsi="IRNazanin" w:eastAsia="IRNazanin"/>
          <w:color w:val="111111"/>
          <w:sz w:val="28"/>
          <w:sz w:val="28"/>
          <w:szCs w:val="28"/>
          <w:rtl w:val="true"/>
          <w:lang w:bidi="fa-IR"/>
        </w:rPr>
        <w:t>مع اشتراکهما فیما ذکر، ولا ثمرة مهمّة فی تحقیق ذلک؛ للإ جماع علی إرادة کلٍّ منهما من الآخر حیث یُفرد، وعلی</w:t>
      </w:r>
    </w:p>
    <w:p>
      <w:pPr>
        <w:pStyle w:val="BookText"/>
        <w:rPr/>
      </w:pPr>
      <w:r>
        <w:rPr>
          <w:rFonts w:ascii="IRNazanin" w:hAnsi="IRNazanin" w:eastAsia="IRNazanin"/>
          <w:color w:val="111111"/>
          <w:sz w:val="28"/>
          <w:sz w:val="28"/>
          <w:szCs w:val="28"/>
          <w:rtl w:val="true"/>
          <w:lang w:bidi="fa-IR"/>
        </w:rPr>
        <w:t>استحقاقهما من الزکاة، ولم یقعا مجتمعین إلّافیها، وإنّما تظهر الفائدة فی اُمورٍ نادرة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أبی بصیر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المسکین أسوأ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الفقیر الذی لا یسأل الناس، والمسکین أجهد منه</w:t>
      </w:r>
      <w:r>
        <w:rPr>
          <w:rFonts w:eastAsia="IRNazanin" w:cs="IRNazanin"/>
          <w:color w:val="111111"/>
          <w:sz w:val="28"/>
          <w:szCs w:val="28"/>
          <w:rtl w:val="true"/>
          <w:lang w:bidi="fa-IR"/>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وهو موافقٌ لنصِّ أهل اللغة </w:t>
      </w:r>
      <w:r>
        <w:rPr>
          <w:rStyle w:val="FootnoteAnchor"/>
          <w:rtl w:val="true"/>
        </w:rPr>
        <w:footnoteReference w:id="1416"/>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والدار والخادم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اللائقان بحال مالکهما کمّیةً وکیفیّةً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التجمّل وفرس الرکوب وکتب العلم، وثمنها لفاقدها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مناسبة الحال فی الخادم بالعادة أو الحاجة ولو إلی أزید من واحد، ولو زاد أحدها فی إحداهما تعیّن الاقتصار علی اللائق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 ذو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اللائقة بحاله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من العَقار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نهضت 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فی الضیعة نماؤها لا أصلها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الأصل </w:t>
      </w:r>
      <w:r>
        <w:rPr>
          <w:rStyle w:val="FootnoteAnchor"/>
          <w:rtl w:val="true"/>
        </w:rPr>
        <w:footnoteReference w:id="1417"/>
      </w:r>
      <w:r>
        <w:rPr>
          <w:rFonts w:ascii="IRNazanin" w:hAnsi="IRNazanin" w:eastAsia="IRNazanin"/>
          <w:color w:val="111111"/>
          <w:sz w:val="28"/>
          <w:sz w:val="28"/>
          <w:szCs w:val="28"/>
          <w:rtl w:val="true"/>
          <w:lang w:bidi="fa-IR"/>
        </w:rPr>
        <w:t xml:space="preserve">ومستند المشهور ضعیف </w:t>
      </w:r>
      <w:r>
        <w:rPr>
          <w:rStyle w:val="FootnoteAnchor"/>
          <w:rtl w:val="true"/>
        </w:rPr>
        <w:footnoteReference w:id="1418"/>
      </w:r>
      <w:r>
        <w:rPr>
          <w:rFonts w:ascii="IRNazanin" w:hAnsi="IRNazanin" w:eastAsia="IRNazanin"/>
          <w:color w:val="111111"/>
          <w:sz w:val="28"/>
          <w:sz w:val="28"/>
          <w:szCs w:val="28"/>
          <w:rtl w:val="true"/>
          <w:lang w:bidi="fa-IR"/>
        </w:rPr>
        <w:t>وکذا الصنعة بالنسبة إلی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اشتغل عن الکسب بطلبِ علمٍ دینیٍّ جاز له تناولها وإن قدر علیه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 الجمع بما لا ینافیه تعیَّن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تنهضا بحاجته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لمؤونة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أخذها دفعةً أو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اُعطی ما یزید دفعةً صحّ، کغیر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بالفرق </w:t>
      </w:r>
      <w:r>
        <w:rPr>
          <w:rStyle w:val="FootnoteAnchor"/>
          <w:rtl w:val="true"/>
        </w:rPr>
        <w:footnoteReference w:id="1419"/>
      </w:r>
      <w:r>
        <w:rPr>
          <w:rFonts w:ascii="IRNazanin" w:hAnsi="IRNazanin" w:eastAsia="IRNazanin"/>
          <w:color w:val="111111"/>
          <w:sz w:val="28"/>
          <w:sz w:val="28"/>
          <w:szCs w:val="28"/>
          <w:rtl w:val="true"/>
          <w:lang w:bidi="fa-IR"/>
        </w:rPr>
        <w:t xml:space="preserve">واستحسنه المصنّف فی البیان </w:t>
      </w:r>
      <w:r>
        <w:rPr>
          <w:rStyle w:val="FootnoteAnchor"/>
          <w:rtl w:val="true"/>
        </w:rPr>
        <w:footnoteReference w:id="1420"/>
      </w:r>
      <w:r>
        <w:rPr>
          <w:rFonts w:ascii="IRNazanin" w:hAnsi="IRNazanin" w:eastAsia="IRNazanin"/>
          <w:color w:val="111111"/>
          <w:sz w:val="28"/>
          <w:sz w:val="28"/>
          <w:szCs w:val="28"/>
          <w:rtl w:val="true"/>
          <w:lang w:bidi="fa-IR"/>
        </w:rPr>
        <w:t xml:space="preserve">وهو ظاهر إطلاقه هنا، وتردّد فی الدروس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تجب نفقته علی غیره غنیٌّ مع بذل المنفق، لا بدونه مع عجزه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السعاة فی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وتحصینها بجبایةٍ وولایةٍ وکتابةٍ وحفظٍ وحسابٍ وقسمةٍ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فقرهم؛ لأنّهم قسیمهم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عُیّن لهم قدرٌ بجعالة أو إجارة تعیّن، وإن قصر ما حصّلوه عنه فیُکمل لهم من بیت المال، وإلّا اُعطوا بحسب ما یراه الإمام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 وهم کفّارٌ یُستمالون إلی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بالإسهام لهم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المفید </w:t>
      </w:r>
      <w:r>
        <w:rPr>
          <w:rStyle w:val="FootnoteAnchor"/>
          <w:rtl w:val="true"/>
        </w:rPr>
        <w:footnoteReference w:id="1422"/>
      </w:r>
      <w:r>
        <w:rPr>
          <w:rFonts w:ascii="IRNazanin" w:hAnsi="IRNazanin" w:eastAsia="IRNazanin"/>
          <w:color w:val="111111"/>
          <w:sz w:val="28"/>
          <w:sz w:val="28"/>
          <w:szCs w:val="28"/>
          <w:rtl w:val="true"/>
          <w:lang w:bidi="fa-IR"/>
        </w:rPr>
        <w:t xml:space="preserve">والفاضلان </w:t>
      </w:r>
      <w:r>
        <w:rPr>
          <w:rStyle w:val="FootnoteAnchor"/>
          <w:rtl w:val="true"/>
        </w:rPr>
        <w:footnoteReference w:id="1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أربع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لهم نظراء من المشرکین إذا اُعطی المسلمون رغب نظراؤهم فی الإسلام، وقومٌ نیّاتهم ضعیفةٌ فی الدین یُرجی بإعطائهم قوّة نیّتهم، وقومٌ بأطراف بلاد الإسلام إذا اُعطوا منعوا الکفّار من الدخول أو رغّبوهم فی الإسلام، وقومٌ جاوروا قوماً تجب علیهم الزکاة إذا اُعطوا منها جَبَوها منهم وأغنوا عن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w:t>
      </w:r>
    </w:p>
    <w:p>
      <w:pPr>
        <w:pStyle w:val="BookText"/>
        <w:rPr/>
      </w:pPr>
      <w:r>
        <w:rPr>
          <w:rFonts w:ascii="IRNazanin" w:hAnsi="IRNazanin" w:eastAsia="IRNazanin"/>
          <w:color w:val="111111"/>
          <w:sz w:val="28"/>
          <w:sz w:val="28"/>
          <w:szCs w:val="28"/>
          <w:rtl w:val="true"/>
          <w:lang w:bidi="fa-IR"/>
        </w:rPr>
        <w:t>المصنّف إلی القیل؛ لعدم اقتضاء ذلک الاسمَ، إذ یمکن ردّ ما عدا الأخیر إلی سبیل اللّٰه، والأخیر إلی العِمالة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لا یُوجب البسط ویُجعل </w:t>
      </w:r>
      <w:r>
        <w:rPr>
          <w:rStyle w:val="FootnoteAnchor"/>
          <w:rtl w:val="true"/>
        </w:rPr>
        <w:footnoteReference w:id="1424"/>
      </w:r>
      <w:r>
        <w:rPr>
          <w:rFonts w:ascii="IRNazanin" w:hAnsi="IRNazanin" w:eastAsia="IRNazanin"/>
          <w:color w:val="111111"/>
          <w:sz w:val="28"/>
          <w:sz w:val="28"/>
          <w:szCs w:val="28"/>
          <w:rtl w:val="true"/>
          <w:lang w:bidi="fa-IR"/>
        </w:rPr>
        <w:t>الآیة لبیان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 فائدة الخلاف؛ لجواز إعطاء الجمیع من الزکاة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الرقاب ظرفاً للاستحقاق تبعاً للآیة وتنبیهاً علی أنّ استحقاقهم لیس علی وجه الملک أو الاختصاص کغیرهم؛ إذ یتعیّن علیهم صرفها فی الوجه الخاصّ بخلاف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ومثلهم </w:t>
      </w:r>
      <w:r>
        <w:rPr>
          <w:rStyle w:val="FootnoteAnchor"/>
          <w:rtl w:val="true"/>
        </w:rPr>
        <w:footnoteReference w:id="1425"/>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والمناسب لبیان المستحقّ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المکاتبون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قصور کسبهم عن أداء مال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والعبید تحت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مولاهم أو من سلّطه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فیها إلی العرف، فیُشترون منها ویُعتقون بعد الشراء، ونیّة الزکاة مقارنةٌ لدفع الثمن إلی البائع أو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شراء العبد وإن لم یکن فی شدّةٍ مع تعذّر المستحقّ مطلقاً علی الأقوی، ومعه من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جعلناه کلّ قربة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والغارمون، وهم المدینون فی غیر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یتمکّنون من القضاء، فلو استدانوا وأنفقوه فی معصیةٍ مُنعوا من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وجاز من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کانوا منهم بعد التوبة إن اشترطناها، أو من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لا یُعطی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أنفق هل هو فی طاعةٍ أو معصیة؟ </w:t>
      </w:r>
      <w:r>
        <w:rPr>
          <w:rStyle w:val="FootnoteAnchor"/>
          <w:rtl w:val="true"/>
        </w:rPr>
        <w:footnoteReference w:id="1426"/>
      </w:r>
      <w:r>
        <w:rPr>
          <w:rFonts w:ascii="IRNazanin" w:hAnsi="IRNazanin" w:eastAsia="IRNazanin"/>
          <w:color w:val="111111"/>
          <w:sz w:val="28"/>
          <w:sz w:val="28"/>
          <w:szCs w:val="28"/>
          <w:rtl w:val="true"/>
          <w:lang w:bidi="fa-IR"/>
        </w:rPr>
        <w:t>وللشکّ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وأجازه</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1427"/>
      </w:r>
      <w:r>
        <w:rPr>
          <w:rFonts w:ascii="Amiri" w:hAnsi="Amiri" w:eastAsia="Amiri" w:cs="Amiri"/>
          <w:color w:val="111111"/>
          <w:sz w:val="28"/>
          <w:sz w:val="28"/>
          <w:szCs w:val="28"/>
          <w:rtl w:val="true"/>
          <w:lang w:bidi="ar-SA"/>
        </w:rPr>
        <w:t>حملاً لتصرّف المسلم علی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ویُقاصّ الفقیر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یحتسبها صاحب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ویأخذها مقاصّةً من دَینه وإن لم یقبضها المدیون ولم یوکِّل فی قبضها، وکذا یجوز لمن هی علیه دفعها إلی ربّ الدین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المدیون مع قصور ترکته عن الوفاء أو جهل الوارث بالدین، أو جحوده وعدم إمکان إثباته شرعاً والأخذ </w:t>
      </w:r>
      <w:r>
        <w:rPr>
          <w:rStyle w:val="FootnoteAnchor"/>
          <w:rtl w:val="true"/>
        </w:rPr>
        <w:footnoteReference w:id="1428"/>
      </w:r>
      <w:r>
        <w:rPr>
          <w:rFonts w:ascii="Amiri" w:hAnsi="Amiri" w:eastAsia="Amiri" w:cs="Amiri"/>
          <w:color w:val="111111"/>
          <w:sz w:val="28"/>
          <w:sz w:val="28"/>
          <w:szCs w:val="28"/>
          <w:rtl w:val="true"/>
          <w:lang w:bidi="ar-SA"/>
        </w:rPr>
        <w:t>منه 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مطلقاً </w:t>
      </w:r>
      <w:r>
        <w:rPr>
          <w:rStyle w:val="FootnoteAnchor"/>
          <w:rtl w:val="true"/>
        </w:rPr>
        <w:footnoteReference w:id="1429"/>
      </w:r>
      <w:r>
        <w:rPr>
          <w:rFonts w:ascii="IRNazanin" w:hAnsi="IRNazanin" w:eastAsia="IRNazanin"/>
          <w:color w:val="111111"/>
          <w:sz w:val="28"/>
          <w:sz w:val="28"/>
          <w:szCs w:val="28"/>
          <w:rtl w:val="true"/>
          <w:lang w:bidi="fa-IR"/>
        </w:rPr>
        <w:t xml:space="preserve">بناءً علی انتقال الترکة إلی الوارث فیصیر فقیراً، وهو ضعیفٌ؛ لتوقّف تمکّنه منها علی قضاء الدین لو قیل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واجب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الدین علی من تجب نفقته علی ربّ الدین، فإنّه یجوز مقاصّته 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منها وجوب نفقته؛ لأنّ الواجب هو المؤونة لا وفاء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له الدفع إلیه منها لیقضیه إذا کان لغیره، کما یجوز إعطاؤه غیره ممّا لا یجب بذله کنفقة الزوجة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سبیل اللّٰه، وهو القُرب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أصحّ القولین </w:t>
      </w:r>
      <w:r>
        <w:rPr>
          <w:rStyle w:val="FootnoteAnchor"/>
          <w:rtl w:val="true"/>
        </w:rPr>
        <w:footnoteReference w:id="1430"/>
      </w:r>
      <w:r>
        <w:rPr>
          <w:rFonts w:ascii="IRNazanin" w:hAnsi="IRNazanin" w:eastAsia="IRNazanin"/>
          <w:color w:val="111111"/>
          <w:sz w:val="28"/>
          <w:sz w:val="28"/>
          <w:szCs w:val="28"/>
          <w:rtl w:val="true"/>
          <w:lang w:bidi="fa-IR"/>
        </w:rPr>
        <w:t>لأنّ سبیل اللّٰه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إلیه، والمراد هنا الطریق إلی رضوانه وثوابه، لاستحالة التحیّز علیه،</w:t>
      </w:r>
    </w:p>
    <w:p>
      <w:pPr>
        <w:pStyle w:val="BookText"/>
        <w:rPr/>
      </w:pPr>
      <w:r>
        <w:rPr>
          <w:rFonts w:ascii="IRNazanin" w:hAnsi="IRNazanin" w:eastAsia="IRNazanin"/>
          <w:color w:val="111111"/>
          <w:sz w:val="28"/>
          <w:sz w:val="28"/>
          <w:szCs w:val="28"/>
          <w:rtl w:val="true"/>
          <w:lang w:bidi="fa-IR"/>
        </w:rPr>
        <w:t>فیدخل فیه ما کان وصلةً إلی ذلک، کعمارة المساجد ومعونة المحتاجین وإصلاح ذات البین وإقامة نظام العلم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تقییده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فیه معونة لغنیّ لا یدخل فی الأصناف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بالجهاد السائغ </w:t>
      </w:r>
      <w:r>
        <w:rPr>
          <w:rStyle w:val="FootnoteAnchor"/>
          <w:rtl w:val="true"/>
        </w:rPr>
        <w:footnoteReference w:id="1431"/>
      </w:r>
      <w:r>
        <w:rPr>
          <w:rFonts w:ascii="Amiri" w:hAnsi="Amiri" w:eastAsia="Amiri" w:cs="Amiri"/>
          <w:color w:val="111111"/>
          <w:sz w:val="28"/>
          <w:sz w:val="28"/>
          <w:szCs w:val="28"/>
          <w:rtl w:val="true"/>
          <w:lang w:bidi="ar-SA"/>
        </w:rPr>
        <w:t xml:space="preserve">والمرویّ الأوّل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 وهو المنقطع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یمنع غناه فی بلده مع عدم تمکّنه من الاعتیاض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 أو اقتراضٍ أو غیرهما، وحینئذٍ فیُعطی ما یلیق بحاله من المأکول والملبوس والمرکوب إلی أن یصل إلی بلده بعد قضاء الوَطَر أو إلی محلٍّ یمکنه الاعتیاض فیه، فیُمنع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ردّ الموجود منه وإن کان مأکولاً علی مالکه أو وکیله، فإن تعذّر فإلی الحاکم، فإن تعذّر صَرفَه بنفسه إلی مستحقّ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ومنشئ السفر مع حاجته إلیه ولا یقدر علی مال یُبلغه ابنُ سبیلٍ علی الأقوی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بانحصاره فیه </w:t>
      </w:r>
      <w:r>
        <w:rPr>
          <w:rStyle w:val="FootnoteAnchor"/>
          <w:rtl w:val="true"/>
        </w:rPr>
        <w:footnoteReference w:id="1433"/>
      </w:r>
      <w:r>
        <w:rPr>
          <w:rFonts w:ascii="IRNazanin" w:hAnsi="IRNazanin" w:eastAsia="IRNazanin"/>
          <w:color w:val="111111"/>
          <w:sz w:val="28"/>
          <w:sz w:val="28"/>
          <w:szCs w:val="28"/>
          <w:rtl w:val="true"/>
          <w:lang w:bidi="fa-IR"/>
        </w:rPr>
        <w:t>إذا کان نائیاً عن بلده وإن کان غنیّاً فیها مع حاجته إلی 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والنیّة عند شروعه فی الأکل، ولا یُحتسب علیه إلّاما أکل وإن کان مجهولاً</w:t>
      </w:r>
      <w:r>
        <w:rPr>
          <w:rFonts w:eastAsia="IRNazanin" w:cs="IRNazanin"/>
          <w:color w:val="111111"/>
          <w:sz w:val="28"/>
          <w:szCs w:val="28"/>
          <w:rtl w:val="true"/>
          <w:lang w:bidi="fa-IR"/>
        </w:rPr>
        <w:t>.</w:t>
      </w:r>
      <w:bookmarkStart w:id="383" w:name="pg19806_203575"/>
    </w:p>
    <w:p>
      <w:pPr>
        <w:pStyle w:val="Heading4"/>
        <w:numPr>
          <w:ilvl w:val="3"/>
          <w:numId w:val="1"/>
        </w:numPr>
        <w:rPr/>
      </w:pPr>
      <w:bookmarkStart w:id="384" w:name="__RefHeading___Toc2027987_2314609296"/>
      <w:bookmarkStart w:id="385" w:name="_Toc141"/>
      <w:bookmarkEnd w:id="383"/>
      <w:bookmarkEnd w:id="384"/>
      <w:r>
        <w:rPr>
          <w:rtl w:val="true"/>
        </w:rPr>
        <w:t>[</w:t>
      </w:r>
      <w:r>
        <w:rPr>
          <w:rtl w:val="true"/>
        </w:rPr>
        <w:t>فی ما یشترط فی مستحقی الزکاة</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وتشترط العدالة فی من عدا المؤلّفة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من أصناف المستحقّین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المؤلّفة فلا؛ لأنّ کفرهم مانعٌ من العدالة، والغرض منهم یحصل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اعتبار عدالة العامل فموضع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غیره فاشتراط عدالته أحد الأقوال فی المسألة </w:t>
      </w:r>
      <w:r>
        <w:rPr>
          <w:rStyle w:val="FootnoteAnchor"/>
          <w:rtl w:val="true"/>
        </w:rPr>
        <w:footnoteReference w:id="1434"/>
      </w:r>
      <w:r>
        <w:rPr>
          <w:rFonts w:ascii="IRNazanin" w:hAnsi="IRNazanin" w:eastAsia="IRNazanin"/>
          <w:color w:val="111111"/>
          <w:sz w:val="28"/>
          <w:sz w:val="28"/>
          <w:szCs w:val="28"/>
          <w:rtl w:val="true"/>
          <w:lang w:bidi="fa-IR"/>
        </w:rPr>
        <w:t xml:space="preserve">بل ادّعی المرتضی فیه الإ جماع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یُمنع الفاسق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تعتبر العدالة فی الطفل؛ لعدم إمکانها فیه،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الطفل ولو کان أبواه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 استثنی باشتراط العدالة أو بعدمها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تجنّب الکبائر </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غیرها من الذنوب وإن أوجبت فسقاً؛ لأنّ النصّ ورد علی منع شارب الخمر </w:t>
      </w:r>
      <w:r>
        <w:rPr>
          <w:rStyle w:val="FootnoteAnchor"/>
          <w:rtl w:val="true"/>
        </w:rPr>
        <w:footnoteReference w:id="1437"/>
      </w:r>
      <w:r>
        <w:rPr>
          <w:rFonts w:ascii="IRNazanin" w:hAnsi="IRNazanin" w:eastAsia="IRNazanin"/>
          <w:color w:val="111111"/>
          <w:sz w:val="28"/>
          <w:sz w:val="28"/>
          <w:szCs w:val="28"/>
          <w:rtl w:val="true"/>
          <w:lang w:bidi="fa-IR"/>
        </w:rPr>
        <w:t>وهو من الکبائر، ولم یدلّ علی منع الفاسق مطلقاً، واُلحق به غیره من الکبائر للمساواة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لمنع المساواة وبطلان القیاس، والصغائر إن أصرّ علیها لحقت </w:t>
      </w:r>
      <w:r>
        <w:rPr>
          <w:rStyle w:val="FootnoteAnchor"/>
          <w:rtl w:val="true"/>
        </w:rPr>
        <w:footnoteReference w:id="1438"/>
      </w:r>
      <w:r>
        <w:rPr>
          <w:rFonts w:ascii="IRNazanin" w:hAnsi="IRNazanin" w:eastAsia="IRNazanin"/>
          <w:color w:val="111111"/>
          <w:sz w:val="28"/>
          <w:sz w:val="28"/>
          <w:szCs w:val="28"/>
          <w:rtl w:val="true"/>
          <w:lang w:bidi="fa-IR"/>
        </w:rPr>
        <w:t>بالکبائر، وإلّا لم توجب الفسق، والمروءة غیر معتبرةٍ فی العدالة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ما صرّح به المصنّف فی شرح الإرشاد </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 من اشتراط تجنّب الکبائر اشتراط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لا دلیل علی اعتبارها، والإ جماع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لم یرجّح اعتبارها </w:t>
      </w:r>
      <w:r>
        <w:rPr>
          <w:rStyle w:val="FootnoteAnchor"/>
          <w:rtl w:val="true"/>
        </w:rPr>
        <w:footnoteReference w:id="1440"/>
      </w:r>
      <w:r>
        <w:rPr>
          <w:rFonts w:ascii="IRNazanin" w:hAnsi="IRNazanin" w:eastAsia="IRNazanin"/>
          <w:color w:val="111111"/>
          <w:sz w:val="28"/>
          <w:sz w:val="28"/>
          <w:szCs w:val="28"/>
          <w:rtl w:val="true"/>
          <w:lang w:bidi="fa-IR"/>
        </w:rPr>
        <w:t>إلّافی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اعتبرت لزم منع الطفل؛ لتعذّرها منه، وتعذّر الشرط غیر کافٍ فی سقوطه، وخروجه بالإ جماع موضع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ویعید المخالف الزکاة لو أعطاها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غیر المستحقّ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یعید باقی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أوقعها علی وجهها بحسب 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أنّ الزکاة دینٌ وقد دفعه إلی غیر مستحقّه، والعبادات حقٌّ اللّٰه تعالی وقد أسقطها عنه رحمةً، کما أسقطها عن الکافر إذا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المخالف قد ترکها أو فعلها علی غیر الوجه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الکافر قدومه علی المعصیة بذلک والمخالفة للّٰه تعالی، بخلاف ما لو فعلها علی الوجه، کالکافر إذا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واجب النفقة علی المعطی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الفقر، أمّا من جهة الغُرم والعَمولة </w:t>
      </w:r>
      <w:r>
        <w:rPr>
          <w:rStyle w:val="FootnoteAnchor"/>
          <w:rtl w:val="true"/>
        </w:rPr>
        <w:footnoteReference w:id="1441"/>
      </w:r>
      <w:r>
        <w:rPr>
          <w:rFonts w:ascii="IRNazanin" w:hAnsi="IRNazanin" w:eastAsia="IRNazanin"/>
          <w:color w:val="111111"/>
          <w:sz w:val="28"/>
          <w:sz w:val="28"/>
          <w:szCs w:val="28"/>
          <w:rtl w:val="true"/>
          <w:lang w:bidi="fa-IR"/>
        </w:rPr>
        <w:t>وابن السبیل ونحوه إذا اتّصف بموجبه فلا، فیدفع إلیه ما یوفی دینه والزائد عن نفقة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واجب النفقة إنّما یُمنع من سهم الفقراء لقوت نفسه مستقرّاً فی وطنه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هاشمیّاً إلّامن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هاشمیٌّ مثله وإن خالفه فی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تناول قدر الکفایة منها حینئذٍ، ویتخیّر بین زکاة مثله والخمس مع وجودهما، والأفضل الخمس؛ لأنّ الزکاة أوساخٌ فی الجملة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یتجاوز من زکاة غیر قبیله قوت یومٍ ولیلة، إلّامع عدم اندفاع الضرورة به </w:t>
      </w:r>
      <w:r>
        <w:rPr>
          <w:rStyle w:val="FootnoteAnchor"/>
          <w:rtl w:val="true"/>
        </w:rPr>
        <w:footnoteReference w:id="1443"/>
      </w:r>
      <w:r>
        <w:rPr>
          <w:rFonts w:ascii="IRNazanin" w:hAnsi="IRNazanin" w:eastAsia="IRNazanin"/>
          <w:color w:val="111111"/>
          <w:sz w:val="28"/>
          <w:sz w:val="28"/>
          <w:szCs w:val="28"/>
          <w:rtl w:val="true"/>
          <w:lang w:bidi="fa-IR"/>
        </w:rPr>
        <w:t>، کأن لا یجد فی الیوم الثانی ما یدفعها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الواجبة، أمّا المندوبة فلا یُمنع منها، وکذا غیرها من الواجبات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دفعها إلی الإمام مع الطلب بنفسه أو بساعیه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طاعته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یجب دفعها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لو طلبها بنفسه أو وکیله؛ لأنّه نائبٌ للإمام کالساعی، بل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خالف المالک وفرّقها بنفسه لم یُجز؛ للنهی المفسد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وللمالک استعادة العین مع بقائها أو علم القابض</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ودفعها إلیهم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تفریقها بنفسه؛ لأ نّهم أبصر بمواقعها وأخبر بمواضعها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المفید والتقیّ </w:t>
      </w:r>
      <w:r>
        <w:rPr>
          <w:rStyle w:val="FootnoteAnchor"/>
          <w:rtl w:val="true"/>
        </w:rPr>
        <w:footnoteReference w:id="1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ابتداءً إلی الإمام أو نائبه، ومع الغیبة إلی الفقیه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وألحق التقیّ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محتجّین </w:t>
      </w:r>
      <w:r>
        <w:rPr>
          <w:rStyle w:val="FootnoteAnchor"/>
          <w:rtl w:val="true"/>
        </w:rPr>
        <w:footnoteReference w:id="1446"/>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1447"/>
      </w:r>
      <w:r>
        <w:rPr>
          <w:rFonts w:ascii="IRNazanin" w:hAnsi="IRNazanin" w:eastAsia="IRNazanin"/>
          <w:color w:val="111111"/>
          <w:sz w:val="28"/>
          <w:sz w:val="28"/>
          <w:szCs w:val="28"/>
          <w:rtl w:val="true"/>
          <w:lang w:bidi="fa-IR"/>
        </w:rPr>
        <w:t>والإ یجاب علیه یستلزم الإ یجاب علیهم، والنائب کالمنوب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والأشهر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ویُصدَّق المالک فی الإخراج بغیر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حقٌّ له کما هو علیه ولا یعلم إلّامن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وجاز احتسابها من دینٍ وغیره ممّا یتعذّر الإشهاد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تُقبل دعواه عدمَ الحول وتلفَ المال وما یُنقِص النصاب ما لم یُعلم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تقبل الشهادة علیه فی ذلک إلّامع الحصر؛ لأنّه 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قسمتها علی الأصناف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الثمانیة؛ لما فیه من فضیلة التسویة بین المستحقّین، وعملاً بظاهر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وإعطاء جماعةٍ من کلّ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 بصیغة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التسویة بینهم، بل الأفضل التفضیل بالمرجِّح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إلی 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الواحد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والفرد الواحد منه؛ لما ذکرناه من کونه لبیان المصرف، فلا یجب التشریک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إعطاء فوق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لاستحقاقه حال الدفع، والغَناء متأخّرٌ عن الملک فلا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أعطاه دفعات امتنعت المتأخّرة عن الکفایة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 ما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 ما یجب فی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المدفوع منهما وأمکن بلوغ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تعذّر، کما لو اُعطی</w:t>
      </w:r>
    </w:p>
    <w:p>
      <w:pPr>
        <w:pStyle w:val="BookText"/>
        <w:rPr/>
      </w:pPr>
      <w:r>
        <w:rPr>
          <w:rFonts w:ascii="IRNazanin" w:hAnsi="IRNazanin" w:eastAsia="IRNazanin"/>
          <w:color w:val="111111"/>
          <w:sz w:val="28"/>
          <w:sz w:val="28"/>
          <w:szCs w:val="28"/>
          <w:rtl w:val="true"/>
          <w:lang w:bidi="fa-IR"/>
        </w:rPr>
        <w:t xml:space="preserve">ما فی الأوّل لواحدٍ سقط الاستحباب فی الثانی </w:t>
      </w:r>
      <w:r>
        <w:rPr>
          <w:rStyle w:val="FootnoteAnchor"/>
          <w:rtl w:val="true"/>
        </w:rPr>
        <w:footnoteReference w:id="1449"/>
      </w:r>
      <w:r>
        <w:rPr>
          <w:rFonts w:ascii="Amiri" w:hAnsi="Amiri" w:eastAsia="Amiri" w:cs="Amiri"/>
          <w:color w:val="111111"/>
          <w:sz w:val="28"/>
          <w:sz w:val="28"/>
          <w:szCs w:val="28"/>
          <w:rtl w:val="true"/>
          <w:lang w:bidi="ar-SA"/>
        </w:rPr>
        <w:t>إذا لم یجتمع منه نُصُبٌ کثیرةٌ تبلغ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المدفوع من غیر النقدین، ففی تقدیره بأحدهما مع الإمکان وجهان، ومع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وجب علیه شاةٌ واحدة لا تبلغه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سبیل الوجوب مع إمکانه </w:t>
      </w:r>
      <w:r>
        <w:rPr>
          <w:rStyle w:val="FootnoteAnchor"/>
          <w:rtl w:val="true"/>
        </w:rPr>
        <w:footnoteReference w:id="1450"/>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دعاء الإمام أو نائبه للمالک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قبضها منه؛ للأمر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عَلَیْهِمْ</w:t>
      </w:r>
      <w:r>
        <w:rPr>
          <w:rFonts w:eastAsia="Amiri" w:cs="Amiri" w:ascii="Amiri" w:hAnsi="Amiri"/>
          <w:color w:val="111111"/>
          <w:sz w:val="28"/>
          <w:szCs w:val="28"/>
          <w:rtl w:val="true"/>
          <w:lang w:bidi="ar-SA"/>
        </w:rPr>
        <w:t xml:space="preserve">) </w:t>
      </w:r>
      <w:r>
        <w:rPr>
          <w:rStyle w:val="FootnoteAnchor"/>
          <w:rtl w:val="true"/>
        </w:rPr>
        <w:footnoteReference w:id="1451"/>
      </w:r>
      <w:r>
        <w:rPr>
          <w:rFonts w:ascii="IRNazanin" w:hAnsi="IRNazanin" w:eastAsia="IRNazanin"/>
          <w:color w:val="111111"/>
          <w:sz w:val="28"/>
          <w:sz w:val="28"/>
          <w:szCs w:val="28"/>
          <w:rtl w:val="true"/>
          <w:lang w:bidi="fa-IR"/>
        </w:rPr>
        <w:t>بعدأمره بأخذها منهم، والنائب کالمنوب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1452"/>
      </w:r>
      <w:r>
        <w:rPr>
          <w:rFonts w:ascii="IRNazanin" w:hAnsi="IRNazanin" w:eastAsia="IRNazanin"/>
          <w:color w:val="111111"/>
          <w:sz w:val="28"/>
          <w:sz w:val="28"/>
          <w:szCs w:val="28"/>
          <w:rtl w:val="true"/>
          <w:lang w:bidi="fa-IR"/>
        </w:rPr>
        <w:t>لدلالة الأمر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وبه قطع المصنّف فی الدروس </w:t>
      </w:r>
      <w:r>
        <w:rPr>
          <w:rStyle w:val="FootnoteAnchor"/>
          <w:rtl w:val="true"/>
        </w:rPr>
        <w:footnoteReference w:id="1453"/>
      </w:r>
      <w:r>
        <w:rPr>
          <w:rFonts w:ascii="IRNazanin" w:hAnsi="IRNazanin" w:eastAsia="IRNazanin"/>
          <w:color w:val="111111"/>
          <w:sz w:val="28"/>
          <w:sz w:val="28"/>
          <w:szCs w:val="28"/>
          <w:rtl w:val="true"/>
          <w:lang w:bidi="fa-IR"/>
        </w:rPr>
        <w:t xml:space="preserve">ویجوز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للاتّباع </w:t>
      </w:r>
      <w:r>
        <w:rPr>
          <w:rStyle w:val="FootnoteAnchor"/>
          <w:rtl w:val="true"/>
        </w:rPr>
        <w:footnoteReference w:id="1454"/>
      </w:r>
      <w:r>
        <w:rPr>
          <w:rFonts w:ascii="IRNazanin" w:hAnsi="IRNazanin" w:eastAsia="IRNazanin"/>
          <w:color w:val="111111"/>
          <w:sz w:val="28"/>
          <w:sz w:val="28"/>
          <w:szCs w:val="28"/>
          <w:rtl w:val="true"/>
          <w:lang w:bidi="fa-IR"/>
        </w:rPr>
        <w:t>ودلالة الأمر، وبغیرها؛ لأنّه معناها لغةً، والأصل هنا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ما یشمل الساعی والفقیه، فیجب علیهما أو</w:t>
      </w:r>
    </w:p>
    <w:p>
      <w:pPr>
        <w:pStyle w:val="BookText"/>
        <w:rPr/>
      </w:pPr>
      <w:r>
        <w:rPr>
          <w:rFonts w:ascii="Amiri" w:hAnsi="Amiri" w:eastAsia="Amiri" w:cs="Amiri"/>
          <w:color w:val="111111"/>
          <w:sz w:val="28"/>
          <w:sz w:val="28"/>
          <w:szCs w:val="28"/>
          <w:rtl w:val="true"/>
          <w:lang w:bidi="ar-SA"/>
        </w:rPr>
        <w:t>یستحبّ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المستحقّ فیستحبّ له بغیر 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الغیبة لا ساعی ولا مؤلّفة </w:t>
      </w:r>
      <w:r>
        <w:rPr>
          <w:rStyle w:val="FootnoteAnchor"/>
          <w:rtl w:val="true"/>
        </w:rPr>
        <w:footnoteReference w:id="1456"/>
      </w:r>
      <w:r>
        <w:rPr>
          <w:rFonts w:ascii="Amiri" w:hAnsi="Amiri" w:eastAsia="Amiri" w:cs="Amiri"/>
          <w:color w:val="111111"/>
          <w:sz w:val="28"/>
          <w:sz w:val="28"/>
          <w:szCs w:val="28"/>
          <w:rtl w:val="true"/>
          <w:lang w:bidi="ar-SA"/>
        </w:rPr>
        <w:t xml:space="preserve">إلّالمن </w:t>
      </w:r>
      <w:r>
        <w:rPr>
          <w:rStyle w:val="FootnoteAnchor"/>
          <w:rtl w:val="true"/>
        </w:rPr>
        <w:footnoteReference w:id="1457"/>
      </w:r>
      <w:r>
        <w:rPr>
          <w:rFonts w:ascii="IRNazanin" w:hAnsi="IRNazanin" w:eastAsia="IRNazanin"/>
          <w:color w:val="111111"/>
          <w:sz w:val="28"/>
          <w:sz w:val="28"/>
          <w:szCs w:val="28"/>
          <w:rtl w:val="true"/>
          <w:lang w:bidi="fa-IR"/>
        </w:rPr>
        <w:t>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الفقیه إذا تمکّن من نصب الساعی وجبایتها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وجب الجهاد فی حال الغیبة واحتیج إلی التألیف فیجوز بالفقیه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قصرناه علی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وأسقط الشیخ رحمه الله </w:t>
      </w:r>
      <w:r>
        <w:rPr>
          <w:rStyle w:val="FootnoteAnchor"/>
          <w:rtl w:val="true"/>
        </w:rPr>
        <w:footnoteReference w:id="1458"/>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النبی صلی الله علیه و آله؛ لبطلان التألیف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ولیخصّ بزکاة </w:t>
      </w:r>
      <w:r>
        <w:rPr>
          <w:rStyle w:val="FootnoteAnchor"/>
          <w:rtl w:val="true"/>
        </w:rPr>
        <w:footnoteReference w:id="1459"/>
      </w:r>
      <w:r>
        <w:rPr>
          <w:rFonts w:ascii="IRNazanin" w:hAnsi="IRNazanin" w:eastAsia="IRNazanin"/>
          <w:color w:val="111111"/>
          <w:sz w:val="28"/>
          <w:sz w:val="28"/>
          <w:szCs w:val="28"/>
          <w:rtl w:val="true"/>
          <w:lang w:bidi="fa-IR"/>
        </w:rPr>
        <w:t>النعم المتجمّل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وزکاة النقدین والغلّات غیرهم، رواه عبد اللّٰه بن سنان عن الصادق علیه السلام </w:t>
      </w:r>
      <w:r>
        <w:rPr>
          <w:rStyle w:val="FootnoteAnchor"/>
          <w:rtl w:val="true"/>
        </w:rPr>
        <w:footnoteReference w:id="1460"/>
      </w:r>
      <w:r>
        <w:rPr>
          <w:rFonts w:ascii="Amiri" w:hAnsi="Amiri" w:eastAsia="Amiri" w:cs="Amiri"/>
          <w:color w:val="111111"/>
          <w:sz w:val="28"/>
          <w:sz w:val="28"/>
          <w:szCs w:val="28"/>
          <w:rtl w:val="true"/>
          <w:lang w:bidi="ar-SA"/>
        </w:rPr>
        <w:t xml:space="preserve">معلّلاً بأنّ أهل التجمّل یستحیون من الناس، فیدفع إلیهم أجلّ </w:t>
      </w:r>
      <w:r>
        <w:rPr>
          <w:rStyle w:val="FootnoteAnchor"/>
          <w:rtl w:val="true"/>
        </w:rPr>
        <w:footnoteReference w:id="1461"/>
      </w:r>
      <w:r>
        <w:rPr>
          <w:rFonts w:ascii="IRNazanin" w:hAnsi="IRNazanin" w:eastAsia="IRNazanin"/>
          <w:color w:val="111111"/>
          <w:sz w:val="28"/>
          <w:sz w:val="28"/>
          <w:szCs w:val="28"/>
          <w:rtl w:val="true"/>
          <w:lang w:bidi="fa-IR"/>
        </w:rPr>
        <w:t xml:space="preserve">الأمرین عند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 یصالها إلی المستحیی </w:t>
      </w:r>
      <w:r>
        <w:rPr>
          <w:rStyle w:val="FootnoteAnchor"/>
          <w:rtl w:val="true"/>
        </w:rPr>
        <w:footnoteReference w:id="1462"/>
      </w:r>
      <w:r>
        <w:rPr>
          <w:rFonts w:ascii="IRNazanin" w:hAnsi="IRNazanin" w:eastAsia="IRNazanin"/>
          <w:color w:val="111111"/>
          <w:sz w:val="28"/>
          <w:sz w:val="28"/>
          <w:szCs w:val="28"/>
          <w:rtl w:val="true"/>
          <w:lang w:bidi="fa-IR"/>
        </w:rPr>
        <w:t>من قبولها 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واحتسابها علیه بعد وصولها إلی یده أو ید وکیله مع بقاء عینها</w:t>
      </w:r>
      <w:r>
        <w:rPr>
          <w:rFonts w:eastAsia="IRNazanin" w:cs="IRNazanin"/>
          <w:color w:val="111111"/>
          <w:sz w:val="28"/>
          <w:szCs w:val="28"/>
          <w:rtl w:val="true"/>
          <w:lang w:bidi="fa-IR"/>
        </w:rPr>
        <w:t>.</w:t>
      </w:r>
      <w:bookmarkStart w:id="386" w:name="pg19806_203581"/>
    </w:p>
    <w:p>
      <w:pPr>
        <w:pStyle w:val="Heading3"/>
        <w:numPr>
          <w:ilvl w:val="2"/>
          <w:numId w:val="1"/>
        </w:numPr>
        <w:rPr/>
      </w:pPr>
      <w:bookmarkStart w:id="387" w:name="__RefHeading___Toc2027989_2314609296"/>
      <w:bookmarkStart w:id="388" w:name="_Toc142"/>
      <w:bookmarkEnd w:id="386"/>
      <w:bookmarkEnd w:id="387"/>
      <w:r>
        <w:rPr>
          <w:rtl w:val="true"/>
        </w:rPr>
        <w:t>«</w:t>
      </w:r>
      <w:r>
        <w:rPr>
          <w:rtl w:val="true"/>
        </w:rPr>
        <w:t>الفصل الرابع</w:t>
      </w:r>
      <w:r>
        <w:rPr>
          <w:rtl w:val="true"/>
        </w:rPr>
        <w:t>» «</w:t>
      </w:r>
      <w:r>
        <w:rPr>
          <w:rtl w:val="true"/>
        </w:rPr>
        <w:t>فی زکاة الفطرة</w:t>
      </w:r>
      <w:r>
        <w:rPr>
          <w:rtl w:val="true"/>
        </w:rPr>
        <w:t>»</w:t>
      </w:r>
      <w:bookmarkEnd w:id="388"/>
    </w:p>
    <w:p>
      <w:pPr>
        <w:pStyle w:val="Heading4"/>
        <w:numPr>
          <w:ilvl w:val="3"/>
          <w:numId w:val="1"/>
        </w:numPr>
        <w:rPr/>
      </w:pPr>
      <w:bookmarkStart w:id="389" w:name="__RefHeading___Toc2027991_2314609296"/>
      <w:bookmarkStart w:id="390" w:name="_Toc143"/>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وتطلق علی الخلقة، وعلی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علی الأوّل زکاة الأبدان مقابل المال، وعلی الثانی زکاة الدین والإسلام، ومن ثمّ وجبت علی من أسلم قبل الهلال</w:t>
      </w:r>
      <w:r>
        <w:rPr>
          <w:rFonts w:eastAsia="IRNazanin" w:cs="IRNazanin"/>
          <w:color w:val="111111"/>
          <w:sz w:val="28"/>
          <w:szCs w:val="28"/>
          <w:rtl w:val="true"/>
          <w:lang w:bidi="fa-IR"/>
        </w:rPr>
        <w:t>.</w:t>
      </w:r>
    </w:p>
    <w:p>
      <w:pPr>
        <w:pStyle w:val="Heading4"/>
        <w:numPr>
          <w:ilvl w:val="3"/>
          <w:numId w:val="1"/>
        </w:numPr>
        <w:rPr/>
      </w:pPr>
      <w:bookmarkStart w:id="391" w:name="__RefHeading___Toc2027993_2314609296"/>
      <w:bookmarkStart w:id="392" w:name="_Toc144"/>
      <w:bookmarkEnd w:id="391"/>
      <w:r>
        <w:rPr>
          <w:rtl w:val="true"/>
        </w:rPr>
        <w:t>[</w:t>
      </w:r>
      <w:r>
        <w:rPr>
          <w:rtl w:val="true"/>
        </w:rPr>
        <w:t>فی من تجب علیه زکاة الفطرة</w:t>
      </w:r>
      <w:r>
        <w:rPr>
          <w:rtl w:val="true"/>
        </w:rPr>
        <w:t>]</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 البالغ العاقل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الصبیّ والمجنون والعبد، بل علی من یعولهم إن کان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العبد بین القِنّ والمدبَّر والمکاتب، إلّا إذا تحرّر بعض المطلق فیجب علیه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جزئه الرقّ والمشروط قولان، أشهرهما وجوبها علی المولی ما لم یَعُله غیره </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قوت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أو قوّةً، فلا تجب علی الفقیر، وهو من یستحقّ الزکاة لفقره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 مالک قوت السنة أن یفضل عنه أصواعٌ بعدد من یُخرج عنه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وعن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وزوجةٍ وضیفٍ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فی الضیف وشبهه صدق اسمه قبل الهلال ولو بلحظة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وجوبها علیه تسقط عنهم وإن لم یخرجها، حتّی لو أخرجوها تبرّعاً بغیر إذنه لم یبرأ من وجبت</w:t>
      </w:r>
      <w:bookmarkStart w:id="393" w:name="pg19806_203582"/>
    </w:p>
    <w:p>
      <w:pPr>
        <w:pStyle w:val="BookText"/>
        <w:rPr/>
      </w:pPr>
      <w:bookmarkEnd w:id="393"/>
      <w:r>
        <w:rPr>
          <w:rFonts w:ascii="IRNazanin" w:hAnsi="IRNazanin" w:eastAsia="IRNazanin"/>
          <w:color w:val="111111"/>
          <w:sz w:val="28"/>
          <w:sz w:val="28"/>
          <w:szCs w:val="28"/>
          <w:rtl w:val="true"/>
          <w:lang w:bidi="fa-IR"/>
        </w:rPr>
        <w:t>علیه، وتسقط عنه لو کان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وجوب فطرة الزوجة والعبد العیلولة، بل تجب مطلقاً ما لم یَعُلْهما غیره ممّن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کون الزوجة واجبة النفقة، فلا فطرة للناشز والصغیرة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علیه زکاة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کفره، مع أ نّه لو أسلم بعد الهلال سقطت عنه وإن استحبّت قبل الزوال، کما تسقط المالیّة لو أسلم بعد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تظهر الفائدة فی عقابه علی ترکها لو مات کافراً، کغیرها من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والاعتبار بالشروط </w:t>
      </w:r>
      <w:r>
        <w:rPr>
          <w:rStyle w:val="FootnoteAnchor"/>
          <w:rtl w:val="true"/>
        </w:rPr>
        <w:footnoteReference w:id="1464"/>
      </w:r>
      <w:r>
        <w:rPr>
          <w:rFonts w:ascii="IRNazanin" w:hAnsi="IRNazanin" w:eastAsia="IRNazanin"/>
          <w:color w:val="111111"/>
          <w:sz w:val="28"/>
          <w:sz w:val="28"/>
          <w:szCs w:val="28"/>
          <w:rtl w:val="true"/>
          <w:lang w:bidi="fa-IR"/>
        </w:rPr>
        <w:t>عند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اُعتق العبد بعده أو استغنی الفقیر أو أسلم الکافر أو أطاعت الزوجة لم تجب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تجدّد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الغروب لیلة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یومه</w:t>
      </w:r>
      <w:r>
        <w:rPr>
          <w:rFonts w:eastAsia="IRNazanin" w:cs="IRNazanin"/>
          <w:color w:val="111111"/>
          <w:sz w:val="28"/>
          <w:szCs w:val="28"/>
          <w:rtl w:val="true"/>
          <w:lang w:bidi="fa-IR"/>
        </w:rPr>
        <w:t>.</w:t>
      </w:r>
    </w:p>
    <w:p>
      <w:pPr>
        <w:pStyle w:val="Heading4"/>
        <w:numPr>
          <w:ilvl w:val="3"/>
          <w:numId w:val="1"/>
        </w:numPr>
        <w:rPr/>
      </w:pPr>
      <w:bookmarkStart w:id="394" w:name="__RefHeading___Toc2027995_2314609296"/>
      <w:bookmarkStart w:id="395" w:name="_Toc145"/>
      <w:bookmarkEnd w:id="394"/>
      <w:r>
        <w:rPr>
          <w:rtl w:val="true"/>
        </w:rPr>
        <w:t>[</w:t>
      </w:r>
      <w:r>
        <w:rPr>
          <w:rtl w:val="true"/>
        </w:rPr>
        <w:t>مقدار زکاة الفطرة</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وقدرها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الحنطة أو الشعیر أو التمر أو الزبیب أو الأرز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منزوع القشر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لبنٌ 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الاُصول مجزیةٌ وإن لم تکن قوتاً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غیرها فإنّما یُجزئ مع غلبته فی قوت المُخرج</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وأفضلها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أسرع منفعةً وأقلّ کلفةً، ولاشتماله علی القوت والإدام </w:t>
      </w:r>
      <w:r>
        <w:rPr>
          <w:rStyle w:val="FootnoteAnchor"/>
          <w:rtl w:val="true"/>
        </w:rPr>
        <w:footnoteReference w:id="1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لقربه من التمر فی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یغلب علی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الأجناس وغیرها</w:t>
      </w:r>
      <w:r>
        <w:rPr>
          <w:rFonts w:eastAsia="IRNazanin" w:cs="IRNazanin"/>
          <w:color w:val="111111"/>
          <w:sz w:val="28"/>
          <w:szCs w:val="28"/>
          <w:rtl w:val="true"/>
          <w:lang w:bidi="fa-IR"/>
        </w:rPr>
        <w:t>.</w:t>
      </w:r>
      <w:bookmarkStart w:id="396" w:name="pg19806_203583"/>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والصاع تسعة أرطالٍ ولو من اللبن فی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لوجوب الصاع لا لتقدیره، فإنّ مقابل الأقوی إجزاء ستّة أرطالٍ منه أو أربعة </w:t>
      </w:r>
      <w:r>
        <w:rPr>
          <w:rStyle w:val="FootnoteAnchor"/>
          <w:rtl w:val="true"/>
        </w:rPr>
        <w:footnoteReference w:id="1466"/>
      </w:r>
      <w:r>
        <w:rPr>
          <w:rFonts w:ascii="Amiri" w:hAnsi="Amiri" w:eastAsia="Amiri" w:cs="Amiri"/>
          <w:color w:val="111111"/>
          <w:sz w:val="28"/>
          <w:sz w:val="28"/>
          <w:szCs w:val="28"/>
          <w:rtl w:val="true"/>
          <w:lang w:bidi="ar-SA"/>
        </w:rPr>
        <w:t>لا أنّ الصاع منه قدرٌ آخر</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027997_2314609296"/>
      <w:bookmarkStart w:id="398" w:name="_Toc146"/>
      <w:bookmarkEnd w:id="397"/>
      <w:r>
        <w:rPr>
          <w:rtl w:val="true"/>
        </w:rPr>
        <w:t>[</w:t>
      </w:r>
      <w:r>
        <w:rPr>
          <w:rtl w:val="true"/>
        </w:rPr>
        <w:t>احکام اخری لزکاة الفطرة</w:t>
      </w:r>
      <w:r>
        <w:rPr>
          <w:rtl w:val="true"/>
        </w:rPr>
        <w:t>]</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إخراج القیمة بسعر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انحصارٍ فی درهمٍ عن الصاع أو ثلثی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منها مقدّراً </w:t>
      </w:r>
      <w:r>
        <w:rPr>
          <w:rStyle w:val="FootnoteAnchor"/>
          <w:rtl w:val="true"/>
        </w:rPr>
        <w:footnoteReference w:id="1467"/>
      </w:r>
      <w:r>
        <w:rPr>
          <w:rFonts w:ascii="IRNazanin" w:hAnsi="IRNazanin" w:eastAsia="IRNazanin"/>
          <w:color w:val="111111"/>
          <w:sz w:val="28"/>
          <w:sz w:val="28"/>
          <w:szCs w:val="28"/>
          <w:rtl w:val="true"/>
          <w:lang w:bidi="fa-IR"/>
        </w:rPr>
        <w:t>منزّل علی سعر ذلک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النیّة فیها وفی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المالک أو وکیله عند الدفع إلی المستحقّ، أو وکیله عموماً کالإمام ونائبه عامّاً أو خاصّاً، أو خصوصاً کوکیله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ینو المالک عند دفعها إلی غیر المستحقّ ووکیله الخاصّ فنوی القابض عند دفعها إلیه أجزأ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عزل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عیّنها فی مالٍ خاصٍّ بقدرها بالنیّة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تعجیل إخراجها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العزل بغیر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بعد ذلک بمنزلة الوکیل فی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لا لعذرٍ ضمن مطلقاً إن جوّزنا العزل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فائدة العزل فی انحصارها فی المعزول، فلا یجوز التصرّف فیه، ونماؤه تابع، وضمانه کما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ومصرفها مصرف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الأصناف الثمانیة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أن لا یقصر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p>
    <w:p>
      <w:pPr>
        <w:pStyle w:val="BookText"/>
        <w:rPr/>
      </w:pPr>
      <w:r>
        <w:rPr>
          <w:rFonts w:ascii="IRNazanin" w:hAnsi="IRNazanin" w:eastAsia="IRNazanin"/>
          <w:color w:val="111111"/>
          <w:sz w:val="28"/>
          <w:sz w:val="28"/>
          <w:szCs w:val="28"/>
          <w:rtl w:val="true"/>
          <w:lang w:bidi="fa-IR"/>
        </w:rPr>
        <w:t xml:space="preserve">والمشهور أنّ ذلک علی وجه الوجوب، ومال إلیه فی البیان </w:t>
      </w:r>
      <w:r>
        <w:rPr>
          <w:rStyle w:val="FootnoteAnchor"/>
          <w:rtl w:val="true"/>
        </w:rPr>
        <w:footnoteReference w:id="1468"/>
      </w:r>
      <w:r>
        <w:rPr>
          <w:rFonts w:ascii="IRNazanin" w:hAnsi="IRNazanin" w:eastAsia="IRNazanin"/>
          <w:color w:val="111111"/>
          <w:sz w:val="28"/>
          <w:sz w:val="28"/>
          <w:szCs w:val="28"/>
          <w:rtl w:val="true"/>
          <w:lang w:bidi="fa-IR"/>
        </w:rPr>
        <w:t xml:space="preserve">ولا فرق بین صاع نفسه ومن یعوله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اجتماع المستحقّین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الوجوب أو الاستحباب، بل یُبسَط الموجود علیهم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التسویة وإن استحبّت مع عدم المرجِّح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أن یخصّ بها المستحقّ من القرابة والجار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وتخصیص أهل الفضل بالعلم والزهد وغیرهما وترجیحهم فی سائر المراتب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بان الآخذ غیر مستحقٍّ ارتجعت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أو بدلاً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التعذّر تُجزئ إن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الدافع بالبحث عن حاله علی وجهٍ لو کان بخلافه لظهر عادةً، لا بدونه بأن اعتمد علی دعواه الاستحقاق مع قدرته علی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یُجزئ مطلقاً؛ لأنّه لم یخرج عن ملک المالک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الاستثناء نظر؛ لأنّ العلّة فی نفس الأمر مشترکةٌ، فإنّ القابض مع عدم استحقاقه لا یملک مطلقاً وإن برئ الدافع، بل یبقی المال مضموناً علیه، وتعذّر الارتجاع مشترکٌ، والنصّ مطلقٌ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bookmarkStart w:id="399" w:name="pg19806_203585"/>
    </w:p>
    <w:p>
      <w:pPr>
        <w:pStyle w:val="Heading2"/>
        <w:numPr>
          <w:ilvl w:val="1"/>
          <w:numId w:val="1"/>
        </w:numPr>
        <w:rPr/>
      </w:pPr>
      <w:bookmarkStart w:id="400" w:name="__RefHeading___Toc2027999_2314609296"/>
      <w:bookmarkStart w:id="401" w:name="_Toc147"/>
      <w:bookmarkEnd w:id="399"/>
      <w:bookmarkEnd w:id="400"/>
      <w:r>
        <w:rPr>
          <w:rtl w:val="true"/>
        </w:rPr>
        <w:t>کتاب الخمس</w:t>
      </w:r>
      <w:bookmarkEnd w:id="40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2028001_2314609296"/>
      <w:bookmarkStart w:id="403" w:name="_Toc148"/>
      <w:bookmarkEnd w:id="402"/>
      <w:r>
        <w:rPr>
          <w:rtl w:val="true"/>
        </w:rPr>
        <w:t>اشارة</w:t>
      </w:r>
      <w:bookmarkStart w:id="404" w:name="pg19806_203587"/>
      <w:bookmarkEnd w:id="403"/>
    </w:p>
    <w:p>
      <w:pPr>
        <w:pStyle w:val="Heading3"/>
        <w:numPr>
          <w:ilvl w:val="2"/>
          <w:numId w:val="1"/>
        </w:numPr>
        <w:rPr/>
      </w:pPr>
      <w:bookmarkStart w:id="405" w:name="__RefHeading___Toc2028003_2314609296"/>
      <w:bookmarkStart w:id="406" w:name="_Toc149"/>
      <w:bookmarkEnd w:id="404"/>
      <w:bookmarkEnd w:id="405"/>
      <w:r>
        <w:rPr>
          <w:rtl w:val="true"/>
        </w:rPr>
        <w:t>[</w:t>
      </w:r>
      <w:r>
        <w:rPr>
          <w:rtl w:val="true"/>
        </w:rPr>
        <w:t>فی ما یجب فیه الخمس</w:t>
      </w:r>
      <w:r>
        <w:rPr>
          <w:rtl w:val="true"/>
        </w:rPr>
        <w:t>]</w:t>
      </w:r>
      <w:bookmarkEnd w:id="406"/>
    </w:p>
    <w:p>
      <w:pPr>
        <w:pStyle w:val="Heading4"/>
        <w:numPr>
          <w:ilvl w:val="3"/>
          <w:numId w:val="1"/>
        </w:numPr>
        <w:rPr/>
      </w:pPr>
      <w:bookmarkStart w:id="407" w:name="__RefHeading___Toc2028005_2314609296"/>
      <w:bookmarkStart w:id="408" w:name="_Toc150"/>
      <w:bookmarkEnd w:id="407"/>
      <w:r>
        <w:rPr>
          <w:rtl w:val="true"/>
        </w:rPr>
        <w:t>اشارة</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أشیاء</w:t>
      </w:r>
      <w:r>
        <w:rPr>
          <w:rFonts w:eastAsia="IRNazanin" w:cs="IRNazanin"/>
          <w:color w:val="111111"/>
          <w:sz w:val="28"/>
          <w:szCs w:val="28"/>
          <w:rtl w:val="true"/>
          <w:lang w:bidi="fa-IR"/>
        </w:rPr>
        <w:t>:</w:t>
      </w:r>
    </w:p>
    <w:p>
      <w:pPr>
        <w:pStyle w:val="Heading4"/>
        <w:numPr>
          <w:ilvl w:val="3"/>
          <w:numId w:val="1"/>
        </w:numPr>
        <w:rPr/>
      </w:pPr>
      <w:bookmarkStart w:id="409" w:name="__RefHeading___Toc2028007_2314609296"/>
      <w:bookmarkStart w:id="410" w:name="_Toc151"/>
      <w:bookmarkEnd w:id="409"/>
      <w:r>
        <w:rPr>
          <w:rtl w:val="true"/>
        </w:rPr>
        <w:t>الأول</w:t>
      </w:r>
      <w:r>
        <w:rPr>
          <w:rtl w:val="true"/>
        </w:rPr>
        <w:t>: «</w:t>
      </w:r>
      <w:r>
        <w:rPr>
          <w:rtl w:val="true"/>
        </w:rPr>
        <w:t>الغنیمة</w:t>
      </w:r>
      <w:r>
        <w:rPr>
          <w:rtl w:val="true"/>
        </w:rPr>
        <w:t>» :</w:t>
      </w:r>
      <w:bookmarkEnd w:id="410"/>
    </w:p>
    <w:p>
      <w:pPr>
        <w:pStyle w:val="BookText"/>
        <w:rPr/>
      </w:pPr>
      <w:r>
        <w:rPr>
          <w:rFonts w:ascii="IRNazanin" w:hAnsi="IRNazanin" w:eastAsia="IRNazanin"/>
          <w:color w:val="111111"/>
          <w:sz w:val="28"/>
          <w:sz w:val="28"/>
          <w:szCs w:val="28"/>
          <w:rtl w:val="true"/>
          <w:lang w:bidi="fa-IR"/>
        </w:rPr>
        <w:t xml:space="preserve">وهی ما یحوزه المسلمون بإذن النبی أو الإمام علیهم السلام من أموال أهل الحرب بغیر سَرِقَةٍ ولا غِیلةٍ </w:t>
      </w:r>
      <w:r>
        <w:rPr>
          <w:rStyle w:val="FootnoteAnchor"/>
          <w:rtl w:val="true"/>
        </w:rPr>
        <w:footnoteReference w:id="1470"/>
      </w:r>
      <w:r>
        <w:rPr>
          <w:rFonts w:ascii="IRNazanin" w:hAnsi="IRNazanin" w:eastAsia="IRNazanin"/>
          <w:color w:val="111111"/>
          <w:sz w:val="28"/>
          <w:sz w:val="28"/>
          <w:szCs w:val="28"/>
          <w:rtl w:val="true"/>
          <w:lang w:bidi="fa-IR"/>
        </w:rPr>
        <w:t>من منقول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مال البغاة إذا حواها العسکر عند الأکثر، ومنهم المصنّف فی خمس الدروس </w:t>
      </w:r>
      <w:r>
        <w:rPr>
          <w:rStyle w:val="FootnoteAnchor"/>
          <w:rtl w:val="true"/>
        </w:rPr>
        <w:footnoteReference w:id="1471"/>
      </w:r>
      <w:r>
        <w:rPr>
          <w:rFonts w:ascii="IRNazanin" w:hAnsi="IRNazanin" w:eastAsia="IRNazanin"/>
          <w:color w:val="111111"/>
          <w:sz w:val="28"/>
          <w:sz w:val="28"/>
          <w:szCs w:val="28"/>
          <w:rtl w:val="true"/>
          <w:lang w:bidi="fa-IR"/>
        </w:rPr>
        <w:t xml:space="preserve">وخالفه فی الجهاد </w:t>
      </w:r>
      <w:r>
        <w:rPr>
          <w:rStyle w:val="FootnoteAnchor"/>
          <w:rtl w:val="true"/>
        </w:rPr>
        <w:footnoteReference w:id="1472"/>
      </w:r>
      <w:r>
        <w:rPr>
          <w:rFonts w:ascii="IRNazanin" w:hAnsi="IRNazanin" w:eastAsia="IRNazanin"/>
          <w:color w:val="111111"/>
          <w:sz w:val="28"/>
          <w:sz w:val="28"/>
          <w:szCs w:val="28"/>
          <w:rtl w:val="true"/>
          <w:lang w:bidi="fa-IR"/>
        </w:rPr>
        <w:t xml:space="preserve">وفی هذا الکتاب </w:t>
      </w:r>
      <w:r>
        <w:rPr>
          <w:rStyle w:val="FootnoteAnchor"/>
          <w:rtl w:val="true"/>
        </w:rPr>
        <w:footnoteReference w:id="1473"/>
      </w:r>
      <w:r>
        <w:rPr>
          <w:rFonts w:ascii="IRNazanin" w:hAnsi="IRNazanin" w:eastAsia="IRNazanin"/>
          <w:color w:val="111111"/>
          <w:sz w:val="28"/>
          <w:sz w:val="28"/>
          <w:szCs w:val="28"/>
          <w:rtl w:val="true"/>
          <w:lang w:bidi="fa-IR"/>
        </w:rPr>
        <w:t>ومن الغنیمة فداء المشرکین وما صولحوا علیه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أخرجناه من الغنیمة بغیر إذن الإمام والسرقة والغیلة من أموالهم فیه الخمس أیضاً، لکنّه لا یدخل فی اسم الغنیمة بالمعنی المشهور؛ لأنّ الأوّل</w:t>
      </w:r>
      <w:bookmarkStart w:id="411" w:name="pg19806_203588"/>
    </w:p>
    <w:p>
      <w:pPr>
        <w:pStyle w:val="BookText"/>
        <w:rPr/>
      </w:pPr>
      <w:bookmarkEnd w:id="411"/>
      <w:r>
        <w:rPr>
          <w:rFonts w:ascii="IRNazanin" w:hAnsi="IRNazanin" w:eastAsia="IRNazanin"/>
          <w:color w:val="111111"/>
          <w:sz w:val="28"/>
          <w:sz w:val="28"/>
          <w:szCs w:val="28"/>
          <w:rtl w:val="true"/>
          <w:lang w:bidi="fa-IR"/>
        </w:rPr>
        <w:t>للإمام خاصّةً، والثانی لآخذه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غنیمة بقولٍ مطلق، فیصحّ إخراجه منها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یجب الخمس فی الغنیمة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إخراج المُؤَن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اُنفق علیها بعد تحصیلها بحفظٍ وحملٍ ورعیٍ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یُقدّم علیه الجعائل علی الأقوی</w:t>
      </w:r>
      <w:r>
        <w:rPr>
          <w:rFonts w:eastAsia="IRNazanin" w:cs="IRNazanin"/>
          <w:color w:val="111111"/>
          <w:sz w:val="28"/>
          <w:szCs w:val="28"/>
          <w:rtl w:val="true"/>
          <w:lang w:bidi="fa-IR"/>
        </w:rPr>
        <w:t>.</w:t>
      </w:r>
    </w:p>
    <w:p>
      <w:pPr>
        <w:pStyle w:val="Heading4"/>
        <w:numPr>
          <w:ilvl w:val="3"/>
          <w:numId w:val="1"/>
        </w:numPr>
        <w:rPr/>
      </w:pPr>
      <w:bookmarkStart w:id="412" w:name="__RefHeading___Toc2028009_2314609296"/>
      <w:bookmarkStart w:id="413" w:name="_Toc152"/>
      <w:bookmarkEnd w:id="412"/>
      <w:r>
        <w:rPr>
          <w:rtl w:val="true"/>
        </w:rPr>
        <w:t>«</w:t>
      </w:r>
      <w:r>
        <w:rPr>
          <w:rtl w:val="true"/>
        </w:rPr>
        <w:t>و</w:t>
      </w:r>
      <w:r>
        <w:rPr>
          <w:rtl w:val="true"/>
        </w:rPr>
        <w:t xml:space="preserve">» </w:t>
      </w:r>
      <w:r>
        <w:rPr>
          <w:rtl w:val="true"/>
        </w:rPr>
        <w:t>الثانی</w:t>
      </w:r>
      <w:r>
        <w:rPr>
          <w:rtl w:val="true"/>
        </w:rPr>
        <w:t>: «</w:t>
      </w:r>
      <w:r>
        <w:rPr>
          <w:rtl w:val="true"/>
        </w:rPr>
        <w:t>المعدِن</w:t>
      </w:r>
      <w:r>
        <w:rPr>
          <w:rtl w:val="true"/>
        </w:rPr>
        <w:t>» :</w:t>
      </w:r>
      <w:bookmarkEnd w:id="413"/>
    </w:p>
    <w:p>
      <w:pPr>
        <w:pStyle w:val="BookText"/>
        <w:rPr/>
      </w:pPr>
      <w:r>
        <w:rPr>
          <w:rFonts w:ascii="IRNazanin" w:hAnsi="IRNazanin" w:eastAsia="IRNazanin"/>
          <w:color w:val="111111"/>
          <w:sz w:val="28"/>
          <w:sz w:val="28"/>
          <w:szCs w:val="28"/>
          <w:rtl w:val="true"/>
          <w:lang w:bidi="fa-IR"/>
        </w:rPr>
        <w:t>بکسر الدال وهو ما استُخرج من الأرض ممّا کانت أصله ثمّ اشتمل علی خصوصیةٍ یعظم الانتفاع بها، کالملح والجصّ وطین الغَسل وحجارة الرحی،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الزبرجد والعقیق والفیروزج وغیرها</w:t>
      </w:r>
      <w:r>
        <w:rPr>
          <w:rFonts w:eastAsia="IRNazanin" w:cs="IRNazanin"/>
          <w:color w:val="111111"/>
          <w:sz w:val="28"/>
          <w:szCs w:val="28"/>
          <w:rtl w:val="true"/>
          <w:lang w:bidi="fa-IR"/>
        </w:rPr>
        <w:t>.</w:t>
      </w:r>
    </w:p>
    <w:p>
      <w:pPr>
        <w:pStyle w:val="Heading4"/>
        <w:numPr>
          <w:ilvl w:val="3"/>
          <w:numId w:val="1"/>
        </w:numPr>
        <w:rPr/>
      </w:pPr>
      <w:bookmarkStart w:id="414" w:name="__RefHeading___Toc2028011_2314609296"/>
      <w:bookmarkStart w:id="415" w:name="_Toc153"/>
      <w:bookmarkEnd w:id="414"/>
      <w:r>
        <w:rPr>
          <w:rtl w:val="true"/>
        </w:rPr>
        <w:t>«</w:t>
      </w:r>
      <w:r>
        <w:rPr>
          <w:rtl w:val="true"/>
        </w:rPr>
        <w:t>و</w:t>
      </w:r>
      <w:r>
        <w:rPr>
          <w:rtl w:val="true"/>
        </w:rPr>
        <w:t xml:space="preserve">» </w:t>
      </w:r>
      <w:r>
        <w:rPr>
          <w:rtl w:val="true"/>
        </w:rPr>
        <w:t>الثالث</w:t>
      </w:r>
      <w:r>
        <w:rPr>
          <w:rtl w:val="true"/>
        </w:rPr>
        <w:t>: «</w:t>
      </w:r>
      <w:r>
        <w:rPr>
          <w:rtl w:val="true"/>
        </w:rPr>
        <w:t>الغوص</w:t>
      </w:r>
      <w:r>
        <w:rPr>
          <w:rtl w:val="true"/>
        </w:rPr>
        <w:t>» :</w:t>
      </w:r>
      <w:bookmarkEnd w:id="415"/>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اللؤلؤ والمرجان والذهب والفضّة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لیس علیها سکّة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والعنبر، والمفهوم منه الإخراج من داخل الماء، فلو اُخذ شیءٌ من ذلک من الساحل أو عن وجه الماء لم یکن غوصاً، وفاقاً للمصنّف فی الدروس </w:t>
      </w:r>
      <w:r>
        <w:rPr>
          <w:rStyle w:val="FootnoteAnchor"/>
          <w:rtl w:val="true"/>
        </w:rPr>
        <w:footnoteReference w:id="1476"/>
      </w:r>
      <w:r>
        <w:rPr>
          <w:rFonts w:ascii="IRNazanin" w:hAnsi="IRNazanin" w:eastAsia="IRNazanin"/>
          <w:color w:val="111111"/>
          <w:sz w:val="28"/>
          <w:sz w:val="28"/>
          <w:szCs w:val="28"/>
          <w:rtl w:val="true"/>
          <w:lang w:bidi="fa-IR"/>
        </w:rPr>
        <w:t xml:space="preserve">وخلافاً للبیان </w:t>
      </w:r>
      <w:r>
        <w:rPr>
          <w:rStyle w:val="FootnoteAnchor"/>
          <w:rtl w:val="true"/>
        </w:rPr>
        <w:footnoteReference w:id="1477"/>
      </w:r>
      <w:r>
        <w:rPr>
          <w:rFonts w:ascii="IRNazanin" w:hAnsi="IRNazanin" w:eastAsia="IRNazanin"/>
          <w:color w:val="111111"/>
          <w:sz w:val="28"/>
          <w:sz w:val="28"/>
          <w:szCs w:val="28"/>
          <w:rtl w:val="true"/>
          <w:lang w:bidi="fa-IR"/>
        </w:rPr>
        <w:t>وحیث لا یلحق به یکون من المکاسب، وتظهر الفائدة فی الشرائط</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إلحاق صید البحر بالغوص أو المکاسب؟ وجهان، والتفصیل حسنٌ، إلحاقاً لکلٍّ بحقیقته</w:t>
      </w:r>
      <w:r>
        <w:rPr>
          <w:rFonts w:eastAsia="IRNazanin" w:cs="IRNazanin"/>
          <w:color w:val="111111"/>
          <w:sz w:val="28"/>
          <w:szCs w:val="28"/>
          <w:rtl w:val="true"/>
          <w:lang w:bidi="fa-IR"/>
        </w:rPr>
        <w:t>.</w:t>
      </w:r>
      <w:bookmarkStart w:id="416" w:name="pg19806_203589"/>
    </w:p>
    <w:p>
      <w:pPr>
        <w:pStyle w:val="Heading4"/>
        <w:numPr>
          <w:ilvl w:val="3"/>
          <w:numId w:val="1"/>
        </w:numPr>
        <w:rPr/>
      </w:pPr>
      <w:bookmarkStart w:id="417" w:name="__RefHeading___Toc2028013_2314609296"/>
      <w:bookmarkStart w:id="418" w:name="_Toc154"/>
      <w:bookmarkEnd w:id="416"/>
      <w:bookmarkEnd w:id="417"/>
      <w:r>
        <w:rPr>
          <w:rtl w:val="true"/>
        </w:rPr>
        <w:t>«</w:t>
      </w:r>
      <w:r>
        <w:rPr>
          <w:rtl w:val="true"/>
        </w:rPr>
        <w:t>و</w:t>
      </w:r>
      <w:r>
        <w:rPr>
          <w:rtl w:val="true"/>
        </w:rPr>
        <w:t xml:space="preserve">» </w:t>
      </w:r>
      <w:r>
        <w:rPr>
          <w:rtl w:val="true"/>
        </w:rPr>
        <w:t>الرابع</w:t>
      </w:r>
      <w:r>
        <w:rPr>
          <w:rtl w:val="true"/>
        </w:rPr>
        <w:t>: «</w:t>
      </w:r>
      <w:r>
        <w:rPr>
          <w:rtl w:val="true"/>
        </w:rPr>
        <w:t>أرباح المکاسب</w:t>
      </w:r>
      <w:r>
        <w:rPr>
          <w:rtl w:val="true"/>
        </w:rPr>
        <w:t>»</w:t>
      </w:r>
      <w:bookmarkEnd w:id="418"/>
    </w:p>
    <w:p>
      <w:pPr>
        <w:pStyle w:val="BookText"/>
        <w:rPr/>
      </w:pPr>
      <w:r>
        <w:rPr>
          <w:rFonts w:ascii="IRNazanin" w:hAnsi="IRNazanin" w:eastAsia="IRNazanin"/>
          <w:color w:val="111111"/>
          <w:sz w:val="28"/>
          <w:sz w:val="28"/>
          <w:szCs w:val="28"/>
          <w:rtl w:val="true"/>
          <w:lang w:bidi="fa-IR"/>
        </w:rPr>
        <w:t xml:space="preserve">من تجارةٍ وزراعةٍ وغرسٍ وغیرها ممّا یکتسب من غیر الأنواع المذکورة قسیمها ولو بنماءٍ وتولّدٍ وارتفاع قیمةٍ وغیرها، خلافاً للتحریر حیث نفاه فی الارتفاع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2028015_2314609296"/>
      <w:bookmarkStart w:id="420" w:name="_Toc155"/>
      <w:bookmarkEnd w:id="419"/>
      <w:r>
        <w:rPr>
          <w:rtl w:val="true"/>
        </w:rPr>
        <w:t>«</w:t>
      </w:r>
      <w:r>
        <w:rPr>
          <w:rtl w:val="true"/>
        </w:rPr>
        <w:t>و</w:t>
      </w:r>
      <w:r>
        <w:rPr>
          <w:rtl w:val="true"/>
        </w:rPr>
        <w:t xml:space="preserve">» </w:t>
      </w:r>
      <w:r>
        <w:rPr>
          <w:rtl w:val="true"/>
        </w:rPr>
        <w:t>الخامس</w:t>
      </w:r>
      <w:r>
        <w:rPr>
          <w:rtl w:val="true"/>
        </w:rPr>
        <w:t>: «</w:t>
      </w:r>
      <w:r>
        <w:rPr>
          <w:rtl w:val="true"/>
        </w:rPr>
        <w:t>الحلال المختلط بالحرام</w:t>
      </w:r>
      <w:r>
        <w:rPr>
          <w:rtl w:val="true"/>
        </w:rPr>
        <w:t>»</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یتمیّز ولا یُعلم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قدره بوجه، فإنّ إخراج خمسه حینئذٍ یطهّر المال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تمیّز کان للحرام حکم المال المجهول المالک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صاحبه ولو فی جملة قومٍ منحصرین فلا بدّ من التخلّص منه ولو بصلحٍ، ولا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إلیه خمسه إن لم یعلم زیادته، أو ما یغلب علی ظنّه إن علم زیادته أو نقصانه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علم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کالربع والثلث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إخراجه أجمع صدقةً لا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قدره جملةً لا تفصیلاً، فإن علم أ نّه یزید عن الخُمس خمّسه وتصدّق بالزائد ولو ظنّاً، ویحتمل قویّاً کون الجمیع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نقصانه عنه اقتصر علی ما یتیقّن به البراءة صدقةً علی الظاهر، وخُمساً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الحلال الخلیط ممّا یجب فیه الخمس خمّسه بعد ذلک بحسبه</w:t>
      </w:r>
      <w:r>
        <w:rPr>
          <w:rFonts w:eastAsia="IRNazanin" w:cs="IRNazanin"/>
          <w:color w:val="111111"/>
          <w:sz w:val="28"/>
          <w:szCs w:val="28"/>
          <w:rtl w:val="true"/>
          <w:lang w:bidi="fa-IR"/>
        </w:rPr>
        <w:t>.</w:t>
      </w:r>
      <w:bookmarkStart w:id="421" w:name="pg19806_203590"/>
    </w:p>
    <w:p>
      <w:pPr>
        <w:pStyle w:val="BookText"/>
        <w:rPr/>
      </w:pPr>
      <w:bookmarkEnd w:id="421"/>
      <w:r>
        <w:rPr>
          <w:rFonts w:ascii="IRNazanin" w:hAnsi="IRNazanin" w:eastAsia="IRNazanin"/>
          <w:color w:val="111111"/>
          <w:sz w:val="28"/>
          <w:sz w:val="28"/>
          <w:szCs w:val="28"/>
          <w:rtl w:val="true"/>
          <w:lang w:bidi="fa-IR"/>
        </w:rPr>
        <w:t>ولو تبیّن المالک بعد إخراج الخمس ففی الضمان له وجهان، أجودهما ذلک</w:t>
      </w:r>
      <w:r>
        <w:rPr>
          <w:rFonts w:eastAsia="IRNazanin" w:cs="IRNazanin"/>
          <w:color w:val="111111"/>
          <w:sz w:val="28"/>
          <w:szCs w:val="28"/>
          <w:rtl w:val="true"/>
          <w:lang w:bidi="fa-IR"/>
        </w:rPr>
        <w:t>.</w:t>
      </w:r>
    </w:p>
    <w:p>
      <w:pPr>
        <w:pStyle w:val="Heading4"/>
        <w:numPr>
          <w:ilvl w:val="3"/>
          <w:numId w:val="1"/>
        </w:numPr>
        <w:rPr/>
      </w:pPr>
      <w:bookmarkStart w:id="422" w:name="__RefHeading___Toc2028017_2314609296"/>
      <w:bookmarkStart w:id="423" w:name="_Toc156"/>
      <w:bookmarkEnd w:id="422"/>
      <w:r>
        <w:rPr>
          <w:rtl w:val="true"/>
        </w:rPr>
        <w:t>«</w:t>
      </w:r>
      <w:r>
        <w:rPr>
          <w:rtl w:val="true"/>
        </w:rPr>
        <w:t>و</w:t>
      </w:r>
      <w:r>
        <w:rPr>
          <w:rtl w:val="true"/>
        </w:rPr>
        <w:t xml:space="preserve">» </w:t>
      </w:r>
      <w:r>
        <w:rPr>
          <w:rtl w:val="true"/>
        </w:rPr>
        <w:t>السادس</w:t>
      </w:r>
      <w:r>
        <w:rPr>
          <w:rtl w:val="true"/>
        </w:rPr>
        <w:t>: «</w:t>
      </w:r>
      <w:r>
        <w:rPr>
          <w:rtl w:val="true"/>
        </w:rPr>
        <w:t>الکنز</w:t>
      </w:r>
      <w:r>
        <w:rPr>
          <w:rtl w:val="true"/>
        </w:rPr>
        <w:t>»</w:t>
      </w:r>
      <w:bookmarkEnd w:id="423"/>
    </w:p>
    <w:p>
      <w:pPr>
        <w:pStyle w:val="BookText"/>
        <w:rPr/>
      </w:pPr>
      <w:r>
        <w:rPr>
          <w:rFonts w:ascii="IRNazanin" w:hAnsi="IRNazanin" w:eastAsia="IRNazanin"/>
          <w:color w:val="111111"/>
          <w:sz w:val="28"/>
          <w:sz w:val="28"/>
          <w:szCs w:val="28"/>
          <w:rtl w:val="true"/>
          <w:lang w:bidi="fa-IR"/>
        </w:rPr>
        <w:t>وهو المال المذخور تحت الأرض قصداً فی دار الحرب مطلقاً، أو دار الإسلام ولا أثر له علیه، ولو کان علیه أثره فلقطةٌ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فی ملکٍ لغیره ولو فی وقت سابق، فلو کان کذلک عرّفه المالک، فإن اعترف به فهو له بقوله مجرّداً، وإلّا عرّفه مَن قبله من بائع وغیره، فإن اعترف به وإلّا فمَن قَبلَه ممّن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تعدّدت الطبقة وادّعوه أجمع قسّم علیهم بحسب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ادّعاه بعضهم خاصّةً فإن ذکر سبباً یقتضی التشریک سُلّمت إلیه حصّته خاصّةً وإلّا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وحصّة الباقی </w:t>
      </w:r>
      <w:r>
        <w:rPr>
          <w:rStyle w:val="FootnoteAnchor"/>
          <w:rtl w:val="true"/>
        </w:rPr>
        <w:footnoteReference w:id="1480"/>
      </w:r>
      <w:r>
        <w:rPr>
          <w:rFonts w:ascii="IRNazanin" w:hAnsi="IRNazanin" w:eastAsia="IRNazanin"/>
          <w:color w:val="111111"/>
          <w:sz w:val="28"/>
          <w:sz w:val="28"/>
          <w:szCs w:val="28"/>
          <w:rtl w:val="true"/>
          <w:lang w:bidi="fa-IR"/>
        </w:rPr>
        <w:t>کما لو نفوه أجمع، فیکون للواجد إن لم یکن علیه أثر الإسلام، وإلّا فلقطة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الموجود فی جوف دابّةٍ ولو سَمَکَةٍ مملوکةٍ بغیر الحیازة، أمّا بها فلواجده؛ لعدم قصد المحیز إلی تملّک ما فی بطنها ولا یعلمه، وهو شرط الملک علی الأقوی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یجب فی الکنز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المثقال کغیره، وفی الاکتفاء بمئتی درهم وجهٌ احتمله المصنّف فی البیان </w:t>
      </w:r>
      <w:r>
        <w:rPr>
          <w:rStyle w:val="FootnoteAnchor"/>
          <w:rtl w:val="true"/>
        </w:rPr>
        <w:footnoteReference w:id="1481"/>
      </w:r>
      <w:r>
        <w:rPr>
          <w:rFonts w:ascii="IRNazanin" w:hAnsi="IRNazanin" w:eastAsia="IRNazanin"/>
          <w:color w:val="111111"/>
          <w:sz w:val="28"/>
          <w:sz w:val="28"/>
          <w:szCs w:val="28"/>
          <w:rtl w:val="true"/>
          <w:lang w:bidi="fa-IR"/>
        </w:rPr>
        <w:t>مع قطعه بالاکتفاء بها فی المعدن، وینبغی القطع بالاکتفاء بها هنا؛ لأنّ صحیح البزنطی عن الرضا علیه السلام 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یجب الزکاة منه فی مثله</w:t>
      </w:r>
    </w:p>
    <w:p>
      <w:pPr>
        <w:pStyle w:val="BookText"/>
        <w:rPr/>
      </w:pPr>
      <w:r>
        <w:rPr>
          <w:rFonts w:ascii="IRNazanin" w:hAnsi="IRNazanin" w:eastAsia="IRNazanin"/>
          <w:color w:val="111111"/>
          <w:sz w:val="28"/>
          <w:sz w:val="28"/>
          <w:szCs w:val="28"/>
          <w:rtl w:val="true"/>
          <w:lang w:bidi="fa-IR"/>
        </w:rPr>
        <w:t xml:space="preserve">ففیه الخمس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والمعدن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بلوغه عشرین دیناراً </w:t>
      </w:r>
      <w:r>
        <w:rPr>
          <w:rStyle w:val="FootnoteAnchor"/>
          <w:rtl w:val="true"/>
        </w:rPr>
        <w:footnoteReference w:id="1483"/>
      </w:r>
      <w:r>
        <w:rPr>
          <w:rFonts w:ascii="IRNazanin" w:hAnsi="IRNazanin" w:eastAsia="IRNazanin"/>
          <w:color w:val="111111"/>
          <w:sz w:val="28"/>
          <w:sz w:val="28"/>
          <w:szCs w:val="28"/>
          <w:rtl w:val="true"/>
          <w:lang w:bidi="fa-IR"/>
        </w:rPr>
        <w:t xml:space="preserve">ونسبته إلی القول تدلّ علی توقّفه فیه، مع جزمه به فی غیره </w:t>
      </w:r>
      <w:r>
        <w:rPr>
          <w:rStyle w:val="FootnoteAnchor"/>
          <w:rtl w:val="true"/>
        </w:rPr>
        <w:footnoteReference w:id="1484"/>
      </w:r>
      <w:r>
        <w:rPr>
          <w:rFonts w:ascii="IRNazanin" w:hAnsi="IRNazanin" w:eastAsia="IRNazanin"/>
          <w:color w:val="111111"/>
          <w:sz w:val="28"/>
          <w:sz w:val="28"/>
          <w:szCs w:val="28"/>
          <w:rtl w:val="true"/>
          <w:lang w:bidi="fa-IR"/>
        </w:rPr>
        <w:t xml:space="preserve">وصحیح البزنطی دالٌّ علیه </w:t>
      </w:r>
      <w:r>
        <w:rPr>
          <w:rStyle w:val="FootnoteAnchor"/>
          <w:rtl w:val="true"/>
        </w:rPr>
        <w:footnoteReference w:id="1485"/>
      </w:r>
      <w:r>
        <w:rPr>
          <w:rFonts w:ascii="IRNazanin" w:hAnsi="IRNazanin" w:eastAsia="IRNazanin"/>
          <w:color w:val="111111"/>
          <w:sz w:val="28"/>
          <w:sz w:val="28"/>
          <w:szCs w:val="28"/>
          <w:rtl w:val="true"/>
          <w:lang w:bidi="fa-IR"/>
        </w:rPr>
        <w:t>فالعمل به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حکمها بلوغه مئتی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المصنّف، مع أنّ الروایة هنا لا تدلّ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نصاب له </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فی مسمّاه، وهو ظاهر الأکثر نظراً إلی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حجّةٌ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 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دیناراً </w:t>
      </w:r>
      <w:r>
        <w:rPr>
          <w:rStyle w:val="FootnoteAnchor"/>
          <w:rtl w:val="true"/>
        </w:rPr>
        <w:footnoteReference w:id="1487"/>
      </w:r>
      <w:r>
        <w:rPr>
          <w:rFonts w:ascii="IRNazanin" w:hAnsi="IRNazanin" w:eastAsia="IRNazanin"/>
          <w:color w:val="111111"/>
          <w:sz w:val="28"/>
          <w:sz w:val="28"/>
          <w:szCs w:val="28"/>
          <w:rtl w:val="true"/>
          <w:lang w:bidi="fa-IR"/>
        </w:rPr>
        <w:t>کالغوص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روایةٍ قاصرة </w:t>
      </w:r>
      <w:r>
        <w:rPr>
          <w:rStyle w:val="FootnoteAnchor"/>
          <w:rtl w:val="true"/>
        </w:rPr>
        <w:footnoteReference w:id="1488"/>
      </w:r>
      <w:r>
        <w:rPr>
          <w:rFonts w:ascii="IRNazanin" w:hAnsi="IRNazanin" w:eastAsia="IRNazanin"/>
          <w:color w:val="111111"/>
          <w:sz w:val="28"/>
          <w:sz w:val="28"/>
          <w:szCs w:val="28"/>
          <w:rtl w:val="true"/>
          <w:lang w:bidi="fa-IR"/>
        </w:rPr>
        <w:t>نعم، یعتبر الدینار أو قیمته فی الغوص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واکتفی المصنّف عن اشتراطه فیه بالتشبیه هنا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النصاب فی الثلاثة </w:t>
      </w:r>
      <w:r>
        <w:rPr>
          <w:rStyle w:val="FootnoteAnchor"/>
          <w:rtl w:val="true"/>
        </w:rPr>
        <w:footnoteReference w:id="1489"/>
      </w:r>
      <w:r>
        <w:rPr>
          <w:rFonts w:ascii="IRNazanin" w:hAnsi="IRNazanin" w:eastAsia="IRNazanin"/>
          <w:color w:val="111111"/>
          <w:sz w:val="28"/>
          <w:sz w:val="28"/>
          <w:szCs w:val="28"/>
          <w:rtl w:val="true"/>
          <w:lang w:bidi="fa-IR"/>
        </w:rPr>
        <w:t>بعد المؤونة التی یغرمها علی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424" w:name="pg19806_203592"/>
    </w:p>
    <w:p>
      <w:pPr>
        <w:pStyle w:val="BookText"/>
        <w:rPr/>
      </w:pPr>
      <w:bookmarkEnd w:id="424"/>
      <w:r>
        <w:rPr>
          <w:rFonts w:ascii="IRNazanin" w:hAnsi="IRNazanin" w:eastAsia="IRNazanin"/>
          <w:color w:val="111111"/>
          <w:sz w:val="28"/>
          <w:sz w:val="28"/>
          <w:szCs w:val="28"/>
          <w:rtl w:val="true"/>
          <w:lang w:bidi="fa-IR"/>
        </w:rPr>
        <w:t>حفرٍ، وسبکٍ فی المعدن، وآلة الغوص أو أرشها، واُجرة الغوّاص فی الغوص، واُجرة الحفر ونحوه فی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النصاب بعدها مطلقاً فی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یعتبر اتّحاد الإخراج فی الثلاثة، بل یضمّ بعض الحاصل إلی بعضٍ وإن طال الزمان أو نوی الإعراض، وفاقاً للمصنّف </w:t>
      </w:r>
      <w:r>
        <w:rPr>
          <w:rStyle w:val="FootnoteAnchor"/>
          <w:rtl w:val="true"/>
        </w:rPr>
        <w:footnoteReference w:id="1490"/>
      </w:r>
      <w:r>
        <w:rPr>
          <w:rFonts w:ascii="IRNazanin" w:hAnsi="IRNazanin" w:eastAsia="IRNazanin"/>
          <w:color w:val="111111"/>
          <w:sz w:val="28"/>
          <w:sz w:val="28"/>
          <w:szCs w:val="28"/>
          <w:rtl w:val="true"/>
          <w:lang w:bidi="fa-IR"/>
        </w:rPr>
        <w:t xml:space="preserve">واعتبر العلّامة عدم نیّة الإعراض </w:t>
      </w:r>
      <w:r>
        <w:rPr>
          <w:rStyle w:val="FootnoteAnchor"/>
          <w:rtl w:val="true"/>
        </w:rPr>
        <w:footnoteReference w:id="1491"/>
      </w:r>
      <w:r>
        <w:rPr>
          <w:rFonts w:ascii="IRNazanin" w:hAnsi="IRNazanin" w:eastAsia="IRNazanin"/>
          <w:color w:val="111111"/>
          <w:sz w:val="28"/>
          <w:sz w:val="28"/>
          <w:szCs w:val="28"/>
          <w:rtl w:val="true"/>
          <w:lang w:bidi="fa-IR"/>
        </w:rPr>
        <w:t xml:space="preserve">وفی اعتبار اتّحاد النوع وجهان، أجودهما اعتباره فی الکنز والمعدن دون الغوص، وفاقاً للعلّامة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اشترک جماعةٌ اعتبر بلوغ نصیب کلٍّ نصاباً بعد مؤونته</w:t>
      </w:r>
      <w:r>
        <w:rPr>
          <w:rFonts w:eastAsia="IRNazanin" w:cs="IRNazanin"/>
          <w:color w:val="111111"/>
          <w:sz w:val="28"/>
          <w:szCs w:val="28"/>
          <w:rtl w:val="true"/>
          <w:lang w:bidi="fa-IR"/>
        </w:rPr>
        <w:t>.</w:t>
      </w:r>
    </w:p>
    <w:p>
      <w:pPr>
        <w:pStyle w:val="Heading4"/>
        <w:numPr>
          <w:ilvl w:val="3"/>
          <w:numId w:val="1"/>
        </w:numPr>
        <w:rPr/>
      </w:pPr>
      <w:bookmarkStart w:id="425" w:name="__RefHeading___Toc2028019_2314609296"/>
      <w:bookmarkStart w:id="426" w:name="_Toc157"/>
      <w:bookmarkEnd w:id="425"/>
      <w:r>
        <w:rPr>
          <w:rtl w:val="true"/>
        </w:rPr>
        <w:t>«</w:t>
      </w:r>
      <w:r>
        <w:rPr>
          <w:rtl w:val="true"/>
        </w:rPr>
        <w:t>و</w:t>
      </w:r>
      <w:r>
        <w:rPr>
          <w:rtl w:val="true"/>
        </w:rPr>
        <w:t xml:space="preserve">» </w:t>
      </w:r>
      <w:r>
        <w:rPr>
          <w:rtl w:val="true"/>
        </w:rPr>
        <w:t>السابع</w:t>
      </w:r>
      <w:r>
        <w:rPr>
          <w:rtl w:val="true"/>
        </w:rPr>
        <w:t>: «</w:t>
      </w:r>
      <w:r>
        <w:rPr>
          <w:rtl w:val="true"/>
        </w:rPr>
        <w:t>أرض الذمّی المنتقلة إلیه من مسلم</w:t>
      </w:r>
      <w:r>
        <w:rPr>
          <w:rtl w:val="true"/>
        </w:rPr>
        <w:t>»</w:t>
      </w:r>
      <w:bookmarkEnd w:id="42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انتقلت إلیه بشراءٍ أم غیره، وإن تضمّن بعض الأخبار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وسواء کانت ممّا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کالمفتوحة عنوةً حیث یصحّ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وسواء اُعدّت للزراعة أم لغیرها، حتّی لو اشتری بستاناً أو داراً اُخذ منه خمس الأرض؛ عملاً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وخصّها فی المعتبر بالاُولی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ما اخترناه فطریق معرفة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مشغولةً بما فیها باُجرةٍ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الحاکم بین أخذ خمس العین والارتفاع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حول هنا ولا نصاب ولا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وجوبها عن الآخذ لا عنه، وعلیه المصنّف فی الدروس </w:t>
      </w:r>
      <w:r>
        <w:rPr>
          <w:rStyle w:val="FootnoteAnchor"/>
          <w:rtl w:val="true"/>
        </w:rPr>
        <w:footnoteReference w:id="1495"/>
      </w:r>
      <w:r>
        <w:rPr>
          <w:rFonts w:ascii="IRNazanin" w:hAnsi="IRNazanin" w:eastAsia="IRNazanin"/>
          <w:color w:val="111111"/>
          <w:sz w:val="28"/>
          <w:sz w:val="28"/>
          <w:szCs w:val="28"/>
          <w:rtl w:val="true"/>
          <w:lang w:bidi="fa-IR"/>
        </w:rPr>
        <w:t xml:space="preserve">والأوّل فی البیان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یسقط ببیع الذمّی لها قبل الإخراج وإن کان لمسلمٍ، ولا بإقالة المسلم له فی البیع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احتماله هنا؛ بناءً علی أ نّها فسخٌ، لکن لما کان من حینه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الأصحاب، کابن أبی عقیل وابن الجنید والمفید وسلّار والتقیّ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والمتأخّرون أجمع والشیخ </w:t>
      </w:r>
      <w:r>
        <w:rPr>
          <w:rStyle w:val="FootnoteAnchor"/>
          <w:rtl w:val="true"/>
        </w:rPr>
        <w:footnoteReference w:id="1497"/>
      </w:r>
      <w:r>
        <w:rPr>
          <w:rFonts w:ascii="IRNazanin" w:hAnsi="IRNazanin" w:eastAsia="IRNazanin"/>
          <w:color w:val="111111"/>
          <w:sz w:val="28"/>
          <w:sz w:val="28"/>
          <w:szCs w:val="28"/>
          <w:rtl w:val="true"/>
          <w:lang w:bidi="fa-IR"/>
        </w:rPr>
        <w:t xml:space="preserve">من المتقدّمین علی وجوبه فیها، ورواه أبو عبیدة الحذّاء فی الموثّق عن الباقر علیه السلام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وأوجبه أبو الصلاح فی المیراث والصدقة والهبة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محتجّاً بأ نّه نوع اکتسابٍ وفائدةٍ </w:t>
      </w:r>
      <w:r>
        <w:rPr>
          <w:rStyle w:val="FootnoteAnchor"/>
          <w:rtl w:val="true"/>
        </w:rPr>
        <w:footnoteReference w:id="1499"/>
      </w:r>
      <w:r>
        <w:rPr>
          <w:rFonts w:ascii="IRNazanin" w:hAnsi="IRNazanin" w:eastAsia="IRNazanin"/>
          <w:color w:val="111111"/>
          <w:sz w:val="28"/>
          <w:sz w:val="28"/>
          <w:szCs w:val="28"/>
          <w:rtl w:val="true"/>
          <w:lang w:bidi="fa-IR"/>
        </w:rPr>
        <w:t xml:space="preserve">فیدخل تحت العموم </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وأنکره ابن ادریس</w:t>
      </w:r>
      <w:r>
        <w:rPr>
          <w:rFonts w:eastAsia="IRNazanin" w:cs="IRNazanin"/>
          <w:color w:val="111111"/>
          <w:sz w:val="28"/>
          <w:szCs w:val="28"/>
          <w:rtl w:val="true"/>
          <w:lang w:bidi="fa-IR"/>
        </w:rPr>
        <w:t xml:space="preserve">» </w:t>
      </w:r>
      <w:r>
        <w:rPr>
          <w:rStyle w:val="FootnoteAnchor"/>
          <w:rtl w:val="true"/>
        </w:rPr>
        <w:footnoteReference w:id="1501"/>
      </w:r>
      <w:r>
        <w:rPr>
          <w:rFonts w:ascii="Amiri" w:hAnsi="Amiri" w:eastAsia="Amiri" w:cs="Amiri"/>
          <w:color w:val="111111"/>
          <w:sz w:val="28"/>
          <w:sz w:val="28"/>
          <w:szCs w:val="28"/>
          <w:rtl w:val="true"/>
          <w:lang w:bidi="ar-SA"/>
        </w:rPr>
        <w:t xml:space="preserve">والعلّامة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للأصل، والشکّ فی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کونها غنیمة بالمعنی الأعمّ فتلحق بالمکاسب؛ إذ لا یشترط فیها حصوله اختیاراً، فیکون المیراث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العقود المتوقّفة علی القبول فأظهر؛ لأنّ قبولها نوعٌ من الاکتساب، ومن ثمّ یجب القبول حیث یجب کالاکتساب للنفقة، وینتفی حیث ینتفی کالاکتساب للحجّ، وکثیراً ما یذکر الأصحاب أنّ قبول الهبة ونحوها اکتساب </w:t>
      </w:r>
      <w:r>
        <w:rPr>
          <w:rStyle w:val="FootnoteAnchor"/>
          <w:rtl w:val="true"/>
        </w:rPr>
        <w:footnoteReference w:id="1503"/>
      </w:r>
      <w:r>
        <w:rPr>
          <w:rFonts w:ascii="IRNazanin" w:hAnsi="IRNazanin" w:eastAsia="IRNazanin"/>
          <w:color w:val="111111"/>
          <w:sz w:val="28"/>
          <w:sz w:val="28"/>
          <w:szCs w:val="28"/>
          <w:rtl w:val="true"/>
          <w:lang w:bidi="fa-IR"/>
        </w:rPr>
        <w:t xml:space="preserve">وفی صحیحة علیّ بن مهزیار عن أبی جعفر الثانی </w:t>
      </w:r>
      <w:r>
        <w:rPr>
          <w:rStyle w:val="FootnoteAnchor"/>
          <w:rtl w:val="true"/>
        </w:rPr>
        <w:footnoteReference w:id="1504"/>
      </w:r>
      <w:r>
        <w:rPr>
          <w:rFonts w:ascii="IRNazanin" w:hAnsi="IRNazanin" w:eastAsia="IRNazanin"/>
          <w:color w:val="111111"/>
          <w:sz w:val="28"/>
          <w:sz w:val="28"/>
          <w:szCs w:val="28"/>
          <w:rtl w:val="true"/>
          <w:lang w:bidi="fa-IR"/>
        </w:rPr>
        <w:t>ما یرشد إلی الوجوب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والمصنّف لم یرجّح هذا القول إلّاهنا، بل اقتصر فی الکتابین علی مجرّد نقل الخلاف </w:t>
      </w:r>
      <w:r>
        <w:rPr>
          <w:rStyle w:val="FootnoteAnchor"/>
          <w:rtl w:val="true"/>
        </w:rPr>
        <w:footnoteReference w:id="1505"/>
      </w:r>
      <w:r>
        <w:rPr>
          <w:rFonts w:ascii="IRNazanin" w:hAnsi="IRNazanin" w:eastAsia="IRNazanin"/>
          <w:color w:val="111111"/>
          <w:sz w:val="28"/>
          <w:sz w:val="28"/>
          <w:szCs w:val="28"/>
          <w:rtl w:val="true"/>
          <w:lang w:bidi="fa-IR"/>
        </w:rPr>
        <w:t>وهو یشعر بالتوقّف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واعتبر المفید </w:t>
      </w:r>
      <w:r>
        <w:rPr>
          <w:rStyle w:val="FootnoteAnchor"/>
          <w:rtl w:val="true"/>
        </w:rPr>
        <w:footnoteReference w:id="1506"/>
      </w:r>
      <w:r>
        <w:rPr>
          <w:rFonts w:ascii="IRNazanin" w:hAnsi="IRNazanin" w:eastAsia="IRNazanin"/>
          <w:color w:val="111111"/>
          <w:sz w:val="28"/>
          <w:sz w:val="28"/>
          <w:szCs w:val="28"/>
          <w:rtl w:val="true"/>
          <w:lang w:bidi="fa-IR"/>
        </w:rPr>
        <w:t>فی الغنیمة والغوص والعنبر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بعد الغوص تخصیصٌ بعد التعمیم، أو لکونه أعمّ منه من وجه لإمکان تحصیله من الساحل أو عن وجه الماء، فلا یکون غوصاً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 عیناً أو قیمةً</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 أ نّه لا نصاب للغنیمة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الأدلّة، ولم نقف علی ما أوجب إخراجه لها منه </w:t>
      </w:r>
      <w:r>
        <w:rPr>
          <w:rStyle w:val="FootnoteAnchor"/>
          <w:rtl w:val="true"/>
        </w:rPr>
        <w:footnoteReference w:id="1507"/>
      </w:r>
      <w:r>
        <w:rPr>
          <w:rFonts w:ascii="Amiri" w:hAnsi="Amiri" w:eastAsia="Amiri" w:cs="Amiri"/>
          <w:color w:val="111111"/>
          <w:sz w:val="28"/>
          <w:sz w:val="28"/>
          <w:szCs w:val="28"/>
          <w:rtl w:val="true"/>
          <w:lang w:bidi="ar-SA"/>
        </w:rPr>
        <w:t>فإنّه ذکرها مجرّدةً عن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الغوص فقد عرفت</w:t>
      </w:r>
      <w:bookmarkStart w:id="427" w:name="pg19806_203595"/>
    </w:p>
    <w:p>
      <w:pPr>
        <w:pStyle w:val="BookText"/>
        <w:rPr/>
      </w:pPr>
      <w:bookmarkEnd w:id="427"/>
      <w:r>
        <w:rPr>
          <w:rFonts w:ascii="IRNazanin" w:hAnsi="IRNazanin" w:eastAsia="IRNazanin"/>
          <w:color w:val="111111"/>
          <w:sz w:val="28"/>
          <w:sz w:val="28"/>
          <w:szCs w:val="28"/>
          <w:rtl w:val="true"/>
          <w:lang w:bidi="fa-IR"/>
        </w:rPr>
        <w:t xml:space="preserve">أنّ نصابه دینار </w:t>
      </w:r>
      <w:r>
        <w:rPr>
          <w:rStyle w:val="FootnoteAnchor"/>
          <w:rtl w:val="true"/>
        </w:rPr>
        <w:footnoteReference w:id="1508"/>
      </w:r>
      <w:r>
        <w:rPr>
          <w:rFonts w:ascii="IRNazanin" w:hAnsi="IRNazanin" w:eastAsia="IRNazanin"/>
          <w:color w:val="111111"/>
          <w:sz w:val="28"/>
          <w:sz w:val="28"/>
          <w:szCs w:val="28"/>
          <w:rtl w:val="true"/>
          <w:lang w:bidi="fa-IR"/>
        </w:rPr>
        <w:t xml:space="preserve">للروایة عن الکاظم علیه السلام </w:t>
      </w:r>
      <w:r>
        <w:rPr>
          <w:rStyle w:val="FootnoteAnchor"/>
          <w:rtl w:val="true"/>
        </w:rPr>
        <w:footnoteReference w:id="1509"/>
      </w:r>
      <w:r>
        <w:rPr>
          <w:rFonts w:ascii="IRNazanin" w:hAnsi="IRNazanin" w:eastAsia="IRNazanin"/>
          <w:color w:val="111111"/>
          <w:sz w:val="28"/>
          <w:sz w:val="28"/>
          <w:szCs w:val="28"/>
          <w:rtl w:val="true"/>
          <w:lang w:bidi="fa-IR"/>
        </w:rPr>
        <w:t>وأمّا العنبر فإن دخل فیه فبحکمه، وإلّا فبحکم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ما انتفی فیه الخمس من هذه المذکورات لفقد شرطٍ ولو بالنقصان عن النصاب</w:t>
      </w:r>
      <w:r>
        <w:rPr>
          <w:rFonts w:eastAsia="IRNazanin" w:cs="IRNazanin"/>
          <w:color w:val="111111"/>
          <w:sz w:val="28"/>
          <w:szCs w:val="28"/>
          <w:rtl w:val="true"/>
          <w:lang w:bidi="fa-IR"/>
        </w:rPr>
        <w:t>.</w:t>
      </w:r>
    </w:p>
    <w:p>
      <w:pPr>
        <w:pStyle w:val="Heading3"/>
        <w:numPr>
          <w:ilvl w:val="2"/>
          <w:numId w:val="1"/>
        </w:numPr>
        <w:rPr/>
      </w:pPr>
      <w:bookmarkStart w:id="428" w:name="__RefHeading___Toc2028021_2314609296"/>
      <w:bookmarkStart w:id="429" w:name="_Toc158"/>
      <w:bookmarkEnd w:id="428"/>
      <w:r>
        <w:rPr>
          <w:rtl w:val="true"/>
        </w:rPr>
        <w:t>[</w:t>
      </w:r>
      <w:r>
        <w:rPr>
          <w:rtl w:val="true"/>
        </w:rPr>
        <w:t xml:space="preserve">فی ما یعتبر فی وجوب الخمس </w:t>
      </w:r>
      <w:r>
        <w:rPr>
          <w:rtl w:val="true"/>
        </w:rPr>
        <w:t>]</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مؤونته ومؤونة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الواجبی النفقة وغیرهم حتّی الضیف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متوسّطاً بحسب اللائق بحاله عادةً، فإن أسرف حُسب علیه ما زاد، وإن قَتَرَ حُسب له ما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المؤونة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والصلة اللائقان بحاله، وما یؤخذ منه فی السنة قهراً، أو یصانع به الظالم اختیاراً، والحقوق اللازمة له بنذرٍ وکفّارةٍ ومؤونة تزویج ودابّةٍ وأمةٍ وحجٍّ واجبٍ إن استطاع عام الاکتساب، وإلّا وجب فی الفضلات السابقة علی عام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الحجّ المندوب والزیارة وسفر الطاعة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المتقدّم والمقارن لحول الاکتساب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یُجبر التالف من المال بالربح وإن کان فی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جبر خسران التجارة بربحها فی الحول وجهٌ، قطع به المصنّف فی الدروس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له مالٌ آخر لا خمس فیه ففی أخذ المؤونة منه، أو من الکسب، أو منهما بالنسبة،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الأوّل احتیاط، وفی الأخیر عدل، وفی الأوسط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زاد بعد تخمیسه زیادةً متّصلةً أو منفصلة وجب خمس الزائد، کما یجب خمسه ممّا لا خمس فی أصله، سواء اُخرج الخمس أوّلاً من العین أم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ومبدؤها ظهور الربح، ویتخیّر بین تعجیل إخراج ما یعلم زیادته علیها والصبر به إلی تمام الحول، لا لأنّ الحول معتبرٌ فیه، بل لاحتمال زیادة المؤونة ونقصانها، فإنّها مع تعجیله تخمینیّة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حصل الربح فی الحول تدریجاً اعتبر لکلّ خارجٍ حولٌ بانفراده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توزّع المؤونة فی المدّة المشترکة بینه وبین ما سبق علیهما، ویختصّ بالباقی، 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وکما لا یعتبر الحول هنا لا یعتبر النصاب، بل یخمّس الفاضل وإن قلّ، وکذا غیر ما ذکر له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الحول فمنفیٌّ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والوجوب فی غیر الأرباح مضیّق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أقسام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المشهور؛ عملاً بظاهر الآیة </w:t>
      </w:r>
      <w:r>
        <w:rPr>
          <w:rStyle w:val="FootnoteAnchor"/>
          <w:rtl w:val="true"/>
        </w:rPr>
        <w:footnoteReference w:id="1511"/>
      </w:r>
      <w:r>
        <w:rPr>
          <w:rFonts w:ascii="IRNazanin" w:hAnsi="IRNazanin" w:eastAsia="IRNazanin"/>
          <w:color w:val="111111"/>
          <w:sz w:val="28"/>
          <w:sz w:val="28"/>
          <w:szCs w:val="28"/>
          <w:rtl w:val="true"/>
          <w:lang w:bidi="fa-IR"/>
        </w:rPr>
        <w:t xml:space="preserve">وصریح الروایة </w:t>
      </w:r>
      <w:r>
        <w:rPr>
          <w:rStyle w:val="FootnoteAnchor"/>
          <w:rtl w:val="true"/>
        </w:rPr>
        <w:footnoteReference w:id="1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سهم اللّٰه ورسوله وذی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السهم وهو نصف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وإلی نوّابه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العدول الإمامیّون الجامعون لشرائط الفتوی؛ لأنّهم وکلاؤه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یجب علیهم فیه ما یقتضیه مذهبهم، فمن یذهب منهم إلی جواز صرفه إلی الأصناف علی سبیل التتمّة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المشهور بین المتأخّرین منهم </w:t>
      </w:r>
      <w:r>
        <w:rPr>
          <w:rStyle w:val="FootnoteAnchor"/>
          <w:rtl w:val="true"/>
        </w:rPr>
        <w:footnoteReference w:id="1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یصرفه علی حسب ما یراه من بسطٍ وغیره، ومن لا یری ذلک یجب علیه أن یستودعه له إلی ظهوره، فإذا حضرته الوفاة أودعه من ثقة، وهکذا ما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 أو یُحفظ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یحفظه من یجب علیه بطریق الاستیداع، کما ذکرناه فی النائب ولیس له أن یتولّی إخراجه بنفسه إلی الأصناف مطلقاً ولا لغیر الحاکم الشرعی، فإن تولّاه غیره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إطلاقه صرف حقّه علیه السلام إلی نوّابه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یحلّ منه حال الغیبة شیءٌ لغیر فریقه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المصنّف فی باقی کتبه </w:t>
      </w:r>
      <w:r>
        <w:rPr>
          <w:rStyle w:val="FootnoteAnchor"/>
          <w:rtl w:val="true"/>
        </w:rPr>
        <w:footnoteReference w:id="1514"/>
      </w:r>
      <w:r>
        <w:rPr>
          <w:rFonts w:ascii="IRNazanin" w:hAnsi="IRNazanin" w:eastAsia="IRNazanin"/>
          <w:color w:val="111111"/>
          <w:sz w:val="28"/>
          <w:sz w:val="28"/>
          <w:szCs w:val="28"/>
          <w:rtl w:val="true"/>
          <w:lang w:bidi="fa-IR"/>
        </w:rPr>
        <w:t>وفتاواه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استثناء المناکح والمساکن والمتاجر من ذلک، فتباح هذه الثلاثة مطلقاً </w:t>
      </w:r>
      <w:r>
        <w:rPr>
          <w:rStyle w:val="FootnoteAnchor"/>
          <w:rtl w:val="true"/>
        </w:rPr>
        <w:footnoteReference w:id="1515"/>
      </w:r>
      <w:r>
        <w:rPr>
          <w:rFonts w:ascii="IRNazanin" w:hAnsi="IRNazanin" w:eastAsia="IRNazanin"/>
          <w:color w:val="111111"/>
          <w:sz w:val="28"/>
          <w:sz w:val="28"/>
          <w:szCs w:val="28"/>
          <w:rtl w:val="true"/>
          <w:lang w:bidi="fa-IR"/>
        </w:rPr>
        <w:t>والمراد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المسبیّة حال الغیبة وثمنها، ومهر الزوجة من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المسکن 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ممّن لا یعتقد الخمس، أو ممّن لا یخمّس،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وترکه هنا إمّا اختصاراً أو اختیاراً؛ لأنّه قولٌ لجماعةٍ من الأصحاب </w:t>
      </w:r>
      <w:r>
        <w:rPr>
          <w:rStyle w:val="FootnoteAnchor"/>
          <w:rtl w:val="true"/>
        </w:rPr>
        <w:footnoteReference w:id="1516"/>
      </w:r>
      <w:r>
        <w:rPr>
          <w:rFonts w:ascii="IRNazanin" w:hAnsi="IRNazanin" w:eastAsia="IRNazanin"/>
          <w:color w:val="111111"/>
          <w:sz w:val="28"/>
          <w:sz w:val="28"/>
          <w:szCs w:val="28"/>
          <w:rtl w:val="true"/>
          <w:lang w:bidi="fa-IR"/>
        </w:rPr>
        <w:t>والظاهر الأوّل؛ لأنّه ادّعی فی البیان إطباق الإمامیّة</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1517"/>
      </w:r>
      <w:r>
        <w:rPr>
          <w:rFonts w:ascii="IRNazanin" w:hAnsi="IRNazanin" w:eastAsia="IRNazanin"/>
          <w:color w:val="111111"/>
          <w:sz w:val="28"/>
          <w:sz w:val="28"/>
          <w:szCs w:val="28"/>
          <w:rtl w:val="true"/>
          <w:lang w:bidi="fa-IR"/>
        </w:rPr>
        <w:t>نظراً إلی شذوذ المخالف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وهی بقیّة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الأطفال الذین لا أب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بهم هنا ما یشمل الفقراء، کما فی کلّ موضعٍ یذکرون منفردین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المذکور فی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المنتسبین إلی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الاُمّ ودون المنتسبین إلی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الأوّل استعمال أهل اللغة، وما خالفه یحمل علی المجاز؛ لأنّه خیرٌ من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الروایة عن الکاظم علیه السلام ما یدلّ علیه </w:t>
      </w:r>
      <w:r>
        <w:rPr>
          <w:rStyle w:val="FootnoteAnchor"/>
          <w:rtl w:val="true"/>
        </w:rPr>
        <w:footnoteReference w:id="1519"/>
      </w:r>
      <w:r>
        <w:rPr>
          <w:rFonts w:ascii="IRNazanin" w:hAnsi="IRNazanin" w:eastAsia="IRNazanin"/>
          <w:color w:val="111111"/>
          <w:sz w:val="28"/>
          <w:sz w:val="28"/>
          <w:szCs w:val="28"/>
          <w:rtl w:val="true"/>
          <w:lang w:bidi="fa-IR"/>
        </w:rPr>
        <w:t xml:space="preserve">وعلی الثانی أصالة عدم الاستحقاق، مضافاً إلی ما دلّ علی عدمه من الأخبار </w:t>
      </w:r>
      <w:r>
        <w:rPr>
          <w:rStyle w:val="FootnoteAnchor"/>
          <w:rtl w:val="true"/>
        </w:rPr>
        <w:footnoteReference w:id="1520"/>
      </w:r>
      <w:r>
        <w:rPr>
          <w:rFonts w:ascii="IRNazanin" w:hAnsi="IRNazanin" w:eastAsia="IRNazanin"/>
          <w:color w:val="111111"/>
          <w:sz w:val="28"/>
          <w:sz w:val="28"/>
          <w:szCs w:val="28"/>
          <w:rtl w:val="true"/>
          <w:lang w:bidi="fa-IR"/>
        </w:rPr>
        <w:t xml:space="preserve">واستضعافاً لما استدلّ به القائل منها </w:t>
      </w:r>
      <w:r>
        <w:rPr>
          <w:rStyle w:val="FootnoteAnchor"/>
          <w:rtl w:val="true"/>
        </w:rPr>
        <w:footnoteReference w:id="1521"/>
      </w:r>
      <w:r>
        <w:rPr>
          <w:rFonts w:ascii="Amiri" w:hAnsi="Amiri" w:eastAsia="Amiri" w:cs="Amiri"/>
          <w:color w:val="111111"/>
          <w:sz w:val="28"/>
          <w:sz w:val="28"/>
          <w:szCs w:val="28"/>
          <w:rtl w:val="true"/>
          <w:lang w:bidi="ar-SA"/>
        </w:rPr>
        <w:t>وقصوره عن الدلالة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یستحقّ المنتسب إلی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قوله صلی الله علیه و آله عن الحسنین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إمامان</w:t>
      </w:r>
      <w:r>
        <w:rPr>
          <w:rFonts w:eastAsia="IRNazanin" w:cs="IRNazanin"/>
          <w:color w:val="111111"/>
          <w:sz w:val="28"/>
          <w:szCs w:val="28"/>
          <w:rtl w:val="true"/>
          <w:lang w:bidi="fa-IR"/>
        </w:rPr>
        <w:t xml:space="preserve">. . .»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والأصل فی الإطلاق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بل هو أعمّ منها ومن المجاز، خصوصاً مع وجود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المفید وابن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یستحقّ المطّلبی أیضاً </w:t>
      </w:r>
      <w:r>
        <w:rPr>
          <w:rStyle w:val="FootnoteAnchor"/>
          <w:rtl w:val="true"/>
        </w:rPr>
        <w:footnoteReference w:id="1523"/>
      </w:r>
      <w:r>
        <w:rPr>
          <w:rFonts w:ascii="Amiri" w:hAnsi="Amiri" w:eastAsia="Amiri" w:cs="Amiri"/>
          <w:color w:val="111111"/>
          <w:sz w:val="28"/>
          <w:sz w:val="28"/>
          <w:szCs w:val="28"/>
          <w:rtl w:val="true"/>
          <w:lang w:bidi="ar-SA"/>
        </w:rPr>
        <w:t>وقد بیّنّاه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فقر شرکاء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المساکین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الیتامی فالمشهور اعتبار فقرهم؛ لأنّ الخمس عوض الزکاة، ومصرفها الفقراء فی غیر من نُصّ علی عدم اعتبار فقره، فکذا العوض، ولأنّ الإمام علیه السلام یقسّمه بینهم علی قدر حاجتهم، والفاضل له والمُعْوِز علیه، فإذا انتفت الحاجة انتفی 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بیّن، ومن ثمّ ذهب جماعة إلی عدم اعتباره فیهم </w:t>
      </w:r>
      <w:r>
        <w:rPr>
          <w:rStyle w:val="FootnoteAnchor"/>
          <w:rtl w:val="true"/>
        </w:rPr>
        <w:footnoteReference w:id="1524"/>
      </w:r>
      <w:r>
        <w:rPr>
          <w:rFonts w:ascii="IRNazanin" w:hAnsi="IRNazanin" w:eastAsia="IRNazanin"/>
          <w:color w:val="111111"/>
          <w:sz w:val="28"/>
          <w:sz w:val="28"/>
          <w:szCs w:val="28"/>
          <w:rtl w:val="true"/>
          <w:lang w:bidi="fa-IR"/>
        </w:rPr>
        <w:t xml:space="preserve">لأنّ الیتیم قسیمٌ للمسکین فی الآیة </w:t>
      </w:r>
      <w:r>
        <w:rPr>
          <w:rStyle w:val="FootnoteAnchor"/>
          <w:rtl w:val="true"/>
        </w:rPr>
        <w:footnoteReference w:id="1525"/>
      </w:r>
      <w:r>
        <w:rPr>
          <w:rFonts w:ascii="IRNazanin" w:hAnsi="IRNazanin" w:eastAsia="IRNazanin"/>
          <w:color w:val="111111"/>
          <w:sz w:val="28"/>
          <w:sz w:val="28"/>
          <w:szCs w:val="28"/>
          <w:rtl w:val="true"/>
          <w:lang w:bidi="fa-IR"/>
        </w:rPr>
        <w:t>وهو یقتضی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 نّها لا تقتضی المباینة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عدم المخصّص یبقی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المصنّف فی الدروس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فی ابن السبیل الفقر فی بلد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غنیّاً فی بلده، بشرط أن یتعذّر وصوله إلی المال علی الوجه الذی قرّرناه فی الزکاة </w:t>
      </w:r>
      <w:r>
        <w:rPr>
          <w:rStyle w:val="FootnoteAnchor"/>
          <w:rtl w:val="true"/>
        </w:rPr>
        <w:footnoteReference w:id="1527"/>
      </w:r>
      <w:r>
        <w:rPr>
          <w:rFonts w:ascii="IRNazanin" w:hAnsi="IRNazanin" w:eastAsia="IRNazanin"/>
          <w:color w:val="111111"/>
          <w:sz w:val="28"/>
          <w:sz w:val="28"/>
          <w:szCs w:val="28"/>
          <w:rtl w:val="true"/>
          <w:lang w:bidi="fa-IR"/>
        </w:rPr>
        <w:t>وظاهرهم هنا عدم الخلاف فیه، وإلّا کان دلیل الیتیم آتیاً فیه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تعتبر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ویعتبر الإ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لاعتباره فی</w:t>
      </w:r>
      <w:bookmarkStart w:id="430" w:name="pg19806_203600"/>
    </w:p>
    <w:p>
      <w:pPr>
        <w:pStyle w:val="BookText"/>
        <w:rPr/>
      </w:pPr>
      <w:bookmarkEnd w:id="430"/>
      <w:r>
        <w:rPr>
          <w:rFonts w:ascii="IRNazanin" w:hAnsi="IRNazanin" w:eastAsia="IRNazanin"/>
          <w:color w:val="111111"/>
          <w:sz w:val="28"/>
          <w:sz w:val="28"/>
          <w:szCs w:val="28"/>
          <w:rtl w:val="true"/>
          <w:lang w:bidi="fa-IR"/>
        </w:rPr>
        <w:t xml:space="preserve">المعوّض بغیر خلافٍ مع وجوده، ولأ نّه صلةٌ وموادّة والمخالف بعید عنها </w:t>
      </w:r>
      <w:r>
        <w:rPr>
          <w:rStyle w:val="FootnoteAnchor"/>
          <w:rtl w:val="true"/>
        </w:rPr>
        <w:footnoteReference w:id="1528"/>
      </w:r>
      <w:r>
        <w:rPr>
          <w:rFonts w:ascii="IRNazanin" w:hAnsi="IRNazanin" w:eastAsia="IRNazanin"/>
          <w:color w:val="111111"/>
          <w:sz w:val="28"/>
          <w:sz w:val="28"/>
          <w:szCs w:val="28"/>
          <w:rtl w:val="true"/>
          <w:lang w:bidi="fa-IR"/>
        </w:rPr>
        <w:t>وفیهما نظرٌ، ولا ریب أنّ اعتباره أولی</w:t>
      </w:r>
      <w:r>
        <w:rPr>
          <w:rFonts w:eastAsia="IRNazanin" w:cs="IRNazanin"/>
          <w:color w:val="111111"/>
          <w:sz w:val="28"/>
          <w:szCs w:val="28"/>
          <w:rtl w:val="true"/>
          <w:lang w:bidi="fa-IR"/>
        </w:rPr>
        <w:t>.</w:t>
      </w:r>
    </w:p>
    <w:p>
      <w:pPr>
        <w:pStyle w:val="Heading3"/>
        <w:numPr>
          <w:ilvl w:val="2"/>
          <w:numId w:val="1"/>
        </w:numPr>
        <w:rPr/>
      </w:pPr>
      <w:bookmarkStart w:id="431" w:name="__RefHeading___Toc2028023_2314609296"/>
      <w:bookmarkStart w:id="432" w:name="_Toc159"/>
      <w:bookmarkEnd w:id="431"/>
      <w:r>
        <w:rPr>
          <w:rtl w:val="true"/>
        </w:rPr>
        <w:t>[</w:t>
      </w:r>
      <w:r>
        <w:rPr>
          <w:rtl w:val="true"/>
        </w:rPr>
        <w:t>وأمّا الأنفال</w:t>
      </w:r>
      <w:r>
        <w:rPr>
          <w:rtl w:val="true"/>
        </w:rPr>
        <w:t>]</w:t>
      </w:r>
      <w:bookmarkEnd w:id="432"/>
    </w:p>
    <w:p>
      <w:pPr>
        <w:pStyle w:val="BookText"/>
        <w:rPr/>
      </w:pPr>
      <w:r>
        <w:rPr>
          <w:rFonts w:ascii="IRNazanin" w:hAnsi="IRNazanin" w:eastAsia="IRNazanin"/>
          <w:color w:val="111111"/>
          <w:sz w:val="28"/>
          <w:sz w:val="28"/>
          <w:szCs w:val="28"/>
          <w:rtl w:val="true"/>
          <w:lang w:bidi="fa-IR"/>
        </w:rPr>
        <w:t xml:space="preserve">فهی المال الزائد للنبیّ صلی الله علیه و آله والإمام علیه السلام بعده علی قبیلهما، وقد کانت لرسول اللّٰه صلی الله علیه و آله فی حیاته بالآیة الشریفة </w:t>
      </w:r>
      <w:r>
        <w:rPr>
          <w:rStyle w:val="FootnoteAnchor"/>
          <w:rtl w:val="true"/>
        </w:rPr>
        <w:footnoteReference w:id="1529"/>
      </w:r>
      <w:r>
        <w:rPr>
          <w:rFonts w:ascii="IRNazanin" w:hAnsi="IRNazanin" w:eastAsia="IRNazanin"/>
          <w:color w:val="111111"/>
          <w:sz w:val="28"/>
          <w:sz w:val="28"/>
          <w:szCs w:val="28"/>
          <w:rtl w:val="true"/>
          <w:lang w:bidi="fa-IR"/>
        </w:rPr>
        <w:t>وهی بعده للإمام القائم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یزید به عن قبیله، ومنه سُمّی نفلاً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انجلی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أهلها وترکوها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سُلّمت </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قتال، کبلاد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باد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هلکوا، مسلمین کانوا أم کفّاراً، وکذا مطلق الأرض الموات التی لا یعرف لها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وفتحها مع المدّ،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المفتوح،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المملوءة من القصب ونحوه فی غیر الأرض المملوکة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ورؤوس الجبال، وبطون الأودیة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فیهما إلی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یکون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 ومعدنٍ وغیرهما، وذلک فی غیر أرضه المختصّة به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وصوافی ملوک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وقطائعهم، 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اصطفاه ملک</w:t>
      </w:r>
    </w:p>
    <w:p>
      <w:pPr>
        <w:pStyle w:val="BookText"/>
        <w:rPr/>
      </w:pPr>
      <w:r>
        <w:rPr>
          <w:rFonts w:ascii="IRNazanin" w:hAnsi="IRNazanin" w:eastAsia="IRNazanin"/>
          <w:color w:val="111111"/>
          <w:sz w:val="28"/>
          <w:sz w:val="28"/>
          <w:szCs w:val="28"/>
          <w:rtl w:val="true"/>
          <w:lang w:bidi="fa-IR"/>
        </w:rPr>
        <w:t>الکفّار لنفسه واختصّ به من الأموال المنقولة وغیرها غیر المغصوبة من مسلمٍ أو مسالم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ومیراث فاقد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وهو من عدا الإمام، وإلّا فهو علیه السلام وارث من یکون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والغنیمة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غائباً کان أم حاضراً علی المشهور، وبه روایةٌ مرسلة </w:t>
      </w:r>
      <w:r>
        <w:rPr>
          <w:rStyle w:val="FootnoteAnchor"/>
          <w:rtl w:val="true"/>
        </w:rPr>
        <w:footnoteReference w:id="1531"/>
      </w:r>
      <w:r>
        <w:rPr>
          <w:rFonts w:ascii="Amiri" w:hAnsi="Amiri" w:eastAsia="Amiri" w:cs="Amiri"/>
          <w:color w:val="111111"/>
          <w:sz w:val="28"/>
          <w:sz w:val="28"/>
          <w:szCs w:val="28"/>
          <w:rtl w:val="true"/>
          <w:lang w:bidi="ar-SA"/>
        </w:rPr>
        <w:t>إلّاأ نّه لا قائل بخلافها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أنّ هذه الأنفال مباحةٌ حال الغیبة، فیصحّ التصرّف فی الأرض المذکورة بالإحیاء وأخذُ ما فیها من شجرٍ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یختصّ میراث من لا وارث له بفقراء بلد المیّت وجیرانه؛ للروایة </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بالفقراء مطلقاً </w:t>
      </w:r>
      <w:r>
        <w:rPr>
          <w:rStyle w:val="FootnoteAnchor"/>
          <w:rtl w:val="true"/>
        </w:rPr>
        <w:footnoteReference w:id="1533"/>
      </w:r>
      <w:r>
        <w:rPr>
          <w:rFonts w:ascii="Amiri" w:hAnsi="Amiri" w:eastAsia="Amiri" w:cs="Amiri"/>
          <w:color w:val="111111"/>
          <w:sz w:val="28"/>
          <w:sz w:val="28"/>
          <w:szCs w:val="28"/>
          <w:rtl w:val="true"/>
          <w:lang w:bidi="ar-SA"/>
        </w:rPr>
        <w:t>لضعف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کغیره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والباطنة فی غیر أرضه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فیها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 لأصالة عدم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الأنفال أیضاً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الأرض المختصّة به فما فیها من معدنٍ تابعٌ لها؛ لأنّه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جماعةٌ کون المعادن للناس من غیر تفصیل </w:t>
      </w:r>
      <w:r>
        <w:rPr>
          <w:rStyle w:val="FootnoteAnchor"/>
          <w:rtl w:val="true"/>
        </w:rPr>
        <w:footnoteReference w:id="1536"/>
      </w:r>
      <w:r>
        <w:rPr>
          <w:rFonts w:ascii="IRNazanin" w:hAnsi="IRNazanin" w:eastAsia="IRNazanin"/>
          <w:color w:val="111111"/>
          <w:sz w:val="28"/>
          <w:sz w:val="28"/>
          <w:szCs w:val="28"/>
          <w:rtl w:val="true"/>
          <w:lang w:bidi="fa-IR"/>
        </w:rPr>
        <w:t>والتفصیل حسن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غیر المعادن المملوکة تبعاً للأرض أو بالإحیاء؛ فإنّها مختصّةٌ بمالکها</w:t>
      </w:r>
      <w:r>
        <w:rPr>
          <w:rFonts w:eastAsia="IRNazanin" w:cs="IRNazanin"/>
          <w:color w:val="111111"/>
          <w:sz w:val="28"/>
          <w:szCs w:val="28"/>
          <w:rtl w:val="true"/>
          <w:lang w:bidi="fa-IR"/>
        </w:rPr>
        <w:t>.</w:t>
      </w:r>
      <w:bookmarkStart w:id="433" w:name="pg19806_203603"/>
    </w:p>
    <w:p>
      <w:pPr>
        <w:pStyle w:val="Heading2"/>
        <w:numPr>
          <w:ilvl w:val="1"/>
          <w:numId w:val="1"/>
        </w:numPr>
        <w:rPr/>
      </w:pPr>
      <w:bookmarkStart w:id="434" w:name="__RefHeading___Toc2028025_2314609296"/>
      <w:bookmarkStart w:id="435" w:name="_Toc160"/>
      <w:bookmarkEnd w:id="433"/>
      <w:bookmarkEnd w:id="434"/>
      <w:r>
        <w:rPr>
          <w:rtl w:val="true"/>
        </w:rPr>
        <w:t>کتاب الصوم</w:t>
      </w:r>
      <w:bookmarkEnd w:id="43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2028027_2314609296"/>
      <w:bookmarkStart w:id="437" w:name="_Toc161"/>
      <w:bookmarkEnd w:id="436"/>
      <w:r>
        <w:rPr>
          <w:rtl w:val="true"/>
        </w:rPr>
        <w:t>اشارة</w:t>
      </w:r>
      <w:bookmarkStart w:id="438" w:name="pg19806_203605"/>
      <w:bookmarkEnd w:id="437"/>
    </w:p>
    <w:p>
      <w:pPr>
        <w:pStyle w:val="Heading3"/>
        <w:numPr>
          <w:ilvl w:val="2"/>
          <w:numId w:val="1"/>
        </w:numPr>
        <w:rPr/>
      </w:pPr>
      <w:bookmarkStart w:id="439" w:name="__RefHeading___Toc2028029_2314609296"/>
      <w:bookmarkStart w:id="440" w:name="_Toc162"/>
      <w:bookmarkEnd w:id="438"/>
      <w:bookmarkEnd w:id="439"/>
      <w:r>
        <w:rPr>
          <w:rtl w:val="true"/>
        </w:rPr>
        <w:t>[</w:t>
      </w:r>
      <w:r>
        <w:rPr>
          <w:rtl w:val="true"/>
        </w:rPr>
        <w:t>المفطرات</w:t>
      </w:r>
      <w:r>
        <w:rPr>
          <w:rtl w:val="true"/>
        </w:rPr>
        <w:t>]</w:t>
      </w:r>
      <w:bookmarkEnd w:id="44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نهاراً کما سیأتی التنبیه علیه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الأکل والشرب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 منهما وغیره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والجماع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ودُبراً، لآدمیّ وغیره علی أصحّ القولین </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طلب الإمناء بغیر الجماع مع حصوله، لا مطلق طلبه وإن کان محرّماً أیضاً، إلّاأنّ الأحکام الآتیة لا تجری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والاستمتاع بغیر الجماع، والتخیّل لمعتاده معه کما سیأتی </w:t>
      </w:r>
      <w:r>
        <w:rPr>
          <w:rStyle w:val="FootnoteAnchor"/>
          <w:rtl w:val="true"/>
        </w:rPr>
        <w:footnoteReference w:id="1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 یصال الغبار المتعدّی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الحلق غلیظاً کان أم لا، بمحلَّلٍ کدقیق، وغیره کتراب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وتقییده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العبارات </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الدروس </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الخاء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والبقاء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بها لیلاً، سواء نوی الغسل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ومعاودة النوم جنباً بعد انتباهتین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متأخّرتین عن العلم بالجنابة وإن نوی الغسل إذا طلع الفجر علیه جنباً، لا بمجرّد النوم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یکفّ عن أحد هذه السبعة اختیاراً فی صومٍ واجبٍ متعیّن، أو فی </w:t>
      </w:r>
      <w:r>
        <w:rPr>
          <w:rStyle w:val="FootnoteAnchor"/>
          <w:rtl w:val="true"/>
        </w:rPr>
        <w:footnoteReference w:id="1542"/>
      </w:r>
      <w:r>
        <w:rPr>
          <w:rFonts w:ascii="IRNazanin" w:hAnsi="IRNazanin" w:eastAsia="IRNazanin"/>
          <w:color w:val="111111"/>
          <w:sz w:val="28"/>
          <w:sz w:val="28"/>
          <w:szCs w:val="28"/>
          <w:rtl w:val="true"/>
          <w:lang w:bidi="fa-IR"/>
        </w:rPr>
        <w:t xml:space="preserve">شهر رمضان مع وجوبه؛ بقرینة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مع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تعمّد الإخلال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بالکفّ المؤدّی إلی فعل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الستّة السابقة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وفی‌السابع مشهوریٌّ، ومستنده </w:t>
      </w:r>
      <w:r>
        <w:rPr>
          <w:rStyle w:val="FootnoteAnchor"/>
          <w:rtl w:val="true"/>
        </w:rPr>
        <w:footnoteReference w:id="1543"/>
      </w:r>
      <w:r>
        <w:rPr>
          <w:rFonts w:ascii="IRNazanin" w:hAnsi="IRNazanin" w:eastAsia="IRNazanin"/>
          <w:color w:val="111111"/>
          <w:sz w:val="28"/>
          <w:sz w:val="28"/>
          <w:szCs w:val="28"/>
          <w:rtl w:val="true"/>
          <w:lang w:bidi="fa-IR"/>
        </w:rPr>
        <w:t xml:space="preserve">غیر صالح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بتحریمها وإفسادها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وجوب الکفّارة علیه خلاف، والذی قوّاه المصنّف فی الدروس عدمه </w:t>
      </w:r>
      <w:r>
        <w:rPr>
          <w:rStyle w:val="FootnoteAnchor"/>
          <w:rtl w:val="true"/>
        </w:rPr>
        <w:footnoteReference w:id="1545"/>
      </w:r>
      <w:r>
        <w:rPr>
          <w:rFonts w:ascii="Amiri" w:hAnsi="Amiri" w:eastAsia="Amiri" w:cs="Amiri"/>
          <w:color w:val="111111"/>
          <w:sz w:val="28"/>
          <w:sz w:val="28"/>
          <w:szCs w:val="28"/>
          <w:rtl w:val="true"/>
          <w:lang w:bidi="ar-SA"/>
        </w:rPr>
        <w:t xml:space="preserve">وهو المرویّ </w:t>
      </w:r>
      <w:r>
        <w:rPr>
          <w:rStyle w:val="FootnoteAnchor"/>
          <w:rtl w:val="true"/>
        </w:rPr>
        <w:footnoteReference w:id="1546"/>
      </w:r>
      <w:r>
        <w:rPr>
          <w:rFonts w:ascii="IRNazanin" w:hAnsi="IRNazanin" w:eastAsia="IRNazanin"/>
          <w:color w:val="111111"/>
          <w:sz w:val="28"/>
          <w:sz w:val="28"/>
          <w:szCs w:val="28"/>
          <w:rtl w:val="true"/>
          <w:lang w:bidi="fa-IR"/>
        </w:rPr>
        <w:t>وخرج</w:t>
      </w:r>
    </w:p>
    <w:p>
      <w:pPr>
        <w:pStyle w:val="BookText"/>
        <w:rPr/>
      </w:pPr>
      <w:r>
        <w:rPr>
          <w:rFonts w:ascii="IRNazanin" w:hAnsi="IRNazanin" w:eastAsia="IRNazanin"/>
          <w:color w:val="111111"/>
          <w:sz w:val="28"/>
          <w:sz w:val="28"/>
          <w:szCs w:val="28"/>
          <w:rtl w:val="true"/>
          <w:lang w:bidi="fa-IR"/>
        </w:rPr>
        <w:t>الناسی فلا قضاء علیه ولا کفّارة، والمکرَه علیه ولو بالتخویف فباشر بنفسه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ظاهر العبارة کون ما ذکر تعریفاً للصوم کما هو عادتهم، ولکنّه غیر تامّ؛ إذ لیس مطلق الکفّ عن هذه الأشیاء صوماً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تجوّز فیه ببیان أحکامه، ویؤیّده أ نّه لم یعرِّف غیره من العبادات ولا غیرها فی الکتاب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دخله من حیث جعله کفّاً وهو أمرٌ عدمیٌّ، فقابل للتأویل بإرادة العزم علی الضدّ أو توطین النفس علیه، وبه یتحقّق معنی الإخلال به؛ إذ لا یقع الإخلال إلّابفعلٍ، فلا بدّ من ردّه إلی فعل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اقتصر علی الکفّ مراعاةً لمعناه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من غیر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إلی النوم ناویاً للغسل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انتباهةٍ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فأصبح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مع ذلک من احتماله الانتباه عادةً، فلو لم یکن من عادته ذلک ولا احتمله کان من أوّل نومه کمتعمّد البقاء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النومة الاُولی فلا شیء فیها وإن طلع الفجر بشرطیه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احتقن بالمائع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w:t>
      </w:r>
      <w:r>
        <w:rPr>
          <w:rStyle w:val="FootnoteAnchor"/>
          <w:rtl w:val="true"/>
        </w:rPr>
        <w:footnoteReference w:id="1547"/>
      </w:r>
      <w:r>
        <w:rPr>
          <w:rFonts w:ascii="IRNazanin" w:hAnsi="IRNazanin" w:eastAsia="IRNazanin"/>
          <w:color w:val="111111"/>
          <w:sz w:val="28"/>
          <w:sz w:val="28"/>
          <w:szCs w:val="28"/>
          <w:rtl w:val="true"/>
          <w:lang w:bidi="fa-IR"/>
        </w:rPr>
        <w:t>والأقوی عدم القضاء بها وإن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کالفتائل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علی الأقوی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غمس رأسه أجمع فی الماء دفعةً واحدةً عرفیّة وإن بقی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تحریمه من دون إفسادٍ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أوجب به القضاء والکفّارة </w:t>
      </w:r>
      <w:r>
        <w:rPr>
          <w:rStyle w:val="FootnoteAnchor"/>
          <w:rtl w:val="true"/>
        </w:rPr>
        <w:footnoteReference w:id="1548"/>
      </w:r>
      <w:r>
        <w:rPr>
          <w:rFonts w:ascii="IRNazanin" w:hAnsi="IRNazanin" w:eastAsia="IRNazanin"/>
          <w:color w:val="111111"/>
          <w:sz w:val="28"/>
          <w:sz w:val="28"/>
          <w:szCs w:val="28"/>
          <w:rtl w:val="true"/>
          <w:lang w:bidi="fa-IR"/>
        </w:rPr>
        <w:t>وحیث یکون الارتماس فی غسلٍ مشروعٍ یقع</w:t>
      </w:r>
    </w:p>
    <w:p>
      <w:pPr>
        <w:pStyle w:val="BookText"/>
        <w:rPr/>
      </w:pPr>
      <w:r>
        <w:rPr>
          <w:rFonts w:ascii="Amiri" w:hAnsi="Amiri" w:eastAsia="Amiri" w:cs="Amiri"/>
          <w:color w:val="111111"/>
          <w:sz w:val="28"/>
          <w:sz w:val="28"/>
          <w:szCs w:val="28"/>
          <w:rtl w:val="true"/>
          <w:lang w:bidi="ar-SA"/>
        </w:rPr>
        <w:t xml:space="preserve">فاسداً مع التعمّد للنهی </w:t>
      </w:r>
      <w:r>
        <w:rPr>
          <w:rStyle w:val="FootnoteAnchor"/>
          <w:rtl w:val="true"/>
        </w:rPr>
        <w:footnoteReference w:id="1549"/>
      </w:r>
      <w:r>
        <w:rPr>
          <w:rFonts w:ascii="Amiri" w:hAnsi="Amiri" w:eastAsia="Amiri" w:cs="Amiri"/>
          <w:color w:val="111111"/>
          <w:sz w:val="28"/>
          <w:sz w:val="28"/>
          <w:szCs w:val="28"/>
          <w:rtl w:val="true"/>
          <w:lang w:bidi="ar-SA"/>
        </w:rPr>
        <w:t>ولو نسی 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مراعاةٍ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للفجر أو اللیل ظانّاً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ظهر تناوله 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مستصحب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تناول آخر اللیل من غیر مراعاةٍ بناءً علی أصالة عدم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أکل آخر النهار ظنّاً أنّ اللیل دخل فظهر عدمه، واکتفی عن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الخطأ، فإنّه یقتضی اعتقاد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المراعاة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تناول کذلک مع عدم إمکان المراعاة لغیمٍ أو حبسٍ أو عمیً حیث لا یجد من یقلّده فإنّه لا یقضی؛ لأنّه متعبّدٌ بظنّه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ذلک أ نّه لو راعی فظنّ فلا قضاء فیهما وإن أخطأ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استقرب القضاء فی الثانی دون الأوّل، فارقاً بینها باعتضاد ظنّه بالأصل فی الأوّل وبخلافه فی الثانی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551"/>
      </w:r>
      <w:r>
        <w:rPr>
          <w:rFonts w:ascii="IRNazanin" w:hAnsi="IRNazanin" w:eastAsia="IRNazanin"/>
          <w:color w:val="111111"/>
          <w:sz w:val="28"/>
          <w:sz w:val="28"/>
          <w:szCs w:val="28"/>
          <w:rtl w:val="true"/>
          <w:lang w:bidi="fa-IR"/>
        </w:rPr>
        <w:t xml:space="preserve">والفاضلان </w:t>
      </w:r>
      <w:r>
        <w:rPr>
          <w:rStyle w:val="FootnoteAnchor"/>
          <w:rtl w:val="true"/>
        </w:rPr>
        <w:footnoteReference w:id="1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أفطر لظلمةٍ موهِمةٍ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لظنّ دخول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من غیر مراعاةٍ بل استناداً إلی مجرّد الظلمة المثیرة 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إلی أخبار </w:t>
      </w:r>
      <w:r>
        <w:rPr>
          <w:rStyle w:val="FootnoteAnchor"/>
          <w:rtl w:val="true"/>
        </w:rPr>
        <w:footnoteReference w:id="1553"/>
      </w:r>
      <w:r>
        <w:rPr>
          <w:rFonts w:ascii="Amiri" w:hAnsi="Amiri" w:eastAsia="Amiri" w:cs="Amiri"/>
          <w:color w:val="111111"/>
          <w:sz w:val="28"/>
          <w:sz w:val="28"/>
          <w:szCs w:val="28"/>
          <w:rtl w:val="true"/>
          <w:lang w:bidi="ar-SA"/>
        </w:rPr>
        <w:t>تقصر عن الدلالة</w:t>
      </w:r>
    </w:p>
    <w:p>
      <w:pPr>
        <w:pStyle w:val="BookText"/>
        <w:rPr/>
      </w:pPr>
      <w:r>
        <w:rPr>
          <w:rFonts w:ascii="IRNazanin" w:hAnsi="IRNazanin" w:eastAsia="IRNazanin"/>
          <w:color w:val="111111"/>
          <w:sz w:val="28"/>
          <w:sz w:val="28"/>
          <w:szCs w:val="28"/>
          <w:rtl w:val="true"/>
          <w:lang w:bidi="fa-IR"/>
        </w:rPr>
        <w:t xml:space="preserve">مع تقصیره فی المراعاة، فلذلک نسبه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واقتضی حکمه السابق وجوب القضاء مع عدم المراعاة وإن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صرّح فی الدروس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کفّارة مطلقاً، ویشکل عدم الکفّارة مع إمکان المراعاة والقدرة علی تحصیل العلم فی القسم الثانی؛ لتحریم التناول علی هذا الوجه ووقوعه فی نهار یجب صومه عمداً، وذلک یقتضی بحسب الاُصول الشرعیّة وجوب الکفّارة، بل ینبغی وجوبها وإن لم یظهر الخطأ بل استمرّ الاشتباه؛ لأصالة عدم الدخول مع النهی عن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القسم الأوّل فوجوب القضاء خاصّةً مع ظهور الخطأ متوجّه؛ لتبیّن إفطاره فی النهار، وللأخبار </w:t>
      </w:r>
      <w:r>
        <w:rPr>
          <w:rStyle w:val="FootnoteAnchor"/>
          <w:rtl w:val="true"/>
        </w:rPr>
        <w:footnoteReference w:id="1555"/>
      </w:r>
      <w:r>
        <w:rPr>
          <w:rFonts w:ascii="IRNazanin" w:hAnsi="IRNazanin" w:eastAsia="IRNazanin"/>
          <w:color w:val="111111"/>
          <w:sz w:val="28"/>
          <w:sz w:val="28"/>
          <w:szCs w:val="28"/>
          <w:rtl w:val="true"/>
          <w:lang w:bidi="fa-IR"/>
        </w:rPr>
        <w:t>لکن لا کفّارة علیه؛ لجواز تناوله حینئذٍ بناءً علی أصالة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النصّ علی القضاء لأمکن القول بعدمه؛ للإذن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 </w:t>
      </w:r>
      <w:r>
        <w:rPr>
          <w:rStyle w:val="FootnoteAnchor"/>
          <w:rtl w:val="true"/>
        </w:rPr>
        <w:footnoteReference w:id="1556"/>
      </w:r>
      <w:r>
        <w:rPr>
          <w:rFonts w:ascii="IRNazanin" w:hAnsi="IRNazanin" w:eastAsia="IRNazanin"/>
          <w:color w:val="111111"/>
          <w:sz w:val="28"/>
          <w:sz w:val="28"/>
          <w:szCs w:val="28"/>
          <w:rtl w:val="true"/>
          <w:lang w:bidi="fa-IR"/>
        </w:rPr>
        <w:t xml:space="preserve">الکفّارة علی القول المحکیّ </w:t>
      </w:r>
      <w:r>
        <w:rPr>
          <w:rStyle w:val="FootnoteAnchor"/>
          <w:rtl w:val="true"/>
        </w:rPr>
        <w:footnoteReference w:id="1557"/>
      </w:r>
      <w:r>
        <w:rPr>
          <w:rFonts w:ascii="IRNazanin" w:hAnsi="IRNazanin" w:eastAsia="IRNazanin"/>
          <w:color w:val="111111"/>
          <w:sz w:val="28"/>
          <w:sz w:val="28"/>
          <w:szCs w:val="28"/>
          <w:rtl w:val="true"/>
          <w:lang w:bidi="fa-IR"/>
        </w:rPr>
        <w:t>فأوضح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لکثیر من الأصحاب فی هذه المسألة عباراتٌ قاصرةٌ عن تحقیق الحال جدّاً، فتأمّلها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المصنّف هنا جیّدةٌ لولا إطلاق عدم الکفّارة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المصنّف نقل القول المذکور جامعاً بین توهّم الدخول بالظلمة وظنّه، مع أنّ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الوهم اعتقادٌ مرجوح وراجحه الظنّ، وعبارتهم وقعت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أفطر للظلمة الموهِمة وجب القضاء ولو ظنّ لم یفطر، أی لم یفسد صومه، فجعلوا الظنّ قسیماً للوهم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فجمعه هنا بین الوهم والظنّ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نقل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کلامهم أیضاً الظنّ؛ إذ لا یجوز الإفطار مع ظنّ عدم الدخول قطعاً، واللازم منه وجوب الکفّارة، وإنّما یقتصر علی القضاء لو حصل الظنّ ثمّ ظهرت المخالفة، وإطلاق الوهم علی الظنّ صحیحٌ أیضاً؛ لأنّه أحد معانیه لغةً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یبقی فی کلامهم سؤال الفرق بین المسألتین؛ حیث حکموا مع الظنّ بأ نّه لا إفساد، إلّاأن یفرّق بین مراتب الظنّ، فیراد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مراتبه،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الرجحان، وبهذا المعنی صرّح بعضهم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تحقیقات المصنّف علی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أحد الطرفین لأمارةٍ غیر شرعیّة،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الترجیح لأمارةٍ شرعیّة </w:t>
      </w:r>
      <w:r>
        <w:rPr>
          <w:rStyle w:val="FootnoteAnchor"/>
          <w:rtl w:val="true"/>
        </w:rPr>
        <w:footnoteReference w:id="1560"/>
      </w:r>
      <w:r>
        <w:rPr>
          <w:rFonts w:ascii="IRNazanin" w:hAnsi="IRNazanin" w:eastAsia="IRNazanin"/>
          <w:color w:val="111111"/>
          <w:sz w:val="28"/>
          <w:sz w:val="28"/>
          <w:szCs w:val="28"/>
          <w:rtl w:val="true"/>
          <w:lang w:bidi="fa-IR"/>
        </w:rPr>
        <w:t>فشرّک بینهما فی الرجحان، وفرّق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لأنّ الظنّ المجوِّز للإفطار لا یفرق فیه بین الأسباب المثیرة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ذکرنا ذلک للتنبیه علی فائدة جمعه هنا بین الوهم والظنّ تفسیراً لقولهم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مستصحب اللیل أو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فیه علی قول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 قمتَ أو قعدتَ</w:t>
      </w:r>
      <w:r>
        <w:rPr>
          <w:rFonts w:eastAsia="IRNazanin" w:cs="IRNazanin"/>
          <w:color w:val="111111"/>
          <w:sz w:val="28"/>
          <w:szCs w:val="28"/>
          <w:rtl w:val="true"/>
          <w:lang w:bidi="fa-IR"/>
        </w:rPr>
        <w:t xml:space="preserve">» </w:t>
      </w:r>
      <w:r>
        <w:rPr>
          <w:rStyle w:val="FootnoteAnchor"/>
          <w:rtl w:val="true"/>
        </w:rPr>
        <w:footnoteReference w:id="1561"/>
      </w:r>
      <w:r>
        <w:rPr>
          <w:rFonts w:ascii="IRNazanin" w:hAnsi="IRNazanin" w:eastAsia="IRNazanin"/>
          <w:color w:val="111111"/>
          <w:sz w:val="28"/>
          <w:sz w:val="28"/>
          <w:szCs w:val="28"/>
          <w:rtl w:val="true"/>
          <w:lang w:bidi="fa-IR"/>
        </w:rPr>
        <w:t>وقد عدّه جماعةٌ من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ابن هشام فی المغنی </w:t>
      </w:r>
      <w:r>
        <w:rPr>
          <w:rStyle w:val="FootnoteAnchor"/>
          <w:rtl w:val="true"/>
        </w:rPr>
        <w:footnoteReference w:id="1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الأغالیط، وأنّ الصواب العطف بعد سواء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همزة التسویة،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أکان کذا أم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سَوٰاءٌ عَلَیْهِمْ</w:t>
      </w:r>
    </w:p>
    <w:p>
      <w:pPr>
        <w:pStyle w:val="BookText"/>
        <w:rPr/>
      </w:pPr>
      <w:r>
        <w:rPr>
          <w:rFonts w:ascii="Amiri" w:hAnsi="Amiri" w:eastAsia="Amiri" w:cs="Amiri"/>
          <w:color w:val="111111"/>
          <w:sz w:val="28"/>
          <w:sz w:val="28"/>
          <w:szCs w:val="28"/>
          <w:rtl w:val="true"/>
          <w:lang w:bidi="ar-SA"/>
        </w:rPr>
        <w:t>أَ أَنْذَرْتَهُمْ أَمْ لَمْ تُنْذِرْهُمْ</w:t>
      </w:r>
      <w:r>
        <w:rPr>
          <w:rFonts w:eastAsia="Amiri" w:cs="Amiri" w:ascii="Amiri" w:hAnsi="Amiri"/>
          <w:color w:val="111111"/>
          <w:sz w:val="28"/>
          <w:szCs w:val="28"/>
          <w:rtl w:val="true"/>
          <w:lang w:bidi="ar-SA"/>
        </w:rPr>
        <w:t xml:space="preserve">. . . ) </w:t>
      </w:r>
      <w:r>
        <w:rPr>
          <w:rStyle w:val="FootnoteAnchor"/>
          <w:rtl w:val="true"/>
        </w:rPr>
        <w:footnoteReference w:id="1563"/>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سَوٰاءٌ عَلَیْنٰا أَ جَزِعْنٰا أَمْ صَبَرْنٰا</w:t>
      </w:r>
      <w:r>
        <w:rPr>
          <w:rFonts w:eastAsia="Amiri" w:cs="Amiri" w:ascii="Amiri" w:hAnsi="Amiri"/>
          <w:color w:val="111111"/>
          <w:sz w:val="28"/>
          <w:szCs w:val="28"/>
          <w:rtl w:val="true"/>
          <w:lang w:bidi="ar-SA"/>
        </w:rPr>
        <w:t xml:space="preserve">. . . </w:t>
      </w:r>
      <w:r>
        <w:rPr>
          <w:rStyle w:val="FootnoteAnchor"/>
          <w:rtl w:val="true"/>
        </w:rPr>
        <w:footnoteReference w:id="156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سَوٰاءٌ عَلَیْکُمْ أَ دَعَوْتُمُوهُمْ أَمْ أَنْتُمْ صٰامِتُونَ </w:t>
      </w:r>
      <w:r>
        <w:rPr>
          <w:rStyle w:val="FootnoteAnchor"/>
          <w:rtl w:val="true"/>
        </w:rPr>
        <w:footnoteReference w:id="1565"/>
      </w:r>
      <w:r>
        <w:rPr>
          <w:rFonts w:ascii="IRNazanin" w:hAnsi="IRNazanin" w:eastAsia="IRNazanin"/>
          <w:color w:val="111111"/>
          <w:sz w:val="28"/>
          <w:sz w:val="28"/>
          <w:szCs w:val="28"/>
          <w:rtl w:val="true"/>
          <w:lang w:bidi="fa-IR"/>
        </w:rPr>
        <w:t>وقس علیه ما یأتی من نظائره فی الکتاب وغیره، وهو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رجوع شیءٍ منه إلی حلقه اختیاراً، وإلّا وجبت الکفّارة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لو سبقه بغیر اختیاره، فإنّه لا قضاء مع تحفّظه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اُخبر بدخول اللیل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تعویلاً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إن کان قادراً علی المراعاة ینبغی وجوب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لتقصیره وإفطاره حیث یُنهی </w:t>
      </w:r>
      <w:r>
        <w:rPr>
          <w:rStyle w:val="FootnoteAnchor"/>
          <w:rtl w:val="true"/>
        </w:rPr>
        <w:footnoteReference w:id="1566"/>
      </w:r>
      <w:r>
        <w:rPr>
          <w:rFonts w:ascii="IRNazanin" w:hAnsi="IRNazanin" w:eastAsia="IRNazanin"/>
          <w:color w:val="111111"/>
          <w:sz w:val="28"/>
          <w:sz w:val="28"/>
          <w:szCs w:val="28"/>
          <w:rtl w:val="true"/>
          <w:lang w:bidi="fa-IR"/>
        </w:rPr>
        <w:t>عنه، وإن کان مع عدمه فینبغی عدم القضاء أیضاً إن کان ممّن یسوغ تقلیده له کالعدل، وإلّا فکالأوّل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صرّح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هو الأوّل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تعویلاً علی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ویظهر </w:t>
      </w:r>
      <w:r>
        <w:rPr>
          <w:rStyle w:val="FootnoteAnchor"/>
          <w:rtl w:val="true"/>
        </w:rPr>
        <w:footnoteReference w:id="1568"/>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الأمرین، ووجوب القضاء خاصّةً هنا متّجهٌ مطلقاً؛ لاستناده إلی الأصل، بخلاف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فُرق فی الثانی بین کون</w:t>
      </w:r>
    </w:p>
    <w:p>
      <w:pPr>
        <w:pStyle w:val="BookText"/>
        <w:rPr/>
      </w:pPr>
      <w:r>
        <w:rPr>
          <w:rFonts w:ascii="IRNazanin" w:hAnsi="IRNazanin" w:eastAsia="IRNazanin"/>
          <w:color w:val="111111"/>
          <w:sz w:val="28"/>
          <w:sz w:val="28"/>
          <w:szCs w:val="28"/>
          <w:rtl w:val="true"/>
          <w:lang w:bidi="fa-IR"/>
        </w:rPr>
        <w:t>المخبر بعدم الطلوع حجّةً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 فلا یجب القضاء معهما؛ لحجیّة قولهما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القید أ نّه لو لم یظهر الخلاف فیهما 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یتمّ فی الثانی دون الأوّل؛ للنهی </w:t>
      </w:r>
      <w:r>
        <w:rPr>
          <w:rStyle w:val="FootnoteAnchor"/>
          <w:rtl w:val="true"/>
        </w:rPr>
        <w:footnoteReference w:id="1569"/>
      </w:r>
      <w:r>
        <w:rPr>
          <w:rFonts w:ascii="IRNazanin" w:hAnsi="IRNazanin" w:eastAsia="IRNazanin"/>
          <w:color w:val="111111"/>
          <w:sz w:val="28"/>
          <w:sz w:val="28"/>
          <w:szCs w:val="28"/>
          <w:rtl w:val="true"/>
          <w:lang w:bidi="fa-IR"/>
        </w:rPr>
        <w:t xml:space="preserve">والذی یناسب الأصل فیه وجوب القضاء والکفّارة ما لم تظهر الموافقة، وإلّا </w:t>
      </w:r>
      <w:r>
        <w:rPr>
          <w:rStyle w:val="FootnoteAnchor"/>
          <w:rtl w:val="true"/>
        </w:rPr>
        <w:footnoteReference w:id="1570"/>
      </w:r>
      <w:r>
        <w:rPr>
          <w:rFonts w:ascii="IRNazanin" w:hAnsi="IRNazanin" w:eastAsia="IRNazanin"/>
          <w:color w:val="111111"/>
          <w:sz w:val="28"/>
          <w:sz w:val="28"/>
          <w:szCs w:val="28"/>
          <w:rtl w:val="true"/>
          <w:lang w:bidi="fa-IR"/>
        </w:rPr>
        <w:t>فالإثم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هذه الصور جاهلاً بجواز التعویل علی ذلک جاء فیه الخلاف فی تکفیر الجاهل، وهو حکمٌ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نظر إلی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غلامٍ فأمنی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قصده الإمناء ولا اعتیاده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قصد فالأقرب الکفّارة، وخصوصاً مع الاعتیاد؛ إذ لا ینقص عن الاستمناء بیده أو ملاعبه </w:t>
      </w: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قرّبه حسنٌ، لکن یفهم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الاعتیاد بغیرِ قصد الإمناء غیر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الاکتفاء به، وهو ظاهره فی الدروس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وجب القضاء مع النظر إلی المحرّم مع عدم الوصفین؛ للنهی عنه </w:t>
      </w:r>
      <w:r>
        <w:rPr>
          <w:rStyle w:val="FootnoteAnchor"/>
          <w:rtl w:val="true"/>
        </w:rPr>
        <w:footnoteReference w:id="1573"/>
      </w:r>
      <w:r>
        <w:rPr>
          <w:rFonts w:ascii="IRNazanin" w:hAnsi="IRNazanin" w:eastAsia="IRNazanin"/>
          <w:color w:val="111111"/>
          <w:sz w:val="28"/>
          <w:sz w:val="28"/>
          <w:szCs w:val="28"/>
          <w:rtl w:val="true"/>
          <w:lang w:bidi="fa-IR"/>
        </w:rPr>
        <w:t>فأقلّ مراتبه الفساد، کغیره من المنهیّات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الارتماس والحقنة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القضاء بدونهما کغیره من المنهیّات وإن أثم؛ إذ لا دلالة للتحریم علی الفساد؛ لأنّه أعمّ، فلا یفسد إلّامع النصّ علیه، کالتناول والجماع</w:t>
      </w:r>
    </w:p>
    <w:p>
      <w:pPr>
        <w:pStyle w:val="BookText"/>
        <w:rPr/>
      </w:pPr>
      <w:r>
        <w:rPr>
          <w:rFonts w:ascii="IRNazanin" w:hAnsi="IRNazanin" w:eastAsia="IRNazanin"/>
          <w:color w:val="111111"/>
          <w:sz w:val="28"/>
          <w:sz w:val="28"/>
          <w:szCs w:val="28"/>
          <w:rtl w:val="true"/>
          <w:lang w:bidi="fa-IR"/>
        </w:rPr>
        <w:t>ونظائرهما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حینئذٍ بین المحلّلة والمحرّمة إلّافی الإثم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وتتکرّر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فعل موجبها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بتکرّر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ولو فی الیوم الواحد، ویتحقّق تکرّره بالعود بعد النزع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تغایر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وطئ وأکل، والأکل والشرب غیران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تخلّل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الفعلین وإن اتّحد الجنس والوقت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اختلاف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اتّحد الجنس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کذلک، بأن اتّحد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والوقت ولم یتخلّل التکفیر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Style w:val="FootnoteAnchor"/>
          <w:rtl w:val="true"/>
        </w:rPr>
        <w:footnoteReference w:id="1574"/>
      </w:r>
      <w:r>
        <w:rPr>
          <w:rFonts w:ascii="Amiri" w:hAnsi="Amiri" w:eastAsia="Amiri" w:cs="Amiri"/>
          <w:color w:val="111111"/>
          <w:sz w:val="28"/>
          <w:sz w:val="28"/>
          <w:szCs w:val="28"/>
          <w:rtl w:val="true"/>
          <w:lang w:bidi="ar-SA"/>
        </w:rPr>
        <w:t>وفی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Style w:val="FootnoteAnchor"/>
          <w:rtl w:val="true"/>
        </w:rPr>
        <w:footnoteReference w:id="1575"/>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تتکرّر مطلقاً </w:t>
      </w:r>
      <w:r>
        <w:rPr>
          <w:rStyle w:val="FootnoteAnchor"/>
          <w:rtl w:val="true"/>
        </w:rPr>
        <w:footnoteReference w:id="1576"/>
      </w:r>
      <w:r>
        <w:rPr>
          <w:rFonts w:ascii="IRNazanin" w:hAnsi="IRNazanin" w:eastAsia="IRNazanin"/>
          <w:color w:val="111111"/>
          <w:sz w:val="28"/>
          <w:sz w:val="28"/>
          <w:szCs w:val="28"/>
          <w:rtl w:val="true"/>
          <w:lang w:bidi="fa-IR"/>
        </w:rPr>
        <w:t>وهو 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یثبت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لتعدّد السبب الموجب لتعدّد المسبّب، إلّاما نصّ فیه علی التداخل، وهو منفیٌّ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لوحظ زوال الصوم بفساده بالسبب الأوّل لزم عدم تکرّرها فی الیوم الواحد مطلقاً، وله وجهٌ، والواسطة </w:t>
      </w:r>
      <w:r>
        <w:rPr>
          <w:rStyle w:val="FootnoteAnchor"/>
          <w:rtl w:val="true"/>
        </w:rPr>
        <w:footnoteReference w:id="1577"/>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ویتحقّق تعدّد الأکل والشرب بالازدراد وإن قلّ، ویتّجه فی الشرب اتّحاده مع اتّصاله وإن طال؛ للعرف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ویتحمّل عن الزوجة المکرَهة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والتعزیر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علی الواطئ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وعشرین سوطاً فیعزّر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تحمّل فی</w:t>
      </w:r>
      <w:bookmarkStart w:id="441" w:name="pg19806_203614"/>
    </w:p>
    <w:p>
      <w:pPr>
        <w:pStyle w:val="BookText"/>
        <w:rPr/>
      </w:pPr>
      <w:bookmarkEnd w:id="441"/>
      <w:r>
        <w:rPr>
          <w:rFonts w:ascii="IRNazanin" w:hAnsi="IRNazanin" w:eastAsia="IRNazanin"/>
          <w:color w:val="111111"/>
          <w:sz w:val="28"/>
          <w:sz w:val="28"/>
          <w:szCs w:val="28"/>
          <w:rtl w:val="true"/>
          <w:lang w:bidi="fa-IR"/>
        </w:rPr>
        <w:t xml:space="preserve">غیر ذلک کإکراه الأمة، والأجنبیّة، والأجنبیّ لهما، والزوجة له، والإکراه علی غیر الجماع ولو للزوجة، وقوفاً مع النصّ </w:t>
      </w:r>
      <w:r>
        <w:rPr>
          <w:rStyle w:val="FootnoteAnchor"/>
          <w:rtl w:val="true"/>
        </w:rPr>
        <w:footnoteReference w:id="1579"/>
      </w:r>
      <w:r>
        <w:rPr>
          <w:rFonts w:ascii="IRNazanin" w:hAnsi="IRNazanin" w:eastAsia="IRNazanin"/>
          <w:color w:val="111111"/>
          <w:sz w:val="28"/>
          <w:sz w:val="28"/>
          <w:szCs w:val="28"/>
          <w:rtl w:val="true"/>
          <w:lang w:bidi="fa-IR"/>
        </w:rPr>
        <w:t>وکون الحکم فی الأجنبیّة أفحش لا یفید أولویّة التحمّل؛ لأنّ الکفّارة مخفِّفة للذنب، فقد لا یثبت فی الأقوی، کتکرار الصید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فرق فی الزوجة بین الدائم والمستمتع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یجتمع فی حالةٍ واحدة الإکراه والمطاوعة ابتداءً واستدامةً، فیلزمه حکمه ویلزمها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الإکراه بین المجبورة والمضروبة ضرباً مضرّاً حتّی مکّنت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ینتفی عنها الکفّارة ینتفی القضاء مطلقاً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طاوعته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والتعزیر مثله</w:t>
      </w:r>
      <w:r>
        <w:rPr>
          <w:rFonts w:eastAsia="IRNazanin" w:cs="IRNazanin"/>
          <w:color w:val="111111"/>
          <w:sz w:val="28"/>
          <w:szCs w:val="28"/>
          <w:rtl w:val="true"/>
          <w:lang w:bidi="fa-IR"/>
        </w:rPr>
        <w:t>.</w:t>
      </w:r>
    </w:p>
    <w:p>
      <w:pPr>
        <w:pStyle w:val="Heading3"/>
        <w:numPr>
          <w:ilvl w:val="2"/>
          <w:numId w:val="1"/>
        </w:numPr>
        <w:rPr/>
      </w:pPr>
      <w:bookmarkStart w:id="442" w:name="__RefHeading___Toc2028031_2314609296"/>
      <w:bookmarkStart w:id="443" w:name="_Toc163"/>
      <w:bookmarkEnd w:id="442"/>
      <w:r>
        <w:rPr>
          <w:rtl w:val="true"/>
        </w:rPr>
        <w:t>«</w:t>
      </w:r>
      <w:r>
        <w:rPr>
          <w:rtl w:val="true"/>
        </w:rPr>
        <w:t>القول فی شروطه</w:t>
      </w:r>
      <w:r>
        <w:rPr>
          <w:rtl w:val="true"/>
        </w:rPr>
        <w:t>»</w:t>
      </w:r>
      <w:bookmarkEnd w:id="443"/>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وجوب الصوم وشروط صحّته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فی الوجوب البلوغ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علی الصبیّ والمجنون والمغمی علیه، وأمّا السکران فبحکم العاقل فی الوجوب لا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والخلوّ من الحیض والنفاس والسفر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للقصر، فیجب علی کثیره والعاصی به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ناوی الإقامة عشراً ومن مضی علیه ثلاثون یوماً متردّداً ففی معنی المقیم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الصحّة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صوم الممیّز صحیحٌ، فیکون شرعیّاً، وبه صرّح فی الدروس </w:t>
      </w:r>
      <w:r>
        <w:rPr>
          <w:rStyle w:val="FootnoteAnchor"/>
          <w:rtl w:val="true"/>
        </w:rPr>
        <w:footnoteReference w:id="1581"/>
      </w:r>
      <w:r>
        <w:rPr>
          <w:rFonts w:ascii="IRNazanin" w:hAnsi="IRNazanin" w:eastAsia="IRNazanin"/>
          <w:color w:val="111111"/>
          <w:sz w:val="28"/>
          <w:sz w:val="28"/>
          <w:szCs w:val="28"/>
          <w:rtl w:val="true"/>
          <w:lang w:bidi="fa-IR"/>
        </w:rPr>
        <w:t>ویمکن الفرق بأنّ الصحّة من أحکام الوضع فلا یقتضی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کونه تمرینیّاً لا شرعیّاً، ویمکن معه الوصف بالصحّة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لبعضهم </w:t>
      </w:r>
      <w:r>
        <w:rPr>
          <w:rStyle w:val="FootnoteAnchor"/>
          <w:rtl w:val="true"/>
        </w:rPr>
        <w:footnoteReference w:id="1582"/>
      </w:r>
      <w:r>
        <w:rPr>
          <w:rFonts w:ascii="IRNazanin" w:hAnsi="IRNazanin" w:eastAsia="IRNazanin"/>
          <w:color w:val="111111"/>
          <w:sz w:val="28"/>
          <w:sz w:val="28"/>
          <w:szCs w:val="28"/>
          <w:rtl w:val="true"/>
          <w:lang w:bidi="fa-IR"/>
        </w:rPr>
        <w:t>حیث نفی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المجنون فینتفیان فی حقّه؛ لانتفاء التمییز، والتمرین 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ذلک فی بعض المجانین لوجود التمییز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والخلوّ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الحیض والنفاس، وکذا یعتبر فیهما الغسل بعده عند المصنّف </w:t>
      </w:r>
      <w:r>
        <w:rPr>
          <w:rStyle w:val="FootnoteAnchor"/>
          <w:rtl w:val="true"/>
        </w:rPr>
        <w:footnoteReference w:id="1583"/>
      </w:r>
      <w:r>
        <w:rPr>
          <w:rFonts w:ascii="IRNazanin" w:hAnsi="IRNazanin" w:eastAsia="IRNazanin"/>
          <w:color w:val="111111"/>
          <w:sz w:val="28"/>
          <w:sz w:val="28"/>
          <w:szCs w:val="28"/>
          <w:rtl w:val="true"/>
          <w:lang w:bidi="fa-IR"/>
        </w:rPr>
        <w:t xml:space="preserve">فکان علیه أن یذکره؛ إذ الخلوّ منهما لا یقتضیه، کما لم یقتضه فی شرط الوجوب؛ إذ المراد بهما فیه نفس الدم، لوجوبه علی المنقطعة وإن لم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الکافر یجب علیه الصوم کغیره، ولکن لا یصحّ منه معه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من المستحاضة إذا فعلت الواجب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الصوم الحاضر، أو مطلق الغسل بالنسبة إلی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یرید کونه مطلقاً شرطاً فیه مطلقاً؛ نظراً إلی إطلاق النصّ </w:t>
      </w:r>
      <w:r>
        <w:rPr>
          <w:rStyle w:val="FootnoteAnchor"/>
          <w:rtl w:val="true"/>
        </w:rPr>
        <w:footnoteReference w:id="1584"/>
      </w:r>
      <w:r>
        <w:rPr>
          <w:rFonts w:ascii="IRNazanin" w:hAnsi="IRNazanin" w:eastAsia="IRNazanin"/>
          <w:color w:val="111111"/>
          <w:sz w:val="28"/>
          <w:sz w:val="28"/>
          <w:szCs w:val="28"/>
          <w:rtl w:val="true"/>
          <w:lang w:bidi="fa-IR"/>
        </w:rPr>
        <w:t>والأوّل أجود؛ لأنّ غسل العشاءین لا یجب إلّابعد انقضاء الیوم، فلا یکون شرطاً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شرطٌ فی الیوم الآتی، ویدخل فی غسل الصبح لو اجتمعا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المسافر فی دم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الثلاثة لا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وبدل البَدَنة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ثمانیة عشر یوماً للمفیض من عرفات قبل الغروب عامداً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والنذر المقیّد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بالسفر، إمّا بأن نذره سفراً أو سفراً وحضراً وإن کان النذر فی حال السفر، لا إذا أطلق وإن کان الإطلاق یتناول السفر، إلّاأ نّه لا بدّ من تخصیصه بالقصد منفرداً أو منضمّاً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للمرتضی رحمه الله حیث اکتفی بالإطلاق </w:t>
      </w:r>
      <w:r>
        <w:rPr>
          <w:rStyle w:val="FootnoteAnchor"/>
          <w:rtl w:val="true"/>
        </w:rPr>
        <w:footnoteReference w:id="1585"/>
      </w:r>
      <w:r>
        <w:rPr>
          <w:rFonts w:ascii="IRNazanin" w:hAnsi="IRNazanin" w:eastAsia="IRNazanin"/>
          <w:color w:val="111111"/>
          <w:sz w:val="28"/>
          <w:sz w:val="28"/>
          <w:szCs w:val="28"/>
          <w:rtl w:val="true"/>
          <w:lang w:bidi="fa-IR"/>
        </w:rPr>
        <w:t xml:space="preserve">لذلک، وللمفید حیث جوّز صوم الواجب مطلقاً عدا شهر رمضان </w:t>
      </w:r>
      <w:r>
        <w:rPr>
          <w:rStyle w:val="FootnoteAnchor"/>
          <w:rtl w:val="true"/>
        </w:rPr>
        <w:footnoteReference w:id="1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ابنا بابویه </w:t>
      </w:r>
      <w:r>
        <w:rPr>
          <w:rStyle w:val="FootnoteAnchor"/>
          <w:rtl w:val="true"/>
        </w:rPr>
        <w:footnoteReference w:id="1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لعموم النهی </w:t>
      </w:r>
      <w:r>
        <w:rPr>
          <w:rStyle w:val="FootnoteAnchor"/>
          <w:rtl w:val="true"/>
        </w:rPr>
        <w:footnoteReference w:id="1588"/>
      </w:r>
      <w:r>
        <w:rPr>
          <w:rFonts w:ascii="IRNazanin" w:hAnsi="IRNazanin" w:eastAsia="IRNazanin"/>
          <w:color w:val="111111"/>
          <w:sz w:val="28"/>
          <w:sz w:val="28"/>
          <w:szCs w:val="28"/>
          <w:rtl w:val="true"/>
          <w:lang w:bidi="fa-IR"/>
        </w:rPr>
        <w:t>وعدم ما یصلح للتخصیص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ویُمرَّن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الصبیّة علی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لیعتاده فلا یثقل علیه عند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جماعةٌ </w:t>
      </w:r>
      <w:r>
        <w:rPr>
          <w:rStyle w:val="FootnoteAnchor"/>
          <w:rtl w:val="true"/>
        </w:rPr>
        <w:footnoteReference w:id="1589"/>
      </w:r>
      <w:r>
        <w:rPr>
          <w:rFonts w:ascii="IRNazanin" w:hAnsi="IRNazanin" w:eastAsia="IRNazanin"/>
          <w:color w:val="111111"/>
          <w:sz w:val="28"/>
          <w:sz w:val="28"/>
          <w:szCs w:val="28"/>
          <w:rtl w:val="true"/>
          <w:lang w:bidi="fa-IR"/>
        </w:rPr>
        <w:t>تمرینه قبل السبع وجعلوه بعد السبع مشدّداً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ابنا بابویه </w:t>
      </w:r>
      <w:r>
        <w:rPr>
          <w:rStyle w:val="FootnoteAnchor"/>
          <w:rtl w:val="true"/>
        </w:rPr>
        <w:footnoteReference w:id="1590"/>
      </w:r>
      <w:r>
        <w:rPr>
          <w:rFonts w:ascii="IRNazanin" w:hAnsi="IRNazanin" w:eastAsia="IRNazanin"/>
          <w:color w:val="111111"/>
          <w:sz w:val="28"/>
          <w:sz w:val="28"/>
          <w:szCs w:val="28"/>
          <w:rtl w:val="true"/>
          <w:lang w:bidi="fa-IR"/>
        </w:rPr>
        <w:t xml:space="preserve">والشیخ فی النهایة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p>
    <w:p>
      <w:pPr>
        <w:pStyle w:val="BookText"/>
        <w:rPr/>
      </w:pPr>
      <w:r>
        <w:rPr>
          <w:rFonts w:ascii="IRNazanin" w:hAnsi="IRNazanin" w:eastAsia="IRNazanin"/>
          <w:color w:val="111111"/>
          <w:sz w:val="28"/>
          <w:sz w:val="28"/>
          <w:szCs w:val="28"/>
          <w:rtl w:val="true"/>
          <w:lang w:bidi="fa-IR"/>
        </w:rPr>
        <w:t>أجود، ولکن یشدّد للتسع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أطاق بعض النهار خاصّةً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ویتخیّر بین نیّة الوجوب والندب؛ لأنّ الغرض التمرین علی فعل الواجب، ذکره </w:t>
      </w:r>
      <w:r>
        <w:rPr>
          <w:rStyle w:val="FootnoteAnchor"/>
          <w:rtl w:val="true"/>
        </w:rPr>
        <w:footnoteReference w:id="1592"/>
      </w:r>
      <w:r>
        <w:rPr>
          <w:rFonts w:ascii="Amiri" w:hAnsi="Amiri" w:eastAsia="Amiri" w:cs="Amiri"/>
          <w:color w:val="111111"/>
          <w:sz w:val="28"/>
          <w:sz w:val="28"/>
          <w:szCs w:val="28"/>
          <w:rtl w:val="true"/>
          <w:lang w:bidi="ar-SA"/>
        </w:rPr>
        <w:t xml:space="preserve">المصنّف </w:t>
      </w:r>
      <w:r>
        <w:rPr>
          <w:rStyle w:val="FootnoteAnchor"/>
          <w:rtl w:val="true"/>
        </w:rPr>
        <w:footnoteReference w:id="1593"/>
      </w:r>
      <w:r>
        <w:rPr>
          <w:rFonts w:ascii="IRNazanin" w:hAnsi="IRNazanin" w:eastAsia="IRNazanin"/>
          <w:color w:val="111111"/>
          <w:sz w:val="28"/>
          <w:sz w:val="28"/>
          <w:szCs w:val="28"/>
          <w:rtl w:val="true"/>
          <w:lang w:bidi="fa-IR"/>
        </w:rPr>
        <w:t xml:space="preserve">وغیره </w:t>
      </w:r>
      <w:r>
        <w:rPr>
          <w:rStyle w:val="FootnoteAnchor"/>
          <w:rtl w:val="true"/>
        </w:rPr>
        <w:footnoteReference w:id="1594"/>
      </w:r>
      <w:r>
        <w:rPr>
          <w:rFonts w:ascii="IRNazanin" w:hAnsi="IRNazanin" w:eastAsia="IRNazanin"/>
          <w:color w:val="111111"/>
          <w:sz w:val="28"/>
          <w:sz w:val="28"/>
          <w:szCs w:val="28"/>
          <w:rtl w:val="true"/>
          <w:lang w:bidi="fa-IR"/>
        </w:rPr>
        <w:t>وإن کان الندب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والمریض یتبع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 الضرر به أفطر وإلّا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یتبع ظنّه فی الإفطار، أمّا الصوم فیکفی فیه اشتباه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والمرجع فی الظنّ إلی ما یجده ولو بالتجربة فی مثله سابقاً، أو بقول من یفید قوله الظنّ ولو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الضرر بین کونه لزیادة المرض وشدّة الألم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لا یحتمل </w:t>
      </w:r>
      <w:r>
        <w:rPr>
          <w:rStyle w:val="FootnoteAnchor"/>
          <w:rtl w:val="true"/>
        </w:rPr>
        <w:footnoteReference w:id="1595"/>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وبطء برئه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وحیث یحصل الضرر ولو بالظنّ لا یصحّ الصوم؛ للنهی عنه </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تکلّفه مع ظنّ الضرر قضی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فیه النیّة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القصد إلی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أو 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القربة فلا شبهة فی وجوبها، وأمّا الوجه ففیه ما مرّ </w:t>
      </w:r>
      <w:r>
        <w:rPr>
          <w:rStyle w:val="FootnoteAnchor"/>
          <w:rtl w:val="true"/>
        </w:rPr>
        <w:footnoteReference w:id="1597"/>
      </w:r>
      <w:r>
        <w:rPr>
          <w:rFonts w:ascii="Amiri" w:hAnsi="Amiri" w:eastAsia="Amiri" w:cs="Amiri"/>
          <w:color w:val="111111"/>
          <w:sz w:val="28"/>
          <w:sz w:val="28"/>
          <w:szCs w:val="28"/>
          <w:rtl w:val="true"/>
          <w:lang w:bidi="ar-SA"/>
        </w:rPr>
        <w:t>خصوصاً</w:t>
      </w:r>
    </w:p>
    <w:p>
      <w:pPr>
        <w:pStyle w:val="BookText"/>
        <w:rPr/>
      </w:pPr>
      <w:r>
        <w:rPr>
          <w:rFonts w:ascii="IRNazanin" w:hAnsi="IRNazanin" w:eastAsia="IRNazanin"/>
          <w:color w:val="111111"/>
          <w:sz w:val="28"/>
          <w:sz w:val="28"/>
          <w:szCs w:val="28"/>
          <w:rtl w:val="true"/>
          <w:lang w:bidi="fa-IR"/>
        </w:rPr>
        <w:t>فی شهر رمضان؛ لعدم وقوعه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وتعتبر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لطلوع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إن اتّفقت؛ لأنّ الأصل فی النیّة مقارنتها للعبادة المنویّة، وإنّما اغتفرت هنا للعسر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جماعةٍ تحتّم إیقاعها لیلاً </w:t>
      </w:r>
      <w:r>
        <w:rPr>
          <w:rStyle w:val="FootnoteAnchor"/>
          <w:rtl w:val="true"/>
        </w:rPr>
        <w:footnoteReference w:id="1598"/>
      </w:r>
      <w:r>
        <w:rPr>
          <w:rFonts w:ascii="IRNazanin" w:hAnsi="IRNazanin" w:eastAsia="IRNazanin"/>
          <w:color w:val="111111"/>
          <w:sz w:val="28"/>
          <w:sz w:val="28"/>
          <w:szCs w:val="28"/>
          <w:rtl w:val="true"/>
          <w:lang w:bidi="fa-IR"/>
        </w:rPr>
        <w:t>ولعلّه لتعذّر المقارنة، فإنّ الطلوع لا یعلم إلّابعد الوقوع، فتقع النیّة بعده، وذلک غیر المقارنة المعتبرة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الأصحاب أنّ النیّة للفعل المستغرق للزمان المعیّن یکون بعد تحقّقه لا قبله؛ لتعذّره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صرّح به المصنّف فی الدروس فی نیّات أعمال الحجّ، کالوقوف بعرفة، فإنّه جعلها مقارنةً لما بعد الزوال </w:t>
      </w:r>
      <w:r>
        <w:rPr>
          <w:rStyle w:val="FootnoteAnchor"/>
          <w:rtl w:val="true"/>
        </w:rPr>
        <w:footnoteReference w:id="1599"/>
      </w:r>
      <w:r>
        <w:rPr>
          <w:rFonts w:ascii="IRNazanin" w:hAnsi="IRNazanin" w:eastAsia="IRNazanin"/>
          <w:color w:val="111111"/>
          <w:sz w:val="28"/>
          <w:sz w:val="28"/>
          <w:szCs w:val="28"/>
          <w:rtl w:val="true"/>
          <w:lang w:bidi="fa-IR"/>
        </w:rPr>
        <w:t>فیکون هنا کذلک، وإن کان الأحوط جعلها لیلاً؛ للاتّفاق علی جوازها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یجدّدها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وقتها یمتدّ إلیه، ولکن یجب الفور بها عند ذکرها، فلو أخّرها عنه عامداً بطل الصوم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شهر رمضان والصوم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کالقضاء والکفّارة والنذر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تجدیدها قبل الزوال وإن ترکها قبله عمداً، بل ولو نوی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صوم النافلة فالمشهور أ 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بامتدادها فیه إلی الغروب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 xml:space="preserve">وهو حسنٌ وخیرة المصنّف فی الدروس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والمشهور بین القدماء الاکتفاء بنیّةٍ واحدةٍ للشهر </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وادّعی المرتضی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الرسّیّة فیه الإجماع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ادّعاه الشیخ رحمه الله </w:t>
      </w:r>
      <w:r>
        <w:rPr>
          <w:rStyle w:val="FootnoteAnchor"/>
          <w:rtl w:val="true"/>
        </w:rPr>
        <w:footnoteReference w:id="1604"/>
      </w:r>
      <w:r>
        <w:rPr>
          <w:rFonts w:ascii="IRNazanin" w:hAnsi="IRNazanin" w:eastAsia="IRNazanin"/>
          <w:color w:val="111111"/>
          <w:sz w:val="28"/>
          <w:sz w:val="28"/>
          <w:szCs w:val="28"/>
          <w:rtl w:val="true"/>
          <w:lang w:bidi="fa-IR"/>
        </w:rPr>
        <w:t xml:space="preserve">ووافقهم من المتأخّرین المحقّق فی المعتبر </w:t>
      </w:r>
      <w:r>
        <w:rPr>
          <w:rStyle w:val="FootnoteAnchor"/>
          <w:rtl w:val="true"/>
        </w:rPr>
        <w:footnoteReference w:id="1605"/>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1606"/>
      </w:r>
      <w:r>
        <w:rPr>
          <w:rFonts w:ascii="Amiri" w:hAnsi="Amiri" w:eastAsia="Amiri" w:cs="Amiri"/>
          <w:color w:val="111111"/>
          <w:sz w:val="28"/>
          <w:sz w:val="28"/>
          <w:szCs w:val="28"/>
          <w:rtl w:val="true"/>
          <w:lang w:bidi="ar-SA"/>
        </w:rPr>
        <w:t>استناداً إلی أ نّه عبادةٌ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وهوإ یقاعها لکلّ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اختیاره الاجتزاء بالواحدة، وبه صرّح أیضاً فی شرح الإرشاد </w:t>
      </w:r>
      <w:r>
        <w:rPr>
          <w:rStyle w:val="FootnoteAnchor"/>
          <w:rtl w:val="true"/>
        </w:rPr>
        <w:footnoteReference w:id="1607"/>
      </w:r>
      <w:r>
        <w:rPr>
          <w:rFonts w:ascii="IRNazanin" w:hAnsi="IRNazanin" w:eastAsia="IRNazanin"/>
          <w:color w:val="111111"/>
          <w:sz w:val="28"/>
          <w:sz w:val="28"/>
          <w:szCs w:val="28"/>
          <w:rtl w:val="true"/>
          <w:lang w:bidi="fa-IR"/>
        </w:rPr>
        <w:t xml:space="preserve">وفی الکتابین اختار التعدّد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أولویّة تعدّدها عند المجتزئ بالواحدة نظرٌ؛ لأنّ جعله عبادةً واحدةً یقتضی عدم جواز تفریق النیّة علی أجزائها، خصوصاً عند المصنّف، فإنّه قطع بعدم جواز تفریقها علی أعضاء الوضوء وإن نوی الاستباحة المطلقة، فضلاً عن نیّتها لذلک العضو </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فرّق بین العبادات وجعل بعضها ممّا یقبل الاتّحاد</w:t>
      </w:r>
    </w:p>
    <w:p>
      <w:pPr>
        <w:pStyle w:val="BookText"/>
        <w:rPr/>
      </w:pPr>
      <w:r>
        <w:rPr>
          <w:rFonts w:ascii="Amiri" w:hAnsi="Amiri" w:eastAsia="Amiri" w:cs="Amiri"/>
          <w:color w:val="111111"/>
          <w:sz w:val="28"/>
          <w:sz w:val="28"/>
          <w:szCs w:val="28"/>
          <w:rtl w:val="true"/>
          <w:lang w:bidi="ar-SA"/>
        </w:rPr>
        <w:t>والتعدّد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کمجوِّز تفریقها فی الوضوء </w:t>
      </w:r>
      <w:r>
        <w:rPr>
          <w:rStyle w:val="FootnoteAnchor"/>
          <w:rtl w:val="true"/>
        </w:rPr>
        <w:footnoteReference w:id="1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عنده هنا الجواز من غیر أولویّة؛ لأ نّها تناسب الاحتیاط، وهو منفیٌّ، وإنّما الاحتیاط هنا الجمع بین نیّة المجموع والنیّة لکلّ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یأتی عند المصنّف فی غسل الأموات، حیث اجتزأ فی الثلاثة بنیّةٍ </w:t>
      </w:r>
      <w:r>
        <w:rPr>
          <w:rStyle w:val="FootnoteAnchor"/>
          <w:rtl w:val="true"/>
        </w:rPr>
        <w:footnoteReference w:id="1611"/>
      </w:r>
      <w:r>
        <w:rPr>
          <w:rFonts w:ascii="IRNazanin" w:hAnsi="IRNazanin" w:eastAsia="IRNazanin"/>
          <w:color w:val="111111"/>
          <w:sz w:val="28"/>
          <w:sz w:val="28"/>
          <w:szCs w:val="28"/>
          <w:rtl w:val="true"/>
          <w:lang w:bidi="fa-IR"/>
        </w:rPr>
        <w:t>لو أراد الاحتیاط بتعدّدها لکلّ غسل، فإنّه لا یتم إلّابجمعها ابتداءً ثمّ النیّة للآخرین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ما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لصلاحیّة الزمان ولو بحسب الأصل له ولغیره، بخلاف شهر رمضان؛ لتعیّنه شرعاً للصوم، فلا اشتراک فیه حتّی یمیّز بتعیینه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المعیّن، ووجه دخوله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تعیّنه بحسب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إلحاقه بشهر رمضان، إلحاقاً للمتعیّن </w:t>
      </w:r>
      <w:r>
        <w:rPr>
          <w:rStyle w:val="FootnoteAnchor"/>
          <w:rtl w:val="true"/>
        </w:rPr>
        <w:footnoteReference w:id="1612"/>
      </w:r>
      <w:r>
        <w:rPr>
          <w:rFonts w:ascii="IRNazanin" w:hAnsi="IRNazanin" w:eastAsia="IRNazanin"/>
          <w:color w:val="111111"/>
          <w:sz w:val="28"/>
          <w:sz w:val="28"/>
          <w:szCs w:val="28"/>
          <w:rtl w:val="true"/>
          <w:lang w:bidi="fa-IR"/>
        </w:rPr>
        <w:t>العرضی بالأصلی؛ لاشتراکهما فی حکم الشارع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ورجّحه فی البیان </w:t>
      </w:r>
      <w:r>
        <w:rPr>
          <w:rStyle w:val="FootnoteAnchor"/>
          <w:rtl w:val="true"/>
        </w:rPr>
        <w:footnoteReference w:id="1613"/>
      </w:r>
      <w:r>
        <w:rPr>
          <w:rFonts w:ascii="IRNazanin" w:hAnsi="IRNazanin" w:eastAsia="IRNazanin"/>
          <w:color w:val="111111"/>
          <w:sz w:val="28"/>
          <w:sz w:val="28"/>
          <w:szCs w:val="28"/>
          <w:rtl w:val="true"/>
          <w:lang w:bidi="fa-IR"/>
        </w:rPr>
        <w:t>وألحق به الندب المعیّن کأیّام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تحقیقاته مطلق المندوب، لتعیّنه شرعاً فی جمیع الأیّام إلّاما استثنی، فیکفی نیّة القربة </w:t>
      </w:r>
      <w:r>
        <w:rPr>
          <w:rStyle w:val="FootnoteAnchor"/>
          <w:rtl w:val="true"/>
        </w:rPr>
        <w:footnoteReference w:id="1614"/>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یکتفی فی شهر رمضان بعدم تعیّنه بشرط ألّا یعیّن غیره، وإلّا بطل فیهما علی الأقوی؛ لعدم نیّة المطلوب شرعاً وعدم وقوع غیره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العلم،</w:t>
      </w:r>
      <w:bookmarkStart w:id="444" w:name="pg19806_203621"/>
    </w:p>
    <w:p>
      <w:pPr>
        <w:pStyle w:val="BookText"/>
        <w:rPr/>
      </w:pPr>
      <w:bookmarkEnd w:id="444"/>
      <w:r>
        <w:rPr>
          <w:rFonts w:ascii="IRNazanin" w:hAnsi="IRNazanin" w:eastAsia="IRNazanin"/>
          <w:color w:val="111111"/>
          <w:sz w:val="28"/>
          <w:sz w:val="28"/>
          <w:szCs w:val="28"/>
          <w:rtl w:val="true"/>
          <w:lang w:bidi="fa-IR"/>
        </w:rPr>
        <w:t>أمّا مع الجهل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کصوم آخر شعبان بنیّة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النسیان فیقع عن شهر رمضان</w:t>
      </w:r>
      <w:r>
        <w:rPr>
          <w:rFonts w:eastAsia="IRNazanin" w:cs="IRNazanin"/>
          <w:color w:val="111111"/>
          <w:sz w:val="28"/>
          <w:szCs w:val="28"/>
          <w:rtl w:val="true"/>
          <w:lang w:bidi="fa-IR"/>
        </w:rPr>
        <w:t>.</w:t>
      </w:r>
    </w:p>
    <w:p>
      <w:pPr>
        <w:pStyle w:val="Heading3"/>
        <w:numPr>
          <w:ilvl w:val="2"/>
          <w:numId w:val="1"/>
        </w:numPr>
        <w:rPr/>
      </w:pPr>
      <w:bookmarkStart w:id="445" w:name="__RefHeading___Toc2028033_2314609296"/>
      <w:bookmarkStart w:id="446" w:name="_Toc164"/>
      <w:bookmarkEnd w:id="445"/>
      <w:r>
        <w:rPr>
          <w:rtl w:val="true"/>
        </w:rPr>
        <w:t>[</w:t>
      </w:r>
      <w:r>
        <w:rPr>
          <w:rtl w:val="true"/>
        </w:rPr>
        <w:t>طریق ثبوت شهر رمضان</w:t>
      </w:r>
      <w:r>
        <w:rPr>
          <w:rtl w:val="true"/>
        </w:rPr>
        <w:t>]</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من رآه وإن لم یثبت فی حقّ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برؤیته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برؤیته،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جماعةٍ بها تأمن النفس من تواطئهم علی الکذب ویحصل بخبرهم الظنّ المتاخم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ینحصر فی عدد، نعم یشترط زیادتهم عن اثنین لیفرق بین العدل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الکبیر والصغیر والذکر والاُنثی والمسلم والکافر، ولا بین هلال رمضان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حکم الحاکم فی حقّ من علم به أو سمع الشاهدین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مضیّ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شعبان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لسلّار رحمه الله حیث اکتفی به فیه بالنسبة إلی الصوم خاصّةً </w:t>
      </w:r>
      <w:r>
        <w:rPr>
          <w:rStyle w:val="FootnoteAnchor"/>
          <w:rtl w:val="true"/>
        </w:rPr>
        <w:footnoteReference w:id="1615"/>
      </w:r>
      <w:r>
        <w:rPr>
          <w:rFonts w:ascii="IRNazanin" w:hAnsi="IRNazanin" w:eastAsia="IRNazanin"/>
          <w:color w:val="111111"/>
          <w:sz w:val="28"/>
          <w:sz w:val="28"/>
          <w:szCs w:val="28"/>
          <w:rtl w:val="true"/>
          <w:lang w:bidi="fa-IR"/>
        </w:rPr>
        <w:t>فلا یثبت لو کان منتهی أجل دینٍ أو عدّةٍ أو مدّة ظهارٍ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یثبت هلال شوال بمضیّ ثلاثین منه تبعاً وإن لم یثبت أصالة بشهادته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الخمسون مع الصحو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بعضهم </w:t>
      </w:r>
      <w:r>
        <w:rPr>
          <w:rStyle w:val="FootnoteAnchor"/>
          <w:rtl w:val="true"/>
        </w:rPr>
        <w:footnoteReference w:id="1616"/>
      </w:r>
      <w:r>
        <w:rPr>
          <w:rFonts w:ascii="Amiri" w:hAnsi="Amiri" w:eastAsia="Amiri" w:cs="Amiri"/>
          <w:color w:val="111111"/>
          <w:sz w:val="28"/>
          <w:sz w:val="28"/>
          <w:szCs w:val="28"/>
          <w:rtl w:val="true"/>
          <w:lang w:bidi="ar-SA"/>
        </w:rPr>
        <w:t xml:space="preserve">استناداً إلی روایةٍ </w:t>
      </w:r>
      <w:r>
        <w:rPr>
          <w:rStyle w:val="FootnoteAnchor"/>
          <w:rtl w:val="true"/>
        </w:rPr>
        <w:footnoteReference w:id="1617"/>
      </w:r>
      <w:r>
        <w:rPr>
          <w:rFonts w:ascii="IRNazanin" w:hAnsi="IRNazanin" w:eastAsia="IRNazanin"/>
          <w:color w:val="111111"/>
          <w:sz w:val="28"/>
          <w:sz w:val="28"/>
          <w:szCs w:val="28"/>
          <w:rtl w:val="true"/>
          <w:lang w:bidi="fa-IR"/>
        </w:rPr>
        <w:t>حملت علی عدم العلم بعدالتهم وتوقّف الشیاع علیهم؛ للتهمة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w:t>
      </w:r>
    </w:p>
    <w:p>
      <w:pPr>
        <w:pStyle w:val="BookText"/>
        <w:rPr/>
      </w:pPr>
      <w:r>
        <w:rPr>
          <w:rFonts w:ascii="IRNazanin" w:hAnsi="IRNazanin" w:eastAsia="IRNazanin"/>
          <w:color w:val="111111"/>
          <w:sz w:val="28"/>
          <w:sz w:val="28"/>
          <w:szCs w:val="28"/>
          <w:rtl w:val="true"/>
          <w:lang w:bidi="fa-IR"/>
        </w:rPr>
        <w:t>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الواحد مع الصحو إذا رآه، رآه جماعةٌ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عبرة بالجدول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مخصوصٌ مأخوذٌ من تسییر القمر، ومرجعه إلی عدّ شهرٍ تامّاً وشهرٍ ناقصاً فی جمیع السنة مبتدئاً بالتامّ من المحرّم؛ لعدم ثبوته شرعاً، بل ثبوت ما ینافیه، ومخالفته مع الشرع للحساب أیضاً، لاحتیاج تقییده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السنة الکبیسیّة</w:t>
      </w:r>
      <w:r>
        <w:rPr>
          <w:rFonts w:eastAsia="IRNazanin" w:cs="IRNazanin"/>
          <w:color w:val="111111"/>
          <w:sz w:val="28"/>
          <w:szCs w:val="28"/>
          <w:rtl w:val="true"/>
          <w:lang w:bidi="fa-IR"/>
        </w:rPr>
        <w:t xml:space="preserve">» </w:t>
      </w:r>
      <w:r>
        <w:rPr>
          <w:rStyle w:val="FootnoteAnchor"/>
          <w:rtl w:val="true"/>
        </w:rPr>
        <w:footnoteReference w:id="1618"/>
      </w:r>
      <w:r>
        <w:rPr>
          <w:rFonts w:ascii="Amiri" w:hAnsi="Amiri" w:eastAsia="Amiri" w:cs="Amiri"/>
          <w:color w:val="111111"/>
          <w:sz w:val="28"/>
          <w:sz w:val="28"/>
          <w:szCs w:val="28"/>
          <w:rtl w:val="true"/>
          <w:lang w:bidi="ar-SA"/>
        </w:rPr>
        <w:t>أمّا فیها فیکون ذو الحجّة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شعبان ناقصاً أبداً ورمضان تامّاً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فسّره فی الدروس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ویطلق علی عدّ خمسةٍ من هلال الماضی وجعل الخامس أوّل الحاضر، وعلی عدّ شهرٍ تامّاً وآخر ناقصاً مطلقاً، وعلی عدّ تسعة وخمسین من هلال رجب، وعلی عدّ کلّ شهرٍ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لا عبرة به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اعتبره بالمعنی الثانی جماعةٌ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المصنّف فی الدروس </w:t>
      </w:r>
      <w:r>
        <w:rPr>
          <w:rStyle w:val="FootnoteAnchor"/>
          <w:rtl w:val="true"/>
        </w:rPr>
        <w:footnoteReference w:id="1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غُمّة </w:t>
      </w:r>
      <w:r>
        <w:rPr>
          <w:rStyle w:val="FootnoteAnchor"/>
          <w:rtl w:val="true"/>
        </w:rPr>
        <w:footnoteReference w:id="1622"/>
      </w:r>
      <w:r>
        <w:rPr>
          <w:rFonts w:ascii="Amiri" w:hAnsi="Amiri" w:eastAsia="Amiri" w:cs="Amiri"/>
          <w:color w:val="111111"/>
          <w:sz w:val="28"/>
          <w:sz w:val="28"/>
          <w:szCs w:val="28"/>
          <w:rtl w:val="true"/>
          <w:lang w:bidi="ar-SA"/>
        </w:rPr>
        <w:t xml:space="preserve">الشهور کلِّها، مقیّداً بعدّ ستّةٍ فی الکبیسیّة، وهو موافقٌ للعادة، وبه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 xml:space="preserve">روایات </w:t>
      </w:r>
      <w:r>
        <w:rPr>
          <w:rStyle w:val="FootnoteAnchor"/>
          <w:rtl w:val="true"/>
        </w:rPr>
        <w:footnoteReference w:id="1624"/>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غَمّ شهرٌ وشهران خاصّةً، فعدّها ثلاثین أقوی، وفی ما زاد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تعارض الأصل والظاهر، وظاهر الاُصول ترجیح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تأخّرت غیبوبته إلی بعد العشاء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والانتفاخ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جِرمه المستنیر حتّی رُئی بسببه قبل الزوال، أو رُئی رأس الظلّ فیه لیلة رؤیته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النور فی جِرمه 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لبعض </w:t>
      </w:r>
      <w:r>
        <w:rPr>
          <w:rStyle w:val="FootnoteAnchor"/>
          <w:rtl w:val="true"/>
        </w:rPr>
        <w:footnoteReference w:id="1625"/>
      </w:r>
      <w:r>
        <w:rPr>
          <w:rFonts w:ascii="IRNazanin" w:hAnsi="IRNazanin" w:eastAsia="IRNazanin"/>
          <w:color w:val="111111"/>
          <w:sz w:val="28"/>
          <w:sz w:val="28"/>
          <w:szCs w:val="28"/>
          <w:rtl w:val="true"/>
          <w:lang w:bidi="fa-IR"/>
        </w:rPr>
        <w:t>حیث حکم فی ذلک بکونه للّیلة الماضیة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والخفاء لیلتین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به بعدها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لما روی فی شواذّ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ذلک کلّه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غُمّت علیه الشهور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یتحرّی شهراً یغلب علی ظنّه أ نّه هو، فیجب علیه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 أو ظهر متأخّراً أو استمرّ الاشتباه أجزأ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التقدّم أعاد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ویلحق ما ظنّه حکمُ الشهر فی وجوب الکفّارة فی إفساد یومٍ منه ووجوب متابعته وإکماله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یر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وأحکام العید بعده من الصلاة والفطرة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یظن شهراً تخیّر فی کلّ سنةٍ شهراً مراعیاً للمطابقة بین الشهرین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الاُمور السابقة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طلوع الفجر الثانی إلی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قدم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أو ما نوی فیه الإقامة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سابقةً علی الدخول أو مقارنةً أو 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الزوال، ویتحقّق قدومه برؤیة الجدار أو سماع الأذان فی بلده وما نوی فیه الإقامة قبله، أمّا لو نوی بعده فمن حین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برأ المریض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للقدوم والبُرء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یتناولا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مفسد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أجزأهما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وجب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بعد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أسلم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والحائض والنفساء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طهرتا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والمجنون والمغمی علیه، فإنّه یعتبر زوال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صحّته ووجوبه، وإن استحبّ لهم الإمساک بعده، إلّاأ نّه لا یسمّی صوماً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تارکٍ له عمداً أو سهواً أو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ومرضٍ وغیرهما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إلّاالصبیّ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والمغمی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الأصحّ </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تقییدها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قیام غیر القضاء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الشیخ</w:t>
      </w:r>
      <w:bookmarkStart w:id="447" w:name="pg19806_203625"/>
    </w:p>
    <w:p>
      <w:pPr>
        <w:pStyle w:val="BookText"/>
        <w:rPr/>
      </w:pPr>
      <w:bookmarkEnd w:id="447"/>
      <w:r>
        <w:rPr>
          <w:rFonts w:ascii="IRNazanin" w:hAnsi="IRNazanin" w:eastAsia="IRNazanin"/>
          <w:color w:val="111111"/>
          <w:sz w:val="28"/>
          <w:sz w:val="28"/>
          <w:szCs w:val="28"/>
          <w:rtl w:val="true"/>
          <w:lang w:bidi="fa-IR"/>
        </w:rPr>
        <w:t>والشیخة وذو العطاش ومن استمرّ به المرض إلی رمضان آخر، فإنّ الفدیة تقوم مقام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وتستحبّ المتابعة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عبد اللّٰه بن سنان </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وروایةُ عمّار عن الصادق علیه السلام تتضمّن استحباب التفریق </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بها بعض الأصحاب </w:t>
      </w:r>
      <w:r>
        <w:rPr>
          <w:rStyle w:val="FootnoteAnchor"/>
          <w:rtl w:val="true"/>
        </w:rPr>
        <w:footnoteReference w:id="1631"/>
      </w:r>
      <w:r>
        <w:rPr>
          <w:rFonts w:ascii="IRNazanin" w:hAnsi="IRNazanin" w:eastAsia="IRNazanin"/>
          <w:color w:val="111111"/>
          <w:sz w:val="28"/>
          <w:sz w:val="28"/>
          <w:szCs w:val="28"/>
          <w:rtl w:val="true"/>
          <w:lang w:bidi="fa-IR"/>
        </w:rPr>
        <w:t>لکنّها تقصر عن مقاومة تلک، فکان القول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لا تجب المتابعة لا یجب الترتیب، فلو قدّم آخره أجزأ، وإن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ترتیب بین القضاء والکفّارة وإن کانت صوماً</w:t>
      </w:r>
      <w:r>
        <w:rPr>
          <w:rFonts w:eastAsia="IRNazanin" w:cs="IRNazanin"/>
          <w:color w:val="111111"/>
          <w:sz w:val="28"/>
          <w:szCs w:val="28"/>
          <w:rtl w:val="true"/>
          <w:lang w:bidi="fa-IR"/>
        </w:rPr>
        <w:t>.</w:t>
      </w:r>
    </w:p>
    <w:p>
      <w:pPr>
        <w:pStyle w:val="Heading3"/>
        <w:numPr>
          <w:ilvl w:val="2"/>
          <w:numId w:val="1"/>
        </w:numPr>
        <w:rPr/>
      </w:pPr>
      <w:bookmarkStart w:id="448" w:name="__RefHeading___Toc2028035_2314609296"/>
      <w:bookmarkStart w:id="449" w:name="_Toc165"/>
      <w:bookmarkEnd w:id="448"/>
      <w:r>
        <w:rPr>
          <w:rtl w:val="true"/>
        </w:rPr>
        <w:t>«</w:t>
      </w:r>
      <w:r>
        <w:rPr>
          <w:rtl w:val="true"/>
        </w:rPr>
        <w:t>مسائل</w:t>
      </w:r>
      <w:r>
        <w:rPr>
          <w:rtl w:val="true"/>
        </w:rPr>
        <w:t>»</w:t>
      </w:r>
      <w:bookmarkEnd w:id="449"/>
    </w:p>
    <w:p>
      <w:pPr>
        <w:pStyle w:val="Heading4"/>
        <w:numPr>
          <w:ilvl w:val="3"/>
          <w:numId w:val="1"/>
        </w:numPr>
        <w:rPr/>
      </w:pPr>
      <w:bookmarkStart w:id="450" w:name="__RefHeading___Toc2028037_2314609296"/>
      <w:bookmarkStart w:id="451" w:name="_Toc166"/>
      <w:bookmarkEnd w:id="450"/>
      <w:r>
        <w:rPr>
          <w:rtl w:val="true"/>
        </w:rPr>
        <w:t>الاُولی</w:t>
      </w:r>
      <w:r>
        <w:rPr>
          <w:rtl w:val="true"/>
        </w:rPr>
        <w:t>: «</w:t>
      </w:r>
      <w:r>
        <w:rPr>
          <w:rtl w:val="true"/>
        </w:rPr>
        <w:t>من نسی غسل الجنابة قضی الصلاة والصوم فی الأشهر</w:t>
      </w:r>
      <w:r>
        <w:rPr>
          <w:rtl w:val="true"/>
        </w:rPr>
        <w:t>»</w:t>
      </w:r>
      <w:bookmarkEnd w:id="451"/>
    </w:p>
    <w:p>
      <w:pPr>
        <w:pStyle w:val="Heading5"/>
        <w:numPr>
          <w:ilvl w:val="4"/>
          <w:numId w:val="1"/>
        </w:numPr>
        <w:rPr/>
      </w:pPr>
      <w:bookmarkStart w:id="452" w:name="__RefHeading___Toc2028039_2314609296"/>
      <w:bookmarkStart w:id="453" w:name="_Toc167"/>
      <w:bookmarkEnd w:id="452"/>
      <w:r>
        <w:rPr>
          <w:rtl w:val="true"/>
        </w:rPr>
        <w:t>اشارة</w:t>
      </w:r>
      <w:bookmarkEnd w:id="45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الصلاة فموضع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 الصوم، من حیث عدم اشتراطه بالطهارة من الأکبر إلّامع العلم، ومن ثمّ لو نام جنباً أوّلاً فأصبح یصحّ صومه وإن تعمّد ترکه طول النهار، فهنا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القضاء فیه صحیحة الحلبی </w:t>
      </w:r>
      <w:r>
        <w:rPr>
          <w:rStyle w:val="FootnoteAnchor"/>
          <w:rtl w:val="true"/>
        </w:rPr>
        <w:footnoteReference w:id="1632"/>
      </w:r>
      <w:r>
        <w:rPr>
          <w:rFonts w:ascii="IRNazanin" w:hAnsi="IRNazanin" w:eastAsia="IRNazanin"/>
          <w:color w:val="111111"/>
          <w:sz w:val="28"/>
          <w:sz w:val="28"/>
          <w:szCs w:val="28"/>
          <w:rtl w:val="true"/>
          <w:lang w:bidi="fa-IR"/>
        </w:rPr>
        <w:t xml:space="preserve">عن الصادق علیه السلام وغیرها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bookmarkStart w:id="454" w:name="pg19806_203626"/>
    </w:p>
    <w:p>
      <w:pPr>
        <w:pStyle w:val="BookText"/>
        <w:rPr/>
      </w:pPr>
      <w:bookmarkEnd w:id="454"/>
      <w:r>
        <w:rPr>
          <w:rFonts w:ascii="IRNazanin" w:hAnsi="IRNazanin" w:eastAsia="IRNazanin"/>
          <w:color w:val="111111"/>
          <w:sz w:val="28"/>
          <w:sz w:val="28"/>
          <w:szCs w:val="28"/>
          <w:rtl w:val="true"/>
          <w:lang w:bidi="fa-IR"/>
        </w:rPr>
        <w:t>ومقتضی الإطلاق عدم الفرق بین الیوم والأیّام وجمیع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الجنابة الحیض والنفاس لو نسیت غسلهما بعد الانقطاع، وفی حکم رمضان المنذور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الفرق علی هذا بینه وبین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قضاء ما نام فیه وأصبح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هذا علی الناسی وتخصیص ذاک بالنائم عالماً عازماً فضعف حکمه بالعزم، أو بحمله علی ما عدا الیوم </w:t>
      </w:r>
      <w:r>
        <w:rPr>
          <w:rStyle w:val="FootnoteAnchor"/>
          <w:rtl w:val="true"/>
        </w:rPr>
        <w:footnoteReference w:id="1634"/>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یدفع إطلاقهم، وإنّما هو جمعٌ بحُکم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أوفق، بل لا تخصیص فیه لأحد النصّین؛ لتصریح ذاک بالنوم عامداً عازماً وهذا بالناسی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الجمع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مضمون هذه الروایة نسیانه الغسل حتّی خرج الشهر، فیفرق بین الیوم والجمیع عملاً بمنطوقهما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 نّه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قضاء الجمیع یستلزم قضاء الأبعاض؛ لاشتراکهما فی المعنی إن لم یکن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المصنّف القول إلی الشهرة دون القوّة وما فی معناها، إیذاناً بذلک، فقد ردّه ابن إدریس والمحقّق </w:t>
      </w:r>
      <w:r>
        <w:rPr>
          <w:rStyle w:val="FootnoteAnchor"/>
          <w:rtl w:val="true"/>
        </w:rPr>
        <w:footnoteReference w:id="1635"/>
      </w:r>
      <w:r>
        <w:rPr>
          <w:rFonts w:ascii="IRNazanin" w:hAnsi="IRNazanin" w:eastAsia="IRNazanin"/>
          <w:color w:val="111111"/>
          <w:sz w:val="28"/>
          <w:sz w:val="28"/>
          <w:szCs w:val="28"/>
          <w:rtl w:val="true"/>
          <w:lang w:bidi="fa-IR"/>
        </w:rPr>
        <w:t>لهذا أو لغیره</w:t>
      </w:r>
      <w:r>
        <w:rPr>
          <w:rFonts w:eastAsia="IRNazanin" w:cs="IRNazanin"/>
          <w:color w:val="111111"/>
          <w:sz w:val="28"/>
          <w:szCs w:val="28"/>
          <w:rtl w:val="true"/>
          <w:lang w:bidi="fa-IR"/>
        </w:rPr>
        <w:t>.</w:t>
      </w:r>
    </w:p>
    <w:p>
      <w:pPr>
        <w:pStyle w:val="Heading5"/>
        <w:numPr>
          <w:ilvl w:val="4"/>
          <w:numId w:val="1"/>
        </w:numPr>
        <w:rPr/>
      </w:pPr>
      <w:bookmarkStart w:id="455" w:name="__RefHeading___Toc2028041_2314609296"/>
      <w:bookmarkStart w:id="456" w:name="_Toc168"/>
      <w:bookmarkEnd w:id="455"/>
      <w:r>
        <w:rPr>
          <w:rtl w:val="true"/>
        </w:rPr>
        <w:t>[</w:t>
      </w:r>
      <w:r>
        <w:rPr>
          <w:rtl w:val="true"/>
        </w:rPr>
        <w:t>حکم صوم القضاء</w:t>
      </w:r>
      <w:r>
        <w:rPr>
          <w:rtl w:val="true"/>
        </w:rPr>
        <w:t>]</w:t>
      </w:r>
      <w:bookmarkEnd w:id="45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ویتخیّر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البقاء علیه والإفطار</w:t>
      </w:r>
      <w:bookmarkStart w:id="457" w:name="pg19806_203627"/>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ظرف المکلف المخیّر،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ظرفیّةٌ زمانیّة،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فی المدّة التی بینه حال حکمنا علیه بالتخییر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لم یکن هناک بینیّةٌ، بأن کان فیه أو بعده فلا تخییر؛ إذ لا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عوده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الظاهر، بمعنی تخییره ما بین الفجر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سعة وقت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تضیّق بدخول شهر رمضان المقبل لم یجز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ظنّ الوفاة قبل فعله، کما فی کلّ واجبٍ موسّع، لکن لا کفّارة هنا بسبب الإفطار، وإن وجبت الفدیة مع تأخیره عن رمضان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غیره، کقضاء النذر المعیّن حیث أخلّ به فی وقته، فلا تحریم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واجبٍ غیر معیّن، کالنذر المطلق والکفّارة، إلّا قضاء رمضان، ولو تعیّن لم یجز الخروج منه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قطع کلّ واجب </w:t>
      </w:r>
      <w:r>
        <w:rPr>
          <w:rStyle w:val="FootnoteAnchor"/>
          <w:rtl w:val="true"/>
        </w:rPr>
        <w:footnoteReference w:id="1636"/>
      </w:r>
      <w:r>
        <w:rPr>
          <w:rFonts w:ascii="IRNazanin" w:hAnsi="IRNazanin" w:eastAsia="IRNazanin"/>
          <w:color w:val="111111"/>
          <w:sz w:val="28"/>
          <w:sz w:val="28"/>
          <w:szCs w:val="28"/>
          <w:rtl w:val="true"/>
          <w:lang w:bidi="fa-IR"/>
        </w:rPr>
        <w:t xml:space="preserve">عملاً بعموم النهی عن إبطال العمل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ومتی زالت الشمس حرم قطع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أفطر بعده أطعم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مسکین مدّاً أو إشباعه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المضیّ فیه مع إفساده، والظاهر تکرّرها بتکرّر السبب، کأصله</w:t>
      </w:r>
      <w:r>
        <w:rPr>
          <w:rFonts w:eastAsia="IRNazanin" w:cs="IRNazanin"/>
          <w:color w:val="111111"/>
          <w:sz w:val="28"/>
          <w:szCs w:val="28"/>
          <w:rtl w:val="true"/>
          <w:lang w:bidi="fa-IR"/>
        </w:rPr>
        <w:t>.</w:t>
      </w:r>
    </w:p>
    <w:p>
      <w:pPr>
        <w:pStyle w:val="Heading4"/>
        <w:numPr>
          <w:ilvl w:val="3"/>
          <w:numId w:val="1"/>
        </w:numPr>
        <w:rPr/>
      </w:pPr>
      <w:bookmarkStart w:id="458" w:name="__RefHeading___Toc2028043_2314609296"/>
      <w:bookmarkStart w:id="459" w:name="_Toc169"/>
      <w:bookmarkEnd w:id="458"/>
      <w:r>
        <w:rPr>
          <w:rtl w:val="true"/>
        </w:rPr>
        <w:t>«</w:t>
      </w:r>
      <w:r>
        <w:rPr>
          <w:rtl w:val="true"/>
        </w:rPr>
        <w:t>الثانیة</w:t>
      </w:r>
      <w:r>
        <w:rPr>
          <w:rtl w:val="true"/>
        </w:rPr>
        <w:t>» : «</w:t>
      </w:r>
      <w:r>
        <w:rPr>
          <w:rtl w:val="true"/>
        </w:rPr>
        <w:t>الکفّارة فی شهر رمضان والنذر المعیّن والعهد</w:t>
      </w:r>
      <w:r>
        <w:rPr>
          <w:rtl w:val="true"/>
        </w:rPr>
        <w:t>»</w:t>
      </w:r>
      <w:bookmarkEnd w:id="45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أصحّ</w:t>
      </w:r>
    </w:p>
    <w:p>
      <w:pPr>
        <w:pStyle w:val="BookText"/>
        <w:rPr/>
      </w:pPr>
      <w:r>
        <w:rPr>
          <w:rFonts w:ascii="IRNazanin" w:hAnsi="IRNazanin" w:eastAsia="IRNazanin"/>
          <w:color w:val="111111"/>
          <w:sz w:val="28"/>
          <w:sz w:val="28"/>
          <w:szCs w:val="28"/>
          <w:rtl w:val="true"/>
          <w:lang w:bidi="fa-IR"/>
        </w:rPr>
        <w:t xml:space="preserve">الأقوال </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 أو صیام شهرین متتابعین،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مرتّبة بین الخصال الثلاث </w:t>
      </w:r>
      <w:r>
        <w:rPr>
          <w:rStyle w:val="FootnoteAnchor"/>
          <w:rtl w:val="true"/>
        </w:rPr>
        <w:footnoteReference w:id="1639"/>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أفطر علی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أفسد صومه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أصلیّاً کان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 والاستمناء، وتناول مال الغیر بغیر إذنه، وغبار ما لا یجوز تناوله، ونُخامة الرأس إذا صارت فی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عارضیّاً، کوطء الزوجة فی الحیض، وماله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کفّارات وهی أفراد المخیّرة سابقاً مجتمعةً، علی أجود القولین </w:t>
      </w:r>
      <w:r>
        <w:rPr>
          <w:rStyle w:val="FootnoteAnchor"/>
          <w:rtl w:val="true"/>
        </w:rPr>
        <w:footnoteReference w:id="1640"/>
      </w:r>
      <w:r>
        <w:rPr>
          <w:rFonts w:ascii="IRNazanin" w:hAnsi="IRNazanin" w:eastAsia="IRNazanin"/>
          <w:color w:val="111111"/>
          <w:sz w:val="28"/>
          <w:sz w:val="28"/>
          <w:szCs w:val="28"/>
          <w:rtl w:val="true"/>
          <w:lang w:bidi="fa-IR"/>
        </w:rPr>
        <w:t xml:space="preserve">للروایة الصحیحة عن الرضا علیه السلام </w:t>
      </w:r>
      <w:r>
        <w:rPr>
          <w:rStyle w:val="FootnoteAnchor"/>
          <w:rtl w:val="true"/>
        </w:rPr>
        <w:footnoteReference w:id="164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کغیره </w:t>
      </w:r>
      <w:r>
        <w:rPr>
          <w:rStyle w:val="FootnoteAnchor"/>
          <w:rtl w:val="true"/>
        </w:rPr>
        <w:footnoteReference w:id="1642"/>
      </w:r>
      <w:r>
        <w:rPr>
          <w:rFonts w:ascii="IRNazanin" w:hAnsi="IRNazanin" w:eastAsia="IRNazanin"/>
          <w:color w:val="111111"/>
          <w:sz w:val="28"/>
          <w:sz w:val="28"/>
          <w:szCs w:val="28"/>
          <w:rtl w:val="true"/>
          <w:lang w:bidi="fa-IR"/>
        </w:rPr>
        <w:t xml:space="preserve">استناداً إلی إطلاق کثیرٍ من النصوص </w:t>
      </w:r>
      <w:r>
        <w:rPr>
          <w:rStyle w:val="FootnoteAnchor"/>
          <w:rtl w:val="true"/>
        </w:rPr>
        <w:footnoteReference w:id="1643"/>
      </w:r>
      <w:r>
        <w:rPr>
          <w:rFonts w:ascii="IRNazanin" w:hAnsi="IRNazanin" w:eastAsia="IRNazanin"/>
          <w:color w:val="111111"/>
          <w:sz w:val="28"/>
          <w:sz w:val="28"/>
          <w:szCs w:val="28"/>
          <w:rtl w:val="true"/>
          <w:lang w:bidi="fa-IR"/>
        </w:rPr>
        <w:t>وتقییدها بغیره طریق الجمع</w:t>
      </w:r>
      <w:r>
        <w:rPr>
          <w:rFonts w:eastAsia="IRNazanin" w:cs="IRNazanin"/>
          <w:color w:val="111111"/>
          <w:sz w:val="28"/>
          <w:szCs w:val="28"/>
          <w:rtl w:val="true"/>
          <w:lang w:bidi="fa-IR"/>
        </w:rPr>
        <w:t>.</w:t>
      </w:r>
      <w:bookmarkStart w:id="460" w:name="pg19806_203629"/>
    </w:p>
    <w:p>
      <w:pPr>
        <w:pStyle w:val="Heading4"/>
        <w:numPr>
          <w:ilvl w:val="3"/>
          <w:numId w:val="1"/>
        </w:numPr>
        <w:rPr/>
      </w:pPr>
      <w:bookmarkStart w:id="461" w:name="__RefHeading___Toc2028045_2314609296"/>
      <w:bookmarkStart w:id="462" w:name="_Toc170"/>
      <w:bookmarkEnd w:id="460"/>
      <w:bookmarkEnd w:id="461"/>
      <w:r>
        <w:rPr>
          <w:rtl w:val="true"/>
        </w:rPr>
        <w:t>«</w:t>
      </w:r>
      <w:r>
        <w:rPr>
          <w:rtl w:val="true"/>
        </w:rPr>
        <w:t>الثالثة</w:t>
      </w:r>
      <w:r>
        <w:rPr>
          <w:rtl w:val="true"/>
        </w:rPr>
        <w:t>» : «</w:t>
      </w:r>
      <w:r>
        <w:rPr>
          <w:rtl w:val="true"/>
        </w:rPr>
        <w:t>لو استمرّ المرض</w:t>
      </w:r>
      <w:r>
        <w:rPr>
          <w:rtl w:val="true"/>
        </w:rPr>
        <w:t>»</w:t>
      </w:r>
      <w:bookmarkEnd w:id="462"/>
    </w:p>
    <w:p>
      <w:pPr>
        <w:pStyle w:val="BookText"/>
        <w:rPr/>
      </w:pPr>
      <w:r>
        <w:rPr>
          <w:rFonts w:ascii="IRNazanin" w:hAnsi="IRNazanin" w:eastAsia="IRNazanin"/>
          <w:color w:val="111111"/>
          <w:sz w:val="28"/>
          <w:sz w:val="28"/>
          <w:szCs w:val="28"/>
          <w:rtl w:val="true"/>
          <w:lang w:bidi="fa-IR"/>
        </w:rPr>
        <w:t xml:space="preserve">الذی أفطر معه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رمضان آخر فلا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ویُفدی عن کلّ یوم 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طعامٍ فی المشهور والمرویّ </w:t>
      </w:r>
      <w:r>
        <w:rPr>
          <w:rStyle w:val="FootnoteAnchor"/>
          <w:rtl w:val="true"/>
        </w:rPr>
        <w:footnoteReference w:id="164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لا غیر </w:t>
      </w:r>
      <w:r>
        <w:rPr>
          <w:rStyle w:val="FootnoteAnchor"/>
          <w:rtl w:val="true"/>
        </w:rPr>
        <w:footnoteReference w:id="164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w:t>
      </w:r>
      <w:r>
        <w:rPr>
          <w:rStyle w:val="FootnoteAnchor"/>
          <w:rtl w:val="true"/>
        </w:rPr>
        <w:footnoteReference w:id="1646"/>
      </w:r>
      <w:r>
        <w:rPr>
          <w:rFonts w:ascii="IRNazanin" w:hAnsi="IRNazanin" w:eastAsia="IRNazanin"/>
          <w:color w:val="111111"/>
          <w:sz w:val="28"/>
          <w:sz w:val="28"/>
          <w:szCs w:val="28"/>
          <w:rtl w:val="true"/>
          <w:lang w:bidi="fa-IR"/>
        </w:rPr>
        <w:t>وهما نادران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المشهور لا تتکرّر الفدیة بتکرّر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رمضان واحد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الفدیة مستحقّ الزکاة لحاجته وإن اتّحد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تعدّی الحکم إلی غیر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کالسفر المستمرّ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أجودهما وجوب الکفّارة مع التأخیر لا لعذر، ووجوب القضاء مع دوامه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القضاء بأن لم یعزم علیه فی ذلک الوقت، أو عزم فی السعة فلمّا ضاق الوقت عزم علی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 وقضی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عزم علی القضاء فی السعة وأخّر اعتماداً علیها فلمّا ضاق الوقت عرض له مانعٌ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ما دلّت علیه النصوص الصحیحة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الفدیة مع القضاء علی من قدر علیه ولم یفعل حتّی دخل الثانی، سواء عزم علیه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w:t>
      </w:r>
      <w:bookmarkStart w:id="463" w:name="pg19806_203630"/>
    </w:p>
    <w:p>
      <w:pPr>
        <w:pStyle w:val="BookText"/>
        <w:rPr/>
      </w:pPr>
      <w:bookmarkEnd w:id="463"/>
      <w:r>
        <w:rPr>
          <w:rFonts w:ascii="IRNazanin" w:hAnsi="IRNazanin" w:eastAsia="IRNazanin"/>
          <w:color w:val="111111"/>
          <w:sz w:val="28"/>
          <w:sz w:val="28"/>
          <w:szCs w:val="28"/>
          <w:rtl w:val="true"/>
          <w:lang w:bidi="fa-IR"/>
        </w:rPr>
        <w:t xml:space="preserve">المصنّف فی الدروس </w:t>
      </w:r>
      <w:r>
        <w:rPr>
          <w:rStyle w:val="FootnoteAnchor"/>
          <w:rtl w:val="true"/>
        </w:rPr>
        <w:footnoteReference w:id="1648"/>
      </w:r>
      <w:r>
        <w:rPr>
          <w:rFonts w:ascii="IRNazanin" w:hAnsi="IRNazanin" w:eastAsia="IRNazanin"/>
          <w:color w:val="111111"/>
          <w:sz w:val="28"/>
          <w:sz w:val="28"/>
          <w:szCs w:val="28"/>
          <w:rtl w:val="true"/>
          <w:lang w:bidi="fa-IR"/>
        </w:rPr>
        <w:t xml:space="preserve">واکتفی ابن ادریس بالقضاء مطلقاً </w:t>
      </w:r>
      <w:r>
        <w:rPr>
          <w:rStyle w:val="FootnoteAnchor"/>
          <w:rtl w:val="true"/>
        </w:rPr>
        <w:footnoteReference w:id="1649"/>
      </w:r>
      <w:r>
        <w:rPr>
          <w:rFonts w:ascii="IRNazanin" w:hAnsi="IRNazanin" w:eastAsia="IRNazanin"/>
          <w:color w:val="111111"/>
          <w:sz w:val="28"/>
          <w:sz w:val="28"/>
          <w:szCs w:val="28"/>
          <w:rtl w:val="true"/>
          <w:lang w:bidi="fa-IR"/>
        </w:rPr>
        <w:t xml:space="preserve">عملاً بالآیة </w:t>
      </w:r>
      <w:r>
        <w:rPr>
          <w:rStyle w:val="FootnoteAnchor"/>
          <w:rtl w:val="true"/>
        </w:rPr>
        <w:footnoteReference w:id="1650"/>
      </w:r>
      <w:r>
        <w:rPr>
          <w:rFonts w:ascii="IRNazanin" w:hAnsi="IRNazanin" w:eastAsia="IRNazanin"/>
          <w:color w:val="111111"/>
          <w:sz w:val="28"/>
          <w:sz w:val="28"/>
          <w:szCs w:val="28"/>
          <w:rtl w:val="true"/>
          <w:lang w:bidi="fa-IR"/>
        </w:rPr>
        <w:t>وطرحاً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Heading4"/>
        <w:numPr>
          <w:ilvl w:val="3"/>
          <w:numId w:val="1"/>
        </w:numPr>
        <w:rPr/>
      </w:pPr>
      <w:bookmarkStart w:id="464" w:name="__RefHeading___Toc2028047_2314609296"/>
      <w:bookmarkStart w:id="465" w:name="_Toc171"/>
      <w:bookmarkEnd w:id="464"/>
      <w:r>
        <w:rPr>
          <w:rtl w:val="true"/>
        </w:rPr>
        <w:t>«</w:t>
      </w:r>
      <w:r>
        <w:rPr>
          <w:rtl w:val="true"/>
        </w:rPr>
        <w:t>الرابعة</w:t>
      </w:r>
      <w:r>
        <w:rPr>
          <w:rtl w:val="true"/>
        </w:rPr>
        <w:t>» : «</w:t>
      </w:r>
      <w:r>
        <w:rPr>
          <w:rtl w:val="true"/>
        </w:rPr>
        <w:t>إذا تمکّن من القضاء ثمّ مات قضی عنه أکبر ولده الذکور</w:t>
      </w:r>
      <w:r>
        <w:rPr>
          <w:rtl w:val="true"/>
        </w:rPr>
        <w:t>»</w:t>
      </w:r>
      <w:bookmarkEnd w:id="465"/>
    </w:p>
    <w:p>
      <w:pPr>
        <w:pStyle w:val="BookText"/>
        <w:rPr/>
      </w:pPr>
      <w:r>
        <w:rPr>
          <w:rFonts w:ascii="IRNazanin" w:hAnsi="IRNazanin" w:eastAsia="IRNazanin"/>
          <w:color w:val="111111"/>
          <w:sz w:val="28"/>
          <w:sz w:val="28"/>
          <w:szCs w:val="28"/>
          <w:rtl w:val="true"/>
          <w:lang w:bidi="fa-IR"/>
        </w:rPr>
        <w:t xml:space="preserve">وهو من لیس له أکبر منه وإن لم یکن له ولدٌ متعدّدون، مع بلوغه عند موته، فلو کان صغیراً ففی الوجوب علیه بعد بلوغه؟ قولان </w:t>
      </w:r>
      <w:r>
        <w:rPr>
          <w:rStyle w:val="FootnoteAnchor"/>
          <w:rtl w:val="true"/>
        </w:rPr>
        <w:footnoteReference w:id="1651"/>
      </w:r>
      <w:r>
        <w:rPr>
          <w:rFonts w:ascii="IRNazanin" w:hAnsi="IRNazanin" w:eastAsia="IRNazanin"/>
          <w:color w:val="111111"/>
          <w:sz w:val="28"/>
          <w:sz w:val="28"/>
          <w:szCs w:val="28"/>
          <w:rtl w:val="true"/>
          <w:lang w:bidi="fa-IR"/>
        </w:rPr>
        <w:t>ولو تعدّدوا وتساووا فی السنّ اشترکوا فیه علی الأقوی، فیقسّط علیهم بالسویّة، فإن انکسر منه شیءٌ فکفرض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اختصّ أحدهم بالبلوغ والآخر بکبر السنّ فالأقرب تقدیم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ولدٌ بالوصف لم یجب القضاء علی باقی الأولیاء وإن کانوا أولاداً؛ اقتصاراً فی ما خالف الأصل علی محلّ الوفاق، وللتعلیل بأ نّه فی مقابل الحبوة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 مطلقاً </w:t>
      </w:r>
      <w:r>
        <w:rPr>
          <w:rStyle w:val="FootnoteAnchor"/>
          <w:rtl w:val="true"/>
        </w:rPr>
        <w:footnoteReference w:id="1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مراتب الإرث حتّی الزوجین والمعتق وضامن الجریرة، ویقدّم الأکبر من ذکورهم فالأکبر ثمّ</w:t>
      </w:r>
    </w:p>
    <w:p>
      <w:pPr>
        <w:pStyle w:val="BookText"/>
        <w:rPr/>
      </w:pPr>
      <w:r>
        <w:rPr>
          <w:rFonts w:ascii="IRNazanin" w:hAnsi="IRNazanin" w:eastAsia="IRNazanin"/>
          <w:color w:val="111111"/>
          <w:sz w:val="28"/>
          <w:sz w:val="28"/>
          <w:szCs w:val="28"/>
          <w:rtl w:val="true"/>
          <w:lang w:bidi="fa-IR"/>
        </w:rPr>
        <w:t>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فی الدروس </w:t>
      </w:r>
      <w:r>
        <w:rPr>
          <w:rStyle w:val="FootnoteAnchor"/>
          <w:rtl w:val="true"/>
        </w:rPr>
        <w:footnoteReference w:id="1653"/>
      </w:r>
      <w:r>
        <w:rPr>
          <w:rFonts w:ascii="IRNazanin" w:hAnsi="IRNazanin" w:eastAsia="IRNazanin"/>
          <w:color w:val="111111"/>
          <w:sz w:val="28"/>
          <w:sz w:val="28"/>
          <w:szCs w:val="28"/>
          <w:rtl w:val="true"/>
          <w:lang w:bidi="fa-IR"/>
        </w:rPr>
        <w:t>ولا ریب أ 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المریض قبل التمکّن من القضاء سقط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القضاء عن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فاته منه بسبب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أقربه مراعاة تمکّنه من المُقام والقضاء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بالإقامة فی أثناء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یُقضی عنه مطلقاً </w:t>
      </w:r>
      <w:r>
        <w:rPr>
          <w:rStyle w:val="FootnoteAnchor"/>
          <w:rtl w:val="true"/>
        </w:rPr>
        <w:footnoteReference w:id="1654"/>
      </w:r>
      <w:r>
        <w:rPr>
          <w:rFonts w:ascii="IRNazanin" w:hAnsi="IRNazanin" w:eastAsia="IRNazanin"/>
          <w:color w:val="111111"/>
          <w:sz w:val="28"/>
          <w:sz w:val="28"/>
          <w:szCs w:val="28"/>
          <w:rtl w:val="true"/>
          <w:lang w:bidi="fa-IR"/>
        </w:rPr>
        <w:t xml:space="preserve">لإطلاق النصّ </w:t>
      </w:r>
      <w:r>
        <w:rPr>
          <w:rStyle w:val="FootnoteAnchor"/>
          <w:rtl w:val="true"/>
        </w:rPr>
        <w:footnoteReference w:id="1655"/>
      </w:r>
      <w:r>
        <w:rPr>
          <w:rFonts w:ascii="IRNazanin" w:hAnsi="IRNazanin" w:eastAsia="IRNazanin"/>
          <w:color w:val="111111"/>
          <w:sz w:val="28"/>
          <w:sz w:val="28"/>
          <w:szCs w:val="28"/>
          <w:rtl w:val="true"/>
          <w:lang w:bidi="fa-IR"/>
        </w:rPr>
        <w:t>وتمکّنه من الأداء، بخلاف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لجواز کونه ضروریّاً کالسفر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فالتفصیل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ویُقضی عن المرأة والعبد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فاتهما علی الوجه السابق کالحرّ؛ لإطلاق النصّ </w:t>
      </w:r>
      <w:r>
        <w:rPr>
          <w:rStyle w:val="FootnoteAnchor"/>
          <w:rtl w:val="true"/>
        </w:rPr>
        <w:footnoteReference w:id="1656"/>
      </w:r>
      <w:r>
        <w:rPr>
          <w:rFonts w:ascii="IRNazanin" w:hAnsi="IRNazanin" w:eastAsia="IRNazanin"/>
          <w:color w:val="111111"/>
          <w:sz w:val="28"/>
          <w:sz w:val="28"/>
          <w:szCs w:val="28"/>
          <w:rtl w:val="true"/>
          <w:lang w:bidi="fa-IR"/>
        </w:rPr>
        <w:t>ومساواتهما للرجل الحرّ فی کثیرٍ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657"/>
      </w:r>
      <w:r>
        <w:rPr>
          <w:rFonts w:ascii="IRNazanin" w:hAnsi="IRNazanin" w:eastAsia="IRNazanin"/>
          <w:color w:val="111111"/>
          <w:sz w:val="28"/>
          <w:sz w:val="28"/>
          <w:szCs w:val="28"/>
          <w:rtl w:val="true"/>
          <w:lang w:bidi="fa-IR"/>
        </w:rPr>
        <w:t>لأصالة البراءة وانتفاء النصّ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فی المرأة أولی وفی العبد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 فیهما کما تقدّم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الأولاد علی 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وعلی القول الآخر تقضی مع فقده</w:t>
      </w:r>
      <w:r>
        <w:rPr>
          <w:rFonts w:eastAsia="IRNazanin" w:cs="IRNazanin"/>
          <w:color w:val="111111"/>
          <w:sz w:val="28"/>
          <w:szCs w:val="28"/>
          <w:rtl w:val="true"/>
          <w:lang w:bidi="fa-IR"/>
        </w:rPr>
        <w:t>.</w:t>
      </w:r>
      <w:bookmarkStart w:id="466" w:name="pg19806_203632"/>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یکون هناک ولیٌّ أو لم یجب علیه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من الترکة عن الیوم 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یوص المیّت بقضائه، وإلّا سقطت الصدقة حیث یقضی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فی الشهرین المتتابعین صومُ شهرٍ والصدقة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المیّت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تخفیفٌ عن الولیّ بالاقتصار علی قضاء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التخییر روایةٌ فی سندها ضعف </w:t>
      </w:r>
      <w:r>
        <w:rPr>
          <w:rStyle w:val="FootnoteAnchor"/>
          <w:rtl w:val="true"/>
        </w:rPr>
        <w:footnoteReference w:id="1658"/>
      </w:r>
      <w:r>
        <w:rPr>
          <w:rFonts w:ascii="IRNazanin" w:hAnsi="IRNazanin" w:eastAsia="IRNazanin"/>
          <w:color w:val="111111"/>
          <w:sz w:val="28"/>
          <w:sz w:val="28"/>
          <w:szCs w:val="28"/>
          <w:rtl w:val="true"/>
          <w:lang w:bidi="fa-IR"/>
        </w:rPr>
        <w:t>فوجوب قضاء الشهرین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به، فالصدقة عن الشهر الأوّل والقضاء للثانی؛ لأنّه مدلول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الشهرین بین کونهما واجبین تعییناً کالمنذورین، وتخییراً ککفّارة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إلی غیر الشهرین؛ وقوفاً مع النصّ لو عمل به</w:t>
      </w:r>
      <w:r>
        <w:rPr>
          <w:rFonts w:eastAsia="IRNazanin" w:cs="IRNazanin"/>
          <w:color w:val="111111"/>
          <w:sz w:val="28"/>
          <w:szCs w:val="28"/>
          <w:rtl w:val="true"/>
          <w:lang w:bidi="fa-IR"/>
        </w:rPr>
        <w:t>.</w:t>
      </w:r>
    </w:p>
    <w:p>
      <w:pPr>
        <w:pStyle w:val="Heading4"/>
        <w:numPr>
          <w:ilvl w:val="3"/>
          <w:numId w:val="1"/>
        </w:numPr>
        <w:rPr/>
      </w:pPr>
      <w:bookmarkStart w:id="467" w:name="__RefHeading___Toc2028049_2314609296"/>
      <w:bookmarkStart w:id="468" w:name="_Toc172"/>
      <w:bookmarkEnd w:id="467"/>
      <w:r>
        <w:rPr>
          <w:rtl w:val="true"/>
        </w:rPr>
        <w:t>«</w:t>
      </w:r>
      <w:r>
        <w:rPr>
          <w:rtl w:val="true"/>
        </w:rPr>
        <w:t>الخامسة</w:t>
      </w:r>
      <w:r>
        <w:rPr>
          <w:rtl w:val="true"/>
        </w:rPr>
        <w:t>» : «</w:t>
      </w:r>
      <w:r>
        <w:rPr>
          <w:rtl w:val="true"/>
        </w:rPr>
        <w:t>لو صام المسافر</w:t>
      </w:r>
      <w:r>
        <w:rPr>
          <w:rtl w:val="true"/>
        </w:rPr>
        <w:t>»</w:t>
      </w:r>
      <w:bookmarkEnd w:id="468"/>
    </w:p>
    <w:p>
      <w:pPr>
        <w:pStyle w:val="BookText"/>
        <w:rPr/>
      </w:pPr>
      <w:r>
        <w:rPr>
          <w:rFonts w:ascii="IRNazanin" w:hAnsi="IRNazanin" w:eastAsia="IRNazanin"/>
          <w:color w:val="111111"/>
          <w:sz w:val="28"/>
          <w:sz w:val="28"/>
          <w:szCs w:val="28"/>
          <w:rtl w:val="true"/>
          <w:lang w:bidi="fa-IR"/>
        </w:rPr>
        <w:t xml:space="preserve">حیث یجب علیه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للنهی المفسد للعبادة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أحد المواضع التی یعذر فیها جاهل الحکم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للحکم أو للقصر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لتقصیره فی التحفّظ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یتعرّض له الأکثر مع ذکرهم له فی قصر الصلاة بالإعادة فی الوقت خاصّةً؛ للنصّ </w:t>
      </w:r>
      <w:r>
        <w:rPr>
          <w:rStyle w:val="FootnoteAnchor"/>
          <w:rtl w:val="true"/>
        </w:rPr>
        <w:footnoteReference w:id="1659"/>
      </w:r>
      <w:r>
        <w:rPr>
          <w:rFonts w:ascii="IRNazanin" w:hAnsi="IRNazanin" w:eastAsia="IRNazanin"/>
          <w:color w:val="111111"/>
          <w:sz w:val="28"/>
          <w:sz w:val="28"/>
          <w:szCs w:val="28"/>
          <w:rtl w:val="true"/>
          <w:lang w:bidi="fa-IR"/>
        </w:rPr>
        <w:t>والذی یناسب حکمها فیه عدم الإعادة؛ لفوات وقته ومنع تقصیر الناسی، ولرفع الحکم عنه، وإن کان ما ذکره أولی</w:t>
      </w:r>
      <w:r>
        <w:rPr>
          <w:rFonts w:eastAsia="IRNazanin" w:cs="IRNazanin"/>
          <w:color w:val="111111"/>
          <w:sz w:val="28"/>
          <w:szCs w:val="28"/>
          <w:rtl w:val="true"/>
          <w:lang w:bidi="fa-IR"/>
        </w:rPr>
        <w:t>.</w:t>
      </w:r>
      <w:bookmarkStart w:id="469" w:name="pg19806_203633"/>
    </w:p>
    <w:p>
      <w:pPr>
        <w:pStyle w:val="BookText"/>
        <w:rPr/>
      </w:pPr>
      <w:bookmarkEnd w:id="469"/>
      <w:r>
        <w:rPr>
          <w:rFonts w:ascii="IRNazanin" w:hAnsi="IRNazanin" w:eastAsia="IRNazanin"/>
          <w:color w:val="111111"/>
          <w:sz w:val="28"/>
          <w:sz w:val="28"/>
          <w:szCs w:val="28"/>
          <w:rtl w:val="true"/>
          <w:lang w:bidi="fa-IR"/>
        </w:rPr>
        <w:t>ولو علم الجاهل والناسی فی أثناء النهار أفطرا وقضیا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قَصُرت الصلاة قصر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للروایة </w:t>
      </w:r>
      <w:r>
        <w:rPr>
          <w:rStyle w:val="FootnoteAnchor"/>
          <w:rtl w:val="true"/>
        </w:rPr>
        <w:footnoteReference w:id="1660"/>
      </w:r>
      <w:r>
        <w:rPr>
          <w:rFonts w:ascii="IRNazanin" w:hAnsi="IRNazanin" w:eastAsia="IRNazanin"/>
          <w:color w:val="111111"/>
          <w:sz w:val="28"/>
          <w:sz w:val="28"/>
          <w:szCs w:val="28"/>
          <w:rtl w:val="true"/>
          <w:lang w:bidi="fa-IR"/>
        </w:rPr>
        <w:t xml:space="preserve">وفرقُ بعض الأصحاب </w:t>
      </w:r>
      <w:r>
        <w:rPr>
          <w:rStyle w:val="FootnoteAnchor"/>
          <w:rtl w:val="true"/>
        </w:rPr>
        <w:footnoteReference w:id="1661"/>
      </w:r>
      <w:r>
        <w:rPr>
          <w:rFonts w:ascii="IRNazanin" w:hAnsi="IRNazanin" w:eastAsia="IRNazanin"/>
          <w:color w:val="111111"/>
          <w:sz w:val="28"/>
          <w:sz w:val="28"/>
          <w:szCs w:val="28"/>
          <w:rtl w:val="true"/>
          <w:lang w:bidi="fa-IR"/>
        </w:rPr>
        <w:t xml:space="preserve">بینهما فی بعض الموارد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 نّه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قصر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یتجاوز الحدّین قبله، وإلّا أتمّ وإن قصّر الصلاة علی أصحّ الأقوال </w:t>
      </w:r>
      <w:r>
        <w:rPr>
          <w:rStyle w:val="FootnoteAnchor"/>
          <w:rtl w:val="true"/>
        </w:rPr>
        <w:footnoteReference w:id="1662"/>
      </w:r>
      <w:r>
        <w:rPr>
          <w:rFonts w:ascii="IRNazanin" w:hAnsi="IRNazanin" w:eastAsia="IRNazanin"/>
          <w:color w:val="111111"/>
          <w:sz w:val="28"/>
          <w:sz w:val="28"/>
          <w:szCs w:val="28"/>
          <w:rtl w:val="true"/>
          <w:lang w:bidi="fa-IR"/>
        </w:rPr>
        <w:t xml:space="preserve">لدلالة النصّ الصحیح علیه </w:t>
      </w:r>
      <w:r>
        <w:rPr>
          <w:rStyle w:val="FootnoteAnchor"/>
          <w:rtl w:val="true"/>
        </w:rPr>
        <w:footnoteReference w:id="1663"/>
      </w:r>
      <w:r>
        <w:rPr>
          <w:rFonts w:ascii="IRNazanin" w:hAnsi="IRNazanin" w:eastAsia="IRNazanin"/>
          <w:color w:val="111111"/>
          <w:sz w:val="28"/>
          <w:sz w:val="28"/>
          <w:szCs w:val="28"/>
          <w:rtl w:val="true"/>
          <w:lang w:bidi="fa-IR"/>
        </w:rPr>
        <w:t>ولا اعتبار بتبییت نیّة السفر لیلاً</w:t>
      </w:r>
      <w:r>
        <w:rPr>
          <w:rFonts w:eastAsia="IRNazanin" w:cs="IRNazanin"/>
          <w:color w:val="111111"/>
          <w:sz w:val="28"/>
          <w:szCs w:val="28"/>
          <w:rtl w:val="true"/>
          <w:lang w:bidi="fa-IR"/>
        </w:rPr>
        <w:t>.</w:t>
      </w:r>
    </w:p>
    <w:p>
      <w:pPr>
        <w:pStyle w:val="Heading4"/>
        <w:numPr>
          <w:ilvl w:val="3"/>
          <w:numId w:val="1"/>
        </w:numPr>
        <w:rPr/>
      </w:pPr>
      <w:bookmarkStart w:id="470" w:name="__RefHeading___Toc2028051_2314609296"/>
      <w:bookmarkStart w:id="471" w:name="_Toc173"/>
      <w:bookmarkEnd w:id="470"/>
      <w:r>
        <w:rPr>
          <w:rtl w:val="true"/>
        </w:rPr>
        <w:t>«</w:t>
      </w:r>
      <w:r>
        <w:rPr>
          <w:rtl w:val="true"/>
        </w:rPr>
        <w:t>السادسة</w:t>
      </w:r>
      <w:r>
        <w:rPr>
          <w:rtl w:val="true"/>
        </w:rPr>
        <w:t>» : «</w:t>
      </w:r>
      <w:r>
        <w:rPr>
          <w:rtl w:val="true"/>
        </w:rPr>
        <w:t>الشیخان</w:t>
      </w:r>
      <w:r>
        <w:rPr>
          <w:rtl w:val="true"/>
        </w:rPr>
        <w:t>»</w:t>
      </w:r>
      <w:bookmarkEnd w:id="471"/>
    </w:p>
    <w:p>
      <w:pPr>
        <w:pStyle w:val="BookText"/>
        <w:rPr/>
      </w:pPr>
      <w:r>
        <w:rPr>
          <w:rFonts w:ascii="Amiri" w:hAnsi="Amiri" w:eastAsia="Amiri" w:cs="Amiri"/>
          <w:color w:val="111111"/>
          <w:sz w:val="28"/>
          <w:sz w:val="28"/>
          <w:szCs w:val="28"/>
          <w:rtl w:val="true"/>
          <w:lang w:bidi="ar-SA"/>
        </w:rPr>
        <w:t xml:space="preserve">ذکراً واُنثی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الصوم أصلاً أو مع مشقّةٍ شدیدة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فدیا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کلّ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لتعذّره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مبنیٌّ علی الغالب من أنّ عجزهما عنه لا یرجی زواله؛ لأنّهما فی نقصان، وإلّا فلو فرض قدرتهما علی القضاء وجب، وهل یجب حینئذٍ الفدیة معه؟ قطع به فی الدروس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bookmarkStart w:id="472" w:name="pg19806_203634"/>
    </w:p>
    <w:p>
      <w:pPr>
        <w:pStyle w:val="BookText"/>
        <w:rPr/>
      </w:pPr>
      <w:bookmarkEnd w:id="472"/>
      <w:r>
        <w:rPr>
          <w:rFonts w:ascii="IRNazanin" w:hAnsi="IRNazanin" w:eastAsia="IRNazanin"/>
          <w:color w:val="111111"/>
          <w:sz w:val="28"/>
          <w:sz w:val="28"/>
          <w:szCs w:val="28"/>
          <w:rtl w:val="true"/>
          <w:lang w:bidi="fa-IR"/>
        </w:rPr>
        <w:t>والأقوی أ نّهما إن عجزا عن الصوم أصلاً فلا فدیة ولا قضاء، وإن أطاقاه بمشقّةٍ شدیدةٍ لا یتحمّل مثلها عادةً فعلیهما الفدیة، ثمّ إن قدرا علی القضاء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حینئذٍ ما اختاره فی الدروس من وجوبها معه؛ لأنّها وجبت بالإفطار أوّلاً بالنصّ الصحیح </w:t>
      </w:r>
      <w:r>
        <w:rPr>
          <w:rStyle w:val="FootnoteAnchor"/>
          <w:rtl w:val="true"/>
        </w:rPr>
        <w:footnoteReference w:id="1665"/>
      </w:r>
      <w:r>
        <w:rPr>
          <w:rFonts w:ascii="IRNazanin" w:hAnsi="IRNazanin" w:eastAsia="IRNazanin"/>
          <w:color w:val="111111"/>
          <w:sz w:val="28"/>
          <w:sz w:val="28"/>
          <w:szCs w:val="28"/>
          <w:rtl w:val="true"/>
          <w:lang w:bidi="fa-IR"/>
        </w:rPr>
        <w:t>والقضاء وجب بتجدّد القدرة، والأصل بقاء الفدیة؛ لإمکان الجمع، ولجواز أن تکون عوضاً عن الإفطار لا بدلاً من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أوّله،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داءٌ لا یروی صاحبه ولا یتمکّن من ترک شرب الماء طول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المأیوس من برئه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عنه القضاء، ویجب علیه الفدیة عن کلّ یومٍ بمدّ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برأ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ذکره هنا لإمکانه؛ حیث إنّ المرض ممّا یمکن زواله عادةً بخلاف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یجب مع القضاء الفدیة الماضیة؟ الأقوی ذلک، بتقریب ما تقدّم، وبه قطع فی الدروس </w:t>
      </w:r>
      <w:r>
        <w:rPr>
          <w:rStyle w:val="FootnoteAnchor"/>
          <w:rtl w:val="true"/>
        </w:rPr>
        <w:footnoteReference w:id="1666"/>
      </w:r>
      <w:r>
        <w:rPr>
          <w:rFonts w:ascii="IRNazanin" w:hAnsi="IRNazanin" w:eastAsia="IRNazanin"/>
          <w:color w:val="111111"/>
          <w:sz w:val="28"/>
          <w:sz w:val="28"/>
          <w:szCs w:val="28"/>
          <w:rtl w:val="true"/>
          <w:lang w:bidi="fa-IR"/>
        </w:rPr>
        <w:t xml:space="preserve">ویحتمل أن یرید هنا القضاء من غیر فدیة، کما هو مذهب المرتضی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المأیوس من برئه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یمکن برؤه عادةً، فإنّه یفطر، ویجب القضاء حیث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أنّ حکمه کالشیخین یسقطان عنه مع العجز رأساً، وتجب الفدیة مع المشقّة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3" w:name="__RefHeading___Toc2028053_2314609296"/>
      <w:bookmarkStart w:id="474" w:name="_Toc174"/>
      <w:bookmarkEnd w:id="473"/>
      <w:r>
        <w:rPr>
          <w:rtl w:val="true"/>
        </w:rPr>
        <w:t>«</w:t>
      </w:r>
      <w:r>
        <w:rPr>
          <w:rtl w:val="true"/>
        </w:rPr>
        <w:t>السابعة</w:t>
      </w:r>
      <w:r>
        <w:rPr>
          <w:rtl w:val="true"/>
        </w:rPr>
        <w:t>» : «</w:t>
      </w:r>
      <w:r>
        <w:rPr>
          <w:rtl w:val="true"/>
        </w:rPr>
        <w:t>الحامل المُقْرِب والمرضع القلیلة اللبن</w:t>
      </w:r>
      <w:r>
        <w:rPr>
          <w:rtl w:val="true"/>
        </w:rPr>
        <w:t>»</w:t>
      </w:r>
      <w:bookmarkEnd w:id="474"/>
    </w:p>
    <w:p>
      <w:pPr>
        <w:pStyle w:val="BookText"/>
        <w:rPr/>
      </w:pPr>
      <w:r>
        <w:rPr>
          <w:rFonts w:ascii="IRNazanin" w:hAnsi="IRNazanin" w:eastAsia="IRNazanin"/>
          <w:color w:val="111111"/>
          <w:sz w:val="28"/>
          <w:sz w:val="28"/>
          <w:szCs w:val="28"/>
          <w:rtl w:val="true"/>
          <w:lang w:bidi="fa-IR"/>
        </w:rPr>
        <w:t xml:space="preserve">إذا خافتا علی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یفطران </w:t>
      </w:r>
      <w:r>
        <w:rPr>
          <w:rStyle w:val="FootnoteAnchor"/>
          <w:rtl w:val="true"/>
        </w:rPr>
        <w:footnoteReference w:id="1668"/>
      </w:r>
      <w:r>
        <w:rPr>
          <w:rFonts w:ascii="IRNazanin" w:hAnsi="IRNazanin" w:eastAsia="IRNazanin"/>
          <w:color w:val="111111"/>
          <w:sz w:val="28"/>
          <w:sz w:val="28"/>
          <w:szCs w:val="28"/>
          <w:rtl w:val="true"/>
          <w:lang w:bidi="fa-IR"/>
        </w:rPr>
        <w:t>ویفدیان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ویقضیان مع زوال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یذکر القضاء مع القطع بوجوبه؛ لظهوره، حیث إنّ عذرهما آیلٌ إلی الزوال فلا تزیدان عن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تصریحٌ بالقضاء وإخلالٌ بالفدیة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وعکسه أوضح؛ لأنّ الفدیة لا تستفاد من استنباط اللفظ بخلاف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خوفهما علی أنفسهما فکالمریض تفطران وتقضیان من غیر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من خاف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الخوف لجوعٍ وعطش، ولا فی المرتضع بین کونه ولداً من النسب والرضاع، ولا بین المستأجرة والمتبرّعة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غیرها مقامها متبرّعاً أو آخذاً مثلها أو أنقص، امتنع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والفدیة من مالهما وإن کان لهما زوجٌ والولد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بإفطارهما </w:t>
      </w:r>
      <w:r>
        <w:rPr>
          <w:rStyle w:val="FootnoteAnchor"/>
          <w:rtl w:val="true"/>
        </w:rPr>
        <w:footnoteReference w:id="1669"/>
      </w:r>
      <w:r>
        <w:rPr>
          <w:rFonts w:ascii="IRNazanin" w:hAnsi="IRNazanin" w:eastAsia="IRNazanin"/>
          <w:color w:val="111111"/>
          <w:sz w:val="28"/>
          <w:sz w:val="28"/>
          <w:szCs w:val="28"/>
          <w:rtl w:val="true"/>
          <w:lang w:bidi="fa-IR"/>
        </w:rPr>
        <w:t>خبرٌ معناه الأمر، لدفعه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صوم النافلة بشروعه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عن قطع العمل </w:t>
      </w:r>
      <w:r>
        <w:rPr>
          <w:rStyle w:val="FootnoteAnchor"/>
          <w:rtl w:val="true"/>
        </w:rPr>
        <w:footnoteReference w:id="1670"/>
      </w:r>
      <w:r>
        <w:rPr>
          <w:rFonts w:ascii="IRNazanin" w:hAnsi="IRNazanin" w:eastAsia="IRNazanin"/>
          <w:color w:val="111111"/>
          <w:sz w:val="28"/>
          <w:sz w:val="28"/>
          <w:szCs w:val="28"/>
          <w:rtl w:val="true"/>
          <w:lang w:bidi="fa-IR"/>
        </w:rPr>
        <w:t>مخصوصٌ ببعض الواجب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نقضه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للروایة المصرِّحة بوجوبه حینئذٍ </w:t>
      </w:r>
      <w:r>
        <w:rPr>
          <w:rStyle w:val="FootnoteAnchor"/>
          <w:rtl w:val="true"/>
        </w:rPr>
        <w:footnoteReference w:id="1671"/>
      </w:r>
      <w:r>
        <w:rPr>
          <w:rFonts w:ascii="IRNazanin" w:hAnsi="IRNazanin" w:eastAsia="IRNazanin"/>
          <w:color w:val="111111"/>
          <w:sz w:val="28"/>
          <w:sz w:val="28"/>
          <w:szCs w:val="28"/>
          <w:rtl w:val="true"/>
          <w:lang w:bidi="fa-IR"/>
        </w:rPr>
        <w:t xml:space="preserve">المحمولة علی تأکّد الاستحباب؛ لقصورها عن الإ یجاب سنداً </w:t>
      </w:r>
      <w:r>
        <w:rPr>
          <w:rStyle w:val="FootnoteAnchor"/>
          <w:rtl w:val="true"/>
        </w:rPr>
        <w:footnoteReference w:id="1672"/>
      </w:r>
      <w:r>
        <w:rPr>
          <w:rFonts w:ascii="Amiri" w:hAnsi="Amiri" w:eastAsia="Amiri" w:cs="Amiri"/>
          <w:color w:val="111111"/>
          <w:sz w:val="28"/>
          <w:sz w:val="28"/>
          <w:szCs w:val="28"/>
          <w:rtl w:val="true"/>
          <w:lang w:bidi="ar-SA"/>
        </w:rPr>
        <w:t>وإن صرّحت به متناً</w:t>
      </w:r>
      <w:r>
        <w:rPr>
          <w:rFonts w:eastAsia="Amiri" w:cs="Amiri" w:ascii="Amiri" w:hAnsi="Amiri"/>
          <w:color w:val="111111"/>
          <w:sz w:val="28"/>
          <w:szCs w:val="28"/>
          <w:rtl w:val="true"/>
          <w:lang w:bidi="ar-SA"/>
        </w:rPr>
        <w:t>.</w:t>
      </w:r>
      <w:bookmarkStart w:id="475" w:name="pg19806_203636"/>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إلّالمن یُدعی إلی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یکره له قطعه مطلقاً، بل یکره المضیّ علیه، ورُوی أ نّه أفضل من الصیام بسبعین ضعفاً </w:t>
      </w:r>
      <w:r>
        <w:rPr>
          <w:rStyle w:val="FootnoteAnchor"/>
          <w:rtl w:val="true"/>
        </w:rPr>
        <w:footnoteReference w:id="1673"/>
      </w:r>
      <w:r>
        <w:rPr>
          <w:rFonts w:ascii="IRNazanin" w:hAnsi="IRNazanin" w:eastAsia="IRNazanin"/>
          <w:color w:val="111111"/>
          <w:sz w:val="28"/>
          <w:sz w:val="28"/>
          <w:szCs w:val="28"/>
          <w:rtl w:val="true"/>
          <w:lang w:bidi="fa-IR"/>
        </w:rPr>
        <w:t>ولا فرق بین من هَیّأ له طعاماً وغیره، ولا بین من یشقّ علیه المخالفة وغیره، نعم یشترط کونه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والحکمة لیست من حیث الأکل، بل إجابة دعاء المؤمن وعدم 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یتحقّق الثواب علی الإفطار مع قصد الطاعة به لذلک ونحوه، لا بمجرّده؛ لأنّه عبادةٌ یتوقّف ثوابها علی النیّة</w:t>
      </w:r>
      <w:r>
        <w:rPr>
          <w:rFonts w:eastAsia="IRNazanin" w:cs="IRNazanin"/>
          <w:color w:val="111111"/>
          <w:sz w:val="28"/>
          <w:szCs w:val="28"/>
          <w:rtl w:val="true"/>
          <w:lang w:bidi="fa-IR"/>
        </w:rPr>
        <w:t>.</w:t>
      </w:r>
    </w:p>
    <w:p>
      <w:pPr>
        <w:pStyle w:val="Heading4"/>
        <w:numPr>
          <w:ilvl w:val="3"/>
          <w:numId w:val="1"/>
        </w:numPr>
        <w:rPr/>
      </w:pPr>
      <w:bookmarkStart w:id="476" w:name="__RefHeading___Toc2028055_2314609296"/>
      <w:bookmarkStart w:id="477" w:name="_Toc175"/>
      <w:bookmarkEnd w:id="476"/>
      <w:r>
        <w:rPr>
          <w:rtl w:val="true"/>
        </w:rPr>
        <w:t>«</w:t>
      </w:r>
      <w:r>
        <w:rPr>
          <w:rtl w:val="true"/>
        </w:rPr>
        <w:t>الثامنة</w:t>
      </w:r>
      <w:r>
        <w:rPr>
          <w:rtl w:val="true"/>
        </w:rPr>
        <w:t>» : «</w:t>
      </w:r>
      <w:r>
        <w:rPr>
          <w:rtl w:val="true"/>
        </w:rPr>
        <w:t>یجب تتابع الصوم</w:t>
      </w:r>
      <w:r>
        <w:rPr>
          <w:rtl w:val="true"/>
        </w:rPr>
        <w:t>»</w:t>
      </w:r>
      <w:bookmarkEnd w:id="47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یضیق وقته بظنّ الوفاة أو طروء العذر المانع من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العهد والیمین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کرمضان، والنذر المعیّن وإن کان الأصل متتابعاً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إطلاق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الدروس وجوب متابعته کالأصل </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بدل النعامة علی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والسبعة فی بدل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فیها المتابعة کالثلاثة </w:t>
      </w:r>
      <w:r>
        <w:rPr>
          <w:rStyle w:val="FootnoteAnchor"/>
          <w:rtl w:val="true"/>
        </w:rPr>
        <w:footnoteReference w:id="1675"/>
      </w:r>
      <w:r>
        <w:rPr>
          <w:rFonts w:ascii="IRNazanin" w:hAnsi="IRNazanin" w:eastAsia="IRNazanin"/>
          <w:color w:val="111111"/>
          <w:sz w:val="28"/>
          <w:sz w:val="28"/>
          <w:szCs w:val="28"/>
          <w:rtl w:val="true"/>
          <w:lang w:bidi="fa-IR"/>
        </w:rPr>
        <w:t xml:space="preserve">وبه روایةٌ حسنة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bookmarkStart w:id="478" w:name="pg19806_203637"/>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أخلّ بالمتابعة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کحیضٍ ومرضٍ وسفرٍ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زواله، إلّاأن یکون الصوم ثلاثة، فیجب استئنافها مطلقاً، کصوم کفّارة الیمین، وکفّارة قضاء رمضان، وثلاثة الاعتکاف، وثلاثة المتعة حیث لا یکون الفاصل العید بعد الیومین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 إلّافی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الشهرین المتتابعین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ونذراً وما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ویومٍ من الثانی، وفی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متتابعاً بنذرٍ أو فی کفّارة علی عبدٍ بظهارٍ أو قتل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یوماً، وفی ثلاثة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فی الحج بدلاً عن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یومین ثالثهما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علم ابتداءً بوقوعه بعدهما أم لا، فإنّ التتابع یسقط فی باقی الأوّلین مطلقاً، وفی الثالث إلی انقضاء أیّام التشریق</w:t>
      </w:r>
      <w:r>
        <w:rPr>
          <w:rFonts w:eastAsia="IRNazanin" w:cs="IRNazanin"/>
          <w:color w:val="111111"/>
          <w:sz w:val="28"/>
          <w:szCs w:val="28"/>
          <w:rtl w:val="true"/>
          <w:lang w:bidi="fa-IR"/>
        </w:rPr>
        <w:t>.</w:t>
      </w:r>
    </w:p>
    <w:p>
      <w:pPr>
        <w:pStyle w:val="Heading4"/>
        <w:numPr>
          <w:ilvl w:val="3"/>
          <w:numId w:val="1"/>
        </w:numPr>
        <w:rPr/>
      </w:pPr>
      <w:bookmarkStart w:id="479" w:name="__RefHeading___Toc2028057_2314609296"/>
      <w:bookmarkStart w:id="480" w:name="_Toc176"/>
      <w:bookmarkEnd w:id="479"/>
      <w:r>
        <w:rPr>
          <w:rtl w:val="true"/>
        </w:rPr>
        <w:t>«</w:t>
      </w:r>
      <w:r>
        <w:rPr>
          <w:rtl w:val="true"/>
        </w:rPr>
        <w:t>التاسعة</w:t>
      </w:r>
      <w:r>
        <w:rPr>
          <w:rtl w:val="true"/>
        </w:rPr>
        <w:t>» : «</w:t>
      </w:r>
      <w:r>
        <w:rPr>
          <w:rtl w:val="true"/>
        </w:rPr>
        <w:t>لا یفسد الصیام بمصّ الخاتم</w:t>
      </w:r>
      <w:r>
        <w:rPr>
          <w:rtl w:val="true"/>
        </w:rPr>
        <w:t>»</w:t>
      </w:r>
      <w:bookmarkEnd w:id="480"/>
    </w:p>
    <w:p>
      <w:pPr>
        <w:pStyle w:val="BookText"/>
        <w:rPr/>
      </w:pPr>
      <w:r>
        <w:rPr>
          <w:rFonts w:ascii="IRNazanin" w:hAnsi="IRNazanin" w:eastAsia="IRNazanin"/>
          <w:color w:val="111111"/>
          <w:sz w:val="28"/>
          <w:sz w:val="28"/>
          <w:szCs w:val="28"/>
          <w:rtl w:val="true"/>
          <w:lang w:bidi="fa-IR"/>
        </w:rPr>
        <w:t xml:space="preserve">وشبهه، وأمّا مصّ النواة فمکروه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وزقّ الطائر، ومضغ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وذوق المَرَق، وکلّ ما لا یتعدّی إلی الحلق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الجماع، إلّالمن لا یحرِّک ذلک شهوته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والاکتحال بما فیه 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صَبِرٌ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وإخراج الدم المضعف، ودخول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المضعف</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 الریاحین وخصوصاً النَّرْجِس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فسکون الراء فکسر</w:t>
      </w:r>
      <w:bookmarkStart w:id="481" w:name="pg19806_203638"/>
    </w:p>
    <w:p>
      <w:pPr>
        <w:pStyle w:val="BookText"/>
        <w:rPr/>
      </w:pPr>
      <w:bookmarkEnd w:id="481"/>
      <w:r>
        <w:rPr>
          <w:rFonts w:ascii="IRNazanin" w:hAnsi="IRNazanin" w:eastAsia="IRNazanin"/>
          <w:color w:val="111111"/>
          <w:sz w:val="28"/>
          <w:sz w:val="28"/>
          <w:szCs w:val="28"/>
          <w:rtl w:val="true"/>
          <w:lang w:bidi="fa-IR"/>
        </w:rPr>
        <w:t xml:space="preserve">الجیم، ولا یکره الطیب، بل روی استحبابه للصائم </w:t>
      </w:r>
      <w:r>
        <w:rPr>
          <w:rStyle w:val="FootnoteAnchor"/>
          <w:rtl w:val="true"/>
        </w:rPr>
        <w:footnoteReference w:id="1678"/>
      </w:r>
      <w:r>
        <w:rPr>
          <w:rFonts w:ascii="Amiri" w:hAnsi="Amiri" w:eastAsia="Amiri" w:cs="Amiri"/>
          <w:color w:val="111111"/>
          <w:sz w:val="28"/>
          <w:sz w:val="28"/>
          <w:szCs w:val="28"/>
          <w:rtl w:val="true"/>
          <w:lang w:bidi="ar-SA"/>
        </w:rPr>
        <w:t xml:space="preserve">وأ نّه تحفته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والاحتقان بالجامد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ویجب به القضاء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وجلوس المرأة والخنثی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القضاء علیهما به </w:t>
      </w:r>
      <w:r>
        <w:rPr>
          <w:rStyle w:val="FootnoteAnchor"/>
          <w:rtl w:val="true"/>
        </w:rPr>
        <w:footnoteReference w:id="1681"/>
      </w:r>
      <w:r>
        <w:rPr>
          <w:rFonts w:ascii="IRNazanin" w:hAnsi="IRNazanin" w:eastAsia="IRNazanin"/>
          <w:color w:val="111111"/>
          <w:sz w:val="28"/>
          <w:sz w:val="28"/>
          <w:szCs w:val="28"/>
          <w:rtl w:val="true"/>
          <w:lang w:bidi="fa-IR"/>
        </w:rPr>
        <w:t xml:space="preserve">، وهو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الخَصِیّ الممسوح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لمساواته لهما فی قرب المنفذ إلی الجوف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 الثوب علی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بلّ الجسد بالماء وجلوس الرجل فیه وإن کان أقوی تبریداً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بغیر فائدة دینیّة، وکذا استماعه، بل ینبغی أن یَصُمّ سمعَه وبصرَه وجوارحَه بصومه إلّابطاعة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تِلاوة القرآن أو ذکر أو دعاء</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028059_2314609296"/>
      <w:bookmarkStart w:id="483" w:name="_Toc177"/>
      <w:bookmarkEnd w:id="482"/>
      <w:r>
        <w:rPr>
          <w:rtl w:val="true"/>
        </w:rPr>
        <w:t>«</w:t>
      </w:r>
      <w:r>
        <w:rPr>
          <w:rtl w:val="true"/>
        </w:rPr>
        <w:t>العاشرة</w:t>
      </w:r>
      <w:r>
        <w:rPr>
          <w:rtl w:val="true"/>
        </w:rPr>
        <w:t>» : «</w:t>
      </w:r>
      <w:r>
        <w:rPr>
          <w:rtl w:val="true"/>
        </w:rPr>
        <w:t>یستحبّ من الصوم</w:t>
      </w:r>
      <w:r>
        <w:rPr>
          <w:rtl w:val="true"/>
        </w:rPr>
        <w:t>»</w:t>
      </w:r>
      <w:bookmarkEnd w:id="48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خمیسٍ من الشهر، وآخر خمیسٍ منه، وأوّل أربعاء من العشر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فالمواظبة علیها تعدل صوم الدهر وتُذهب بوَحَر الصدر </w:t>
      </w:r>
      <w:r>
        <w:rPr>
          <w:rStyle w:val="FootnoteAnchor"/>
          <w:rtl w:val="true"/>
        </w:rPr>
        <w:footnoteReference w:id="1682"/>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باستحباب قضائها لمن فاتته،</w:t>
      </w:r>
    </w:p>
    <w:p>
      <w:pPr>
        <w:pStyle w:val="BookText"/>
        <w:rPr/>
      </w:pPr>
      <w:r>
        <w:rPr>
          <w:rFonts w:ascii="IRNazanin" w:hAnsi="IRNazanin" w:eastAsia="IRNazanin"/>
          <w:color w:val="111111"/>
          <w:sz w:val="28"/>
          <w:sz w:val="28"/>
          <w:szCs w:val="28"/>
          <w:rtl w:val="true"/>
          <w:lang w:bidi="fa-IR"/>
        </w:rPr>
        <w:t>فإن قضاها فی مثلها أحرز فضیلتهما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الموصوف،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اللیالی البیض،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والرابع عشر والخامس عشر من کلّ شهر، سمّیت بذلک؛ لبیاض لیالیها جُمَع </w:t>
      </w:r>
      <w:r>
        <w:rPr>
          <w:rStyle w:val="FootnoteAnchor"/>
          <w:rtl w:val="true"/>
        </w:rPr>
        <w:footnoteReference w:id="1683"/>
      </w:r>
      <w:r>
        <w:rPr>
          <w:rFonts w:ascii="IRNazanin" w:hAnsi="IRNazanin" w:eastAsia="IRNazanin"/>
          <w:color w:val="111111"/>
          <w:sz w:val="28"/>
          <w:sz w:val="28"/>
          <w:szCs w:val="28"/>
          <w:rtl w:val="true"/>
          <w:lang w:bidi="fa-IR"/>
        </w:rPr>
        <w:t>بضوء القمر، هذا بحسب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علیه السلام لمّا أصابته الخطیئة اسودّ لونه فاُلهم صوم هذه الأیّام فابیضّ بکلّ یومٍ ثُلثه </w:t>
      </w:r>
      <w:r>
        <w:rPr>
          <w:rStyle w:val="FootnoteAnchor"/>
          <w:rtl w:val="true"/>
        </w:rPr>
        <w:footnoteReference w:id="1684"/>
      </w:r>
      <w:r>
        <w:rPr>
          <w:rFonts w:ascii="IRNazanin" w:hAnsi="IRNazanin" w:eastAsia="IRNazanin"/>
          <w:color w:val="111111"/>
          <w:sz w:val="28"/>
          <w:sz w:val="28"/>
          <w:szCs w:val="28"/>
          <w:rtl w:val="true"/>
          <w:lang w:bidi="fa-IR"/>
        </w:rPr>
        <w:t>فسمّیت بیضاً لذلک، وعلی هذا فالکلام جارٍ علی ظاهره من غیر حذف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عندنا </w:t>
      </w:r>
      <w:r>
        <w:rPr>
          <w:rStyle w:val="FootnoteAnchor"/>
          <w:rtl w:val="true"/>
        </w:rPr>
        <w:footnoteReference w:id="1685"/>
      </w:r>
      <w:r>
        <w:rPr>
          <w:rFonts w:ascii="IRNazanin" w:hAnsi="IRNazanin" w:eastAsia="IRNazanin"/>
          <w:color w:val="111111"/>
          <w:sz w:val="28"/>
          <w:sz w:val="28"/>
          <w:szCs w:val="28"/>
          <w:rtl w:val="true"/>
          <w:lang w:bidi="fa-IR"/>
        </w:rPr>
        <w:t xml:space="preserve">سابع عشر من شهر ربیع الأوّل علی المشهور </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ومبعثه ویوم </w:t>
      </w:r>
      <w:r>
        <w:rPr>
          <w:rStyle w:val="FootnoteAnchor"/>
          <w:rtl w:val="true"/>
        </w:rPr>
        <w:footnoteReference w:id="1687"/>
      </w:r>
      <w:r>
        <w:rPr>
          <w:rFonts w:ascii="IRNazanin" w:hAnsi="IRNazanin" w:eastAsia="IRNazanin"/>
          <w:color w:val="111111"/>
          <w:sz w:val="28"/>
          <w:sz w:val="28"/>
          <w:szCs w:val="28"/>
          <w:rtl w:val="true"/>
          <w:lang w:bidi="fa-IR"/>
        </w:rPr>
        <w:t>الغدیر والدحو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بسطها من تحت الکعبة، وهو الخامس والعشرون من ذی القعدة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وعرفة لمن لا یُضعفه عن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عازمٌ علیه فی ذلک الیوم کمّیةً وکیفیّةً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منه أنّ الدعاء ذلک الیوم أفضل من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حصل فی أوّله التباسٌ لغیمٍ أو غیره کره صومه لئلّا یقع فی صوم العید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والمباهلة والخمیس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وستّة أیّامٍ بعد عید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فصلٍ متوالیةً، فمن صامها مع شهر رمضان عدلت صیام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المواظبة علیها تعدل صوم الدهر </w:t>
      </w:r>
      <w:r>
        <w:rPr>
          <w:rStyle w:val="FootnoteAnchor"/>
          <w:rtl w:val="true"/>
        </w:rPr>
        <w:footnoteReference w:id="1688"/>
      </w:r>
      <w:r>
        <w:rPr>
          <w:rFonts w:ascii="Amiri" w:hAnsi="Amiri" w:eastAsia="Amiri" w:cs="Amiri"/>
          <w:color w:val="111111"/>
          <w:sz w:val="28"/>
          <w:sz w:val="28"/>
          <w:szCs w:val="28"/>
          <w:rtl w:val="true"/>
          <w:lang w:bidi="ar-SA"/>
        </w:rPr>
        <w:t>وعُلّل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bookmarkStart w:id="484" w:name="pg19806_203640"/>
    </w:p>
    <w:p>
      <w:pPr>
        <w:pStyle w:val="BookText"/>
        <w:rPr/>
      </w:pPr>
      <w:bookmarkEnd w:id="484"/>
      <w:r>
        <w:rPr>
          <w:rFonts w:ascii="IRNazanin" w:hAnsi="IRNazanin" w:eastAsia="IRNazanin"/>
          <w:color w:val="111111"/>
          <w:sz w:val="28"/>
          <w:sz w:val="28"/>
          <w:szCs w:val="28"/>
          <w:rtl w:val="true"/>
          <w:lang w:bidi="fa-IR"/>
        </w:rPr>
        <w:t xml:space="preserve">الصدقة بعشر أمثالها، فیکون رمضان بعشرة أشهر والستّة بشهرین وذلک تمام السنة </w:t>
      </w:r>
      <w:r>
        <w:rPr>
          <w:rStyle w:val="FootnoteAnchor"/>
          <w:rtl w:val="true"/>
        </w:rPr>
        <w:footnoteReference w:id="1689"/>
      </w:r>
      <w:r>
        <w:rPr>
          <w:rFonts w:ascii="IRNazanin" w:hAnsi="IRNazanin" w:eastAsia="IRNazanin"/>
          <w:color w:val="111111"/>
          <w:sz w:val="28"/>
          <w:sz w:val="28"/>
          <w:szCs w:val="28"/>
          <w:rtl w:val="true"/>
          <w:lang w:bidi="fa-IR"/>
        </w:rPr>
        <w:t>فدوام فعلها کذلک یعدل دهر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وإن اقتضی عدم الفرق بین فعلها متوالیةً ومتفرّقةً بعده بغیر فصلٍ ومتأخّرةً، إلّاأنّ فی بعض الأخبار اعتبار القید </w:t>
      </w:r>
      <w:r>
        <w:rPr>
          <w:rStyle w:val="FootnoteAnchor"/>
          <w:rtl w:val="true"/>
        </w:rPr>
        <w:footnoteReference w:id="1690"/>
      </w:r>
      <w:r>
        <w:rPr>
          <w:rFonts w:ascii="IRNazanin" w:hAnsi="IRNazanin" w:eastAsia="IRNazanin"/>
          <w:color w:val="111111"/>
          <w:sz w:val="28"/>
          <w:sz w:val="28"/>
          <w:szCs w:val="28"/>
          <w:rtl w:val="true"/>
          <w:lang w:bidi="fa-IR"/>
        </w:rPr>
        <w:t>فیکون فضیلةً زائدةً علی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إمّا تخفیفٌ للتمرین السابق، أو عودٌ إلی العبادة للرغبة ودفع احتمال السأم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مولد إبراهیم الخلیل علیه السلام، وباقی العشر غیر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ورجب کلّه وشعبان کلّه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85" w:name="__RefHeading___Toc2028061_2314609296"/>
      <w:bookmarkStart w:id="486" w:name="_Toc178"/>
      <w:bookmarkEnd w:id="485"/>
      <w:r>
        <w:rPr>
          <w:rtl w:val="true"/>
        </w:rPr>
        <w:t>«</w:t>
      </w:r>
      <w:r>
        <w:rPr>
          <w:rtl w:val="true"/>
        </w:rPr>
        <w:t>الحادیة عشرة</w:t>
      </w:r>
      <w:r>
        <w:rPr>
          <w:rtl w:val="true"/>
        </w:rPr>
        <w:t>» : «</w:t>
      </w:r>
      <w:r>
        <w:rPr>
          <w:rtl w:val="true"/>
        </w:rPr>
        <w:t>یستحبّ الإمساک</w:t>
      </w:r>
      <w:r>
        <w:rPr>
          <w:rtl w:val="true"/>
        </w:rPr>
        <w:t>»</w:t>
      </w:r>
      <w:bookmarkEnd w:id="486"/>
    </w:p>
    <w:p>
      <w:pPr>
        <w:pStyle w:val="BookText"/>
        <w:rPr/>
      </w:pPr>
      <w:r>
        <w:rPr>
          <w:rFonts w:ascii="IRNazanin" w:hAnsi="IRNazanin" w:eastAsia="IRNazanin"/>
          <w:color w:val="111111"/>
          <w:sz w:val="28"/>
          <w:sz w:val="28"/>
          <w:szCs w:val="28"/>
          <w:rtl w:val="true"/>
          <w:lang w:bidi="fa-IR"/>
        </w:rPr>
        <w:t xml:space="preserve">بالنیّة؛ لأنّه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فی‌المسافر والمریض بزوال عذرهما بعد 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للمسافر التناول قبل بلوغ محلّ الترخص وإن علم بوصوله قبله، فیکون إیجاب الصوم منوطاً باختیاره، کما یتخیّر بین نیّة المقام المسوِّغة للصوم وعدمها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یستحبّ الإمساک 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سلف من ذوی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فی أثناء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کذات الدم والصبیّ والمجنون والمغمی علیه</w:t>
      </w:r>
      <w:bookmarkStart w:id="487" w:name="pg19806_203641"/>
    </w:p>
    <w:p>
      <w:pPr>
        <w:pStyle w:val="BookText"/>
        <w:rPr/>
      </w:pPr>
      <w:bookmarkEnd w:id="487"/>
      <w:r>
        <w:rPr>
          <w:rFonts w:ascii="IRNazanin" w:hAnsi="IRNazanin" w:eastAsia="IRNazanin"/>
          <w:color w:val="111111"/>
          <w:sz w:val="28"/>
          <w:sz w:val="28"/>
          <w:szCs w:val="28"/>
          <w:rtl w:val="true"/>
          <w:lang w:bidi="fa-IR"/>
        </w:rPr>
        <w:t>والکافر یسلم</w:t>
      </w:r>
      <w:r>
        <w:rPr>
          <w:rFonts w:eastAsia="IRNazanin" w:cs="IRNazanin"/>
          <w:color w:val="111111"/>
          <w:sz w:val="28"/>
          <w:szCs w:val="28"/>
          <w:rtl w:val="true"/>
          <w:lang w:bidi="fa-IR"/>
        </w:rPr>
        <w:t>.</w:t>
      </w:r>
    </w:p>
    <w:p>
      <w:pPr>
        <w:pStyle w:val="Heading4"/>
        <w:numPr>
          <w:ilvl w:val="3"/>
          <w:numId w:val="1"/>
        </w:numPr>
        <w:rPr/>
      </w:pPr>
      <w:bookmarkStart w:id="488" w:name="__RefHeading___Toc2028063_2314609296"/>
      <w:bookmarkStart w:id="489" w:name="_Toc179"/>
      <w:bookmarkEnd w:id="488"/>
      <w:r>
        <w:rPr>
          <w:rtl w:val="true"/>
        </w:rPr>
        <w:t>الثانیة عشرة</w:t>
      </w:r>
      <w:r>
        <w:rPr>
          <w:rtl w:val="true"/>
        </w:rPr>
        <w:t>» : «</w:t>
      </w:r>
      <w:r>
        <w:rPr>
          <w:rtl w:val="true"/>
        </w:rPr>
        <w:t>لا یصوم الضیف بدون إذن مضیّفه</w:t>
      </w:r>
      <w:r>
        <w:rPr>
          <w:rtl w:val="true"/>
        </w:rPr>
        <w:t>»</w:t>
      </w:r>
      <w:bookmarkEnd w:id="489"/>
    </w:p>
    <w:p>
      <w:pPr>
        <w:pStyle w:val="BookText"/>
        <w:rPr/>
      </w:pPr>
      <w:r>
        <w:rPr>
          <w:rFonts w:ascii="IRNazanin" w:hAnsi="IRNazanin" w:eastAsia="IRNazanin"/>
          <w:color w:val="111111"/>
          <w:sz w:val="28"/>
          <w:sz w:val="28"/>
          <w:szCs w:val="28"/>
          <w:rtl w:val="true"/>
          <w:lang w:bidi="fa-IR"/>
        </w:rPr>
        <w:t>وإن جاء نهاراً ما لم تزل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احتماله مطلقاً؛ عملاً بإطلاق النصّ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بالعکس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مرویٌّ </w:t>
      </w:r>
      <w:r>
        <w:rPr>
          <w:rStyle w:val="FootnoteAnchor"/>
          <w:rtl w:val="true"/>
        </w:rPr>
        <w:footnoteReference w:id="1693"/>
      </w:r>
      <w:r>
        <w:rPr>
          <w:rFonts w:ascii="IRNazanin" w:hAnsi="IRNazanin" w:eastAsia="IRNazanin"/>
          <w:color w:val="111111"/>
          <w:sz w:val="28"/>
          <w:sz w:val="28"/>
          <w:szCs w:val="28"/>
          <w:rtl w:val="true"/>
          <w:lang w:bidi="fa-IR"/>
        </w:rPr>
        <w:t xml:space="preserve">لکن قلّ من ذکره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المرأة والعبد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إذن الزوج والمالک، ولا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إذن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اختصاصه بالأدنی، فإن صام أحدهم بدون إذنٍ 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والأولی عدم انعقاده مع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الضیف یکون جاهلاً والولد عاقّاً والزوجة عاصیةً والعبد آبقاً </w:t>
      </w:r>
      <w:r>
        <w:rPr>
          <w:rStyle w:val="FootnoteAnchor"/>
          <w:rtl w:val="true"/>
        </w:rPr>
        <w:footnoteReference w:id="1695"/>
      </w:r>
      <w:r>
        <w:rPr>
          <w:rFonts w:ascii="IRNazanin" w:hAnsi="IRNazanin" w:eastAsia="IRNazanin"/>
          <w:color w:val="111111"/>
          <w:sz w:val="28"/>
          <w:sz w:val="28"/>
          <w:szCs w:val="28"/>
          <w:rtl w:val="true"/>
          <w:lang w:bidi="fa-IR"/>
        </w:rPr>
        <w:t>وجعله أولی یؤذن بانعقاده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استقرب اشتراط إذن الوالد والزوج والمولی فی صحّته </w:t>
      </w:r>
      <w:r>
        <w:rPr>
          <w:rStyle w:val="FootnoteAnchor"/>
          <w:rtl w:val="true"/>
        </w:rPr>
        <w:footnoteReference w:id="1696"/>
      </w:r>
      <w:r>
        <w:rPr>
          <w:rFonts w:ascii="IRNazanin" w:hAnsi="IRNazanin" w:eastAsia="IRNazanin"/>
          <w:color w:val="111111"/>
          <w:sz w:val="28"/>
          <w:sz w:val="28"/>
          <w:szCs w:val="28"/>
          <w:rtl w:val="true"/>
          <w:lang w:bidi="fa-IR"/>
        </w:rPr>
        <w:t>والأقوی الکراهة بدون الإذن مطلقاً فی غیر الزوجة والمملوک؛ استضعافاً لمستند الشرطیّة ومأخذ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فیهما فیشترط الإذن، فلا ینعقد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کون الزوج والمولی حاضرین وغائبین، ولا بین أن یُضعفه عن حقّ مولاه وعدمه</w:t>
      </w:r>
      <w:r>
        <w:rPr>
          <w:rFonts w:eastAsia="IRNazanin" w:cs="IRNazanin"/>
          <w:color w:val="111111"/>
          <w:sz w:val="28"/>
          <w:szCs w:val="28"/>
          <w:rtl w:val="true"/>
          <w:lang w:bidi="fa-IR"/>
        </w:rPr>
        <w:t>.</w:t>
      </w:r>
    </w:p>
    <w:p>
      <w:pPr>
        <w:pStyle w:val="Heading4"/>
        <w:numPr>
          <w:ilvl w:val="3"/>
          <w:numId w:val="1"/>
        </w:numPr>
        <w:rPr/>
      </w:pPr>
      <w:bookmarkStart w:id="490" w:name="__RefHeading___Toc2028065_2314609296"/>
      <w:bookmarkStart w:id="491" w:name="_Toc180"/>
      <w:bookmarkEnd w:id="490"/>
      <w:r>
        <w:rPr>
          <w:rtl w:val="true"/>
        </w:rPr>
        <w:t>«</w:t>
      </w:r>
      <w:r>
        <w:rPr>
          <w:rtl w:val="true"/>
        </w:rPr>
        <w:t>الثالثة عشرة</w:t>
      </w:r>
      <w:r>
        <w:rPr>
          <w:rtl w:val="true"/>
        </w:rPr>
        <w:t>» : «</w:t>
      </w:r>
      <w:r>
        <w:rPr>
          <w:rtl w:val="true"/>
        </w:rPr>
        <w:t>یحرم صوم العیدین</w:t>
      </w:r>
      <w:r>
        <w:rPr>
          <w:rtl w:val="true"/>
        </w:rPr>
        <w:t>»</w:t>
      </w:r>
      <w:bookmarkEnd w:id="49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الثلاثة بعد العید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ناسکاً أو غیر 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وقیّده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العلّامة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 أو عمرة </w:t>
      </w:r>
      <w:r>
        <w:rPr>
          <w:rStyle w:val="FootnoteAnchor"/>
          <w:rtl w:val="true"/>
        </w:rPr>
        <w:footnoteReference w:id="1697"/>
      </w:r>
      <w:r>
        <w:rPr>
          <w:rFonts w:ascii="Amiri" w:hAnsi="Amiri" w:eastAsia="Amiri" w:cs="Amiri"/>
          <w:color w:val="111111"/>
          <w:sz w:val="28"/>
          <w:sz w:val="28"/>
          <w:szCs w:val="28"/>
          <w:rtl w:val="true"/>
          <w:lang w:bidi="ar-SA"/>
        </w:rPr>
        <w:t xml:space="preserve">والنصّ مطلقٌ </w:t>
      </w:r>
      <w:r>
        <w:rPr>
          <w:rStyle w:val="FootnoteAnchor"/>
          <w:rtl w:val="true"/>
        </w:rPr>
        <w:footnoteReference w:id="1698"/>
      </w:r>
      <w:r>
        <w:rPr>
          <w:rFonts w:ascii="IRNazanin" w:hAnsi="IRNazanin" w:eastAsia="IRNazanin"/>
          <w:color w:val="111111"/>
          <w:sz w:val="28"/>
          <w:sz w:val="28"/>
          <w:szCs w:val="28"/>
          <w:rtl w:val="true"/>
          <w:lang w:bidi="fa-IR"/>
        </w:rPr>
        <w:t>فتقییده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یحرم صومها علی من لیس بمنی إجماعاً وإن اُطلق تحریمها فی بعض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کالمصنّف فی الدروس </w:t>
      </w:r>
      <w:r>
        <w:rPr>
          <w:rStyle w:val="FootnoteAnchor"/>
          <w:rtl w:val="true"/>
        </w:rPr>
        <w:footnoteReference w:id="1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مراد من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لحظ المُطلق أنّ جمعها کافٍ عن تقیید کونها بمنی؛ لأنّ أقلّ الجمع ثلاثة، وأیّام التشریق لا تکون ثلاثةً إلّابمنی، فإنّها فی غیرها یومان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لطیف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وصوم 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الثلاثین من شعبان إذا تحدّث الناس برؤیة الهلال أو شهد به من لا یثبت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 وهو رمضان وإن ظهر کونه منه؛ للنهی </w:t>
      </w:r>
      <w:r>
        <w:rPr>
          <w:rStyle w:val="FootnoteAnchor"/>
          <w:rtl w:val="true"/>
        </w:rPr>
        <w:footnoteReference w:id="1700"/>
      </w:r>
      <w:r>
        <w:rPr>
          <w:rFonts w:ascii="IRNazanin" w:hAnsi="IRNazanin" w:eastAsia="IRNazanin"/>
          <w:color w:val="111111"/>
          <w:sz w:val="28"/>
          <w:sz w:val="28"/>
          <w:szCs w:val="28"/>
          <w:rtl w:val="true"/>
          <w:lang w:bidi="fa-IR"/>
        </w:rPr>
        <w:t>أمّا لو نواه واجباً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کالقضاء والنذر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یحرم </w:t>
      </w:r>
      <w:r>
        <w:rPr>
          <w:rStyle w:val="FootnoteAnchor"/>
          <w:rtl w:val="true"/>
        </w:rPr>
        <w:footnoteReference w:id="1701"/>
      </w:r>
      <w:r>
        <w:rPr>
          <w:rFonts w:ascii="IRNazanin" w:hAnsi="IRNazanin" w:eastAsia="IRNazanin"/>
          <w:color w:val="111111"/>
          <w:sz w:val="28"/>
          <w:sz w:val="28"/>
          <w:szCs w:val="28"/>
          <w:rtl w:val="true"/>
          <w:lang w:bidi="fa-IR"/>
        </w:rPr>
        <w:t xml:space="preserve">وأمّا بنیّة النفل فمستحبٌّ عندنا وإن لم یصم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صامه بنیّة النفل أجزأ إن ظهر کونه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کلّ واجبٍ معیّنٍ فُعل بنیّة الندب مع عدم علمه، وفاقاً للمصنّف فی الدروس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 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یوم الثلاثین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الوجوب إن</w:t>
      </w:r>
    </w:p>
    <w:p>
      <w:pPr>
        <w:pStyle w:val="BookText"/>
        <w:rPr/>
      </w:pPr>
      <w:r>
        <w:rPr>
          <w:rFonts w:ascii="IRNazanin" w:hAnsi="IRNazanin" w:eastAsia="IRNazanin"/>
          <w:color w:val="111111"/>
          <w:sz w:val="28"/>
          <w:sz w:val="28"/>
          <w:szCs w:val="28"/>
          <w:rtl w:val="true"/>
          <w:lang w:bidi="fa-IR"/>
        </w:rPr>
        <w:t xml:space="preserve">کان من رمضان والندب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فقولان، أقربهما الإجزاء</w:t>
      </w:r>
      <w:r>
        <w:rPr>
          <w:rFonts w:eastAsia="IRNazanin" w:cs="IRNazanin"/>
          <w:color w:val="111111"/>
          <w:sz w:val="28"/>
          <w:szCs w:val="28"/>
          <w:rtl w:val="true"/>
          <w:lang w:bidi="fa-IR"/>
        </w:rPr>
        <w:t xml:space="preserve">» </w:t>
      </w:r>
      <w:r>
        <w:rPr>
          <w:rStyle w:val="FootnoteAnchor"/>
          <w:rtl w:val="true"/>
        </w:rPr>
        <w:footnoteReference w:id="1703"/>
      </w:r>
      <w:r>
        <w:rPr>
          <w:rFonts w:ascii="IRNazanin" w:hAnsi="IRNazanin" w:eastAsia="IRNazanin"/>
          <w:color w:val="111111"/>
          <w:sz w:val="28"/>
          <w:sz w:val="28"/>
          <w:szCs w:val="28"/>
          <w:rtl w:val="true"/>
          <w:lang w:bidi="fa-IR"/>
        </w:rPr>
        <w:t>لحصول النیّة المطابقة للواقع، وضمیمة الآخر غیر قادحة؛ لأنّها غیر منافیة، ولأ نّه لو جزم بالندب أجزأ عن رمضان إجماعاً، فالضمیمة المتردَّد فیها أدخل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الجزم فی النیّة حیث یمکن، وهو هنا کذلک بنیّة الندب، ومنع کون نیّة الوجوب أدخل علی تقدیر الجهل، ومن ثمّ لم یجز لو جزم بالوجوب فظهر مطابقاً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التردّد لیس فی النیّة؛ للجزم بها علی التقدیرین، وإنّما هو فی الوجه، وهو علی تقدیر اعتباره أمرٌ آخر، ولأ نّه مجزومٌ به علی کلّ واحدٍ من التقدیرین اللازمین علی وجه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الجزم بالوجوب والتردید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الأوّل شرعاً المقتضی للفساد، بخلاف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نذر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الجزاء شکراً علی ترک الواجب أو فعل المحرّم، وزجراً علی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الجزاء؛ لفساد الغایة وعدم التقرّب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ینوی الصوم ساکتاً، فإنّه محرّمٌ فی شرعنا، لا الصوم ساکتاً بدون جعله وصفاً للصوم بالنیّة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ینوی صوم یومین فصاعداً لا یفصل بینهما بفطر، أو صوم یومٍ إلی وقتٍ متراخٍ عن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أن یجعل عشاءه سَحوره بالنیّة، لا إذا أخّر الإفطار بغیرها أو ترکه لیلاً</w:t>
      </w:r>
      <w:r>
        <w:rPr>
          <w:rFonts w:eastAsia="IRNazanin" w:cs="IRNazanin"/>
          <w:color w:val="111111"/>
          <w:sz w:val="28"/>
          <w:szCs w:val="28"/>
          <w:rtl w:val="true"/>
          <w:lang w:bidi="fa-IR"/>
        </w:rPr>
        <w:t>.</w:t>
      </w:r>
      <w:bookmarkStart w:id="492" w:name="pg19806_203644"/>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وصوم الواجب 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موجبٍ للقصر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المنذور المقیّد به، وثلاثة الهدی، وبدل البَدَنة، وجزاء الصید علی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من تقییده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المندوب، وهو الذی اختاره فی غیره علی کراهیة </w:t>
      </w:r>
      <w:r>
        <w:rPr>
          <w:rStyle w:val="FootnoteAnchor"/>
          <w:rtl w:val="true"/>
        </w:rPr>
        <w:footnoteReference w:id="1704"/>
      </w:r>
      <w:r>
        <w:rPr>
          <w:rFonts w:ascii="IRNazanin" w:hAnsi="IRNazanin" w:eastAsia="IRNazanin"/>
          <w:color w:val="111111"/>
          <w:sz w:val="28"/>
          <w:sz w:val="28"/>
          <w:szCs w:val="28"/>
          <w:rtl w:val="true"/>
          <w:lang w:bidi="fa-IR"/>
        </w:rPr>
        <w:t xml:space="preserve">وبه روایتان </w:t>
      </w:r>
      <w:r>
        <w:rPr>
          <w:rStyle w:val="FootnoteAnchor"/>
          <w:rtl w:val="true"/>
        </w:rPr>
        <w:footnoteReference w:id="1705"/>
      </w:r>
      <w:r>
        <w:rPr>
          <w:rFonts w:ascii="IRNazanin" w:hAnsi="IRNazanin" w:eastAsia="IRNazanin"/>
          <w:color w:val="111111"/>
          <w:sz w:val="28"/>
          <w:sz w:val="28"/>
          <w:szCs w:val="28"/>
          <w:rtl w:val="true"/>
          <w:lang w:bidi="fa-IR"/>
        </w:rPr>
        <w:t>یمکن إثبات السنّة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Style w:val="FootnoteAnchor"/>
          <w:rtl w:val="true"/>
        </w:rPr>
        <w:footnoteReference w:id="1706"/>
      </w:r>
      <w:r>
        <w:rPr>
          <w:rFonts w:ascii="IRNazanin" w:hAnsi="IRNazanin" w:eastAsia="IRNazanin"/>
          <w:color w:val="111111"/>
          <w:sz w:val="28"/>
          <w:sz w:val="28"/>
          <w:szCs w:val="28"/>
          <w:rtl w:val="true"/>
          <w:lang w:bidi="fa-IR"/>
        </w:rPr>
        <w:t xml:space="preserve">لإطلاق النهی فی غیرهما </w:t>
      </w:r>
      <w:r>
        <w:rPr>
          <w:rStyle w:val="FootnoteAnchor"/>
          <w:rtl w:val="true"/>
        </w:rPr>
        <w:footnoteReference w:id="1707"/>
      </w:r>
      <w:r>
        <w:rPr>
          <w:rFonts w:ascii="IRNazanin" w:hAnsi="IRNazanin" w:eastAsia="IRNazanin"/>
          <w:color w:val="111111"/>
          <w:sz w:val="28"/>
          <w:sz w:val="28"/>
          <w:szCs w:val="28"/>
          <w:rtl w:val="true"/>
          <w:lang w:bidi="fa-IR"/>
        </w:rPr>
        <w:t>ومع ذلک یستثنی ثلاثة أیّام للحاجة بالمدینة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والمشاهد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2028067_2314609296"/>
      <w:bookmarkStart w:id="494" w:name="_Toc181"/>
      <w:bookmarkEnd w:id="493"/>
      <w:r>
        <w:rPr>
          <w:rtl w:val="true"/>
        </w:rPr>
        <w:t>«</w:t>
      </w:r>
      <w:r>
        <w:rPr>
          <w:rtl w:val="true"/>
        </w:rPr>
        <w:t>الرابعة عشرة</w:t>
      </w:r>
      <w:r>
        <w:rPr>
          <w:rtl w:val="true"/>
        </w:rPr>
        <w:t xml:space="preserve">» : </w:t>
      </w:r>
      <w:r>
        <w:rPr>
          <w:rtl w:val="true"/>
        </w:rPr>
        <w:t>یعزَّر من أفطر فی شهر رمضان عامداً عالماً</w:t>
      </w:r>
      <w:r>
        <w:rPr>
          <w:rtl w:val="true"/>
        </w:rPr>
        <w:t>»</w:t>
      </w:r>
      <w:bookmarkEnd w:id="49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کسلامةٍ من غرق، وإنقاذ غریقٍ، وللتقیّة قبل الغروب، وآخر رمضان وأوّله، مع الاقتصار علی ما یتأدّی به الضرورة، فلو زاد فکمن لا عذر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الإفطار ثانیاً بالقیدین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ثالثاً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فی الدروس قتله فی الثالثة إلی مقطوعة سماعة </w:t>
      </w:r>
      <w:r>
        <w:rPr>
          <w:rStyle w:val="FootnoteAnchor"/>
          <w:rtl w:val="true"/>
        </w:rPr>
        <w:footnoteReference w:id="1709"/>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bookmarkStart w:id="495" w:name="pg19806_203645"/>
    </w:p>
    <w:p>
      <w:pPr>
        <w:pStyle w:val="BookText"/>
        <w:rPr/>
      </w:pPr>
      <w:bookmarkEnd w:id="495"/>
      <w:r>
        <w:rPr>
          <w:rFonts w:ascii="IRNazanin" w:hAnsi="IRNazanin" w:eastAsia="IRNazanin"/>
          <w:color w:val="111111"/>
          <w:sz w:val="28"/>
          <w:sz w:val="28"/>
          <w:szCs w:val="28"/>
          <w:rtl w:val="true"/>
          <w:lang w:bidi="fa-IR"/>
        </w:rPr>
        <w:t xml:space="preserve">یقتل فی الرابعة </w:t>
      </w:r>
      <w:r>
        <w:rPr>
          <w:rStyle w:val="FootnoteAnchor"/>
          <w:rtl w:val="true"/>
        </w:rPr>
        <w:footnoteReference w:id="1710"/>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یقتل فیها </w:t>
      </w:r>
      <w:r>
        <w:rPr>
          <w:rStyle w:val="FootnoteAnchor"/>
          <w:rtl w:val="true"/>
        </w:rPr>
        <w:footnoteReference w:id="1711"/>
      </w:r>
      <w:r>
        <w:rPr>
          <w:rFonts w:ascii="IRNazanin" w:hAnsi="IRNazanin" w:eastAsia="IRNazanin"/>
          <w:color w:val="111111"/>
          <w:sz w:val="28"/>
          <w:sz w:val="28"/>
          <w:szCs w:val="28"/>
          <w:rtl w:val="true"/>
          <w:lang w:bidi="fa-IR"/>
        </w:rPr>
        <w:t>مع تخلّل التعزیر مرّتین أو ثلاثاً، لا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مستحلّاً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للإفطار،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 کونه حلالاً، ویتحقّق بالإقرار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الإسلامیّة، بأن انعقد حال إسلام أحد أبویه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واستتیب إن کان عن </w:t>
      </w:r>
      <w:r>
        <w:rPr>
          <w:rStyle w:val="FootnoteAnchor"/>
          <w:rtl w:val="true"/>
        </w:rPr>
        <w:footnoteReference w:id="1712"/>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وإلّا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کان ذکراً، أمّا الاُنثی فلا تقتل مطلقاً، بل تحبس وتضرب أوقات الصلوات إلی أن تتوب أو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یکفر مستحلّ الإفطار بمجمع علی إفساده الصوم بین المسلمین، بحیث صار ضروریّاً، کالجماع والأکل والشرب المعتادین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 فلا علی الأشهر، وفیه لو ادّعی الشبهة الممکنة فی حقّه قُبل منه ومن هنا یعلم أنّ إطلاقه الحکم لیس بجیّد</w:t>
      </w:r>
      <w:r>
        <w:rPr>
          <w:rFonts w:eastAsia="IRNazanin" w:cs="IRNazanin"/>
          <w:color w:val="111111"/>
          <w:sz w:val="28"/>
          <w:szCs w:val="28"/>
          <w:rtl w:val="true"/>
          <w:lang w:bidi="fa-IR"/>
        </w:rPr>
        <w:t>.</w:t>
      </w:r>
    </w:p>
    <w:p>
      <w:pPr>
        <w:pStyle w:val="Heading4"/>
        <w:numPr>
          <w:ilvl w:val="3"/>
          <w:numId w:val="1"/>
        </w:numPr>
        <w:rPr/>
      </w:pPr>
      <w:bookmarkStart w:id="496" w:name="__RefHeading___Toc2028069_2314609296"/>
      <w:bookmarkStart w:id="497" w:name="_Toc182"/>
      <w:bookmarkEnd w:id="496"/>
      <w:r>
        <w:rPr>
          <w:rtl w:val="true"/>
        </w:rPr>
        <w:t>«</w:t>
      </w:r>
      <w:r>
        <w:rPr>
          <w:rtl w:val="true"/>
        </w:rPr>
        <w:t>الخامسة عشرة</w:t>
      </w:r>
      <w:r>
        <w:rPr>
          <w:rtl w:val="true"/>
        </w:rPr>
        <w:t>» : «</w:t>
      </w:r>
      <w:r>
        <w:rPr>
          <w:rtl w:val="true"/>
        </w:rPr>
        <w:t>البلوغ الذی یجب معه العبادة</w:t>
      </w:r>
      <w:r>
        <w:rPr>
          <w:rtl w:val="true"/>
        </w:rPr>
        <w:t xml:space="preserve">: </w:t>
      </w:r>
      <w:r>
        <w:rPr>
          <w:rtl w:val="true"/>
        </w:rPr>
        <w:t>الاحتلام</w:t>
      </w:r>
      <w:r>
        <w:rPr>
          <w:rtl w:val="true"/>
        </w:rPr>
        <w:t>»</w:t>
      </w:r>
      <w:bookmarkEnd w:id="49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خروج المنیّ من قُبُله مطلقاً فی الذکر والاُنثی، ومن فرجیه فی الخنثی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للشعر الخشن علی العانة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فی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713"/>
      </w:r>
      <w:r>
        <w:rPr>
          <w:rFonts w:ascii="Amiri" w:hAnsi="Amiri" w:eastAsia="Amiri" w:cs="Amiri"/>
          <w:color w:val="111111"/>
          <w:sz w:val="28"/>
          <w:sz w:val="28"/>
          <w:szCs w:val="28"/>
          <w:rtl w:val="true"/>
          <w:lang w:bidi="ar-SA"/>
        </w:rPr>
        <w:t xml:space="preserve">وتبعه ابن حمزة </w:t>
      </w:r>
      <w:r>
        <w:rPr>
          <w:rStyle w:val="FootnoteAnchor"/>
          <w:rtl w:val="true"/>
        </w:rPr>
        <w:footnoteReference w:id="1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التسع </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یعتدّ بخلافهما؛ لشذوذه والعلم بنسبهما وتقدّمه علیهما وتأخّره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الحیض والحمل للمرأة فدلیلان علی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اخضرار الشارب وإنبات </w:t>
      </w:r>
      <w:r>
        <w:rPr>
          <w:rStyle w:val="FootnoteAnchor"/>
          <w:rtl w:val="true"/>
        </w:rPr>
        <w:footnoteReference w:id="1716"/>
      </w:r>
      <w:r>
        <w:rPr>
          <w:rFonts w:ascii="IRNazanin" w:hAnsi="IRNazanin" w:eastAsia="IRNazanin"/>
          <w:color w:val="111111"/>
          <w:sz w:val="28"/>
          <w:sz w:val="28"/>
          <w:szCs w:val="28"/>
          <w:rtl w:val="true"/>
          <w:lang w:bidi="fa-IR"/>
        </w:rPr>
        <w:t xml:space="preserve">اللحیة بالعانة قولٌ قویّ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ویعلم السنّ بالبیّنة والشیاع لا بدعواه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والإنبات بهما وبالاختبار، فإنّه جائزٌ مع الاضطرار إن جعلنا محلّه من العورة، أو بدونه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والاحتلام بهما وبقوله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قبول قول الأبوین أو الأب فی السنّ وجهٌ</w:t>
      </w:r>
      <w:r>
        <w:rPr>
          <w:rFonts w:eastAsia="IRNazanin" w:cs="IRNazanin"/>
          <w:color w:val="111111"/>
          <w:sz w:val="28"/>
          <w:szCs w:val="28"/>
          <w:rtl w:val="true"/>
          <w:lang w:bidi="fa-IR"/>
        </w:rPr>
        <w:t>.</w:t>
      </w:r>
      <w:bookmarkStart w:id="498" w:name="pg19806_203647"/>
    </w:p>
    <w:p>
      <w:pPr>
        <w:pStyle w:val="Heading3"/>
        <w:numPr>
          <w:ilvl w:val="2"/>
          <w:numId w:val="1"/>
        </w:numPr>
        <w:rPr/>
      </w:pPr>
      <w:bookmarkStart w:id="499" w:name="__RefHeading___Toc2028071_2314609296"/>
      <w:bookmarkStart w:id="500" w:name="_Toc183"/>
      <w:bookmarkEnd w:id="498"/>
      <w:bookmarkEnd w:id="499"/>
      <w:r>
        <w:rPr>
          <w:rtl w:val="true"/>
        </w:rPr>
        <w:t>«</w:t>
      </w:r>
      <w:r>
        <w:rPr>
          <w:rtl w:val="true"/>
        </w:rPr>
        <w:t>ویلحق بذلک الاعتکاف</w:t>
      </w:r>
      <w:r>
        <w:rPr>
          <w:rtl w:val="true"/>
        </w:rPr>
        <w:t>»</w:t>
      </w:r>
      <w:bookmarkEnd w:id="500"/>
    </w:p>
    <w:p>
      <w:pPr>
        <w:pStyle w:val="Heading4"/>
        <w:numPr>
          <w:ilvl w:val="3"/>
          <w:numId w:val="1"/>
        </w:numPr>
        <w:rPr/>
      </w:pPr>
      <w:bookmarkStart w:id="501" w:name="__RefHeading___Toc2028073_2314609296"/>
      <w:bookmarkStart w:id="502" w:name="_Toc184"/>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 xml:space="preserve">وإنّما جعله من لواحقه؛ لاشتراطه به، واستحبابه مؤکّداً فی شهر رمضان، وقلّة مباحثه فی هذا المختصر عمّا </w:t>
      </w:r>
      <w:r>
        <w:rPr>
          <w:rStyle w:val="FootnoteAnchor"/>
          <w:rtl w:val="true"/>
        </w:rPr>
        <w:footnoteReference w:id="1718"/>
      </w:r>
      <w:r>
        <w:rPr>
          <w:rFonts w:ascii="IRNazanin" w:hAnsi="IRNazanin" w:eastAsia="IRNazanin"/>
          <w:color w:val="111111"/>
          <w:sz w:val="28"/>
          <w:sz w:val="28"/>
          <w:szCs w:val="28"/>
          <w:rtl w:val="true"/>
          <w:lang w:bidi="fa-IR"/>
        </w:rPr>
        <w:t>یلیق بالکتاب المفرد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مؤکّداً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تأسّیاً بالنبیّ صلی الله علیه و آله، فقد کان یواظب علیه فیها، تضرب له قبّةٌ بالمسجد من شعر ویُطوی فراشه </w:t>
      </w:r>
      <w:r>
        <w:rPr>
          <w:rStyle w:val="FootnoteAnchor"/>
          <w:rtl w:val="true"/>
        </w:rPr>
        <w:footnoteReference w:id="1719"/>
      </w:r>
      <w:r>
        <w:rPr>
          <w:rFonts w:ascii="IRNazanin" w:hAnsi="IRNazanin" w:eastAsia="IRNazanin"/>
          <w:color w:val="111111"/>
          <w:sz w:val="28"/>
          <w:sz w:val="28"/>
          <w:szCs w:val="28"/>
          <w:rtl w:val="true"/>
          <w:lang w:bidi="fa-IR"/>
        </w:rPr>
        <w:t xml:space="preserve">وفاته عام بدر بسببها فقضاها فی القابل </w:t>
      </w:r>
      <w:r>
        <w:rPr>
          <w:rStyle w:val="FootnoteAnchor"/>
          <w:rtl w:val="true"/>
        </w:rPr>
        <w:footnoteReference w:id="1720"/>
      </w:r>
      <w:r>
        <w:rPr>
          <w:rFonts w:ascii="IRNazanin" w:hAnsi="IRNazanin" w:eastAsia="IRNazanin"/>
          <w:color w:val="111111"/>
          <w:sz w:val="28"/>
          <w:sz w:val="28"/>
          <w:szCs w:val="28"/>
          <w:rtl w:val="true"/>
          <w:lang w:bidi="fa-IR"/>
        </w:rPr>
        <w:t>فکان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اعتکافها یعدل حجّتین وعمرتین</w:t>
      </w:r>
      <w:r>
        <w:rPr>
          <w:rFonts w:eastAsia="IRNazanin" w:cs="IRNazanin"/>
          <w:color w:val="111111"/>
          <w:sz w:val="28"/>
          <w:szCs w:val="28"/>
          <w:rtl w:val="true"/>
          <w:lang w:bidi="fa-IR"/>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2028075_2314609296"/>
      <w:bookmarkStart w:id="504" w:name="_Toc185"/>
      <w:bookmarkEnd w:id="503"/>
      <w:r>
        <w:rPr>
          <w:rtl w:val="true"/>
        </w:rPr>
        <w:t>[</w:t>
      </w:r>
      <w:r>
        <w:rPr>
          <w:rtl w:val="true"/>
        </w:rPr>
        <w:t>شروط صحة الاعتکاف</w:t>
      </w:r>
      <w:r>
        <w:rPr>
          <w:rtl w:val="true"/>
        </w:rPr>
        <w:t>]</w:t>
      </w:r>
      <w:bookmarkEnd w:id="50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یکن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یصحّ إلّا من مکلّفٍ یصحّ منه الصوم فی زمان یصحّ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التکلیف فیه مبنیٌّ علی أنّ عبادة الصبیّ تمریناً لیست صحیحةً ولا شرعیّةً، وقد تقدّم ما یدلّ علی</w:t>
      </w:r>
    </w:p>
    <w:p>
      <w:pPr>
        <w:pStyle w:val="BookText"/>
        <w:rPr/>
      </w:pPr>
      <w:r>
        <w:rPr>
          <w:rFonts w:ascii="Amiri" w:hAnsi="Amiri" w:eastAsia="Amiri" w:cs="Amiri"/>
          <w:color w:val="111111"/>
          <w:sz w:val="28"/>
          <w:sz w:val="28"/>
          <w:szCs w:val="28"/>
          <w:rtl w:val="true"/>
          <w:lang w:bidi="ar-SA"/>
        </w:rPr>
        <w:t xml:space="preserve">صحّة صومه </w:t>
      </w:r>
      <w:r>
        <w:rPr>
          <w:rStyle w:val="FootnoteAnchor"/>
          <w:rtl w:val="true"/>
        </w:rPr>
        <w:footnoteReference w:id="1722"/>
      </w:r>
      <w:r>
        <w:rPr>
          <w:rFonts w:ascii="IRNazanin" w:hAnsi="IRNazanin" w:eastAsia="IRNazanin"/>
          <w:color w:val="111111"/>
          <w:sz w:val="28"/>
          <w:sz w:val="28"/>
          <w:szCs w:val="28"/>
          <w:rtl w:val="true"/>
          <w:lang w:bidi="fa-IR"/>
        </w:rPr>
        <w:t xml:space="preserve">وفی الدروس صرّح بشرعیّته </w:t>
      </w:r>
      <w:r>
        <w:rPr>
          <w:rStyle w:val="FootnoteAnchor"/>
          <w:rtl w:val="true"/>
        </w:rPr>
        <w:footnoteReference w:id="1723"/>
      </w:r>
      <w:r>
        <w:rPr>
          <w:rFonts w:ascii="IRNazanin" w:hAnsi="IRNazanin" w:eastAsia="IRNazanin"/>
          <w:color w:val="111111"/>
          <w:sz w:val="28"/>
          <w:sz w:val="28"/>
          <w:szCs w:val="28"/>
          <w:rtl w:val="true"/>
          <w:lang w:bidi="fa-IR"/>
        </w:rPr>
        <w:t xml:space="preserve">فلیکن الاعتکاف کذلک، أمّا فعله من الممیّز تمریناً فلا شبهة فی صحّته 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لیلتان، فمحلّ نیّته قبل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اللیالی </w:t>
      </w:r>
      <w:r>
        <w:rPr>
          <w:rStyle w:val="FootnoteAnchor"/>
          <w:rtl w:val="true"/>
        </w:rPr>
        <w:footnoteReference w:id="1724"/>
      </w:r>
      <w:r>
        <w:rPr>
          <w:rFonts w:ascii="IRNazanin" w:hAnsi="IRNazanin" w:eastAsia="IRNazanin"/>
          <w:color w:val="111111"/>
          <w:sz w:val="28"/>
          <w:sz w:val="28"/>
          <w:szCs w:val="28"/>
          <w:rtl w:val="true"/>
          <w:lang w:bidi="fa-IR"/>
        </w:rPr>
        <w:t xml:space="preserve">فیکون قبل الغروب أو بعده علی ما تقدّم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یجمِّع </w:t>
      </w:r>
      <w:r>
        <w:rPr>
          <w:rStyle w:val="FootnoteAnchor"/>
          <w:rtl w:val="true"/>
        </w:rPr>
        <w:footnoteReference w:id="1726"/>
      </w:r>
      <w:r>
        <w:rPr>
          <w:rFonts w:ascii="IRNazanin" w:hAnsi="IRNazanin" w:eastAsia="IRNazanin"/>
          <w:color w:val="111111"/>
          <w:sz w:val="28"/>
          <w:sz w:val="28"/>
          <w:szCs w:val="28"/>
          <w:rtl w:val="true"/>
          <w:lang w:bidi="fa-IR"/>
        </w:rPr>
        <w:t xml:space="preserve">فیه أهل البلد وإن لم یکن أعظم، لا نحو مسجد القبیلة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والحصر فی الأربعة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الحرمین وجامع الکوفة والبصرة </w:t>
      </w:r>
      <w:r>
        <w:rPr>
          <w:rStyle w:val="FootnoteAnchor"/>
          <w:rtl w:val="true"/>
        </w:rPr>
        <w:footnoteReference w:id="1727"/>
      </w:r>
      <w:r>
        <w:rPr>
          <w:rFonts w:ascii="IRNazanin" w:hAnsi="IRNazanin" w:eastAsia="IRNazanin"/>
          <w:color w:val="111111"/>
          <w:sz w:val="28"/>
          <w:sz w:val="28"/>
          <w:szCs w:val="28"/>
          <w:rtl w:val="true"/>
          <w:lang w:bidi="fa-IR"/>
        </w:rPr>
        <w:t xml:space="preserve">أو المدائن بدله </w:t>
      </w:r>
      <w:r>
        <w:rPr>
          <w:rStyle w:val="FootnoteAnchor"/>
          <w:rtl w:val="true"/>
        </w:rPr>
        <w:footnoteReference w:id="1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w:t>
      </w:r>
      <w:r>
        <w:rPr>
          <w:rStyle w:val="FootnoteAnchor"/>
          <w:rtl w:val="true"/>
        </w:rPr>
        <w:footnoteReference w:id="1729"/>
      </w:r>
      <w:r>
        <w:rPr>
          <w:rFonts w:ascii="IRNazanin" w:hAnsi="IRNazanin" w:eastAsia="IRNazanin"/>
          <w:color w:val="111111"/>
          <w:sz w:val="28"/>
          <w:sz w:val="28"/>
          <w:szCs w:val="28"/>
          <w:rtl w:val="true"/>
          <w:lang w:bidi="fa-IR"/>
        </w:rPr>
        <w:t xml:space="preserve">بناءً علی اشتراط صلاة نَبیٍّ أو إمامٍ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 ما یدلّ علی الحصر، وإن ذهب إلیه الأکثر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والإقامة بمعتکفه، 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وإن قصر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کتحصیل مأکولٍ ومشروب، وفعل الأوّل فی غیره لمن علیه فیه غضاضة، وقضاء حاجةٍ، واغتسال واجبٍ لا یمکن فعله فیه،</w:t>
      </w:r>
    </w:p>
    <w:p>
      <w:pPr>
        <w:pStyle w:val="BookText"/>
        <w:rPr/>
      </w:pPr>
      <w:r>
        <w:rPr>
          <w:rFonts w:ascii="IRNazanin" w:hAnsi="IRNazanin" w:eastAsia="IRNazanin"/>
          <w:color w:val="111111"/>
          <w:sz w:val="28"/>
          <w:sz w:val="28"/>
          <w:szCs w:val="28"/>
          <w:rtl w:val="true"/>
          <w:lang w:bidi="fa-IR"/>
        </w:rPr>
        <w:t>ونحو ذلک ممّا لابدّ منه ولا یمکن فعله فی المسجد، ولا یتقدّر معها بقَدرٍ إلّا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خرج عن کونه معتکفاً بطل مطلقاً، وکذا لو خرج ناسیاً فطال، وإلّا رجع حیث ذکر، فإن أخّر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طاعةٍ، کعیادة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ویلبث عنده بحسب العادة لا أزید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تحمّلاً وإقامةً، إن لم یمکن بدون الخروج، سواء تعیّنت علیه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تشییع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تودیعه إذا أراد سفراً إلی ما یعتاد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للنصّ </w:t>
      </w:r>
      <w:r>
        <w:rPr>
          <w:rStyle w:val="FootnoteAnchor"/>
          <w:rtl w:val="true"/>
        </w:rPr>
        <w:footnoteReference w:id="1730"/>
      </w:r>
      <w:r>
        <w:rPr>
          <w:rFonts w:ascii="IRNazanin" w:hAnsi="IRNazanin" w:eastAsia="IRNazanin"/>
          <w:color w:val="111111"/>
          <w:sz w:val="28"/>
          <w:sz w:val="28"/>
          <w:szCs w:val="28"/>
          <w:rtl w:val="true"/>
          <w:lang w:bidi="fa-IR"/>
        </w:rPr>
        <w:t xml:space="preserve">بخلاف المریض لإطلاقه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یجلس لو خرج، ولا یمشی تحت ظلٍّ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فیهما أو فی الأخیر، لأنّ الاضطرار فیه أظهر، بأن لا یجد طریقاً إلی مطلبه إلّاتحت ظلٍّ، ولو وجد طریقین إحداهما لا ظلّ فیها سلکها وإن بعدت، ولو وجد فیهما قدّم أقلّهما ظلاًّ، ولو اتّفقا قدراً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فی النصوص هو الجلوس تحت الظلال </w:t>
      </w:r>
      <w:r>
        <w:rPr>
          <w:rStyle w:val="FootnoteAnchor"/>
          <w:rtl w:val="true"/>
        </w:rPr>
        <w:footnoteReference w:id="1732"/>
      </w:r>
      <w:r>
        <w:rPr>
          <w:rFonts w:ascii="IRNazanin" w:hAnsi="IRNazanin" w:eastAsia="IRNazanin"/>
          <w:color w:val="111111"/>
          <w:sz w:val="28"/>
          <w:sz w:val="28"/>
          <w:szCs w:val="28"/>
          <w:rtl w:val="true"/>
          <w:lang w:bidi="fa-IR"/>
        </w:rPr>
        <w:t>أمّا المشی فلا، وهو الأقوی، وإن کان ما ذکره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اخترناه، لو تعارض المشی فی الظلّ بطریقٍ قصیر وفی غیره بطویلٍ قدّم القصیر، وأولی منه لو کان القصیر أطولهما ظلّاً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یصلّی إلّابمعتکفه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الخارج لضرورةٍ إلیه، وإن کان فی مسجدٍ آخر أفضلٍ منه، إلّامع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کضیق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فیصلّیها حیث أمکن</w:t>
      </w:r>
    </w:p>
    <w:p>
      <w:pPr>
        <w:pStyle w:val="BookText"/>
        <w:rPr/>
      </w:pPr>
      <w:r>
        <w:rPr>
          <w:rFonts w:ascii="IRNazanin" w:hAnsi="IRNazanin" w:eastAsia="IRNazanin"/>
          <w:color w:val="111111"/>
          <w:sz w:val="28"/>
          <w:sz w:val="28"/>
          <w:szCs w:val="28"/>
          <w:rtl w:val="true"/>
          <w:lang w:bidi="fa-IR"/>
        </w:rPr>
        <w:t>مقدّماً للمسجد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الضرورة إلی الصلاة فی غیره إقامة الجمعة فیه دونه فیخرج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الضرورة لا تصحّ الصلاة أیضاً؛ للنهی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إذا خرج لضرورة بها حیث شاء، ولا یختصّ بالمسجد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بالنذر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ویمین ونیابةٍ عن الأب إن وجبت </w:t>
      </w:r>
      <w:r>
        <w:rPr>
          <w:rStyle w:val="FootnoteAnchor"/>
          <w:rtl w:val="true"/>
        </w:rPr>
        <w:footnoteReference w:id="1734"/>
      </w:r>
      <w:r>
        <w:rPr>
          <w:rFonts w:ascii="IRNazanin" w:hAnsi="IRNazanin" w:eastAsia="IRNazanin"/>
          <w:color w:val="111111"/>
          <w:sz w:val="28"/>
          <w:sz w:val="28"/>
          <w:szCs w:val="28"/>
          <w:rtl w:val="true"/>
          <w:lang w:bidi="fa-IR"/>
        </w:rPr>
        <w:t>واستئجارٍ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النذر وأخویه إطلاقه فیحمل علی ثلاثة، أو تقییده بثلاثةٍ فصاعداً أو بما لا ینافی الثلاثة کنذر یومٍ لا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الأخیران </w:t>
      </w:r>
      <w:r>
        <w:rPr>
          <w:rStyle w:val="FootnoteAnchor"/>
          <w:rtl w:val="true"/>
        </w:rPr>
        <w:footnoteReference w:id="1735"/>
      </w:r>
      <w:r>
        <w:rPr>
          <w:rFonts w:ascii="IRNazanin" w:hAnsi="IRNazanin" w:eastAsia="IRNazanin"/>
          <w:color w:val="111111"/>
          <w:sz w:val="28"/>
          <w:sz w:val="28"/>
          <w:szCs w:val="28"/>
          <w:rtl w:val="true"/>
          <w:lang w:bidi="fa-IR"/>
        </w:rPr>
        <w:t xml:space="preserve">فبحسب الملزم </w:t>
      </w:r>
      <w:r>
        <w:rPr>
          <w:rStyle w:val="FootnoteAnchor"/>
          <w:rtl w:val="true"/>
        </w:rPr>
        <w:footnoteReference w:id="1736"/>
      </w:r>
      <w:r>
        <w:rPr>
          <w:rFonts w:ascii="IRNazanin" w:hAnsi="IRNazanin" w:eastAsia="IRNazanin"/>
          <w:color w:val="111111"/>
          <w:sz w:val="28"/>
          <w:sz w:val="28"/>
          <w:szCs w:val="28"/>
          <w:rtl w:val="true"/>
          <w:lang w:bidi="fa-IR"/>
        </w:rPr>
        <w:t>فإن قصر عنها اشترط إکمالها فی صحّته ولو عن نفسه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وبمضیّ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مندوبین، فیجب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الأخبار علیه </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بالشروع</w:t>
      </w:r>
      <w:r>
        <w:rPr>
          <w:rFonts w:eastAsia="IRNazanin" w:cs="IRNazanin"/>
          <w:color w:val="111111"/>
          <w:sz w:val="28"/>
          <w:szCs w:val="28"/>
          <w:rtl w:val="true"/>
          <w:lang w:bidi="fa-IR"/>
        </w:rPr>
        <w:t xml:space="preserve">» </w:t>
      </w:r>
      <w:r>
        <w:rPr>
          <w:rStyle w:val="FootnoteAnchor"/>
          <w:rtl w:val="true"/>
        </w:rPr>
        <w:footnoteReference w:id="1738"/>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الأشهر یتعدّی إلی کلّ ثالثٍ علی الأقوی، کالسادس والتاسع لو اعتکف خمسةً وثمانیة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بالأوّل خاصّةً </w:t>
      </w:r>
      <w:r>
        <w:rPr>
          <w:rStyle w:val="FootnoteAnchor"/>
          <w:rtl w:val="true"/>
        </w:rPr>
        <w:footnoteReference w:id="1739"/>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المندوب دون ما لو نذر خمسةً</w:t>
      </w:r>
    </w:p>
    <w:p>
      <w:pPr>
        <w:pStyle w:val="BookText"/>
        <w:rPr/>
      </w:pPr>
      <w:r>
        <w:rPr>
          <w:rFonts w:ascii="IRNazanin" w:hAnsi="IRNazanin" w:eastAsia="IRNazanin"/>
          <w:color w:val="111111"/>
          <w:sz w:val="28"/>
          <w:sz w:val="28"/>
          <w:szCs w:val="28"/>
          <w:rtl w:val="true"/>
          <w:lang w:bidi="fa-IR"/>
        </w:rPr>
        <w:t xml:space="preserve">فلا یجب السادس </w:t>
      </w:r>
      <w:r>
        <w:rPr>
          <w:rStyle w:val="FootnoteAnchor"/>
          <w:rtl w:val="true"/>
        </w:rPr>
        <w:footnoteReference w:id="1740"/>
      </w:r>
      <w:r>
        <w:rPr>
          <w:rFonts w:ascii="IRNazanin" w:hAnsi="IRNazanin" w:eastAsia="IRNazanin"/>
          <w:color w:val="111111"/>
          <w:sz w:val="28"/>
          <w:sz w:val="28"/>
          <w:szCs w:val="28"/>
          <w:rtl w:val="true"/>
          <w:lang w:bidi="fa-IR"/>
        </w:rPr>
        <w:t xml:space="preserve">ومال إلیه المصنّف فی بعض تحقیقاته </w:t>
      </w:r>
      <w:r>
        <w:rPr>
          <w:rStyle w:val="FootnoteAnchor"/>
          <w:rtl w:val="true"/>
        </w:rPr>
        <w:footnoteReference w:id="1741"/>
      </w: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الیومین فی المندوب منفصلان عن الثالث شرعاً، ولمّا کان أقلّه ثلاثةً کان الثالث هو المتمِّم للمشروع، بخلاف الواجب، فإنّ الخمسة فعلٌ واحدٌ واجبٌ متّصلٌ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نسب الحکم إلی الشهرة؛ لأنّ مستنده من الأخبار غیر نقیّ السند </w:t>
      </w:r>
      <w:r>
        <w:rPr>
          <w:rStyle w:val="FootnoteAnchor"/>
          <w:rtl w:val="true"/>
        </w:rPr>
        <w:footnoteReference w:id="1742"/>
      </w:r>
      <w:r>
        <w:rPr>
          <w:rFonts w:ascii="Amiri" w:hAnsi="Amiri" w:eastAsia="Amiri" w:cs="Amiri"/>
          <w:color w:val="111111"/>
          <w:sz w:val="28"/>
          <w:sz w:val="28"/>
          <w:szCs w:val="28"/>
          <w:rtl w:val="true"/>
          <w:lang w:bidi="ar-SA"/>
        </w:rPr>
        <w:t xml:space="preserve">ومن ثَمَّ ذهب جمعٌ إلی عدم وجوب النقل مطلقاً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للمعتکف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ابتدائه للرجوع فیه عند العارض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عنده وإن مضی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اشتراط الرجوع فیه مطلقاً </w:t>
      </w:r>
      <w:r>
        <w:rPr>
          <w:rStyle w:val="FootnoteAnchor"/>
          <w:rtl w:val="true"/>
        </w:rPr>
        <w:footnoteReference w:id="1744"/>
      </w:r>
      <w:r>
        <w:rPr>
          <w:rFonts w:ascii="IRNazanin" w:hAnsi="IRNazanin" w:eastAsia="IRNazanin"/>
          <w:color w:val="111111"/>
          <w:sz w:val="28"/>
          <w:sz w:val="28"/>
          <w:szCs w:val="28"/>
          <w:rtl w:val="true"/>
          <w:lang w:bidi="fa-IR"/>
        </w:rPr>
        <w:t>فیرجع متی شاء وإن لم یکن بعارض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فی الدروس </w:t>
      </w:r>
      <w:r>
        <w:rPr>
          <w:rStyle w:val="FootnoteAnchor"/>
          <w:rtl w:val="true"/>
        </w:rPr>
        <w:footnoteReference w:id="1745"/>
      </w:r>
      <w:r>
        <w:rPr>
          <w:rFonts w:ascii="IRNazanin" w:hAnsi="IRNazanin" w:eastAsia="IRNazanin"/>
          <w:color w:val="111111"/>
          <w:sz w:val="28"/>
          <w:sz w:val="28"/>
          <w:szCs w:val="28"/>
          <w:rtl w:val="true"/>
          <w:lang w:bidi="fa-IR"/>
        </w:rPr>
        <w:t>والأجود الأوّل، وظاهر العبارة یرشد إلیه؛ لأنّ المحرم یختصّ شرطه بالعارض، إلّاأن یجعل التشبیه فی أصل الاشتراط</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جواز الاشتراط بین الواجب وغیره، لکن محلّه فی الواجب</w:t>
      </w:r>
      <w:bookmarkStart w:id="505" w:name="pg19806_203652"/>
    </w:p>
    <w:p>
      <w:pPr>
        <w:pStyle w:val="BookText"/>
        <w:rPr/>
      </w:pPr>
      <w:bookmarkEnd w:id="505"/>
      <w:r>
        <w:rPr>
          <w:rFonts w:ascii="IRNazanin" w:hAnsi="IRNazanin" w:eastAsia="IRNazanin"/>
          <w:color w:val="111111"/>
          <w:sz w:val="28"/>
          <w:sz w:val="28"/>
          <w:szCs w:val="28"/>
          <w:rtl w:val="true"/>
          <w:lang w:bidi="fa-IR"/>
        </w:rPr>
        <w:t>وقت النذر وأخویه لا وقت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الشرط فی المندوب سقوط الثالث لو عرض بعد وجوبه ما یجوّز الرجوع وإبطال الواجب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شرط وخرج فلا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المندوب مطلقاً، وکذا الواجب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المطلق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w:t>
      </w:r>
      <w:r>
        <w:rPr>
          <w:rStyle w:val="FootnoteAnchor"/>
          <w:rtl w:val="true"/>
        </w:rPr>
        <w:footnoteReference w:id="1746"/>
      </w:r>
      <w:r>
        <w:rPr>
          <w:rFonts w:ascii="IRNazanin" w:hAnsi="IRNazanin" w:eastAsia="IRNazanin"/>
          <w:color w:val="111111"/>
          <w:sz w:val="28"/>
          <w:sz w:val="28"/>
          <w:szCs w:val="28"/>
          <w:rtl w:val="true"/>
          <w:lang w:bidi="fa-IR"/>
        </w:rPr>
        <w:t xml:space="preserve">وهو ظاهر الکتاب، وتوقّف فی الدروس </w:t>
      </w:r>
      <w:r>
        <w:rPr>
          <w:rStyle w:val="FootnoteAnchor"/>
          <w:rtl w:val="true"/>
        </w:rPr>
        <w:footnoteReference w:id="1747"/>
      </w:r>
      <w:r>
        <w:rPr>
          <w:rFonts w:ascii="IRNazanin" w:hAnsi="IRNazanin" w:eastAsia="IRNazanin"/>
          <w:color w:val="111111"/>
          <w:sz w:val="28"/>
          <w:sz w:val="28"/>
          <w:szCs w:val="28"/>
          <w:rtl w:val="true"/>
          <w:lang w:bidi="fa-IR"/>
        </w:rPr>
        <w:t xml:space="preserve">وقطع المحقّق بالقضاء </w:t>
      </w:r>
      <w:r>
        <w:rPr>
          <w:rStyle w:val="FootnoteAnchor"/>
          <w:rtl w:val="true"/>
        </w:rPr>
        <w:footnoteReference w:id="1748"/>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یشترط ومضی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وجوباً، وکذا إذا أتمّ الخامس وجب السادس،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مرّ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علیه نهاراً ما یحرم علی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الاعتکاف واجباً، وإلّا فلا، وإن فسد </w:t>
      </w:r>
      <w:r>
        <w:rPr>
          <w:rStyle w:val="FootnoteAnchor"/>
          <w:rtl w:val="true"/>
        </w:rPr>
        <w:footnoteReference w:id="1750"/>
      </w:r>
      <w:r>
        <w:rPr>
          <w:rFonts w:ascii="IRNazanin" w:hAnsi="IRNazanin" w:eastAsia="IRNazanin"/>
          <w:color w:val="111111"/>
          <w:sz w:val="28"/>
          <w:sz w:val="28"/>
          <w:szCs w:val="28"/>
          <w:rtl w:val="true"/>
          <w:lang w:bidi="fa-IR"/>
        </w:rPr>
        <w:t>فی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ولیلاً ونهاراً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ودُبراً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والریاحین علی الأقوی؛ لورودها معه فی الخبر </w:t>
      </w:r>
      <w:r>
        <w:rPr>
          <w:rStyle w:val="FootnoteAnchor"/>
          <w:rtl w:val="true"/>
        </w:rPr>
        <w:footnoteReference w:id="1751"/>
      </w:r>
      <w:r>
        <w:rPr>
          <w:rFonts w:ascii="IRNazanin" w:hAnsi="IRNazanin" w:eastAsia="IRNazanin"/>
          <w:color w:val="111111"/>
          <w:sz w:val="28"/>
          <w:sz w:val="28"/>
          <w:szCs w:val="28"/>
          <w:rtl w:val="true"/>
          <w:lang w:bidi="fa-IR"/>
        </w:rPr>
        <w:t xml:space="preserve">وهو مختاره فی الدروس </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والاستمتاع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لمساً وتقبیلاً وغیرهما، ولکن لا یفسد به الاعتکاف علی الأقوی، بخلاف الجماع</w:t>
      </w:r>
      <w:r>
        <w:rPr>
          <w:rFonts w:eastAsia="IRNazanin" w:cs="IRNazanin"/>
          <w:color w:val="111111"/>
          <w:sz w:val="28"/>
          <w:szCs w:val="28"/>
          <w:rtl w:val="true"/>
          <w:lang w:bidi="fa-IR"/>
        </w:rPr>
        <w:t>.</w:t>
      </w:r>
    </w:p>
    <w:p>
      <w:pPr>
        <w:pStyle w:val="Heading4"/>
        <w:numPr>
          <w:ilvl w:val="3"/>
          <w:numId w:val="1"/>
        </w:numPr>
        <w:rPr/>
      </w:pPr>
      <w:bookmarkStart w:id="506" w:name="__RefHeading___Toc2028077_2314609296"/>
      <w:bookmarkStart w:id="507" w:name="_Toc186"/>
      <w:bookmarkEnd w:id="506"/>
      <w:r>
        <w:rPr>
          <w:rtl w:val="true"/>
        </w:rPr>
        <w:t>[</w:t>
      </w:r>
      <w:r>
        <w:rPr>
          <w:rtl w:val="true"/>
        </w:rPr>
        <w:t xml:space="preserve">فی ما یفسد الاعتکاف </w:t>
      </w:r>
      <w:r>
        <w:rPr>
          <w:rtl w:val="true"/>
        </w:rPr>
        <w:t>]</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ویفسده ما یفسد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فوات الصوم الذی هو شرط الاعتکاف</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للاعتکاف زیادةً علی ما یجب للصوم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أفسد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ثالثاً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بالجماع فی الواجب نهاراً کفّارتان إن کان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عن الصوم والاُخری عن الاعتکاف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الکفّارتان بالجماع فی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وجوبه متعیّناً بنذرٍ وشبهه وجب بإفساده کفارةٌ بسببه، وهو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ألحق المعیّن برمضان مطلقاً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رمضان وغیره، إلّاأن یتعیّن بنذرٍ وشبهه فیجب کفّارةٌ بسببه أیضاً؛ لإفساده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کان إفساده بباقی مفسدات الصوم غیر الجماع وجب نهاراً کفّارةٌ واحدة، ولا شیء لیلاً، إلّاأن یکون متعیّناً بنذرٍ وشبهه فیجب کفّارته أیضاً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فعل غیر ذلک من المحرّمات علی المعتکف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کالتطیّب والبیع والمماراة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بالخروج فی واجبٍ متعیّن بالنذر وشبهه وجبت کفّارته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ثالث المندوب الإثم والقضاء لا غیر، وکذا لو أفسده بغیر الجماع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وکفّارة الاعتکاف ککفّارة رمضان فی قولٍ </w:t>
      </w:r>
      <w:r>
        <w:rPr>
          <w:rStyle w:val="FootnoteAnchor"/>
          <w:rtl w:val="true"/>
        </w:rPr>
        <w:footnoteReference w:id="1756"/>
      </w:r>
      <w:r>
        <w:rPr>
          <w:rFonts w:ascii="IRNazanin" w:hAnsi="IRNazanin" w:eastAsia="IRNazanin"/>
          <w:color w:val="111111"/>
          <w:sz w:val="28"/>
          <w:sz w:val="28"/>
          <w:szCs w:val="28"/>
          <w:rtl w:val="true"/>
          <w:lang w:bidi="fa-IR"/>
        </w:rPr>
        <w:t xml:space="preserve">وکفارة ظهار فی آخر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والأوّل أشهر، والثانی أصحّ روایةً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أکره المعتکفة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نهاراً فی شهر رمضان مع وجوب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عنه واثنتان یتحمّلهما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مخالفاً سوی صاحب المعتبر </w:t>
      </w:r>
      <w:r>
        <w:rPr>
          <w:rStyle w:val="FootnoteAnchor"/>
          <w:rtl w:val="true"/>
        </w:rPr>
        <w:footnoteReference w:id="1759"/>
      </w:r>
      <w:r>
        <w:rPr>
          <w:rFonts w:ascii="IRNazanin" w:hAnsi="IRNazanin" w:eastAsia="IRNazanin"/>
          <w:color w:val="111111"/>
          <w:sz w:val="28"/>
          <w:sz w:val="28"/>
          <w:szCs w:val="28"/>
          <w:rtl w:val="true"/>
          <w:lang w:bidi="fa-IR"/>
        </w:rPr>
        <w:t>وفی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بذلک لم یظهر له مخالف </w:t>
      </w:r>
      <w:r>
        <w:rPr>
          <w:rStyle w:val="FootnoteAnchor"/>
          <w:rtl w:val="true"/>
        </w:rPr>
        <w:footnoteReference w:id="1760"/>
      </w:r>
      <w:r>
        <w:rPr>
          <w:rFonts w:ascii="IRNazanin" w:hAnsi="IRNazanin" w:eastAsia="IRNazanin"/>
          <w:color w:val="111111"/>
          <w:sz w:val="28"/>
          <w:sz w:val="28"/>
          <w:szCs w:val="28"/>
          <w:rtl w:val="true"/>
          <w:lang w:bidi="fa-IR"/>
        </w:rPr>
        <w:t>ومثل هذا هو الحجّة، وإلّا فالأصل یقتضی عدم التحمّل فیما لا نصّ علیه، وحینئذٍ فیجب علیه 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عنه للاعتکاف والصوم، وواحدة عنها للصوم؛ لأنّه منصوص 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الجماع لیلاً فکفّارتان علیه علی القول بالتحمّل</w:t>
      </w:r>
      <w:r>
        <w:rPr>
          <w:rFonts w:eastAsia="IRNazanin" w:cs="IRNazanin"/>
          <w:color w:val="111111"/>
          <w:sz w:val="28"/>
          <w:szCs w:val="28"/>
          <w:rtl w:val="true"/>
          <w:lang w:bidi="fa-IR"/>
        </w:rPr>
        <w:t>.</w:t>
      </w:r>
      <w:bookmarkStart w:id="508" w:name="pg19806_203655"/>
    </w:p>
    <w:p>
      <w:pPr>
        <w:pStyle w:val="Heading2"/>
        <w:numPr>
          <w:ilvl w:val="1"/>
          <w:numId w:val="1"/>
        </w:numPr>
        <w:rPr/>
      </w:pPr>
      <w:bookmarkStart w:id="509" w:name="__RefHeading___Toc2028079_2314609296"/>
      <w:bookmarkStart w:id="510" w:name="_Toc187"/>
      <w:bookmarkEnd w:id="508"/>
      <w:bookmarkEnd w:id="509"/>
      <w:r>
        <w:rPr>
          <w:rtl w:val="true"/>
        </w:rPr>
        <w:t>کتاب الحجّ</w:t>
      </w:r>
      <w:bookmarkEnd w:id="51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2028081_2314609296"/>
      <w:bookmarkStart w:id="512" w:name="_Toc188"/>
      <w:bookmarkEnd w:id="511"/>
      <w:r>
        <w:rPr>
          <w:rtl w:val="true"/>
        </w:rPr>
        <w:t>اشارة</w:t>
      </w:r>
      <w:bookmarkStart w:id="513" w:name="pg19806_203657"/>
      <w:bookmarkEnd w:id="512"/>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3"/>
        <w:numPr>
          <w:ilvl w:val="2"/>
          <w:numId w:val="1"/>
        </w:numPr>
        <w:rPr/>
      </w:pPr>
      <w:bookmarkStart w:id="514" w:name="__RefHeading___Toc2028083_2314609296"/>
      <w:bookmarkStart w:id="515" w:name="_Toc189"/>
      <w:bookmarkEnd w:id="514"/>
      <w:r>
        <w:rPr>
          <w:rtl w:val="true"/>
        </w:rPr>
        <w:t xml:space="preserve">الفصل </w:t>
      </w:r>
      <w:r>
        <w:rPr>
          <w:rtl w:val="true"/>
        </w:rPr>
        <w:t>«</w:t>
      </w:r>
      <w:r>
        <w:rPr>
          <w:rtl w:val="true"/>
        </w:rPr>
        <w:t>الأوّل</w:t>
      </w:r>
      <w:r>
        <w:rPr>
          <w:rtl w:val="true"/>
        </w:rPr>
        <w:t>» «</w:t>
      </w:r>
      <w:r>
        <w:rPr>
          <w:rtl w:val="true"/>
        </w:rPr>
        <w:t>فی شرائطه وأسبابه</w:t>
      </w:r>
      <w:r>
        <w:rPr>
          <w:rtl w:val="true"/>
        </w:rPr>
        <w:t>»</w:t>
      </w:r>
      <w:bookmarkEnd w:id="515"/>
    </w:p>
    <w:p>
      <w:pPr>
        <w:pStyle w:val="Heading4"/>
        <w:numPr>
          <w:ilvl w:val="3"/>
          <w:numId w:val="1"/>
        </w:numPr>
        <w:rPr/>
      </w:pPr>
      <w:bookmarkStart w:id="516" w:name="__RefHeading___Toc2028085_2314609296"/>
      <w:bookmarkStart w:id="517" w:name="_Toc190"/>
      <w:bookmarkEnd w:id="516"/>
      <w:r>
        <w:rPr>
          <w:rtl w:val="true"/>
        </w:rPr>
        <w:t>اشارة</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الحجّ علی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والنساء والخناثی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الفرقة المحقّة، وتأخیره کبیرة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بالفوریّة وجوب المبادرة إلیه فی أوّل عام الاستطاعة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ففیما یلیه، 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ولو توقّف علی مقدّمات من سفر وغیره وجب الفور بها علی وجه یدرکه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تعدّدت الرفقة فی العام الواحد وجب السیر مع أولاها، فإن أخّر عنها وأدرکه مع التالیة، وإلّا کان کمؤخِّره عمداً فی استقراره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بأصل الشرع، وقد یجب بالنذر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العهد والیمین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والاستئجار، والإفساد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فیتعدّد بحسب وجود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تکراره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أدّاه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ولفاقد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مع فقد الشرائط عن حجّة الإسلام بعد حصولها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ثم یستطیع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یُعتق ویستطیع فیجب الحجّ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والحریّة والزاد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یناسبه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وضعفاً، لا شرفاً وضعةً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یفتقر إلی قطع المسافة وإن سهل المشی وکان معتاداً له أو </w:t>
      </w:r>
      <w:r>
        <w:rPr>
          <w:rStyle w:val="FootnoteAnchor"/>
          <w:rtl w:val="true"/>
        </w:rPr>
        <w:footnoteReference w:id="1761"/>
      </w:r>
      <w:r>
        <w:rPr>
          <w:rFonts w:ascii="IRNazanin" w:hAnsi="IRNazanin" w:eastAsia="IRNazanin"/>
          <w:color w:val="111111"/>
          <w:sz w:val="28"/>
          <w:sz w:val="28"/>
          <w:szCs w:val="28"/>
          <w:rtl w:val="true"/>
          <w:lang w:bidi="fa-IR"/>
        </w:rPr>
        <w:t>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له من جملة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وثیابه وخادمه ودابّته وکتب علمه اللائقة بحاله کمّاً وکیفاً، عیناً وقیمة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والتمکّن من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وتخلیة الطریق وسعة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صحّته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من الکافر وإن وجب علیه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مباشرته مع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فیباشر أفعاله الممیِّز بإذن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الولیّ عن 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الحجّ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 کان أو مجنوناً، مُحرماً کان الولیّ أم محلّاً؛ لأنّه یجعلهما محرمین بفعله، لا نائباً عنهما،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أحرمت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المولّی علیه حاضراً مواجهاً له، ویأمره بالتلبیة إن أحسنها وإلّا لبّی عنه، ویُلبسه ثوبی الإحرام، ویُجنّبه 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طاف به أوقع به صورةَ الوضوء وحَمَله ولو علی المشی، أو ساق به أو قاد به، أو استناب فیه، ویصلّی عنه رکعتیه إن نقص سنُّه عن ستّ، ولو أمره بصورة الصلاة فحسن؛ وکذا القول فی سائر الأفعال فإذا فعل به ذلک فله أجر حِجّة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صحّته من العبد 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تشبّث بالحریّة کالمدبَّر والمبعَّض، فلو فعله بدون إذنه 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أذن له فله الرجوع قبل التلبّس، لا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صحة الندب من المرأة إذن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الواجب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إطلاقه أنّ الولد لا یتوقّف حجّه مندوباً علی إذن الأب أو الأبوین وهو قول الشیخ رحمه الله </w:t>
      </w:r>
      <w:r>
        <w:rPr>
          <w:rStyle w:val="FootnoteAnchor"/>
          <w:rtl w:val="true"/>
        </w:rPr>
        <w:footnoteReference w:id="1763"/>
      </w:r>
      <w:r>
        <w:rPr>
          <w:rFonts w:ascii="IRNazanin" w:hAnsi="IRNazanin" w:eastAsia="IRNazanin"/>
          <w:color w:val="111111"/>
          <w:sz w:val="28"/>
          <w:sz w:val="28"/>
          <w:szCs w:val="28"/>
          <w:rtl w:val="true"/>
          <w:lang w:bidi="fa-IR"/>
        </w:rPr>
        <w:t xml:space="preserve">ومال إلیه المصنِّف فی الدروس </w:t>
      </w:r>
      <w:r>
        <w:rPr>
          <w:rStyle w:val="FootnoteAnchor"/>
          <w:rtl w:val="true"/>
        </w:rPr>
        <w:footnoteReference w:id="1764"/>
      </w:r>
      <w:r>
        <w:rPr>
          <w:rFonts w:ascii="IRNazanin" w:hAnsi="IRNazanin" w:eastAsia="IRNazanin"/>
          <w:color w:val="111111"/>
          <w:sz w:val="28"/>
          <w:sz w:val="28"/>
          <w:szCs w:val="28"/>
          <w:rtl w:val="true"/>
          <w:lang w:bidi="fa-IR"/>
        </w:rPr>
        <w:t>وهو حسن إن لم یستلزم السفرَ المشتمل علی الخطر، وإلّا فاشتراط إذنهما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اُعتق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المتلبّس بالحجّ بإذن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بلغ الصبیّ، أو أفاق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تلبّسهما به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أحد الموقفین صحّ وأجزأه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ویجدّدان نیّة الوجوب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العبد المکلّف فبتلبّسه به ینوی الوجوب بباقی </w:t>
      </w:r>
      <w:r>
        <w:rPr>
          <w:rStyle w:val="FootnoteAnchor"/>
          <w:rtl w:val="true"/>
        </w:rPr>
        <w:footnoteReference w:id="1765"/>
      </w:r>
      <w:r>
        <w:rPr>
          <w:rFonts w:ascii="IRNazanin" w:hAnsi="IRNazanin" w:eastAsia="IRNazanin"/>
          <w:color w:val="111111"/>
          <w:sz w:val="28"/>
          <w:sz w:val="28"/>
          <w:szCs w:val="28"/>
          <w:rtl w:val="true"/>
          <w:lang w:bidi="fa-IR"/>
        </w:rPr>
        <w:t>أفعاله، فالإجزاء فیه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استطاعتهم له سابقاً ولاحقاً؛ لأنّ الکمال الحاصل أحد الشرائط، فالإجزاء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ذلک فی العبد إن أحلنا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اشتراطها فیه للسابق </w:t>
      </w:r>
      <w:r>
        <w:rPr>
          <w:rStyle w:val="FootnoteAnchor"/>
          <w:rtl w:val="true"/>
        </w:rPr>
        <w:footnoteReference w:id="1766"/>
      </w:r>
      <w:r>
        <w:rPr>
          <w:rFonts w:ascii="IRNazanin" w:hAnsi="IRNazanin" w:eastAsia="IRNazanin"/>
          <w:color w:val="111111"/>
          <w:sz w:val="28"/>
          <w:sz w:val="28"/>
          <w:szCs w:val="28"/>
          <w:rtl w:val="true"/>
          <w:lang w:bidi="fa-IR"/>
        </w:rPr>
        <w:t>أمّا اللاحق فیعتبر قطعاً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للزاد والراحلة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المبذول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صیغة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للبذل من هبة وغیرها من الاُمور اللازمة، بل یکفی مجرّده بأی صیغة اتّفقت، سواء وثق بالباذل أم لا، لإطلاق النصّ </w:t>
      </w:r>
      <w:r>
        <w:rPr>
          <w:rStyle w:val="FootnoteAnchor"/>
          <w:rtl w:val="true"/>
        </w:rPr>
        <w:footnoteReference w:id="1767"/>
      </w:r>
      <w:r>
        <w:rPr>
          <w:rFonts w:ascii="IRNazanin" w:hAnsi="IRNazanin" w:eastAsia="IRNazanin"/>
          <w:color w:val="111111"/>
          <w:sz w:val="28"/>
          <w:sz w:val="28"/>
          <w:szCs w:val="28"/>
          <w:rtl w:val="true"/>
          <w:lang w:bidi="fa-IR"/>
        </w:rPr>
        <w:t>ولزوم</w:t>
      </w:r>
    </w:p>
    <w:p>
      <w:pPr>
        <w:pStyle w:val="BookText"/>
        <w:rPr/>
      </w:pPr>
      <w:r>
        <w:rPr>
          <w:rFonts w:ascii="IRNazanin" w:hAnsi="IRNazanin" w:eastAsia="IRNazanin"/>
          <w:color w:val="111111"/>
          <w:sz w:val="28"/>
          <w:sz w:val="28"/>
          <w:szCs w:val="28"/>
          <w:rtl w:val="true"/>
          <w:lang w:bidi="fa-IR"/>
        </w:rPr>
        <w:t xml:space="preserve">تعلیق الواجب بالجائز یندفع بأنّ الممتنع منه إنّما هو الواجب المطلق، لا المشروط کما لو ذهب المال قبل الإکمال، أو منع من السیر ونحوه من الاُمور الجائزة </w:t>
      </w:r>
      <w:r>
        <w:rPr>
          <w:rStyle w:val="FootnoteAnchor"/>
          <w:rtl w:val="true"/>
        </w:rPr>
        <w:footnoteReference w:id="1768"/>
      </w:r>
      <w:r>
        <w:rPr>
          <w:rFonts w:ascii="Amiri" w:hAnsi="Amiri" w:eastAsia="Amiri" w:cs="Amiri"/>
          <w:color w:val="111111"/>
          <w:sz w:val="28"/>
          <w:sz w:val="28"/>
          <w:szCs w:val="28"/>
          <w:rtl w:val="true"/>
          <w:lang w:bidi="ar-SA"/>
        </w:rPr>
        <w:t>المسقطة للوجوب الثابت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واشترط فی الدروس التملیک أو الوثوق به </w:t>
      </w:r>
      <w:r>
        <w:rPr>
          <w:rStyle w:val="FootnoteAnchor"/>
          <w:rtl w:val="true"/>
        </w:rPr>
        <w:footnoteReference w:id="1769"/>
      </w:r>
      <w:r>
        <w:rPr>
          <w:rFonts w:ascii="IRNazanin" w:hAnsi="IRNazanin" w:eastAsia="IRNazanin"/>
          <w:color w:val="111111"/>
          <w:sz w:val="28"/>
          <w:sz w:val="28"/>
          <w:szCs w:val="28"/>
          <w:rtl w:val="true"/>
          <w:lang w:bidi="fa-IR"/>
        </w:rPr>
        <w:t xml:space="preserve">وآخرون التملیک، أو وجوب بذله بنذر وشبهه </w:t>
      </w:r>
      <w:r>
        <w:rPr>
          <w:rStyle w:val="FootnoteAnchor"/>
          <w:rtl w:val="true"/>
        </w:rPr>
        <w:footnoteReference w:id="1770"/>
      </w:r>
      <w:r>
        <w:rPr>
          <w:rFonts w:ascii="IRNazanin" w:hAnsi="IRNazanin" w:eastAsia="IRNazanin"/>
          <w:color w:val="111111"/>
          <w:sz w:val="28"/>
          <w:sz w:val="28"/>
          <w:szCs w:val="28"/>
          <w:rtl w:val="true"/>
          <w:lang w:bidi="fa-IR"/>
        </w:rPr>
        <w:t>والإطلاق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بذل عین الزاد والراحلة، فلو بذل له أثمانهما لم یجب القبول وقوفاً فیما خالف الأصل علی موضع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الدینُ وعدمُ المستثنیات الوجوبَ 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بذل له ما یکمل الاستطاعة اشترط زیادة الجمیع عن ذلک، وکذا لو وهب مالاً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شرط الحجّ به فکالمبذول، فیجب علیه القبول إن کان عین الزاد والراحلة،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للدروس </w:t>
      </w:r>
      <w:r>
        <w:rPr>
          <w:rStyle w:val="FootnoteAnchor"/>
          <w:rtl w:val="true"/>
        </w:rPr>
        <w:footnoteReference w:id="1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لو کان مالاً غیرهما؛ لأنّ قبول الهبة اکتساب وهو غیر واجب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الفرق بین البذل والهبة، فإنّه إباحة یکفی فیها الإ یقاع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بین بذل الواجب لیحجّ بنفسه، أو لیصحبه فیه فینفق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w:t>
      </w:r>
      <w:r>
        <w:rPr>
          <w:rStyle w:val="FootnoteAnchor"/>
          <w:rtl w:val="true"/>
        </w:rPr>
        <w:footnoteReference w:id="1772"/>
      </w:r>
      <w:r>
        <w:rPr>
          <w:rFonts w:ascii="IRNazanin" w:hAnsi="IRNazanin" w:eastAsia="IRNazanin"/>
          <w:color w:val="111111"/>
          <w:sz w:val="28"/>
          <w:sz w:val="28"/>
          <w:szCs w:val="28"/>
          <w:rtl w:val="true"/>
          <w:lang w:bidi="fa-IR"/>
        </w:rPr>
        <w:t>حجّ به بعض إخوانه أجزأه عن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شرط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 یمون به عیاله الواجبی النفقة إلی حین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هنا ما یعمّ الکسوة ونحوها حیث یحتاجون إلیها، ویعتبر فیها القصد بحسب 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مباشرته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بکبر أو مرض أو عدوّ قولان، 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أمر شیخاً لم یحجّ ولم یطقه من کبره أن یجهّز رجلاً فیحجّ عنه، وغیره من الأخبار </w:t>
      </w:r>
      <w:r>
        <w:rPr>
          <w:rStyle w:val="FootnoteAnchor"/>
          <w:rtl w:val="true"/>
        </w:rPr>
        <w:footnoteReference w:id="1773"/>
      </w:r>
      <w:r>
        <w:rPr>
          <w:rFonts w:ascii="IRNazanin" w:hAnsi="IRNazanin" w:eastAsia="IRNazanin"/>
          <w:color w:val="111111"/>
          <w:sz w:val="28"/>
          <w:sz w:val="28"/>
          <w:szCs w:val="28"/>
          <w:rtl w:val="true"/>
          <w:lang w:bidi="fa-IR"/>
        </w:rPr>
        <w:t xml:space="preserve">والقول الآخر عدم الوجوب لفقد شرطه الذی هو الاستطاعة </w:t>
      </w:r>
      <w:r>
        <w:rPr>
          <w:rStyle w:val="FootnoteAnchor"/>
          <w:rtl w:val="true"/>
        </w:rPr>
        <w:footnoteReference w:id="1774"/>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الخلاف ما إذا عرض المانع قبل استقرار الوجوب، وإلّا وجبت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فی وجوب الاستنابة الیأس من البرء أم یجب مطلقاً وإن لم یکن مع عدم الیأس فوریّاً؟ ظاهر الدروس الثانی </w:t>
      </w:r>
      <w:r>
        <w:rPr>
          <w:rStyle w:val="FootnoteAnchor"/>
          <w:rtl w:val="true"/>
        </w:rPr>
        <w:footnoteReference w:id="1775"/>
      </w:r>
      <w:r>
        <w:rPr>
          <w:rFonts w:ascii="IRNazanin" w:hAnsi="IRNazanin" w:eastAsia="IRNazanin"/>
          <w:color w:val="111111"/>
          <w:sz w:val="28"/>
          <w:sz w:val="28"/>
          <w:szCs w:val="28"/>
          <w:rtl w:val="true"/>
          <w:lang w:bidi="fa-IR"/>
        </w:rPr>
        <w:t>وفی الأوّل قوّة، فیجب الفوریّة کالأصل حیث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استمرّ العذر أجزأ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زال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وأمکنه الحجّ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یئس منه، لتحقّق الاستطاعة حینئذٍ، وما وقع نیابة إنّما وجب للنصّ؛ وإلّا لم یجب، لوقوعه قبل شرط الوجوب</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بالاستطاعة زیادة علی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صناعة أو حرفة أو بضاعة أو ضیعة،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بعموم النصّ </w:t>
      </w:r>
      <w:r>
        <w:rPr>
          <w:rStyle w:val="FootnoteAnchor"/>
          <w:rtl w:val="true"/>
        </w:rPr>
        <w:footnoteReference w:id="177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Style w:val="FootnoteAnchor"/>
          <w:rtl w:val="true"/>
        </w:rPr>
        <w:footnoteReference w:id="1777"/>
      </w:r>
      <w:r>
        <w:rPr>
          <w:rFonts w:ascii="IRNazanin" w:hAnsi="IRNazanin" w:eastAsia="IRNazanin"/>
          <w:color w:val="111111"/>
          <w:sz w:val="28"/>
          <w:sz w:val="28"/>
          <w:szCs w:val="28"/>
          <w:rtl w:val="true"/>
          <w:lang w:bidi="fa-IR"/>
        </w:rPr>
        <w:t>وهو المشهور بین المتقدّمین، لروایة</w:t>
      </w:r>
    </w:p>
    <w:p>
      <w:pPr>
        <w:pStyle w:val="BookText"/>
        <w:rPr/>
      </w:pPr>
      <w:r>
        <w:rPr>
          <w:rFonts w:ascii="IRNazanin" w:hAnsi="IRNazanin" w:eastAsia="IRNazanin"/>
          <w:color w:val="111111"/>
          <w:sz w:val="28"/>
          <w:sz w:val="28"/>
          <w:szCs w:val="28"/>
          <w:rtl w:val="true"/>
          <w:lang w:bidi="fa-IR"/>
        </w:rPr>
        <w:t xml:space="preserve">أبی الربیع الشامی </w:t>
      </w:r>
      <w:r>
        <w:rPr>
          <w:rStyle w:val="FootnoteAnchor"/>
          <w:rtl w:val="true"/>
        </w:rPr>
        <w:footnoteReference w:id="1778"/>
      </w:r>
      <w:r>
        <w:rPr>
          <w:rFonts w:ascii="IRNazanin" w:hAnsi="IRNazanin" w:eastAsia="IRNazanin"/>
          <w:color w:val="111111"/>
          <w:sz w:val="28"/>
          <w:sz w:val="28"/>
          <w:szCs w:val="28"/>
          <w:rtl w:val="true"/>
          <w:lang w:bidi="fa-IR"/>
        </w:rPr>
        <w:t>وهی لا تدلّ علی مطلوبهم، وإنّما تدلّ علی اعتبار المؤونة ذاهباً وعائداً، ومؤونة عیاله کذلک، ولا شبهة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الزوج، أو من یحرم نکاحه علیها مؤبَّداً بنسب، أو رضاع، أو مصاهرة وإن لم یکن مسلماً، إن لم یستحلّ المحارم کالمجوسی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ظنّ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عدم الخوف علی البُضع أو العِرض </w:t>
      </w:r>
      <w:r>
        <w:rPr>
          <w:rStyle w:val="FootnoteAnchor"/>
          <w:rtl w:val="true"/>
        </w:rPr>
        <w:footnoteReference w:id="1779"/>
      </w:r>
      <w:r>
        <w:rPr>
          <w:rFonts w:ascii="IRNazanin" w:hAnsi="IRNazanin" w:eastAsia="IRNazanin"/>
          <w:color w:val="111111"/>
          <w:sz w:val="28"/>
          <w:sz w:val="28"/>
          <w:szCs w:val="28"/>
          <w:rtl w:val="true"/>
          <w:lang w:bidi="fa-IR"/>
        </w:rPr>
        <w:t xml:space="preserve">بترکه وإن لم یحصل الظنّ بها عملاً بظاهر النصّ </w:t>
      </w:r>
      <w:r>
        <w:rPr>
          <w:rStyle w:val="FootnoteAnchor"/>
          <w:rtl w:val="true"/>
        </w:rPr>
        <w:footnoteReference w:id="1780"/>
      </w:r>
      <w:r>
        <w:rPr>
          <w:rFonts w:ascii="IRNazanin" w:hAnsi="IRNazanin" w:eastAsia="IRNazanin"/>
          <w:color w:val="111111"/>
          <w:sz w:val="28"/>
          <w:sz w:val="28"/>
          <w:szCs w:val="28"/>
          <w:rtl w:val="true"/>
          <w:lang w:bidi="fa-IR"/>
        </w:rPr>
        <w:t xml:space="preserve">وفاقاً للمصنّف فی الدروس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الحاجة إلیه یشترط فی الوجوب علیها سفره معها، ولا یجب علیه إجابتها إلیه تبرّعاً ولا باُجرة، وله طلبها فتکون جزءاً من استطاعتها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ادّعی الزوج الخوف علیها أو عدم أمانتها وأنکرته عُمل بشاهد الحال مع انتفاء البیّنة، ومع فقدهما یقدَّم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الیمین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نّها لو اعترفت نَفَعَه </w:t>
      </w: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فی الدروس عدمه </w:t>
      </w:r>
      <w:r>
        <w:rPr>
          <w:rStyle w:val="FootnoteAnchor"/>
          <w:rtl w:val="true"/>
        </w:rPr>
        <w:footnoteReference w:id="1783"/>
      </w:r>
      <w:r>
        <w:rPr>
          <w:rFonts w:ascii="Amiri" w:hAnsi="Amiri" w:eastAsia="Amiri" w:cs="Amiri"/>
          <w:color w:val="111111"/>
          <w:sz w:val="28"/>
          <w:sz w:val="28"/>
          <w:szCs w:val="28"/>
          <w:rtl w:val="true"/>
          <w:lang w:bidi="ar-SA"/>
        </w:rPr>
        <w:t>وله حینئذٍ منعها باطناً؛ لأنّه محقّ عند نفسه،</w:t>
      </w:r>
    </w:p>
    <w:p>
      <w:pPr>
        <w:pStyle w:val="BookText"/>
        <w:rPr/>
      </w:pPr>
      <w:r>
        <w:rPr>
          <w:rFonts w:ascii="IRNazanin" w:hAnsi="IRNazanin" w:eastAsia="IRNazanin"/>
          <w:color w:val="111111"/>
          <w:sz w:val="28"/>
          <w:sz w:val="28"/>
          <w:szCs w:val="28"/>
          <w:rtl w:val="true"/>
          <w:lang w:bidi="fa-IR"/>
        </w:rPr>
        <w:t>والحکم مبنیّ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والمستطیع یجزیه الحجّ متسکّعاً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متکلّفاً له بغیر زاد ولا راحلة، لوجود شرط الوجوب وهو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تکلّفه غیر المستطیع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 مشیاً </w:t>
      </w:r>
      <w:r>
        <w:rPr>
          <w:rStyle w:val="FootnoteAnchor"/>
          <w:rtl w:val="true"/>
        </w:rPr>
        <w:footnoteReference w:id="1784"/>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رکوباً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إلّامع الضعف عن العبادة فالرکوب أفضل، فقد </w:t>
      </w:r>
      <w:r>
        <w:rPr>
          <w:rStyle w:val="FootnoteAnchor"/>
          <w:rtl w:val="true"/>
        </w:rPr>
        <w:footnoteReference w:id="1785"/>
      </w:r>
      <w:r>
        <w:rPr>
          <w:rFonts w:ascii="IRNazanin" w:hAnsi="IRNazanin" w:eastAsia="IRNazanin"/>
          <w:color w:val="111111"/>
          <w:sz w:val="28"/>
          <w:sz w:val="28"/>
          <w:szCs w:val="28"/>
          <w:rtl w:val="true"/>
          <w:lang w:bidi="fa-IR"/>
        </w:rPr>
        <w:t>حجّ الحسن علیه السلام ماشیاً مراراً،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خمس وعشرون حجّة </w:t>
      </w:r>
      <w:r>
        <w:rPr>
          <w:rStyle w:val="FootnoteAnchor"/>
          <w:rtl w:val="true"/>
        </w:rPr>
        <w:footnoteReference w:id="1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رواه الشیخ فی التهذیب </w:t>
      </w:r>
      <w:r>
        <w:rPr>
          <w:rStyle w:val="FootnoteAnchor"/>
          <w:rtl w:val="true"/>
        </w:rPr>
        <w:footnoteReference w:id="1787"/>
      </w:r>
      <w:r>
        <w:rPr>
          <w:rFonts w:ascii="IRNazanin" w:hAnsi="IRNazanin" w:eastAsia="IRNazanin"/>
          <w:color w:val="111111"/>
          <w:sz w:val="28"/>
          <w:sz w:val="28"/>
          <w:szCs w:val="28"/>
          <w:rtl w:val="true"/>
          <w:lang w:bidi="fa-IR"/>
        </w:rPr>
        <w:t xml:space="preserve">ولم یذکر فی الدروس غیره </w:t>
      </w:r>
      <w:r>
        <w:rPr>
          <w:rStyle w:val="FootnoteAnchor"/>
          <w:rtl w:val="true"/>
        </w:rPr>
        <w:footnoteReference w:id="1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والمحامل تُساق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بسنّة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غیره، ولأ نّه أکثر مشقّة، وأفضل الأعمال أحمزها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الرکوب أفضل مطلقاً </w:t>
      </w:r>
      <w:r>
        <w:rPr>
          <w:rStyle w:val="FootnoteAnchor"/>
          <w:rtl w:val="true"/>
        </w:rPr>
        <w:footnoteReference w:id="1790"/>
      </w:r>
      <w:r>
        <w:rPr>
          <w:rFonts w:ascii="Amiri" w:hAnsi="Amiri" w:eastAsia="Amiri" w:cs="Amiri"/>
          <w:color w:val="111111"/>
          <w:sz w:val="28"/>
          <w:sz w:val="28"/>
          <w:szCs w:val="28"/>
          <w:rtl w:val="true"/>
          <w:lang w:bidi="ar-SA"/>
        </w:rPr>
        <w:t xml:space="preserve">تأسّیاً بالنبی صلی الله علیه و آله فقد حجّ راکباً </w:t>
      </w:r>
      <w:r>
        <w:rPr>
          <w:rStyle w:val="FootnoteAnchor"/>
          <w:rtl w:val="true"/>
        </w:rPr>
        <w:footnoteReference w:id="1791"/>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طاف راکباً ولا یقولون بأفضلیّته کذلک، فبقی أن فعله صلی الله علیه و آله وقع لبیان الجواز، لا الأفضلیّة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التفصیل الجامع بین الأدلّة بالضعف عن العبادة من الدعاء</w:t>
      </w:r>
      <w:bookmarkStart w:id="518" w:name="pg19806_203664"/>
    </w:p>
    <w:p>
      <w:pPr>
        <w:pStyle w:val="BookText"/>
        <w:rPr/>
      </w:pPr>
      <w:bookmarkEnd w:id="518"/>
      <w:r>
        <w:rPr>
          <w:rFonts w:ascii="Amiri" w:hAnsi="Amiri" w:eastAsia="Amiri" w:cs="Amiri"/>
          <w:color w:val="111111"/>
          <w:sz w:val="28"/>
          <w:sz w:val="28"/>
          <w:szCs w:val="28"/>
          <w:rtl w:val="true"/>
          <w:lang w:bidi="ar-SA"/>
        </w:rPr>
        <w:t>والقراءة ووصفها من الخشوع،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وألحق بعضهم بالضعف کون الحامل له علی المشی توفیر المال </w:t>
      </w:r>
      <w:r>
        <w:rPr>
          <w:rStyle w:val="FootnoteAnchor"/>
          <w:rtl w:val="true"/>
        </w:rPr>
        <w:footnoteReference w:id="1792"/>
      </w:r>
      <w:r>
        <w:rPr>
          <w:rFonts w:ascii="IRNazanin" w:hAnsi="IRNazanin" w:eastAsia="IRNazanin"/>
          <w:color w:val="111111"/>
          <w:sz w:val="28"/>
          <w:sz w:val="28"/>
          <w:szCs w:val="28"/>
          <w:rtl w:val="true"/>
          <w:lang w:bidi="fa-IR"/>
        </w:rPr>
        <w:t>لأنّ دفع رذیلة الشُحّ عن النفس من أفضل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حجّة الإسلام وغیرها</w:t>
      </w:r>
      <w:r>
        <w:rPr>
          <w:rFonts w:eastAsia="IRNazanin" w:cs="IRNazanin"/>
          <w:color w:val="111111"/>
          <w:sz w:val="28"/>
          <w:szCs w:val="28"/>
          <w:rtl w:val="true"/>
          <w:lang w:bidi="fa-IR"/>
        </w:rPr>
        <w:t>.</w:t>
      </w:r>
    </w:p>
    <w:p>
      <w:pPr>
        <w:pStyle w:val="Heading4"/>
        <w:numPr>
          <w:ilvl w:val="3"/>
          <w:numId w:val="1"/>
        </w:numPr>
        <w:rPr/>
      </w:pPr>
      <w:bookmarkStart w:id="519" w:name="__RefHeading___Toc2028087_2314609296"/>
      <w:bookmarkStart w:id="520" w:name="_Toc191"/>
      <w:bookmarkEnd w:id="519"/>
      <w:r>
        <w:rPr>
          <w:rtl w:val="true"/>
        </w:rPr>
        <w:t>[</w:t>
      </w:r>
      <w:r>
        <w:rPr>
          <w:rtl w:val="true"/>
        </w:rPr>
        <w:t>حکم من مات بعد الاحرام</w:t>
      </w:r>
      <w:r>
        <w:rPr>
          <w:rtl w:val="true"/>
        </w:rPr>
        <w:t>]</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مات بعد الإحرام ودخول الحرم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 سواء مات فی الحلّ أم الحرم، محرماً أم محلّاً کما لو مات بین الإحرامین، فی إحرام الحجّ أم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مجرّد الإحرام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أجزأ لا یجب الاستنابة فی إکماله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وقبله </w:t>
      </w:r>
      <w:r>
        <w:rPr>
          <w:rStyle w:val="FootnoteAnchor"/>
          <w:rtl w:val="true"/>
        </w:rPr>
        <w:footnoteReference w:id="1793"/>
      </w:r>
      <w:r>
        <w:rPr>
          <w:rFonts w:ascii="IRNazanin" w:hAnsi="IRNazanin" w:eastAsia="IRNazanin"/>
          <w:color w:val="111111"/>
          <w:sz w:val="28"/>
          <w:sz w:val="28"/>
          <w:szCs w:val="28"/>
          <w:rtl w:val="true"/>
          <w:lang w:bidi="fa-IR"/>
        </w:rPr>
        <w:t>تجب من المیقات إن کان مستقرّاً، وإلّا سقط، سواء تلبّس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قبل ذلک 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استقرّ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اجتمعت له شرائط الوجوب ومضی علیه بعده مدّة یمکنه فیها استیفاء جمیع أفعال الحجّ فلم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بلده فی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یراد بها الجنس؛ لأنّ ذلک ظاهر أربع روایات فی الکافی </w:t>
      </w:r>
      <w:r>
        <w:rPr>
          <w:rStyle w:val="FootnoteAnchor"/>
          <w:rtl w:val="true"/>
        </w:rPr>
        <w:footnoteReference w:id="1794"/>
      </w:r>
      <w:r>
        <w:rPr>
          <w:rFonts w:ascii="IRNazanin" w:hAnsi="IRNazanin" w:eastAsia="IRNazanin"/>
          <w:color w:val="111111"/>
          <w:sz w:val="28"/>
          <w:sz w:val="28"/>
          <w:szCs w:val="28"/>
          <w:rtl w:val="true"/>
          <w:lang w:bidi="fa-IR"/>
        </w:rPr>
        <w:t>أظهرها دلالة روایة أحمد ابن أبی نصر عن محمّد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 السلام عن الرجل یموت فیوصی بالحجّ من أین یُحجّ 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ماله، إن وسعه ماله فمن منزله، وإن لم یسعه ماله من منزله فمن الکوفة، فإن لم یسعه من الکوفة فمن المدینة</w:t>
      </w:r>
      <w:r>
        <w:rPr>
          <w:rFonts w:eastAsia="IRNazanin" w:cs="IRNazanin"/>
          <w:color w:val="111111"/>
          <w:sz w:val="28"/>
          <w:szCs w:val="28"/>
          <w:rtl w:val="true"/>
          <w:lang w:bidi="fa-IR"/>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جعله ظاهرالروایة، لإمکان أن یراد بماله ما عیّنه اُجرة للحجّ</w:t>
      </w:r>
    </w:p>
    <w:p>
      <w:pPr>
        <w:pStyle w:val="BookText"/>
        <w:rPr/>
      </w:pPr>
      <w:r>
        <w:rPr>
          <w:rFonts w:ascii="IRNazanin" w:hAnsi="IRNazanin" w:eastAsia="IRNazanin"/>
          <w:color w:val="111111"/>
          <w:sz w:val="28"/>
          <w:sz w:val="28"/>
          <w:szCs w:val="28"/>
          <w:rtl w:val="true"/>
          <w:lang w:bidi="fa-IR"/>
        </w:rPr>
        <w:t>بالوصیّة، فإنّه یتعیّن الوفاء به مع خروج ما زاد عن اُجرته من المیقات من الثلث إجماعاً، وإنّما الخلاف فیما لو أطلق الوصیّة أو عُلم أنّ علیه حجّة الإسلام ولم یوصَ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القضاء عنه من المیقات خاصّة؛ لأصالة البراءة من الزائد، ولأنّ الواجب الحجّ عنه والطریق لا دخل لها فی حقیقته، ووجوب سلوکها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وتوقّفه علی مؤونة فیجب قضاؤها عنه، یندفع بأنّ مقدّمة الواجب إذا لم تکن مقصودة بالذات لا تجب، وهو هنا کذلک؛ ومن ثمَّ لو سافر إلی الحجّ لا بنیّته أو بنیّة غیره ثمّ بدا له بعد الوصول إلی المیقات الحجُّ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سافر ذاهلاً أو مجنوناً ثم کمل قبل الإحرام، أو آجر نفسه فی الطریق لغیره، أو حجّ متسکّعاً بدون الغرامة أو فی نفقة غیره، أو غیر ذلک من الصوارف عن جعل الطریق مقدّمة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الأخبار ورد مطلقاً فی وجوب الحجّ عنه </w:t>
      </w:r>
      <w:r>
        <w:rPr>
          <w:rStyle w:val="FootnoteAnchor"/>
          <w:rtl w:val="true"/>
        </w:rPr>
        <w:footnoteReference w:id="1796"/>
      </w:r>
      <w:r>
        <w:rPr>
          <w:rFonts w:ascii="IRNazanin" w:hAnsi="IRNazanin" w:eastAsia="IRNazanin"/>
          <w:color w:val="111111"/>
          <w:sz w:val="28"/>
          <w:sz w:val="28"/>
          <w:szCs w:val="28"/>
          <w:rtl w:val="true"/>
          <w:lang w:bidi="fa-IR"/>
        </w:rPr>
        <w:t>وهو لا یقتضی زیادة علی أفعاله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حمل هذه الأخبار علی ما لو عیّن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 غیر هذا الخبر </w:t>
      </w:r>
      <w:r>
        <w:rPr>
          <w:rStyle w:val="FootnoteAnchor"/>
          <w:rtl w:val="true"/>
        </w:rPr>
        <w:footnoteReference w:id="1797"/>
      </w:r>
      <w:r>
        <w:rPr>
          <w:rFonts w:ascii="IRNazanin" w:hAnsi="IRNazanin" w:eastAsia="IRNazanin"/>
          <w:color w:val="111111"/>
          <w:sz w:val="28"/>
          <w:sz w:val="28"/>
          <w:szCs w:val="28"/>
          <w:rtl w:val="true"/>
          <w:lang w:bidi="fa-IR"/>
        </w:rPr>
        <w:t xml:space="preserve">منها علی أمرٍ آخر </w:t>
      </w:r>
      <w:r>
        <w:rPr>
          <w:rStyle w:val="FootnoteAnchor"/>
          <w:rtl w:val="true"/>
        </w:rPr>
        <w:footnoteReference w:id="1798"/>
      </w:r>
      <w:r>
        <w:rPr>
          <w:rFonts w:ascii="IRNazanin" w:hAnsi="IRNazanin" w:eastAsia="IRNazanin"/>
          <w:color w:val="111111"/>
          <w:sz w:val="28"/>
          <w:sz w:val="28"/>
          <w:szCs w:val="28"/>
          <w:rtl w:val="true"/>
          <w:lang w:bidi="fa-IR"/>
        </w:rPr>
        <w:t xml:space="preserve">مع ضعف سندها، واشتراک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هذا الخبر بین الثقة والضعیف والمجهول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أعجب العجب هنا أنّ ابن إدریس ادّعی تواتر الأخبار بوجوبه من البلد </w:t>
      </w:r>
      <w:r>
        <w:rPr>
          <w:rStyle w:val="FootnoteAnchor"/>
          <w:rtl w:val="true"/>
        </w:rPr>
        <w:footnoteReference w:id="1799"/>
      </w:r>
      <w:r>
        <w:rPr>
          <w:rFonts w:ascii="IRNazanin" w:hAnsi="IRNazanin" w:eastAsia="IRNazanin"/>
          <w:color w:val="111111"/>
          <w:sz w:val="28"/>
          <w:sz w:val="28"/>
          <w:szCs w:val="28"/>
          <w:rtl w:val="true"/>
          <w:lang w:bidi="fa-IR"/>
        </w:rPr>
        <w:t xml:space="preserve">وردّه فی المختلف بأ نّه لم یقف علی خبر واحد فضلاً عن التواتر </w:t>
      </w:r>
      <w:r>
        <w:rPr>
          <w:rStyle w:val="FootnoteAnchor"/>
          <w:rtl w:val="true"/>
        </w:rPr>
        <w:footnoteReference w:id="1800"/>
      </w:r>
      <w:r>
        <w:rPr>
          <w:rFonts w:ascii="IRNazanin" w:hAnsi="IRNazanin" w:eastAsia="IRNazanin"/>
          <w:color w:val="111111"/>
          <w:sz w:val="28"/>
          <w:sz w:val="28"/>
          <w:szCs w:val="28"/>
          <w:rtl w:val="true"/>
          <w:lang w:bidi="fa-IR"/>
        </w:rPr>
        <w:t>وهنا</w:t>
      </w:r>
      <w:bookmarkStart w:id="521" w:name="pg19806_203666"/>
    </w:p>
    <w:p>
      <w:pPr>
        <w:pStyle w:val="BookText"/>
        <w:rPr/>
      </w:pPr>
      <w:bookmarkEnd w:id="521"/>
      <w:r>
        <w:rPr>
          <w:rFonts w:ascii="IRNazanin" w:hAnsi="IRNazanin" w:eastAsia="IRNazanin"/>
          <w:color w:val="111111"/>
          <w:sz w:val="28"/>
          <w:sz w:val="28"/>
          <w:szCs w:val="28"/>
          <w:rtl w:val="true"/>
          <w:lang w:bidi="fa-IR"/>
        </w:rPr>
        <w:t>جعله ظاهرَ الروایة، والموجود منها أربع،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صحّ هذا الخبر لکان حمله علی إطلاقه أولی؛ لأنّ ماله المضاف إلیه یشمل جمیع ما یملکه، وإنّما حملناه لمعارضته للأدلّة الدالّة علی خلافه مع عدم صحّة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الحکم هنا إلی ظاهر الروایة فیه نوع ترجیح مع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قطع به فی الدروس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ضاقت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الاُجرة من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 الاستئجار من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تحتمل سواه؛ وکذا لو لم یمکن بعد فوات البلد أو ما یسع منه إلّامن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عیّن کونها من البلد فأولی بالتعیین من تعیین مالٍ یسعه منه، ومثله ما لو دلّت القرائن علی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الزائد من الثلث مع عدم إجازة الوارث إن لم نوجبه من البلد ابتداءً، وإلّا فمن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یتعذّر من المیقات یجب من الأزید ولو من البلد حیث یتعذَّر من أقرب منه من باب مقدّمة الواجب حینئذٍ، لا الواجب فی الأصل</w:t>
      </w:r>
      <w:r>
        <w:rPr>
          <w:rFonts w:eastAsia="IRNazanin" w:cs="IRNazanin"/>
          <w:color w:val="111111"/>
          <w:sz w:val="28"/>
          <w:szCs w:val="28"/>
          <w:rtl w:val="true"/>
          <w:lang w:bidi="fa-IR"/>
        </w:rPr>
        <w:t>.</w:t>
      </w:r>
    </w:p>
    <w:p>
      <w:pPr>
        <w:pStyle w:val="Heading4"/>
        <w:numPr>
          <w:ilvl w:val="3"/>
          <w:numId w:val="1"/>
        </w:numPr>
        <w:rPr/>
      </w:pPr>
      <w:bookmarkStart w:id="522" w:name="__RefHeading___Toc2028089_2314609296"/>
      <w:bookmarkStart w:id="523" w:name="_Toc192"/>
      <w:bookmarkEnd w:id="522"/>
      <w:r>
        <w:rPr>
          <w:rtl w:val="true"/>
        </w:rPr>
        <w:t>«</w:t>
      </w:r>
      <w:r>
        <w:rPr>
          <w:rtl w:val="true"/>
        </w:rPr>
        <w:t>ولو حجّ</w:t>
      </w:r>
      <w:r>
        <w:rPr>
          <w:rtl w:val="true"/>
        </w:rPr>
        <w:t xml:space="preserve">» </w:t>
      </w:r>
      <w:r>
        <w:rPr>
          <w:rtl w:val="true"/>
        </w:rPr>
        <w:t xml:space="preserve">مسلماً </w:t>
      </w:r>
      <w:r>
        <w:rPr>
          <w:rtl w:val="true"/>
        </w:rPr>
        <w:t>«</w:t>
      </w:r>
      <w:r>
        <w:rPr>
          <w:rtl w:val="true"/>
        </w:rPr>
        <w:t>ثم ارتدّ، ثم عاد</w:t>
      </w:r>
      <w:r>
        <w:rPr>
          <w:rtl w:val="true"/>
        </w:rPr>
        <w:t>»</w:t>
      </w:r>
      <w:bookmarkEnd w:id="52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والآیة </w:t>
      </w:r>
      <w:r>
        <w:rPr>
          <w:rStyle w:val="FootnoteAnchor"/>
          <w:rtl w:val="true"/>
        </w:rPr>
        <w:footnoteReference w:id="1802"/>
      </w:r>
      <w:r>
        <w:rPr>
          <w:rFonts w:ascii="IRNazanin" w:hAnsi="IRNazanin" w:eastAsia="IRNazanin"/>
          <w:color w:val="111111"/>
          <w:sz w:val="28"/>
          <w:sz w:val="28"/>
          <w:szCs w:val="28"/>
          <w:rtl w:val="true"/>
          <w:lang w:bidi="fa-IR"/>
        </w:rPr>
        <w:t xml:space="preserve">والخبر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bookmarkStart w:id="524" w:name="pg19806_203667"/>
    </w:p>
    <w:p>
      <w:pPr>
        <w:pStyle w:val="BookText"/>
        <w:rPr/>
      </w:pPr>
      <w:bookmarkEnd w:id="524"/>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w:t>
      </w:r>
      <w:r>
        <w:rPr>
          <w:rStyle w:val="FootnoteAnchor"/>
          <w:rtl w:val="true"/>
        </w:rPr>
        <w:footnoteReference w:id="1804"/>
      </w:r>
      <w:r>
        <w:rPr>
          <w:rFonts w:ascii="IRNazanin" w:hAnsi="IRNazanin" w:eastAsia="IRNazanin"/>
          <w:color w:val="111111"/>
          <w:sz w:val="28"/>
          <w:sz w:val="28"/>
          <w:szCs w:val="28"/>
          <w:rtl w:val="true"/>
          <w:lang w:bidi="fa-IR"/>
        </w:rPr>
        <w:t xml:space="preserve">لآیة الإحباط </w:t>
      </w:r>
      <w:r>
        <w:rPr>
          <w:rStyle w:val="FootnoteAnchor"/>
          <w:rtl w:val="true"/>
        </w:rPr>
        <w:footnoteReference w:id="1805"/>
      </w:r>
      <w:r>
        <w:rPr>
          <w:rFonts w:ascii="IRNazanin" w:hAnsi="IRNazanin" w:eastAsia="IRNazanin"/>
          <w:color w:val="111111"/>
          <w:sz w:val="28"/>
          <w:sz w:val="28"/>
          <w:szCs w:val="28"/>
          <w:rtl w:val="true"/>
          <w:lang w:bidi="fa-IR"/>
        </w:rPr>
        <w:t>أو لأنّ المسلم لا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ویندفع باشتراطه بالموافاة علیه </w:t>
      </w:r>
      <w:r>
        <w:rPr>
          <w:rStyle w:val="FootnoteAnchor"/>
          <w:rtl w:val="true"/>
        </w:rPr>
        <w:footnoteReference w:id="1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اشتُرط فی ثواب الإ یمان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ومنع عدم کفره للآیة المثبتة للکفر بعد الإ یمان وعکسه </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 یبطل مجموع الحجّ کذا بعضه ممّا لا یعتبر استدامته حکماً کالإحرام، فیبنی علیه لو ارتدّ بعده</w:t>
      </w:r>
      <w:r>
        <w:rPr>
          <w:rFonts w:eastAsia="IRNazanin" w:cs="IRNazanin"/>
          <w:color w:val="111111"/>
          <w:sz w:val="28"/>
          <w:szCs w:val="28"/>
          <w:rtl w:val="true"/>
          <w:lang w:bidi="fa-IR"/>
        </w:rPr>
        <w:t>.</w:t>
      </w:r>
    </w:p>
    <w:p>
      <w:pPr>
        <w:pStyle w:val="Heading4"/>
        <w:numPr>
          <w:ilvl w:val="3"/>
          <w:numId w:val="1"/>
        </w:numPr>
        <w:rPr/>
      </w:pPr>
      <w:bookmarkStart w:id="525" w:name="__RefHeading___Toc2028091_2314609296"/>
      <w:bookmarkStart w:id="526" w:name="_Toc193"/>
      <w:bookmarkEnd w:id="525"/>
      <w:r>
        <w:rPr>
          <w:rtl w:val="true"/>
        </w:rPr>
        <w:t>«</w:t>
      </w:r>
      <w:r>
        <w:rPr>
          <w:rtl w:val="true"/>
        </w:rPr>
        <w:t>ولو حجّ مخالفاً ثمّ استبصر لم یُعد، إلّاأن یخلّ برکن</w:t>
      </w:r>
      <w:r>
        <w:rPr>
          <w:rtl w:val="true"/>
        </w:rPr>
        <w:t>»</w:t>
      </w:r>
      <w:bookmarkEnd w:id="52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عندنا لا عنده، علی ما قیّده المصنّف فی الدروس </w:t>
      </w:r>
      <w:r>
        <w:rPr>
          <w:rStyle w:val="FootnoteAnchor"/>
          <w:rtl w:val="true"/>
        </w:rPr>
        <w:footnoteReference w:id="1808"/>
      </w:r>
      <w:r>
        <w:rPr>
          <w:rFonts w:ascii="IRNazanin" w:hAnsi="IRNazanin" w:eastAsia="IRNazanin"/>
          <w:color w:val="111111"/>
          <w:sz w:val="28"/>
          <w:sz w:val="28"/>
          <w:szCs w:val="28"/>
          <w:rtl w:val="true"/>
          <w:lang w:bidi="fa-IR"/>
        </w:rPr>
        <w:t xml:space="preserve">مع أ نّه عکس فی الصلاة فجعل الاعتبار بفعلها صحیحة عنده لا عندنا </w:t>
      </w:r>
      <w:r>
        <w:rPr>
          <w:rStyle w:val="FootnoteAnchor"/>
          <w:rtl w:val="true"/>
        </w:rPr>
        <w:footnoteReference w:id="1809"/>
      </w:r>
      <w:r>
        <w:rPr>
          <w:rFonts w:ascii="IRNazanin" w:hAnsi="IRNazanin" w:eastAsia="IRNazanin"/>
          <w:color w:val="111111"/>
          <w:sz w:val="28"/>
          <w:sz w:val="28"/>
          <w:szCs w:val="28"/>
          <w:rtl w:val="true"/>
          <w:lang w:bidi="fa-IR"/>
        </w:rPr>
        <w:t xml:space="preserve">والنصوص خالیة من القید </w:t>
      </w:r>
      <w:r>
        <w:rPr>
          <w:rStyle w:val="FootnoteAnchor"/>
          <w:rtl w:val="true"/>
        </w:rPr>
        <w:footnoteReference w:id="1810"/>
      </w:r>
      <w:r>
        <w:rPr>
          <w:rFonts w:ascii="IRNazanin" w:hAnsi="IRNazanin" w:eastAsia="IRNazanin"/>
          <w:color w:val="111111"/>
          <w:sz w:val="28"/>
          <w:sz w:val="28"/>
          <w:szCs w:val="28"/>
          <w:rtl w:val="true"/>
          <w:lang w:bidi="fa-IR"/>
        </w:rPr>
        <w:t xml:space="preserve">ولا فرق بین من حکم بکفره من فِرَق المخالفین وغیره فی ظاهر النصّ </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الإخلال بالرکن حجّه قِراناً بمعناه عنده </w:t>
      </w:r>
      <w:r>
        <w:rPr>
          <w:rStyle w:val="FootnoteAnchor"/>
          <w:rtl w:val="true"/>
        </w:rPr>
        <w:footnoteReference w:id="1812"/>
      </w:r>
      <w:r>
        <w:rPr>
          <w:rFonts w:ascii="IRNazanin" w:hAnsi="IRNazanin" w:eastAsia="IRNazanin"/>
          <w:color w:val="111111"/>
          <w:sz w:val="28"/>
          <w:sz w:val="28"/>
          <w:szCs w:val="28"/>
          <w:rtl w:val="true"/>
          <w:lang w:bidi="fa-IR"/>
        </w:rPr>
        <w:t xml:space="preserve">لا المخالفة فی نوع الواجب المعتبر عندنا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الحکم بعدم الإعادة لصحّة العبادة فی نفسها بناءً علی عدم اشتراط الإ یمان فیها، أم إسقاطاً للواجب فی الذمّة کإسلام الکافر؟ قولان </w:t>
      </w:r>
      <w:r>
        <w:rPr>
          <w:rStyle w:val="FootnoteAnchor"/>
          <w:rtl w:val="true"/>
        </w:rPr>
        <w:footnoteReference w:id="1814"/>
      </w:r>
      <w:r>
        <w:rPr>
          <w:rFonts w:ascii="IRNazanin" w:hAnsi="IRNazanin" w:eastAsia="IRNazanin"/>
          <w:color w:val="111111"/>
          <w:sz w:val="28"/>
          <w:sz w:val="28"/>
          <w:szCs w:val="28"/>
          <w:rtl w:val="true"/>
          <w:lang w:bidi="fa-IR"/>
        </w:rPr>
        <w:t xml:space="preserve">وفی النصوص ما یدلّ علی الثانی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w:t>
      </w:r>
      <w:r>
        <w:rPr>
          <w:rStyle w:val="FootnoteAnchor"/>
          <w:rtl w:val="true"/>
        </w:rPr>
        <w:footnoteReference w:id="181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1817"/>
      </w:r>
      <w:r>
        <w:rPr>
          <w:rFonts w:ascii="IRNazanin" w:hAnsi="IRNazanin" w:eastAsia="IRNazanin"/>
          <w:color w:val="111111"/>
          <w:sz w:val="28"/>
          <w:sz w:val="28"/>
          <w:szCs w:val="28"/>
          <w:rtl w:val="true"/>
          <w:lang w:bidi="fa-IR"/>
        </w:rPr>
        <w:t xml:space="preserve">بناءً علی اشتراط الإ یمان المقتضی لفساد المشروط بدونه، وبأخبار </w:t>
      </w:r>
      <w:r>
        <w:rPr>
          <w:rStyle w:val="FootnoteAnchor"/>
          <w:rtl w:val="true"/>
        </w:rPr>
        <w:footnoteReference w:id="1818"/>
      </w:r>
      <w:r>
        <w:rPr>
          <w:rFonts w:ascii="IRNazanin" w:hAnsi="IRNazanin" w:eastAsia="IRNazanin"/>
          <w:color w:val="111111"/>
          <w:sz w:val="28"/>
          <w:sz w:val="28"/>
          <w:szCs w:val="28"/>
          <w:rtl w:val="true"/>
          <w:lang w:bidi="fa-IR"/>
        </w:rPr>
        <w:t>حملها علی الاستحباب طریق الجمع</w:t>
      </w:r>
      <w:r>
        <w:rPr>
          <w:rFonts w:eastAsia="IRNazanin" w:cs="IRNazanin"/>
          <w:color w:val="111111"/>
          <w:sz w:val="28"/>
          <w:szCs w:val="28"/>
          <w:rtl w:val="true"/>
          <w:lang w:bidi="fa-IR"/>
        </w:rPr>
        <w:t>.</w:t>
      </w:r>
      <w:bookmarkStart w:id="527" w:name="pg19806_203669"/>
    </w:p>
    <w:p>
      <w:pPr>
        <w:pStyle w:val="Heading4"/>
        <w:numPr>
          <w:ilvl w:val="3"/>
          <w:numId w:val="1"/>
        </w:numPr>
        <w:rPr/>
      </w:pPr>
      <w:bookmarkStart w:id="528" w:name="__RefHeading___Toc2028093_2314609296"/>
      <w:bookmarkStart w:id="529" w:name="_Toc194"/>
      <w:bookmarkEnd w:id="527"/>
      <w:bookmarkEnd w:id="528"/>
      <w:r>
        <w:rPr>
          <w:rtl w:val="true"/>
        </w:rPr>
        <w:t>«</w:t>
      </w:r>
      <w:r>
        <w:rPr>
          <w:rtl w:val="true"/>
        </w:rPr>
        <w:t>القول فی حجّ الأسباب</w:t>
      </w:r>
      <w:r>
        <w:rPr>
          <w:rtl w:val="true"/>
        </w:rPr>
        <w:t xml:space="preserve">» </w:t>
      </w:r>
      <w:r>
        <w:rPr>
          <w:rtl w:val="true"/>
        </w:rPr>
        <w:t>بالنذر وشبهه والنیابة</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الحجّ وأطلق کفت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مخیّراً فی النوع والوصف، إلّاأن یعیّن أحدهما، فیتعیّن الأوّل مطلقاً، والثانی إن کان مشروعاً، کالمشی والرکوب، لا الحِفاء </w:t>
      </w:r>
      <w:r>
        <w:rPr>
          <w:rStyle w:val="FootnoteAnchor"/>
          <w:rtl w:val="true"/>
        </w:rPr>
        <w:footnoteReference w:id="1819"/>
      </w:r>
      <w:r>
        <w:rPr>
          <w:rFonts w:ascii="IRNazanin" w:hAnsi="IRNazanin" w:eastAsia="IRNazanin"/>
          <w:color w:val="111111"/>
          <w:sz w:val="28"/>
          <w:sz w:val="28"/>
          <w:szCs w:val="28"/>
          <w:rtl w:val="true"/>
          <w:lang w:bidi="fa-IR"/>
        </w:rPr>
        <w:t xml:space="preserve">ونحوه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وقع حالَ وجوبها أم لا، وسواء نوی به حجّة الإسلام أم النذر أم هما، لاختلاف السبب المقتضی لتعدّد المسبّب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821"/>
      </w:r>
      <w:r>
        <w:rPr>
          <w:rFonts w:ascii="IRNazanin" w:hAnsi="IRNazanin" w:eastAsia="IRNazanin"/>
          <w:color w:val="111111"/>
          <w:sz w:val="28"/>
          <w:sz w:val="28"/>
          <w:szCs w:val="28"/>
          <w:rtl w:val="true"/>
          <w:lang w:bidi="fa-IR"/>
        </w:rPr>
        <w:t xml:space="preserve">ومن تبعه </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نوی حجّة النذر أجزأت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النذر وحجّة الإسلام علی تقدیر وجوبها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823"/>
      </w:r>
      <w:r>
        <w:rPr>
          <w:rFonts w:ascii="Amiri" w:hAnsi="Amiri" w:eastAsia="Amiri" w:cs="Amiri"/>
          <w:color w:val="111111"/>
          <w:sz w:val="28"/>
          <w:sz w:val="28"/>
          <w:szCs w:val="28"/>
          <w:rtl w:val="true"/>
          <w:lang w:bidi="ar-SA"/>
        </w:rPr>
        <w:t xml:space="preserve">حُملت </w:t>
      </w:r>
      <w:r>
        <w:rPr>
          <w:rStyle w:val="FootnoteAnchor"/>
          <w:rtl w:val="true"/>
        </w:rPr>
        <w:footnoteReference w:id="1824"/>
      </w:r>
      <w:r>
        <w:rPr>
          <w:rFonts w:ascii="IRNazanin" w:hAnsi="IRNazanin" w:eastAsia="IRNazanin"/>
          <w:color w:val="111111"/>
          <w:sz w:val="28"/>
          <w:sz w:val="28"/>
          <w:szCs w:val="28"/>
          <w:rtl w:val="true"/>
          <w:lang w:bidi="fa-IR"/>
        </w:rPr>
        <w:t>علی نذر حجّة الإسلام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قیّد نذره بحجّة الإسلام فهی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حجّة الإسلام، وتتأکّد بالنذر بناءً علی جواز نذر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الفائدة فی وجوب الکفّارة مع تأخیرها</w:t>
      </w:r>
    </w:p>
    <w:p>
      <w:pPr>
        <w:pStyle w:val="BookText"/>
        <w:rPr/>
      </w:pPr>
      <w:r>
        <w:rPr>
          <w:rFonts w:ascii="IRNazanin" w:hAnsi="IRNazanin" w:eastAsia="IRNazanin"/>
          <w:color w:val="111111"/>
          <w:sz w:val="28"/>
          <w:sz w:val="28"/>
          <w:szCs w:val="28"/>
          <w:rtl w:val="true"/>
          <w:lang w:bidi="fa-IR"/>
        </w:rPr>
        <w:t>عن العام المعیَّن أو موته قبل فعلها مع الإطلاق متهاوناً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علیه حجّة الإسلام حال النذر، وإلّا کان مراعی بالاستطاعة، فإن حصلت وجب بالنذر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تحصیلها هنا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قیّده بمدّة معیّنة فتخلّفت الاستطاعة عنها بطل 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قیّد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مستطیعاً حالَ النذر وکانت حجّة النذر مطلقة أو مقیّدة بزمان متأخّر عن السنة الاُولی قدّم حجّة الإسلام، وإن قیّده بسنة الاستطاعة کان انعقاده مراعی بزوالها قبل خروج القافلة، فإن بقیت بطل، لعدم القدرة علی المنذور شرعاً، وإن زالت انعقد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تقدّم النذر علی الاستطاعة ثم حصلت قبل فعله قُدّمت حجّة الإسلام إن کان النذر مطلقاً أو مقیّداً بما یزید عن تلک السنة أو بمغایرها، وإلّا قدّم النذر ورُوعی فی وجوب حجّة الإسلام بقاء الاستطاعة إلی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المصنّف فی الدروس فی حجّ النذر الاستطاعة الشرعیّة </w:t>
      </w:r>
      <w:r>
        <w:rPr>
          <w:rStyle w:val="FootnoteAnchor"/>
          <w:rtl w:val="true"/>
        </w:rPr>
        <w:footnoteReference w:id="1825"/>
      </w:r>
      <w:r>
        <w:rPr>
          <w:rFonts w:ascii="IRNazanin" w:hAnsi="IRNazanin" w:eastAsia="IRNazanin"/>
          <w:color w:val="111111"/>
          <w:sz w:val="28"/>
          <w:sz w:val="28"/>
          <w:szCs w:val="28"/>
          <w:rtl w:val="true"/>
          <w:lang w:bidi="fa-IR"/>
        </w:rPr>
        <w:t>وحینئذٍ فتُقدّم حجّة النذر مع حصول الاستطاعة بعده وإن کان مطلقاً، ویراعی فی وجوب حجّة الإسلام الاستطاعة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النصّ </w:t>
      </w:r>
      <w:r>
        <w:rPr>
          <w:rStyle w:val="FootnoteAnchor"/>
          <w:rtl w:val="true"/>
        </w:rPr>
        <w:footnoteReference w:id="1826"/>
      </w:r>
      <w:r>
        <w:rPr>
          <w:rFonts w:ascii="IRNazanin" w:hAnsi="IRNazanin" w:eastAsia="IRNazanin"/>
          <w:color w:val="111111"/>
          <w:sz w:val="28"/>
          <w:sz w:val="28"/>
          <w:szCs w:val="28"/>
          <w:rtl w:val="true"/>
          <w:lang w:bidi="fa-IR"/>
        </w:rPr>
        <w:t>والفتوی کون استطاعة النذر عقلیّة، فیتفرّع علیه ما سبق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أهمل حجّة النذر فی العام الأوّل، قال المصنّف فیها </w:t>
      </w:r>
      <w:r>
        <w:rPr>
          <w:rStyle w:val="FootnoteAnchor"/>
          <w:rtl w:val="true"/>
        </w:rPr>
        <w:footnoteReference w:id="1827"/>
      </w:r>
      <w:r>
        <w:rPr>
          <w:rFonts w:ascii="Amiri" w:hAnsi="Amiri" w:eastAsia="Amiri" w:cs="Amiri"/>
          <w:color w:val="111111"/>
          <w:sz w:val="28"/>
          <w:sz w:val="28"/>
          <w:szCs w:val="28"/>
          <w:rtl w:val="true"/>
          <w:lang w:bidi="ar-SA"/>
        </w:rPr>
        <w:t>تفریعاً علی</w:t>
      </w:r>
    </w:p>
    <w:p>
      <w:pPr>
        <w:pStyle w:val="BookText"/>
        <w:rPr/>
      </w:pP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حجّة الإسلام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بصیرورته حینئذٍ کالدین، فیکون من المؤونة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والیمین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نذر الحجّ ماشیاً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إمکانه، سواء جعلناه أرجح من الرکوب أم لا علی الأقوی، وکذا لو نذره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ینعقد غیر الراجح منهما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ومبدؤه بلد الناذر علی الأقوی عملاً بالعرف، إلّاأن یدلّ علی غیره فیُتّبع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أوّل الأفعال، لدلالة الحال علیه، وآخره منتهی أفعاله الواجبة، وهی رمی الجمار؛ لأنّ المشی وصف فی الحجّ المرکّب من الأفعال الواجبة، فلا یتمّ إلّا بآخرها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قطع به المصنّف فی الدروس </w:t>
      </w:r>
      <w:r>
        <w:rPr>
          <w:rStyle w:val="FootnoteAnchor"/>
          <w:rtl w:val="true"/>
        </w:rPr>
        <w:footnoteReference w:id="1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آخره طواف النساء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ویقوم فی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إلی عبوره، وجوباً علی ما یظهر من العبارة</w:t>
      </w:r>
    </w:p>
    <w:p>
      <w:pPr>
        <w:pStyle w:val="BookText"/>
        <w:rPr/>
      </w:pPr>
      <w:r>
        <w:rPr>
          <w:rFonts w:ascii="Amiri" w:hAnsi="Amiri" w:eastAsia="Amiri" w:cs="Amiri"/>
          <w:color w:val="111111"/>
          <w:sz w:val="28"/>
          <w:sz w:val="28"/>
          <w:szCs w:val="28"/>
          <w:rtl w:val="true"/>
          <w:lang w:bidi="ar-SA"/>
        </w:rPr>
        <w:t xml:space="preserve">وبه صرّح جماعة </w:t>
      </w:r>
      <w:r>
        <w:rPr>
          <w:rStyle w:val="FootnoteAnchor"/>
          <w:rtl w:val="true"/>
        </w:rPr>
        <w:footnoteReference w:id="1831"/>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832"/>
      </w:r>
      <w:r>
        <w:rPr>
          <w:rFonts w:ascii="IRNazanin" w:hAnsi="IRNazanin" w:eastAsia="IRNazanin"/>
          <w:color w:val="111111"/>
          <w:sz w:val="28"/>
          <w:sz w:val="28"/>
          <w:szCs w:val="28"/>
          <w:rtl w:val="true"/>
          <w:lang w:bidi="fa-IR"/>
        </w:rPr>
        <w:t>تقصر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جعله أولی </w:t>
      </w:r>
      <w:r>
        <w:rPr>
          <w:rStyle w:val="FootnoteAnchor"/>
          <w:rtl w:val="true"/>
        </w:rPr>
        <w:footnoteReference w:id="1833"/>
      </w:r>
      <w:r>
        <w:rPr>
          <w:rFonts w:ascii="IRNazanin" w:hAnsi="IRNazanin" w:eastAsia="IRNazanin"/>
          <w:color w:val="111111"/>
          <w:sz w:val="28"/>
          <w:sz w:val="28"/>
          <w:szCs w:val="28"/>
          <w:rtl w:val="true"/>
          <w:lang w:bidi="fa-IR"/>
        </w:rPr>
        <w:t>وهو أولی خروجاً من خلاف من أوجبه وتساهلاً فی أدلّة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وتوجیهُه بأنّ الماشی یجب علیه القیام وحرکة الرجلین، فإذا تعذّر أحدهما لانتفاء فائدته بقی الآخر مشترکٌ؛ لانتفاء الفائدة فیهما وإمکان فعلهما بغیر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رکب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 قضی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للإخلال بالصفة فلم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کانت السنة معیّنة فالقضاء بمعناه المتعارف، ویلزمه مع ذلک کفّارة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مطلقة فالقضاء بمعنی الفعل ثانیاً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رکب بعضه قضی ملفّقاً، فیمشی ما رکب ویتخیّر فیما مشی منه، ولو اشتبهت الأماکن احتاط بالمشی فی کلّ ما یجوز فیه أن یکون قد رکب </w:t>
      </w:r>
      <w:r>
        <w:rPr>
          <w:rStyle w:val="FootnoteAnchor"/>
          <w:rtl w:val="true"/>
        </w:rPr>
        <w:footnoteReference w:id="1834"/>
      </w:r>
      <w:r>
        <w:rPr>
          <w:rFonts w:ascii="IRNazanin" w:hAnsi="IRNazanin" w:eastAsia="IRNazanin"/>
          <w:color w:val="111111"/>
          <w:sz w:val="28"/>
          <w:sz w:val="28"/>
          <w:szCs w:val="28"/>
          <w:rtl w:val="true"/>
          <w:lang w:bidi="fa-IR"/>
        </w:rPr>
        <w:t>وما اختاره هنا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عجز عن المشی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تعیین السنة أو الإطلاق والیأس من القدرة ولو بضیق وقته لظنّ الوفاة، وإلّا توقّع المکنة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جاز الرکوب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للوصف الفائت، وجوباً علی ظاهر العبارة ومذهبِ جماعة </w:t>
      </w:r>
      <w:r>
        <w:rPr>
          <w:rStyle w:val="FootnoteAnchor"/>
          <w:rtl w:val="true"/>
        </w:rPr>
        <w:footnoteReference w:id="1835"/>
      </w:r>
      <w:r>
        <w:rPr>
          <w:rFonts w:ascii="IRNazanin" w:hAnsi="IRNazanin" w:eastAsia="IRNazanin"/>
          <w:color w:val="111111"/>
          <w:sz w:val="28"/>
          <w:sz w:val="28"/>
          <w:szCs w:val="28"/>
          <w:rtl w:val="true"/>
          <w:lang w:bidi="fa-IR"/>
        </w:rPr>
        <w:t>واستحباباً علی الأقوی، جمعاً بین</w:t>
      </w:r>
      <w:bookmarkStart w:id="530" w:name="pg19806_203673"/>
    </w:p>
    <w:p>
      <w:pPr>
        <w:pStyle w:val="BookText"/>
        <w:rPr/>
      </w:pPr>
      <w:bookmarkEnd w:id="530"/>
      <w:r>
        <w:rPr>
          <w:rFonts w:ascii="Amiri" w:hAnsi="Amiri" w:eastAsia="Amiri" w:cs="Amiri"/>
          <w:color w:val="111111"/>
          <w:sz w:val="28"/>
          <w:sz w:val="28"/>
          <w:szCs w:val="28"/>
          <w:rtl w:val="true"/>
          <w:lang w:bidi="ar-SA"/>
        </w:rPr>
        <w:t xml:space="preserve">الأدلّة </w:t>
      </w:r>
      <w:r>
        <w:rPr>
          <w:rStyle w:val="FootnoteAnchor"/>
          <w:rtl w:val="true"/>
        </w:rPr>
        <w:footnoteReference w:id="1836"/>
      </w:r>
      <w:r>
        <w:rPr>
          <w:rFonts w:ascii="IRNazanin" w:hAnsi="IRNazanin" w:eastAsia="IRNazanin"/>
          <w:color w:val="111111"/>
          <w:sz w:val="28"/>
          <w:sz w:val="28"/>
          <w:szCs w:val="28"/>
          <w:rtl w:val="true"/>
          <w:lang w:bidi="fa-IR"/>
        </w:rPr>
        <w:t xml:space="preserve">وتردّد فی الدروس </w:t>
      </w:r>
      <w:r>
        <w:rPr>
          <w:rStyle w:val="FootnoteAnchor"/>
          <w:rtl w:val="true"/>
        </w:rPr>
        <w:footnoteReference w:id="1837"/>
      </w:r>
      <w:r>
        <w:rPr>
          <w:rFonts w:ascii="IRNazanin" w:hAnsi="IRNazanin" w:eastAsia="IRNazanin"/>
          <w:color w:val="111111"/>
          <w:sz w:val="28"/>
          <w:sz w:val="28"/>
          <w:szCs w:val="28"/>
          <w:rtl w:val="true"/>
          <w:lang w:bidi="fa-IR"/>
        </w:rPr>
        <w:t>هذا کلّه مع إطلاق نذر الحجّ ماشیاً أو نذرهما لا علی معنی جعل المشی قیداً لازماً فی الحجّ بحیث لا یرید إلّاجمعهما، وإلّا سقط الحجّ أیضاً مع العجز عن المشی</w:t>
      </w:r>
      <w:r>
        <w:rPr>
          <w:rFonts w:eastAsia="IRNazanin" w:cs="IRNazanin"/>
          <w:color w:val="111111"/>
          <w:sz w:val="28"/>
          <w:szCs w:val="28"/>
          <w:rtl w:val="true"/>
          <w:lang w:bidi="fa-IR"/>
        </w:rPr>
        <w:t>.</w:t>
      </w:r>
    </w:p>
    <w:p>
      <w:pPr>
        <w:pStyle w:val="Heading4"/>
        <w:numPr>
          <w:ilvl w:val="3"/>
          <w:numId w:val="1"/>
        </w:numPr>
        <w:rPr/>
      </w:pPr>
      <w:bookmarkStart w:id="531" w:name="__RefHeading___Toc2028095_2314609296"/>
      <w:bookmarkStart w:id="532" w:name="_Toc195"/>
      <w:bookmarkEnd w:id="531"/>
      <w:r>
        <w:rPr>
          <w:rtl w:val="true"/>
        </w:rPr>
        <w:t>«</w:t>
      </w:r>
      <w:r>
        <w:rPr>
          <w:rtl w:val="true"/>
        </w:rPr>
        <w:t>ویشترط فی النائب</w:t>
      </w:r>
      <w:r>
        <w:rPr>
          <w:rtl w:val="true"/>
        </w:rPr>
        <w:t xml:space="preserve">» </w:t>
      </w:r>
      <w:r>
        <w:rPr>
          <w:rtl w:val="true"/>
        </w:rPr>
        <w:t>فی الحج</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والعقل والخُلوّ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خُلوّ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التمکّن منه ولو مشیاً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یشترط فیه الاستطاعة کالمستقرّ من حجّ الإسلام ثم یذهب المال، فلا تصحّ نیابة الصبیّ، ولا المجنون مطلقاً، ولا مشغول الذمّة به فی عام النیابة؛ للتنافی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عام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نذره کذلک أو استؤجر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نیابته قبلَه، وکذا المعیَّن حیث یعجز عنه ولو مشیاً، لسقوط الوجوب فی ذلک العام للعجز وإن کان باقیاً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یراعی فی جواز استنابته ضیق الوقت بحیث لا یحتمل تجدّد الاستطاعة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استؤجر کذلک ثم اتّفقت الاستطاعة علی خلاف العادة لم ینفسخ، کما لو تجدّدت الاستطاعة لحجّ الإسلام بعدها، فیقدّم حجّ النیابة، ویراعی فی وجوب حجّ الإسلام بقاؤها إلی القابل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صحّحنا عبادةَ المخالف، وإلّا اعتبر الإ یمان أیضاً، وهو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حکی صحّة نیابة غیر المؤمن عنه قولاً </w:t>
      </w:r>
      <w:r>
        <w:rPr>
          <w:rStyle w:val="FootnoteAnchor"/>
          <w:rtl w:val="true"/>
        </w:rPr>
        <w:footnoteReference w:id="1838"/>
      </w:r>
      <w:r>
        <w:rPr>
          <w:rFonts w:ascii="Amiri" w:hAnsi="Amiri" w:eastAsia="Amiri" w:cs="Amiri"/>
          <w:color w:val="111111"/>
          <w:sz w:val="28"/>
          <w:sz w:val="28"/>
          <w:szCs w:val="28"/>
          <w:rtl w:val="true"/>
          <w:lang w:bidi="ar-SA"/>
        </w:rPr>
        <w:t>مشعراً بتمریضه، ولم یرجّح شیئاً</w:t>
      </w:r>
      <w:r>
        <w:rPr>
          <w:rFonts w:eastAsia="Amiri" w:cs="Amiri" w:ascii="Amiri" w:hAnsi="Amiri"/>
          <w:color w:val="111111"/>
          <w:sz w:val="28"/>
          <w:szCs w:val="28"/>
          <w:rtl w:val="true"/>
          <w:lang w:bidi="ar-SA"/>
        </w:rPr>
        <w:t>.</w:t>
      </w:r>
      <w:bookmarkStart w:id="533" w:name="pg19806_203674"/>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وإسلام المنوب عنه واعتقاده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الحجّ عن المخالف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 أبا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علا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وإن کان ناصبیاً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الدروس اختصاص المنع بالناصب ویستثنی منه الأب </w:t>
      </w:r>
      <w:r>
        <w:rPr>
          <w:rStyle w:val="FootnoteAnchor"/>
          <w:rtl w:val="true"/>
        </w:rPr>
        <w:footnoteReference w:id="1839"/>
      </w:r>
      <w:r>
        <w:rPr>
          <w:rFonts w:ascii="IRNazanin" w:hAnsi="IRNazanin" w:eastAsia="IRNazanin"/>
          <w:color w:val="111111"/>
          <w:sz w:val="28"/>
          <w:sz w:val="28"/>
          <w:szCs w:val="28"/>
          <w:rtl w:val="true"/>
          <w:lang w:bidi="fa-IR"/>
        </w:rPr>
        <w:t xml:space="preserve">والأجود الأوّل؛ للروایة </w:t>
      </w:r>
      <w:r>
        <w:rPr>
          <w:rStyle w:val="FootnoteAnchor"/>
          <w:rtl w:val="true"/>
        </w:rPr>
        <w:footnoteReference w:id="1840"/>
      </w:r>
      <w:r>
        <w:rPr>
          <w:rFonts w:ascii="Amiri" w:hAnsi="Amiri" w:eastAsia="Amiri" w:cs="Amiri"/>
          <w:color w:val="111111"/>
          <w:sz w:val="28"/>
          <w:sz w:val="28"/>
          <w:szCs w:val="28"/>
          <w:rtl w:val="true"/>
          <w:lang w:bidi="ar-SA"/>
        </w:rPr>
        <w:t>والشهرة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بعض الأصحاب مطلقاً </w:t>
      </w:r>
      <w:r>
        <w:rPr>
          <w:rStyle w:val="FootnoteAnchor"/>
          <w:rtl w:val="true"/>
        </w:rPr>
        <w:footnoteReference w:id="1841"/>
      </w:r>
      <w:r>
        <w:rPr>
          <w:rFonts w:ascii="IRNazanin" w:hAnsi="IRNazanin" w:eastAsia="IRNazanin"/>
          <w:color w:val="111111"/>
          <w:sz w:val="28"/>
          <w:sz w:val="28"/>
          <w:szCs w:val="28"/>
          <w:rtl w:val="true"/>
          <w:lang w:bidi="fa-IR"/>
        </w:rPr>
        <w:t>وفی إلحاق باقی العبادات به وجه خصوصاً إذا لم یکن ناصبیاً</w:t>
      </w:r>
      <w:r>
        <w:rPr>
          <w:rFonts w:eastAsia="IRNazanin" w:cs="IRNazanin"/>
          <w:color w:val="111111"/>
          <w:sz w:val="28"/>
          <w:szCs w:val="28"/>
          <w:rtl w:val="true"/>
          <w:lang w:bidi="fa-IR"/>
        </w:rPr>
        <w:t>.</w:t>
      </w:r>
    </w:p>
    <w:p>
      <w:pPr>
        <w:pStyle w:val="Heading4"/>
        <w:numPr>
          <w:ilvl w:val="3"/>
          <w:numId w:val="1"/>
        </w:numPr>
        <w:rPr/>
      </w:pPr>
      <w:bookmarkStart w:id="534" w:name="__RefHeading___Toc2028097_2314609296"/>
      <w:bookmarkStart w:id="535" w:name="_Toc196"/>
      <w:bookmarkEnd w:id="534"/>
      <w:r>
        <w:rPr>
          <w:rtl w:val="true"/>
        </w:rPr>
        <w:t>«</w:t>
      </w:r>
      <w:r>
        <w:rPr>
          <w:rtl w:val="true"/>
        </w:rPr>
        <w:t>ویشترط نیّة النیابة</w:t>
      </w:r>
      <w:r>
        <w:rPr>
          <w:rtl w:val="true"/>
        </w:rPr>
        <w:t>»</w:t>
      </w:r>
      <w:bookmarkEnd w:id="535"/>
    </w:p>
    <w:p>
      <w:pPr>
        <w:pStyle w:val="BookText"/>
        <w:rPr/>
      </w:pPr>
      <w:r>
        <w:rPr>
          <w:rFonts w:ascii="IRNazanin" w:hAnsi="IRNazanin" w:eastAsia="IRNazanin"/>
          <w:color w:val="111111"/>
          <w:sz w:val="28"/>
          <w:sz w:val="28"/>
          <w:szCs w:val="28"/>
          <w:rtl w:val="true"/>
          <w:lang w:bidi="fa-IR"/>
        </w:rPr>
        <w:t>بأن یقصد کونه نائباً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ذلک أعمّ من تعیین من ینوب عنه نبّه علی اعتباره 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وتعیین </w:t>
      </w:r>
      <w:r>
        <w:rPr>
          <w:rStyle w:val="FootnoteAnchor"/>
          <w:rtl w:val="true"/>
        </w:rPr>
        <w:footnoteReference w:id="1842"/>
      </w:r>
      <w:r>
        <w:rPr>
          <w:rFonts w:ascii="IRNazanin" w:hAnsi="IRNazanin" w:eastAsia="IRNazanin"/>
          <w:color w:val="111111"/>
          <w:sz w:val="28"/>
          <w:sz w:val="28"/>
          <w:szCs w:val="28"/>
          <w:rtl w:val="true"/>
          <w:lang w:bidi="fa-IR"/>
        </w:rPr>
        <w:t>المنوب عنه 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نیّة کلّ فعل یفتقر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اقتصر فی النیّة علی تعیین المنوب عنه بأن ینوی أ نّه عن فلان أجزأ؛ لأنّ ذلک یستلزم النیابة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یستحبّ التلفّظ بمدلول هذا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المواطن کلّها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 أصابنی من تعب أو لغوب أو نصب فأْجرْ فلان بن فلان، وأْجُرنی فی نیابتی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خارج عن النیّة، متقدّم علیها أو بعدها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وتبرأ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ذمّة النائب من الحجّ، وکذلک ذمّة المنوب عنه إن کانت مشغولة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 بعد 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للموت لا للإحرام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خرج من الإحرام أیضاً، کما لو مات بین الإحرامین، إلّاأ نّه لا یدخل فی العبارة؛ لفرضه الموت فی حال کونه محرماً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الإحرام ودخول</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شملهما، لصدق البعدیّة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وأولویّة الموت بعدَه منه حالتَه ممنوعة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قد أحرم أم لا لم یصحّ الحجّ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النائب أجیراً وقد قبض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استُعید من الاُجرة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بنسبة ما بقی من العمل المستأجر علیه، فإن کان الاستئجار علی فعل الحجّ خاصّة أو مطلقاً وکان موته بعد الإحرام استحقّ بنسبته إلی بقیّة أفعال الحجّ، وإن کان علیه وعلی الذهاب استحقّ اُجرة الذهاب والإحرام واستُعید الباقی، وإن کان علیهما وعلی العود فبنسبته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موته قبلَ الإحرام ففی الأوّلین </w:t>
      </w:r>
      <w:r>
        <w:rPr>
          <w:rStyle w:val="FootnoteAnchor"/>
          <w:rtl w:val="true"/>
        </w:rPr>
        <w:footnoteReference w:id="1843"/>
      </w:r>
      <w:r>
        <w:rPr>
          <w:rFonts w:ascii="IRNazanin" w:hAnsi="IRNazanin" w:eastAsia="IRNazanin"/>
          <w:color w:val="111111"/>
          <w:sz w:val="28"/>
          <w:sz w:val="28"/>
          <w:szCs w:val="28"/>
          <w:rtl w:val="true"/>
          <w:lang w:bidi="fa-IR"/>
        </w:rPr>
        <w:t xml:space="preserve">لا یستحقّ شیئاً، وفی الأخیرین </w:t>
      </w:r>
      <w:r>
        <w:rPr>
          <w:rStyle w:val="FootnoteAnchor"/>
          <w:rtl w:val="true"/>
        </w:rPr>
        <w:footnoteReference w:id="1844"/>
      </w:r>
      <w:r>
        <w:rPr>
          <w:rFonts w:ascii="IRNazanin" w:hAnsi="IRNazanin" w:eastAsia="IRNazanin"/>
          <w:color w:val="111111"/>
          <w:sz w:val="28"/>
          <w:sz w:val="28"/>
          <w:szCs w:val="28"/>
          <w:rtl w:val="true"/>
          <w:lang w:bidi="fa-IR"/>
        </w:rPr>
        <w:t>بنسبة ما قطع من المسافة إلی ما بقی من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بأ نّه یستحقّ مع الإطلاق بنسبة ما فعل من الذهاب إلی المجموع منه ومن أفعال الحجّ والعود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إلیه جماعة </w:t>
      </w:r>
      <w:r>
        <w:rPr>
          <w:rStyle w:val="FootnoteAnchor"/>
          <w:rtl w:val="true"/>
        </w:rPr>
        <w:footnoteReference w:id="1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غایة الضعف؛ لأنّ مفهوم الحجّ لا یتناول غیر المجموع المرکَّب من أفعاله الخاصة، دون الذهاب إلیه وإن جعلناه مقدّمة للواجب، والعود الذی لا مدخل له فی الحقیقة ولا ما یتوقّف علیها بوجهٍ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بما شُرط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نوع الحجّ ووصفه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الطریق مع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 تعیّن الطریق بالتعیین، بمعنی أ نّه لا یتعیّن به إلّامع الغرض المقتضی لتخصیصه، کمشقّته وبُعده حیث یکون داخلاً فی الإجارة لاستلزامهما زیادةَ الثواب، أو بُعدَ مسافة الإحرام، ویمکن کونه قیداً فی وجوب الوفاء بما شرط مطلقاً، فلا یتعیّن النوع کذلک إلّامع الغرض، کتعیین</w:t>
      </w:r>
    </w:p>
    <w:p>
      <w:pPr>
        <w:pStyle w:val="BookText"/>
        <w:rPr/>
      </w:pPr>
      <w:r>
        <w:rPr>
          <w:rFonts w:ascii="IRNazanin" w:hAnsi="IRNazanin" w:eastAsia="IRNazanin"/>
          <w:color w:val="111111"/>
          <w:sz w:val="28"/>
          <w:sz w:val="28"/>
          <w:szCs w:val="28"/>
          <w:rtl w:val="true"/>
          <w:lang w:bidi="fa-IR"/>
        </w:rPr>
        <w:t xml:space="preserve">الأفضل أو تعیّنه علی المنوب عنه، فمع انتفائه کالمندوب والواجب المخیّر کنذر مطلق أو تساوی منزلی المنوب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1846"/>
      </w:r>
      <w:r>
        <w:rPr>
          <w:rFonts w:ascii="IRNazanin" w:hAnsi="IRNazanin" w:eastAsia="IRNazanin"/>
          <w:color w:val="111111"/>
          <w:sz w:val="28"/>
          <w:sz w:val="28"/>
          <w:szCs w:val="28"/>
          <w:rtl w:val="true"/>
          <w:lang w:bidi="fa-IR"/>
        </w:rPr>
        <w:t>فی الإقامة یجوز العدول عن المعیَّن إلی الأفضل، کالعدول من الإفراد إلی القران ومنهما إلی التمتّع، لا منه إلیهما، ولا من القران إلی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یشکل ذلک فی المیقات، فإنّ المصنّف وغیره أطلقوا تعیَّنه بالتعیین </w:t>
      </w:r>
      <w:r>
        <w:rPr>
          <w:rStyle w:val="FootnoteAnchor"/>
          <w:rtl w:val="true"/>
        </w:rPr>
        <w:footnoteReference w:id="1847"/>
      </w:r>
      <w:r>
        <w:rPr>
          <w:rFonts w:ascii="IRNazanin" w:hAnsi="IRNazanin" w:eastAsia="IRNazanin"/>
          <w:color w:val="111111"/>
          <w:sz w:val="28"/>
          <w:sz w:val="28"/>
          <w:szCs w:val="28"/>
          <w:rtl w:val="true"/>
          <w:lang w:bidi="fa-IR"/>
        </w:rPr>
        <w:t xml:space="preserve">من غیر تفصیل بالعدول إلی الأفضل وغیره، وإنّما جوّزوا ذلک فی الطریق والنوع بالنصّ </w:t>
      </w:r>
      <w:r>
        <w:rPr>
          <w:rStyle w:val="FootnoteAnchor"/>
          <w:rtl w:val="true"/>
        </w:rPr>
        <w:footnoteReference w:id="1848"/>
      </w:r>
      <w:r>
        <w:rPr>
          <w:rFonts w:ascii="Amiri" w:hAnsi="Amiri" w:eastAsia="Amiri" w:cs="Amiri"/>
          <w:color w:val="111111"/>
          <w:sz w:val="28"/>
          <w:sz w:val="28"/>
          <w:szCs w:val="28"/>
          <w:rtl w:val="true"/>
          <w:lang w:bidi="ar-SA"/>
        </w:rPr>
        <w:t>ولمّا انتفی فی المیقات أطلقوا تعیَّنه به وإن کان التفصیل فیه متوجّهاً أیضاً، إلّاأ نّه لا قائل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وحیث یعدل إلی غیر المعیَّن مع جوازه یستحقّ جمیع الاُجرة، ولا معه لا یستحقّ فی النوع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الطریق یستحقّ بنسبة الحجّ إلی المسمّی للجمیع، وتسقط اُجرة ما ترکه من الطریق، ولا یُوزَّع للطریق المسلوک؛ لأنّه غیر ما استؤجر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المصنّف وجماعة الرجوع علیه بالتفاوت بینهما </w:t>
      </w:r>
      <w:r>
        <w:rPr>
          <w:rStyle w:val="FootnoteAnchor"/>
          <w:rtl w:val="true"/>
        </w:rPr>
        <w:footnoteReference w:id="1849"/>
      </w:r>
      <w:r>
        <w:rPr>
          <w:rFonts w:ascii="IRNazanin" w:hAnsi="IRNazanin" w:eastAsia="IRNazanin"/>
          <w:color w:val="111111"/>
          <w:sz w:val="28"/>
          <w:sz w:val="28"/>
          <w:szCs w:val="28"/>
          <w:rtl w:val="true"/>
          <w:lang w:bidi="fa-IR"/>
        </w:rPr>
        <w:t>وکذا القول فی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الحجّ عن المنوب عنه فی الجمیع وإن لم یستحقّ فی الأوّل </w:t>
      </w:r>
      <w:r>
        <w:rPr>
          <w:rStyle w:val="FootnoteAnchor"/>
          <w:rtl w:val="true"/>
        </w:rPr>
        <w:footnoteReference w:id="1850"/>
      </w:r>
      <w:r>
        <w:rPr>
          <w:rFonts w:ascii="Amiri" w:hAnsi="Amiri" w:eastAsia="Amiri" w:cs="Amiri"/>
          <w:color w:val="111111"/>
          <w:sz w:val="28"/>
          <w:sz w:val="28"/>
          <w:szCs w:val="28"/>
          <w:rtl w:val="true"/>
          <w:lang w:bidi="ar-SA"/>
        </w:rPr>
        <w:t>اُجرةً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الاستنابة إلّامع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یجوز له الإذن فیها کالمستأجر عن نفسه أو الوصیّ، لا الوکیل إلّامع إذن الموکِّل له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إیقاع العقد مقیَّداً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إیقاعه مطلقاً، فإنّه یقتضی المباشرة</w:t>
      </w:r>
    </w:p>
    <w:p>
      <w:pPr>
        <w:pStyle w:val="BookText"/>
        <w:rPr/>
      </w:pP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بتقییده بالإطلاق أن یستأجره لیحجّ مطلقاً بنفسه أو بغیره أو بما یدلّ علیه کأن یستأجره لتحصیل الحجّ عن المنوب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 یقاعه مطلقاً أن یستأجره لیحجّ عنه، فإن هذا الإطلاق یقتضی مباشرته، لا استنابته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یجوز له الاستنابة یشترط فی نائبه العدالة، وإن لم یکن هو 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یحجّ عن اثنین 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لأنّ الحجّ وإن تعدّدت أفعاله عبادة واحدة فلا یقع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الحجّ واجباً علی کلّ واحد منهما أو اُرید إ یقاعه عن کلٍّ منهما، أمّا لو کان مندوباً واُرید إیقاعه عنهما لیشترکا فی ثوابه، أو واجباً علیهما کذلک، بأن ینذرا الاشتراک فی حجّ یستنیبان فیه کذلک فالظاهر الصحّة فیقع فی العام الواحد عنهما، وفاقاً للمصنِّف فی الدروس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تقدیر المنع لو فعله عنهما لم یقع عنهما، ولا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استئجاره لعمرتین أو حجّة مفردة وعمرة مفردة فجائز، لعدم المنافاة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استأجراه 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وبطل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اقترنا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أوجباه معاً فقبلهما، أو وکّل أحدهما الآخر، أو وکّلا ثالثاً فأوقع صیغة واحدة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الترجیح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استأجراه مطلقاً، لاقتضائه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اختلف زمان الإیقاع صحّ وإن اتّفق العقدان، إلّامع فوریّة المتأخر وإمکان استنابة من یعجّله، فیبطل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وتجوز النیابة فی أبعاض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تقبل النیابة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ورکعتیه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والسعی والرمی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الإحرام والوقوف والحلق والمبیت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مباشرتها بنفسه، لغیبةٍ أو مرضٍ یعجز معه ولو عن أن یُطاف أو یُسعی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الحیض به فیما یفتقر إلی الطهارة وجه، وَحَکَم الأکثر بعدولها إلی</w:t>
      </w:r>
    </w:p>
    <w:p>
      <w:pPr>
        <w:pStyle w:val="BookText"/>
        <w:rPr/>
      </w:pPr>
      <w:r>
        <w:rPr>
          <w:rFonts w:ascii="IRNazanin" w:hAnsi="IRNazanin" w:eastAsia="IRNazanin"/>
          <w:color w:val="111111"/>
          <w:sz w:val="28"/>
          <w:sz w:val="28"/>
          <w:szCs w:val="28"/>
          <w:rtl w:val="true"/>
          <w:lang w:bidi="fa-IR"/>
        </w:rPr>
        <w:t xml:space="preserve">غیر النوع لو تعذّر إکماله لذلک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أمکن حمله فی الطواف والسعی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علی الاستنابة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ویحتسب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نویاه، إلّاأن یستأجره للحمل لا فی طوافه أو مطلقاً، فلا یحتسب للحامل؛ لأنّ الحرکة مع الإطلاق قد صارت مستحقّة علیه لغیره، فلا یجوز صرفها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فی الدروس علی الشرط الأوّل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وکفّارة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اللازمة بسبب فعل الأجیر موجبَها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المستنیب؛ لأنّه فاعل السبب وهی کفّارة للذنب اللاحق به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أفسد حجّه قضی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لوجوبه بسبب الإفساد، وإن کانت معیّنة بذلک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فرضه المستأجر علیه بناءً علی أنّ الاُولی فرضه والقضاء عقوبة </w:t>
      </w:r>
      <w:r>
        <w:rPr>
          <w:rStyle w:val="FootnoteAnchor"/>
          <w:rtl w:val="true"/>
        </w:rPr>
        <w:footnoteReference w:id="1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ویملک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لعدم الإخلال</w:t>
      </w:r>
    </w:p>
    <w:p>
      <w:pPr>
        <w:pStyle w:val="BookText"/>
        <w:rPr/>
      </w:pPr>
      <w:r>
        <w:rPr>
          <w:rFonts w:ascii="IRNazanin" w:hAnsi="IRNazanin" w:eastAsia="IRNazanin"/>
          <w:color w:val="111111"/>
          <w:sz w:val="28"/>
          <w:sz w:val="28"/>
          <w:szCs w:val="28"/>
          <w:rtl w:val="true"/>
          <w:lang w:bidi="fa-IR"/>
        </w:rPr>
        <w:t>بالمعیّن والتأخیر 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عدم الإجزاء فی المعیّنة بناءً علی أن الثانیة فرضه ظاهر، للإخلال بالمشروط، وکذا فی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اختاره المصنّف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تأخیرها عن السنة الاُولی لا لعذر یوجب عدمَ الاُجرة </w:t>
      </w:r>
      <w:r>
        <w:rPr>
          <w:rStyle w:val="FootnoteAnchor"/>
          <w:rtl w:val="true"/>
        </w:rPr>
        <w:footnoteReference w:id="1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الإطلاق یقتضی التعجیل، فیکون کالمعیَّنة، فإذا جعلنا الثانیة فرضَه کان کتأخیر المطلق فلا یجزئ ولا یستحقّ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والمرویّ فی حسنة زرارة أنّ الاُولی فرضه، والثانیة عقوبة </w:t>
      </w:r>
      <w:r>
        <w:rPr>
          <w:rStyle w:val="FootnoteAnchor"/>
          <w:rtl w:val="true"/>
        </w:rPr>
        <w:footnoteReference w:id="1856"/>
      </w:r>
      <w:r>
        <w:rPr>
          <w:rFonts w:ascii="IRNazanin" w:hAnsi="IRNazanin" w:eastAsia="IRNazanin"/>
          <w:color w:val="111111"/>
          <w:sz w:val="28"/>
          <w:sz w:val="28"/>
          <w:szCs w:val="28"/>
          <w:rtl w:val="true"/>
          <w:lang w:bidi="fa-IR"/>
        </w:rPr>
        <w:t>وتسمیتها حینئذٍ فاسدة مجاز، وهو الذی مال إلیه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مقطوعة، ولو لم نعتبرها لکان القول بأن الثانیة فرضه أوضح، کما ذهب إلیه ابن إدریس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وفصَّل العلّامة فی القواعد غریباً، فأوجب فی المطلقة قضاء الفاسدة فی السنة الثانیة والحجّ عن النیابة بعد ذلک </w:t>
      </w:r>
      <w:r>
        <w:rPr>
          <w:rStyle w:val="FootnoteAnchor"/>
          <w:rtl w:val="true"/>
        </w:rPr>
        <w:footnoteReference w:id="1858"/>
      </w:r>
      <w:r>
        <w:rPr>
          <w:rFonts w:ascii="IRNazanin" w:hAnsi="IRNazanin" w:eastAsia="IRNazanin"/>
          <w:color w:val="111111"/>
          <w:sz w:val="28"/>
          <w:sz w:val="28"/>
          <w:szCs w:val="28"/>
          <w:rtl w:val="true"/>
          <w:lang w:bidi="fa-IR"/>
        </w:rPr>
        <w:t>وهو خارج عن الاعتبارین؛ لأنّ غایته أن تکون العقوبة هی الاُولی، فتکون الثانیة فرضه، فلا وجه للثالثة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بنی علی أن الإفساد یوجب الحجّ ثانیاً، فهو سبب فیه کالاستئجار، فإذا جعلنا الاُولی هی الفاسدة لم تقع عن المنوب، والثانیة وجبت بسبب الإفساد وهو خارج</w:t>
      </w:r>
    </w:p>
    <w:p>
      <w:pPr>
        <w:pStyle w:val="BookText"/>
        <w:rPr/>
      </w:pPr>
      <w:r>
        <w:rPr>
          <w:rFonts w:ascii="IRNazanin" w:hAnsi="IRNazanin" w:eastAsia="IRNazanin"/>
          <w:color w:val="111111"/>
          <w:sz w:val="28"/>
          <w:sz w:val="28"/>
          <w:szCs w:val="28"/>
          <w:rtl w:val="true"/>
          <w:lang w:bidi="fa-IR"/>
        </w:rPr>
        <w:t>عن الإجارة، فتجب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ینوی الثانیة عن نفسه، وعلی جعلها الفرض ینویها عن المنوب، وعلی الروایة ینبغی أن یکون عنه مع احتمال کونها عن المنوب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فاضل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أنفقه فی الحجّ ذهاباً وعوداً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والإتمام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المستأجر عن نفسه أو من الوصیّ مع النصّ </w:t>
      </w:r>
      <w:r>
        <w:rPr>
          <w:rStyle w:val="FootnoteAnchor"/>
          <w:rtl w:val="true"/>
        </w:rPr>
        <w:footnoteReference w:id="1859"/>
      </w:r>
      <w:r>
        <w:rPr>
          <w:rFonts w:ascii="IRNazanin" w:hAnsi="IRNazanin" w:eastAsia="IRNazanin"/>
          <w:color w:val="111111"/>
          <w:sz w:val="28"/>
          <w:sz w:val="28"/>
          <w:szCs w:val="28"/>
          <w:rtl w:val="true"/>
          <w:lang w:bidi="fa-IR"/>
        </w:rPr>
        <w:t xml:space="preserve">لا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یستحبّ لکلّ منهما إجابة الآخر إلی ذلک؟ تنظّر المصنّف فی الدروس </w:t>
      </w:r>
      <w:r>
        <w:rPr>
          <w:rStyle w:val="FootnoteAnchor"/>
          <w:rtl w:val="true"/>
        </w:rPr>
        <w:footnoteReference w:id="1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البراءة، ومن أ نّه معاونة علی البرّ والتقوی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نیابة المرأة 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لم تحجّ، للنهی عنه فی أخبار </w:t>
      </w:r>
      <w:r>
        <w:rPr>
          <w:rStyle w:val="FootnoteAnchor"/>
          <w:rtl w:val="true"/>
        </w:rPr>
        <w:footnoteReference w:id="1861"/>
      </w:r>
      <w:r>
        <w:rPr>
          <w:rFonts w:ascii="IRNazanin" w:hAnsi="IRNazanin" w:eastAsia="IRNazanin"/>
          <w:color w:val="111111"/>
          <w:sz w:val="28"/>
          <w:sz w:val="28"/>
          <w:szCs w:val="28"/>
          <w:rtl w:val="true"/>
          <w:lang w:bidi="fa-IR"/>
        </w:rPr>
        <w:t xml:space="preserve">حتّی ذهب بعضهم إلی المنع </w:t>
      </w:r>
      <w:r>
        <w:rPr>
          <w:rStyle w:val="FootnoteAnchor"/>
          <w:rtl w:val="true"/>
        </w:rPr>
        <w:footnoteReference w:id="1862"/>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علی الکراهة طریق الجمع بینها وبین ما دلّ علی الجواز </w:t>
      </w:r>
      <w:r>
        <w:rPr>
          <w:rStyle w:val="FootnoteAnchor"/>
          <w:rtl w:val="true"/>
        </w:rPr>
        <w:footnoteReference w:id="1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الخنثی 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إلحاقاً لها بالاُنثی، للشکّ فی الذکوریّة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عدم الکراهة، لعدم 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مورد النهی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علمُ الأجیر بالمناسک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إجمالاً، لیتمکّن من تعلّمها تفصیلاً </w:t>
      </w:r>
      <w:r>
        <w:rPr>
          <w:rStyle w:val="FootnoteAnchor"/>
          <w:rtl w:val="true"/>
        </w:rPr>
        <w:footnoteReference w:id="1864"/>
      </w:r>
      <w:r>
        <w:rPr>
          <w:rFonts w:ascii="IRNazanin" w:hAnsi="IRNazanin" w:eastAsia="IRNazanin"/>
          <w:color w:val="111111"/>
          <w:sz w:val="28"/>
          <w:sz w:val="28"/>
          <w:szCs w:val="28"/>
          <w:rtl w:val="true"/>
          <w:lang w:bidi="fa-IR"/>
        </w:rPr>
        <w:t>ولو حجّ مع مرشد عدل أجزأ</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الذی عُیّن، فلو کان عاجزاً عن الطواف</w:t>
      </w:r>
      <w:bookmarkStart w:id="536" w:name="pg19806_203681"/>
    </w:p>
    <w:p>
      <w:pPr>
        <w:pStyle w:val="BookText"/>
        <w:rPr/>
      </w:pPr>
      <w:bookmarkEnd w:id="536"/>
      <w:r>
        <w:rPr>
          <w:rFonts w:ascii="IRNazanin" w:hAnsi="IRNazanin" w:eastAsia="IRNazanin"/>
          <w:color w:val="111111"/>
          <w:sz w:val="28"/>
          <w:sz w:val="28"/>
          <w:szCs w:val="28"/>
          <w:rtl w:val="true"/>
          <w:lang w:bidi="fa-IR"/>
        </w:rPr>
        <w:t>بنفسه واستؤجر علی المباشرة لم یصحّ، وکذا لو کان لا یستطیع القیام فی صلاة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رضی المستأجر بذلک حیث یصحّ منه الرضا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تکون الإجارة عن میّتٍ أو من یجب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یُستأجر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استأجره لیحجّ عنه تبرّعاً لم تعتبر العدالة، لصحّة حجّ الفاسق، وإنّما المانع عدم قبول خبره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أجزأ </w:t>
      </w:r>
      <w:r>
        <w:rPr>
          <w:rStyle w:val="FootnoteAnchor"/>
          <w:rtl w:val="true"/>
        </w:rPr>
        <w:footnoteReference w:id="1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المنوب عنه فی نفس الأمر وإن وجب علیه استنابة غیره لو کان واجباً، وکذا القول فی غیره من العبادات کالصلاة والصوم والزیارة المتوقّفة علی النیّة</w:t>
      </w:r>
      <w:r>
        <w:rPr>
          <w:rFonts w:eastAsia="IRNazanin" w:cs="IRNazanin"/>
          <w:color w:val="111111"/>
          <w:sz w:val="28"/>
          <w:szCs w:val="28"/>
          <w:rtl w:val="true"/>
          <w:lang w:bidi="fa-IR"/>
        </w:rPr>
        <w:t>.</w:t>
      </w:r>
    </w:p>
    <w:p>
      <w:pPr>
        <w:pStyle w:val="Heading4"/>
        <w:numPr>
          <w:ilvl w:val="3"/>
          <w:numId w:val="1"/>
        </w:numPr>
        <w:rPr/>
      </w:pPr>
      <w:bookmarkStart w:id="537" w:name="__RefHeading___Toc2028099_2314609296"/>
      <w:bookmarkStart w:id="538" w:name="_Toc197"/>
      <w:bookmarkEnd w:id="537"/>
      <w:r>
        <w:rPr>
          <w:rtl w:val="true"/>
        </w:rPr>
        <w:t>«</w:t>
      </w:r>
      <w:r>
        <w:rPr>
          <w:rtl w:val="true"/>
        </w:rPr>
        <w:t>والوصیّة بالحجّ</w:t>
      </w:r>
      <w:r>
        <w:rPr>
          <w:rtl w:val="true"/>
        </w:rPr>
        <w:t>»</w:t>
      </w:r>
      <w:bookmarkEnd w:id="538"/>
    </w:p>
    <w:p>
      <w:pPr>
        <w:pStyle w:val="BookText"/>
        <w:rPr/>
      </w:pPr>
      <w:r>
        <w:rPr>
          <w:rFonts w:ascii="IRNazanin" w:hAnsi="IRNazanin" w:eastAsia="IRNazanin"/>
          <w:color w:val="111111"/>
          <w:sz w:val="28"/>
          <w:sz w:val="28"/>
          <w:szCs w:val="28"/>
          <w:rtl w:val="true"/>
          <w:lang w:bidi="fa-IR"/>
        </w:rPr>
        <w:t xml:space="preserve">مطلقاً من غیر تعیین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یُبذل غالباً للفعل المخصوص لمن استجمع شرائط النیابة فی أقلّ مراتبها، ویُحتمل اعتبار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یوجد من یأخذ أقلّ منها وإلّا اقتصر علیه، ولا یجب تکلّف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ذلک من البلد أو المیقات علی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إلّامع إرادة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فیکرّر حسب ما دلّ علیه اللفظ، فإن زاد عن الثلث اقتصر علیه إن لم یُجز الوارث، ولو کان بعضه أو جمیعه واجباً فمن الأصل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عیّن القدرَ والنائبَ تعیّنا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یزد القدر عن الثلث فی المندوب وعن اُجرة المثل فی الواجب، وإلّا اعتبرت الزیادة من الثلث مع عدم إجازة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النائب القبول، فإن امتنع طلباً للزیادة لم یجب إجابته، ثم یُستأجر غیره بالقدر إن لم یُعلم إرادة تخصیصه به، وإلّا فباُجرة المثل إن لم یزد عنه أو یُعلم إرادته خاصّة، فیسقط بامتناعه بالقدر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عیَّن النائب خاصّة اُعطی اُجرة مثل من یحجّ مجزیاً، ویحتمل اُجرة مثله فإن امتنع منه أو مطلقاً استؤجر غیره إن لم یعلم إرادة التخصیص، وإلّا سقط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عیّن لکلّ سنة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کألف، أو مجملاً کغلّة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 کمل 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تسع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 ما یُتمّم اُجرة المثل ولو بجزءٍ وصُرف الباقی مع ما بعده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السنون معیَّنة ففضل منها فضلة لا تفی بالحجّ أصلاً ففی عودها إلی الورثة أو صرفها فی وجوه البرّ؟ وجهان، أجودهما الأوّل إن کان القصور ابتداءً، والثانی إن کان طارئاً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والوجهان آتیان فیما لو قصُر المعیَّن لحجّة واحدة، أو قصُر ماله أجمع عن الحجّة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استنماؤه أو رُجی إخراجه فی وقتٍ آخر وجب مقدّماً علی الأمرین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المعیّن للسنة عن اُجرة حجّة ولم یکن مقیّداً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إن 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عام </w:t>
      </w:r>
      <w:r>
        <w:rPr>
          <w:rStyle w:val="FootnoteAnchor"/>
          <w:rtl w:val="true"/>
        </w:rPr>
        <w:footnoteReference w:id="1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اثنین </w:t>
      </w: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اجتماعهما معاً فی الفعل فی وقت واحد؛ لعدم وجوب الترتیب هنا کالصوم، بخلاف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فضل عن واحدة جزءٌ اُضیف إلی ما بعده إن کان، وإلّا ففیه ما مرّ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بامتناع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إخراج الحجّ الواجب علیه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یستأجر عنه من یحجّ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عنه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الودیعة من الحقوق المالیّة حتی الغصب بحکمها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غیره من الحقوق التی تخرج من أصل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کالزکاة والخمس والکفّارة والنذر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w:t>
      </w:r>
      <w:r>
        <w:rPr>
          <w:rStyle w:val="FootnoteAnchor"/>
          <w:rtl w:val="true"/>
        </w:rPr>
        <w:footnoteReference w:id="1868"/>
      </w:r>
      <w:r>
        <w:rPr>
          <w:rFonts w:ascii="IRNazanin" w:hAnsi="IRNazanin" w:eastAsia="IRNazanin"/>
          <w:color w:val="111111"/>
          <w:sz w:val="28"/>
          <w:sz w:val="28"/>
          <w:szCs w:val="28"/>
          <w:rtl w:val="true"/>
          <w:lang w:bidi="fa-IR"/>
        </w:rPr>
        <w:t>هنا</w:t>
      </w:r>
    </w:p>
    <w:p>
      <w:pPr>
        <w:pStyle w:val="BookText"/>
        <w:rPr/>
      </w:pPr>
      <w:r>
        <w:rPr>
          <w:rFonts w:ascii="IRNazanin" w:hAnsi="IRNazanin" w:eastAsia="IRNazanin"/>
          <w:color w:val="111111"/>
          <w:sz w:val="28"/>
          <w:sz w:val="28"/>
          <w:szCs w:val="28"/>
          <w:rtl w:val="true"/>
          <w:lang w:bidi="fa-IR"/>
        </w:rPr>
        <w:t>معناه الأمر، فإن ذلک واجب علیه، حتی لو دفعه إلی الوارث اختیاراً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أنّ البعض یؤدّی، فإن کان نصیبه یفی به بحیث یحصل الغرض منه وجب الدفع إلیهم، وإلّا استأذن من یؤدّی مع الإمکان، وإلّا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بالعلم هنا ما یشمل الظنّ الغالب المستند إلی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اعتبار الحجّ من البلد أو المیقات ما مرّ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علیه حجّتان إحداهما نذر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إخراجهما </w:t>
      </w:r>
      <w:r>
        <w:rPr>
          <w:rStyle w:val="FootnoteAnchor"/>
          <w:rtl w:val="true"/>
        </w:rPr>
        <w:footnoteReference w:id="1870"/>
      </w:r>
      <w:r>
        <w:rPr>
          <w:rFonts w:ascii="IRNazanin" w:hAnsi="IRNazanin" w:eastAsia="IRNazanin"/>
          <w:color w:val="111111"/>
          <w:sz w:val="28"/>
          <w:sz w:val="28"/>
          <w:szCs w:val="28"/>
          <w:rtl w:val="true"/>
          <w:lang w:bidi="fa-IR"/>
        </w:rPr>
        <w:t xml:space="preserve">فما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الأصحّ أ نّهما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لاشتراکهما فی کونهما حقّاً واجباً 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ومقابل الأصحّ إخراج المنذورة من الثلث، استناداً إلی روایة </w:t>
      </w:r>
      <w:r>
        <w:rPr>
          <w:rStyle w:val="FootnoteAnchor"/>
          <w:rtl w:val="true"/>
        </w:rPr>
        <w:footnoteReference w:id="1871"/>
      </w:r>
      <w:r>
        <w:rPr>
          <w:rFonts w:ascii="IRNazanin" w:hAnsi="IRNazanin" w:eastAsia="IRNazanin"/>
          <w:color w:val="111111"/>
          <w:sz w:val="28"/>
          <w:sz w:val="28"/>
          <w:szCs w:val="28"/>
          <w:rtl w:val="true"/>
          <w:lang w:bidi="fa-IR"/>
        </w:rPr>
        <w:t>محمولة علی نذرٍ غیر لازم، کالواقع فی المرض</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قصر المال عنهما تحاصّتا فیه، فإن قصرت الحصّة عن إخراج الحجّة بأقل ما یمکن ووسع الحجّ خاصّة أو العمرة صرف فیه </w:t>
      </w:r>
      <w:r>
        <w:rPr>
          <w:rStyle w:val="FootnoteAnchor"/>
          <w:rtl w:val="true"/>
        </w:rPr>
        <w:footnoteReference w:id="1872"/>
      </w:r>
      <w:r>
        <w:rPr>
          <w:rFonts w:ascii="IRNazanin" w:hAnsi="IRNazanin" w:eastAsia="IRNazanin"/>
          <w:color w:val="111111"/>
          <w:sz w:val="28"/>
          <w:sz w:val="28"/>
          <w:szCs w:val="28"/>
          <w:rtl w:val="true"/>
          <w:lang w:bidi="fa-IR"/>
        </w:rPr>
        <w:t>فإن قصر عنهما ووسع أحدهما، ففی ترکهما والرجوع إلی الوارث، أو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تقدیم حجّة الإسلام، أو القرعة؟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وسع الحجّ خاصّة أو العمرة،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یسع أحدهما فالقولان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آتٍ فیما لو أقرّ بالحجّتین أو علم الوارث أو الوصی کونهما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الودیعة أو الحقّ وعلموا بالحقّ وبعضهم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الحجّة وما فی حکمها علیهم بنسبة ما بأیدیهم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أخرجها بعضهم بإذن الباقین، فالظاهر الإجزاء؛ لاشتراکهم فی کونه مال المیّت الذی یُقدّم إخراج ذلک منه علی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بعضهم بالحقّ تعیّن علی العالم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علموا به ولم یُعلم بعضهم ببعض فأخرجوا جمیعاً أو حجّوا فلا ضمان مع الاجتهاد علی الأقوی، ولا معه ضمنوا ما زاد علی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علموا فی الأثناء سقط من ودیعة کلّ منهم ما یخصّه من الاُجرة، وتحلّلوا ما عدا واحد بالقرعة إن کان بعد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حجّوا عالمین بعضهم ببعض صحّ السابق خاصّة وضمن اللاحق، فإن أحرموا دفعةً وقع الجمیع عن المنوب وسقط من ودیعة کلّ واحدٍ ما یخصّه من الاُجرة الموزّعة وغرم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یتوقّف تصرّفهم علی إذن الحاکم؟ الأقوی ذلک مع القدرة علی إثبات الحقّ عنده؛ لأنّ ولایة إخراج ذلک قهراً علی الوارث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یمکن فالعدم أقوی، حذراً من تعطیل الحقّ الذی یعلم من بیده المال ثبوته، وإطلاق النصّ </w:t>
      </w:r>
      <w:r>
        <w:rPr>
          <w:rStyle w:val="FootnoteAnchor"/>
          <w:rtl w:val="true"/>
        </w:rPr>
        <w:footnoteReference w:id="1873"/>
      </w:r>
      <w:r>
        <w:rPr>
          <w:rFonts w:ascii="Amiri" w:hAnsi="Amiri" w:eastAsia="Amiri" w:cs="Amiri"/>
          <w:color w:val="111111"/>
          <w:sz w:val="28"/>
          <w:sz w:val="28"/>
          <w:szCs w:val="28"/>
          <w:rtl w:val="true"/>
          <w:lang w:bidi="ar-SA"/>
        </w:rPr>
        <w:t>إذنٌ 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یفتقر إلی إذن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1874"/>
      </w:r>
      <w:r>
        <w:rPr>
          <w:rFonts w:ascii="IRNazanin" w:hAnsi="IRNazanin" w:eastAsia="IRNazanin"/>
          <w:color w:val="111111"/>
          <w:sz w:val="28"/>
          <w:sz w:val="28"/>
          <w:szCs w:val="28"/>
          <w:rtl w:val="true"/>
          <w:lang w:bidi="fa-IR"/>
        </w:rPr>
        <w:t>بناءً علی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وإفضائه إلی مخالفته حیث یتعذّر</w:t>
      </w:r>
      <w:r>
        <w:rPr>
          <w:rFonts w:eastAsia="IRNazanin" w:cs="IRNazanin"/>
          <w:color w:val="111111"/>
          <w:sz w:val="28"/>
          <w:szCs w:val="28"/>
          <w:rtl w:val="true"/>
          <w:lang w:bidi="fa-IR"/>
        </w:rPr>
        <w:t>.</w:t>
      </w:r>
      <w:bookmarkStart w:id="539" w:name="pg19806_203685"/>
    </w:p>
    <w:p>
      <w:pPr>
        <w:pStyle w:val="Heading3"/>
        <w:numPr>
          <w:ilvl w:val="2"/>
          <w:numId w:val="1"/>
        </w:numPr>
        <w:rPr/>
      </w:pPr>
      <w:bookmarkStart w:id="540" w:name="__RefHeading___Toc2028101_2314609296"/>
      <w:bookmarkStart w:id="541" w:name="_Toc198"/>
      <w:bookmarkEnd w:id="539"/>
      <w:bookmarkEnd w:id="540"/>
      <w:r>
        <w:rPr>
          <w:rtl w:val="true"/>
        </w:rPr>
        <w:t>«</w:t>
      </w:r>
      <w:r>
        <w:rPr>
          <w:rtl w:val="true"/>
        </w:rPr>
        <w:t>الفصل الثانی</w:t>
      </w:r>
      <w:r>
        <w:rPr>
          <w:rtl w:val="true"/>
        </w:rPr>
        <w:t>» «</w:t>
      </w:r>
      <w:r>
        <w:rPr>
          <w:rtl w:val="true"/>
        </w:rPr>
        <w:t>فی أنواع الحجّ</w:t>
      </w:r>
      <w:r>
        <w:rPr>
          <w:rtl w:val="true"/>
        </w:rPr>
        <w:t>»</w:t>
      </w:r>
      <w:bookmarkEnd w:id="541"/>
    </w:p>
    <w:p>
      <w:pPr>
        <w:pStyle w:val="Heading4"/>
        <w:numPr>
          <w:ilvl w:val="3"/>
          <w:numId w:val="1"/>
        </w:numPr>
        <w:rPr/>
      </w:pPr>
      <w:bookmarkStart w:id="542" w:name="__RefHeading___Toc2028103_2314609296"/>
      <w:bookmarkStart w:id="543" w:name="_Toc199"/>
      <w:bookmarkEnd w:id="542"/>
      <w:r>
        <w:rPr>
          <w:rtl w:val="true"/>
        </w:rPr>
        <w:t>اشارة</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التلذّذ سمّی هذا النوع به، لما یتخلّل بین عمرته وحجّه من التحلّل الموجب لجواز الانتفاع والتلذّذ بما کان قد حرّمه الإحرام مع ارتباط عمرته بحجّه حتی أ نّهما کالشیء الواحد شرعاً، فإذا حصل بینهما ذلک فکأ نّه حصل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فرض من 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مکّة بثمانیة وأربعین میلاً من کلّ جانب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الصحیحة الدالّة علیه </w:t>
      </w:r>
      <w:r>
        <w:rPr>
          <w:rStyle w:val="FootnoteAnchor"/>
          <w:rtl w:val="true"/>
        </w:rPr>
        <w:footnoteReference w:id="1875"/>
      </w:r>
      <w:r>
        <w:rPr>
          <w:rFonts w:ascii="IRNazanin" w:hAnsi="IRNazanin" w:eastAsia="IRNazanin"/>
          <w:color w:val="111111"/>
          <w:sz w:val="28"/>
          <w:sz w:val="28"/>
          <w:szCs w:val="28"/>
          <w:rtl w:val="true"/>
          <w:lang w:bidi="fa-IR"/>
        </w:rPr>
        <w:t xml:space="preserve">والقول المقابل للأصحّ اعتبار بُعده باثنی عشر میلاً </w:t>
      </w:r>
      <w:r>
        <w:rPr>
          <w:rStyle w:val="FootnoteAnchor"/>
          <w:rtl w:val="true"/>
        </w:rPr>
        <w:footnoteReference w:id="1876"/>
      </w:r>
      <w:r>
        <w:rPr>
          <w:rFonts w:ascii="IRNazanin" w:hAnsi="IRNazanin" w:eastAsia="IRNazanin"/>
          <w:color w:val="111111"/>
          <w:sz w:val="28"/>
          <w:sz w:val="28"/>
          <w:szCs w:val="28"/>
          <w:rtl w:val="true"/>
          <w:lang w:bidi="fa-IR"/>
        </w:rPr>
        <w:t xml:space="preserve">حملاً للثمانیة والأربعین علی کونها موزّعة علی الجهات الأربع، فیخص </w:t>
      </w:r>
      <w:r>
        <w:rPr>
          <w:rStyle w:val="FootnoteAnchor"/>
          <w:rtl w:val="true"/>
        </w:rPr>
        <w:footnoteReference w:id="1877"/>
      </w:r>
      <w:r>
        <w:rPr>
          <w:rFonts w:ascii="IRNazanin" w:hAnsi="IRNazanin" w:eastAsia="IRNazanin"/>
          <w:color w:val="111111"/>
          <w:sz w:val="28"/>
          <w:sz w:val="28"/>
          <w:szCs w:val="28"/>
          <w:rtl w:val="true"/>
          <w:lang w:bidi="fa-IR"/>
        </w:rPr>
        <w:t>کلّ واحدة اثنی عشر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ومبدأ التقدیر منتهی عمارة مکّة إلی منزله، ویُحتمل إلی بلده مع عدم سعتها جدّاً، وإلّا فمحلّته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یمتاز هذا النوع عن قسیمیه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عمرته علی حجّه ناویاً بها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عُمرتیهما فإنّها مفردة بنیّته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وقران وإفراد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ویشترکان فی تأخیر العمرة عن الحجّ وجملة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وینفرد القران بالتخییر فی عقد إحرامه بین الهدی والتلبیة، والإفراد بها </w:t>
      </w:r>
      <w:r>
        <w:rPr>
          <w:rStyle w:val="FootnoteAnchor"/>
          <w:rtl w:val="true"/>
        </w:rPr>
        <w:footnoteReference w:id="1878"/>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یقرن بین الحجّ والعمرة بنیّة واحدة </w:t>
      </w:r>
      <w:r>
        <w:rPr>
          <w:rStyle w:val="FootnoteAnchor"/>
          <w:rtl w:val="true"/>
        </w:rPr>
        <w:footnoteReference w:id="1879"/>
      </w:r>
      <w:r>
        <w:rPr>
          <w:rFonts w:ascii="IRNazanin" w:hAnsi="IRNazanin" w:eastAsia="IRNazanin"/>
          <w:color w:val="111111"/>
          <w:sz w:val="28"/>
          <w:sz w:val="28"/>
          <w:szCs w:val="28"/>
          <w:rtl w:val="true"/>
          <w:lang w:bidi="fa-IR"/>
        </w:rPr>
        <w:t>فلا یحلّ إلّابتمام أفعالهما مع سوق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نقص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من المسافة مخیّراً بین النوعین، والقران أفضل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أطلق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تخیّر فی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مکّیاً کان أم اُفقیّاً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یتخیّر من حجّ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والتمتّع أفضل مطلقاً وإن حجّ ألفاً وألفاً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لمن تعیّن علیه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بالأصالة أو العارض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 إلی غیره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بظاهر الآیة </w:t>
      </w:r>
      <w:r>
        <w:rPr>
          <w:rStyle w:val="FootnoteAnchor"/>
          <w:rtl w:val="true"/>
        </w:rPr>
        <w:footnoteReference w:id="1881"/>
      </w:r>
      <w:r>
        <w:rPr>
          <w:rFonts w:ascii="IRNazanin" w:hAnsi="IRNazanin" w:eastAsia="IRNazanin"/>
          <w:color w:val="111111"/>
          <w:sz w:val="28"/>
          <w:sz w:val="28"/>
          <w:szCs w:val="28"/>
          <w:rtl w:val="true"/>
          <w:lang w:bidi="fa-IR"/>
        </w:rPr>
        <w:t xml:space="preserve">وصریح الروایة </w:t>
      </w:r>
      <w:r>
        <w:rPr>
          <w:rStyle w:val="FootnoteAnchor"/>
          <w:rtl w:val="true"/>
        </w:rPr>
        <w:footnoteReference w:id="1882"/>
      </w:r>
      <w:r>
        <w:rPr>
          <w:rFonts w:ascii="IRNazanin" w:hAnsi="IRNazanin" w:eastAsia="IRNazanin"/>
          <w:color w:val="111111"/>
          <w:sz w:val="28"/>
          <w:sz w:val="28"/>
          <w:szCs w:val="28"/>
          <w:rtl w:val="true"/>
          <w:lang w:bidi="fa-IR"/>
        </w:rPr>
        <w:t xml:space="preserve">وعلیه الأکثر </w:t>
      </w:r>
      <w:r>
        <w:rPr>
          <w:rStyle w:val="FootnoteAnchor"/>
          <w:rtl w:val="true"/>
        </w:rPr>
        <w:footnoteReference w:id="1883"/>
      </w:r>
      <w:r>
        <w:rPr>
          <w:rFonts w:ascii="IRNazanin" w:hAnsi="IRNazanin" w:eastAsia="IRNazanin"/>
          <w:color w:val="111111"/>
          <w:sz w:val="28"/>
          <w:sz w:val="28"/>
          <w:szCs w:val="28"/>
          <w:rtl w:val="true"/>
          <w:lang w:bidi="fa-IR"/>
        </w:rPr>
        <w:t xml:space="preserve">والقول الآخر جواز التمتّع للمکّی </w:t>
      </w:r>
      <w:r>
        <w:rPr>
          <w:rStyle w:val="FootnoteAnchor"/>
          <w:rtl w:val="true"/>
        </w:rPr>
        <w:footnoteReference w:id="1884"/>
      </w:r>
      <w:r>
        <w:rPr>
          <w:rFonts w:ascii="IRNazanin" w:hAnsi="IRNazanin" w:eastAsia="IRNazanin"/>
          <w:color w:val="111111"/>
          <w:sz w:val="28"/>
          <w:sz w:val="28"/>
          <w:szCs w:val="28"/>
          <w:rtl w:val="true"/>
          <w:lang w:bidi="fa-IR"/>
        </w:rPr>
        <w:t xml:space="preserve">وبه روایات </w:t>
      </w:r>
      <w:r>
        <w:rPr>
          <w:rStyle w:val="FootnoteAnchor"/>
          <w:rtl w:val="true"/>
        </w:rPr>
        <w:footnoteReference w:id="1885"/>
      </w:r>
      <w:r>
        <w:rPr>
          <w:rFonts w:ascii="IRNazanin" w:hAnsi="IRNazanin" w:eastAsia="IRNazanin"/>
          <w:color w:val="111111"/>
          <w:sz w:val="28"/>
          <w:sz w:val="28"/>
          <w:szCs w:val="28"/>
          <w:rtl w:val="true"/>
          <w:lang w:bidi="fa-IR"/>
        </w:rPr>
        <w:t>حملُها علی الضرورة</w:t>
      </w:r>
    </w:p>
    <w:p>
      <w:pPr>
        <w:pStyle w:val="BookText"/>
        <w:rPr/>
      </w:pPr>
      <w:r>
        <w:rPr>
          <w:rFonts w:ascii="Amiri" w:hAnsi="Amiri" w:eastAsia="Amiri" w:cs="Amiri"/>
          <w:color w:val="111111"/>
          <w:sz w:val="28"/>
          <w:sz w:val="28"/>
          <w:szCs w:val="28"/>
          <w:rtl w:val="true"/>
          <w:lang w:bidi="ar-SA"/>
        </w:rPr>
        <w:t>طریقُ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النائی فلا یجزئه غیر التمتّع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 عدم جواز العدول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ویتحقّق ضرورة المتمتّع بخوف الحیض المتقدّم علی طواف العمرة بحیث یفوت اختیاریّ عرفة قبل إتمامها، أو التخلّف عن الرفقة إلی عرفة حیث یحتاج إلیها، وخوفه من دخول مکّة قبل الوقوف لا بعدَه، ونحوه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وضرورة المکّی بخوف الحیض المتأخّر عن النفر مع عدم إمکان تأخیر العمرة إلی أن تطهّر، وخوف عدوّ بعدَه، وفوت الصحبة کذلک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نسخةٍ لا یصحّ </w:t>
      </w:r>
      <w:r>
        <w:rPr>
          <w:rStyle w:val="FootnoteAnchor"/>
          <w:rtl w:val="true"/>
        </w:rPr>
        <w:footnoteReference w:id="1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أنواعه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عمرة التمتّع إلّافی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وذی القعدة وذی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یدرک باقی المناسک فی وقتها، ومن ثَمّ ذهب بعضهم إلی أنّ أشهر الحجّ الشهران وتسع من ذی الحجّة </w:t>
      </w:r>
      <w:r>
        <w:rPr>
          <w:rStyle w:val="FootnoteAnchor"/>
          <w:rtl w:val="true"/>
        </w:rPr>
        <w:footnoteReference w:id="1888"/>
      </w:r>
      <w:r>
        <w:rPr>
          <w:rFonts w:ascii="IRNazanin" w:hAnsi="IRNazanin" w:eastAsia="IRNazanin"/>
          <w:color w:val="111111"/>
          <w:sz w:val="28"/>
          <w:sz w:val="28"/>
          <w:szCs w:val="28"/>
          <w:rtl w:val="true"/>
          <w:lang w:bidi="fa-IR"/>
        </w:rPr>
        <w:t>لفوات اختیاری عرفة اختیاراً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Style w:val="FootnoteAnchor"/>
          <w:rtl w:val="true"/>
        </w:rPr>
        <w:footnoteReference w:id="1889"/>
      </w:r>
      <w:r>
        <w:rPr>
          <w:rFonts w:ascii="IRNazanin" w:hAnsi="IRNazanin" w:eastAsia="IRNazanin"/>
          <w:color w:val="111111"/>
          <w:sz w:val="28"/>
          <w:sz w:val="28"/>
          <w:szCs w:val="28"/>
          <w:rtl w:val="true"/>
          <w:lang w:bidi="fa-IR"/>
        </w:rPr>
        <w:t>لإمکان إدراک الحجّ فی العاشر بإدراک المشعر وحده، حیث لا یکون فوات عرفة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جعلها الثلاثة نظر إلی کونها ظرفاً زمانیّاً لوقوع أفعاله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جعل الحجّ أشهراً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w:t>
      </w:r>
      <w:r>
        <w:rPr>
          <w:rStyle w:val="FootnoteAnchor"/>
          <w:rtl w:val="true"/>
        </w:rPr>
        <w:footnoteReference w:id="1890"/>
      </w:r>
      <w:r>
        <w:rPr>
          <w:rFonts w:ascii="IRNazanin" w:hAnsi="IRNazanin" w:eastAsia="IRNazanin"/>
          <w:color w:val="111111"/>
          <w:sz w:val="28"/>
          <w:sz w:val="28"/>
          <w:szCs w:val="28"/>
          <w:rtl w:val="true"/>
          <w:lang w:bidi="fa-IR"/>
        </w:rPr>
        <w:t>إرشاد إلی</w:t>
      </w:r>
    </w:p>
    <w:p>
      <w:pPr>
        <w:pStyle w:val="BookText"/>
        <w:rPr/>
      </w:pPr>
      <w:r>
        <w:rPr>
          <w:rFonts w:ascii="IRNazanin" w:hAnsi="IRNazanin" w:eastAsia="IRNazanin"/>
          <w:color w:val="111111"/>
          <w:sz w:val="28"/>
          <w:sz w:val="28"/>
          <w:szCs w:val="28"/>
          <w:rtl w:val="true"/>
          <w:lang w:bidi="fa-IR"/>
        </w:rPr>
        <w:t>ترجیحه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أنّ النزاع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العمرة المفردة، ووقتها مجموع أیّام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التمتّع جمع الحجّ والعمرة لعامٍ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أخّر الحجّ عن سنتها صارت مفردة، فیتبعها بطواف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قسیماه فلا یشترط إیقاعهما فی سنة فی المشهور، خلافاً للشیخ حیث اعتبرها فی القران </w:t>
      </w:r>
      <w:r>
        <w:rPr>
          <w:rStyle w:val="FootnoteAnchor"/>
          <w:rtl w:val="true"/>
        </w:rPr>
        <w:footnoteReference w:id="1891"/>
      </w:r>
      <w:r>
        <w:rPr>
          <w:rFonts w:ascii="Amiri" w:hAnsi="Amiri" w:eastAsia="Amiri" w:cs="Amiri"/>
          <w:color w:val="111111"/>
          <w:sz w:val="28"/>
          <w:sz w:val="28"/>
          <w:szCs w:val="28"/>
          <w:rtl w:val="true"/>
          <w:lang w:bidi="ar-SA"/>
        </w:rPr>
        <w:t>کالتمتّع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والإحرام بالحجّ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موضع شاء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أو تحت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مخیّراً بینهما، وظاهره تساویهما فی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أنّ فعله فی المقام أفضل من الحِجر تحت المیزاب </w:t>
      </w:r>
      <w:r>
        <w:rPr>
          <w:rStyle w:val="FootnoteAnchor"/>
          <w:rtl w:val="true"/>
        </w:rPr>
        <w:footnoteReference w:id="1892"/>
      </w:r>
      <w:r>
        <w:rPr>
          <w:rFonts w:ascii="IRNazanin" w:hAnsi="IRNazanin" w:eastAsia="IRNazanin"/>
          <w:color w:val="111111"/>
          <w:sz w:val="28"/>
          <w:sz w:val="28"/>
          <w:szCs w:val="28"/>
          <w:rtl w:val="true"/>
          <w:lang w:bidi="fa-IR"/>
        </w:rPr>
        <w:t xml:space="preserve">وکلاهما مرویّ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بحجّه </w:t>
      </w:r>
      <w:r>
        <w:rPr>
          <w:rStyle w:val="FootnoteAnchor"/>
          <w:rtl w:val="true"/>
        </w:rPr>
        <w:footnoteReference w:id="1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إلّامع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 بتعذّر الوصول إلیها ابتداءً، أو تعذّر العود إلیها مع ترکه بها نسیاناً أو جهلاً، لا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مروره علی أحد المواقیت وعدمه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بعمرة التمتّع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الوقت عن إتمام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الإکمال وإدراک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بحیض أو نفاس أو عذر </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عن الإکمال بنحو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بالنیّة من العمرة المتمتّع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وأکمل</w:t>
      </w:r>
    </w:p>
    <w:p>
      <w:pPr>
        <w:pStyle w:val="BookText"/>
        <w:rPr/>
      </w:pPr>
      <w:r>
        <w:rPr>
          <w:rFonts w:ascii="IRNazanin" w:hAnsi="IRNazanin" w:eastAsia="IRNazanin"/>
          <w:color w:val="111111"/>
          <w:sz w:val="28"/>
          <w:sz w:val="28"/>
          <w:szCs w:val="28"/>
          <w:rtl w:val="true"/>
          <w:lang w:bidi="fa-IR"/>
        </w:rPr>
        <w:t xml:space="preserve">الحجّ بانیاً علی ذلک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وأتی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الحجّ، وأجزأه عن فرضه، کما یجزئ لو انتقل ابتداءً للعذر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یعدل من الإفراد وقسیمه إلی التمتّع للضرورة، أمّا اختیاراً فسیأتی الکلام فیه </w:t>
      </w:r>
      <w:r>
        <w:rPr>
          <w:rStyle w:val="FootnoteAnchor"/>
          <w:rtl w:val="true"/>
        </w:rPr>
        <w:footnoteReference w:id="1896"/>
      </w:r>
      <w:r>
        <w:rPr>
          <w:rFonts w:ascii="IRNazanin" w:hAnsi="IRNazanin" w:eastAsia="IRNazanin"/>
          <w:color w:val="111111"/>
          <w:sz w:val="28"/>
          <w:sz w:val="28"/>
          <w:szCs w:val="28"/>
          <w:rtl w:val="true"/>
          <w:lang w:bidi="fa-IR"/>
        </w:rPr>
        <w:t>ونیّة العدول عند إرادته قصد الانتقال إلی النُسُک المخصوص متقرّباً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نیّة الإحرام بالنُسُک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یمکن الغنی عنها بذکر الإحرام، کما یُستغنی عن باقی النیّات بأفعالها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تخصیصه أ نّه الرکن الأعظم باستمراره ومصاحبته لأکثر الأفعال وکثرة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الحقیقة عبارة عن النیّة؛ لأنّ توطین النفس علی ترک المحرَّمات المذکورة لا یخرج عنها؛ إذ لا یعتبر استدامته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یرید به نیّة الحجّ جملة، ونیّة الخروج من المنزل کما ذکره بعض الأصحاب </w:t>
      </w:r>
      <w:r>
        <w:rPr>
          <w:rStyle w:val="FootnoteAnchor"/>
          <w:rtl w:val="true"/>
        </w:rPr>
        <w:footnoteReference w:id="1897"/>
      </w:r>
      <w:r>
        <w:rPr>
          <w:rFonts w:ascii="IRNazanin" w:hAnsi="IRNazanin" w:eastAsia="IRNazanin"/>
          <w:color w:val="111111"/>
          <w:sz w:val="28"/>
          <w:sz w:val="28"/>
          <w:szCs w:val="28"/>
          <w:rtl w:val="true"/>
          <w:lang w:bidi="fa-IR"/>
        </w:rPr>
        <w:t>وفی وجوبهما نظر أقربه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اختاره المصنّف فی الدروس الأوّل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الستّة الآتیة وما فی حکمها </w:t>
      </w:r>
      <w:r>
        <w:rPr>
          <w:rStyle w:val="FootnoteAnchor"/>
          <w:rtl w:val="true"/>
        </w:rPr>
        <w:footnoteReference w:id="1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دویرة أهله، إن کانت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القرب إلی عرفات؛ لأنّ الحجّ بعد الإهلال به من المیقات لا یتعلّق الغرض فیه</w:t>
      </w:r>
    </w:p>
    <w:p>
      <w:pPr>
        <w:pStyle w:val="BookText"/>
        <w:rPr/>
      </w:pPr>
      <w:r>
        <w:rPr>
          <w:rFonts w:ascii="IRNazanin" w:hAnsi="IRNazanin" w:eastAsia="IRNazanin"/>
          <w:color w:val="111111"/>
          <w:sz w:val="28"/>
          <w:sz w:val="28"/>
          <w:szCs w:val="28"/>
          <w:rtl w:val="true"/>
          <w:lang w:bidi="fa-IR"/>
        </w:rPr>
        <w:t>بغیر عرفات، بخلاف العمرة، فإنّ مقصدها بعد الإحرام مکّة، فینبغی اعتبار القرب فیها إلی مکّة، ولکن لم یذکره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أطلق القرب </w:t>
      </w:r>
      <w:r>
        <w:rPr>
          <w:rStyle w:val="FootnoteAnchor"/>
          <w:rtl w:val="true"/>
        </w:rPr>
        <w:footnoteReference w:id="1900"/>
      </w:r>
      <w:r>
        <w:rPr>
          <w:rFonts w:ascii="IRNazanin" w:hAnsi="IRNazanin" w:eastAsia="IRNazanin"/>
          <w:color w:val="111111"/>
          <w:sz w:val="28"/>
          <w:sz w:val="28"/>
          <w:szCs w:val="28"/>
          <w:rtl w:val="true"/>
          <w:lang w:bidi="fa-IR"/>
        </w:rPr>
        <w:t xml:space="preserve">وکذا أطلق جماعة </w:t>
      </w:r>
      <w:r>
        <w:rPr>
          <w:rStyle w:val="FootnoteAnchor"/>
          <w:rtl w:val="true"/>
        </w:rPr>
        <w:footnoteReference w:id="1901"/>
      </w:r>
      <w:r>
        <w:rPr>
          <w:rFonts w:ascii="IRNazanin" w:hAnsi="IRNazanin" w:eastAsia="IRNazanin"/>
          <w:color w:val="111111"/>
          <w:sz w:val="28"/>
          <w:sz w:val="28"/>
          <w:szCs w:val="28"/>
          <w:rtl w:val="true"/>
          <w:lang w:bidi="fa-IR"/>
        </w:rPr>
        <w:t xml:space="preserve">والمصرَّح به فی الأخبار الکثیرة هو القرب إلی مکّة مطلقاً </w:t>
      </w:r>
      <w:r>
        <w:rPr>
          <w:rStyle w:val="FootnoteAnchor"/>
          <w:rtl w:val="true"/>
        </w:rPr>
        <w:footnoteReference w:id="1902"/>
      </w:r>
      <w:r>
        <w:rPr>
          <w:rFonts w:ascii="IRNazanin" w:hAnsi="IRNazanin" w:eastAsia="IRNazanin"/>
          <w:color w:val="111111"/>
          <w:sz w:val="28"/>
          <w:sz w:val="28"/>
          <w:szCs w:val="28"/>
          <w:rtl w:val="true"/>
          <w:lang w:bidi="fa-IR"/>
        </w:rPr>
        <w:t>فالعمل به متعیّن، وإن کان ما ذکره هنا متوجّهاً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اعتبره المصنّف من مراعاة القرب إلی عرفات فأهل مکّة یحرمون من منزلهم؛ لأنّ دویرتهم أقرب من المیقات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اعتبار مکّة فالحکم کذلک، إلّاأنّ الأقربیّة لا تتمّ لاقتضائها المغایرة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المنزل مساویاً للمیقات أحرم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مجاوراً بمکّة قبل مضیّ سنتین خرج إلی أحد المواقیت، وبعدهما </w:t>
      </w:r>
      <w:r>
        <w:rPr>
          <w:rStyle w:val="FootnoteAnchor"/>
          <w:rtl w:val="true"/>
        </w:rPr>
        <w:footnoteReference w:id="1903"/>
      </w:r>
      <w:r>
        <w:rPr>
          <w:rFonts w:ascii="IRNazanin" w:hAnsi="IRNazanin" w:eastAsia="IRNazanin"/>
          <w:color w:val="111111"/>
          <w:sz w:val="28"/>
          <w:sz w:val="28"/>
          <w:szCs w:val="28"/>
          <w:rtl w:val="true"/>
          <w:lang w:bidi="fa-IR"/>
        </w:rPr>
        <w:t>یساوی أهلَها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حجّ الإفراد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بسیاق الهدی وإشعاره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بشقّ سنامه من الجانب الأیمن، ولطخه بدمه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بدنة، وتقلیده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یعلِّق فی رقبته نعلاً قد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ولو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قلّد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إشعارها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w:t>
      </w:r>
      <w:bookmarkStart w:id="544" w:name="pg19806_203691"/>
    </w:p>
    <w:p>
      <w:pPr>
        <w:pStyle w:val="Heading4"/>
        <w:numPr>
          <w:ilvl w:val="3"/>
          <w:numId w:val="1"/>
        </w:numPr>
        <w:rPr/>
      </w:pPr>
      <w:bookmarkStart w:id="545" w:name="__RefHeading___Toc2028105_2314609296"/>
      <w:bookmarkStart w:id="546" w:name="_Toc200"/>
      <w:bookmarkEnd w:id="544"/>
      <w:bookmarkEnd w:id="545"/>
      <w:r>
        <w:rPr>
          <w:rtl w:val="true"/>
        </w:rPr>
        <w:t>«</w:t>
      </w:r>
      <w:r>
        <w:rPr>
          <w:rtl w:val="true"/>
        </w:rPr>
        <w:t>مسائل</w:t>
      </w:r>
      <w:r>
        <w:rPr>
          <w:rtl w:val="true"/>
        </w:rPr>
        <w:t>»</w:t>
      </w:r>
      <w:bookmarkEnd w:id="546"/>
    </w:p>
    <w:p>
      <w:pPr>
        <w:pStyle w:val="Heading5"/>
        <w:numPr>
          <w:ilvl w:val="4"/>
          <w:numId w:val="1"/>
        </w:numPr>
        <w:rPr/>
      </w:pPr>
      <w:bookmarkStart w:id="547" w:name="__RefHeading___Toc2028107_2314609296"/>
      <w:bookmarkStart w:id="548" w:name="_Toc201"/>
      <w:bookmarkEnd w:id="547"/>
      <w:r>
        <w:rPr>
          <w:rtl w:val="true"/>
        </w:rPr>
        <w:t>«</w:t>
      </w:r>
      <w:r>
        <w:rPr>
          <w:rtl w:val="true"/>
        </w:rPr>
        <w:t>الاُولی</w:t>
      </w:r>
      <w:r>
        <w:rPr>
          <w:rtl w:val="true"/>
        </w:rPr>
        <w:t>» : «</w:t>
      </w:r>
      <w:r>
        <w:rPr>
          <w:rtl w:val="true"/>
        </w:rPr>
        <w:t>یجوز لمن حجّ ندباً مفرداً العدول إلی</w:t>
      </w:r>
      <w:r>
        <w:rPr>
          <w:rtl w:val="true"/>
        </w:rPr>
        <w:t>»</w:t>
      </w:r>
      <w:bookmarkEnd w:id="548"/>
    </w:p>
    <w:p>
      <w:pPr>
        <w:pStyle w:val="BookText"/>
        <w:rPr/>
      </w:pPr>
      <w:r>
        <w:rPr>
          <w:rFonts w:ascii="IRNazanin" w:hAnsi="IRNazanin" w:eastAsia="IRNazanin"/>
          <w:color w:val="111111"/>
          <w:sz w:val="28"/>
          <w:sz w:val="28"/>
          <w:szCs w:val="28"/>
          <w:rtl w:val="true"/>
          <w:lang w:bidi="fa-IR"/>
        </w:rPr>
        <w:t xml:space="preserve">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وهذه هی المتعة التی أنکرها الثانی </w:t>
      </w:r>
      <w:r>
        <w:rPr>
          <w:rStyle w:val="FootnoteAnchor"/>
          <w:rtl w:val="true"/>
        </w:rPr>
        <w:footnoteReference w:id="1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یلبّی بعد طوافه وسعیه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محلّلان من العمرة فی الجملة، والتلبیة عاقدة للإحرام فیتنافیان؛ ولأنّ عمرة التمتّع لا تلبیة فیها بعد دخول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متعته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نقل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 علی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لروایة إسحاق بن عمّار عن الصادق علیه السلام </w:t>
      </w:r>
      <w:r>
        <w:rPr>
          <w:rStyle w:val="FootnoteAnchor"/>
          <w:rtl w:val="true"/>
        </w:rPr>
        <w:footnoteReference w:id="1905"/>
      </w:r>
      <w:r>
        <w:rPr>
          <w:rFonts w:ascii="IRNazanin" w:hAnsi="IRNazanin" w:eastAsia="IRNazanin"/>
          <w:color w:val="111111"/>
          <w:sz w:val="28"/>
          <w:sz w:val="28"/>
          <w:szCs w:val="28"/>
          <w:rtl w:val="true"/>
          <w:lang w:bidi="fa-IR"/>
        </w:rPr>
        <w:t>ولأنّ العدول کان مشروطاً بعدم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الطواف والسعی؛ لجواز تقدیمهما للمفرد علی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بذلک هو المشهور وإن کان مستنده لا یخلو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ابن إدریس </w:t>
      </w:r>
      <w:r>
        <w:rPr>
          <w:rStyle w:val="FootnoteAnchor"/>
          <w:rtl w:val="true"/>
        </w:rPr>
        <w:footnoteReference w:id="1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إلّابالنیّة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إطراحاً للروایة وعملاً بالحکم الثابت من جواز النقل بالنیّة، والتلبیة ذکر لا أثر له فی المنع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العدول للقارن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تأسّیاً بالنبیّ صلی الله علیه و آله حیث بقی علی حجّه لکونه قارناً وأمر من لم یسق الهدی بالعدول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یختصّ جواز العدول بالإفراد المندوب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العدول عن الحجّ الواجب أیضاً </w:t>
      </w:r>
      <w:r>
        <w:rPr>
          <w:rStyle w:val="FootnoteAnchor"/>
          <w:rtl w:val="true"/>
        </w:rPr>
        <w:footnoteReference w:id="1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متعیّناً أم مخیّراً بینه وبین غیره کالناذر مطلقاً وذی المنزلین المتساویین؛ لعموم الأخبار الدالّة علی الجواز </w:t>
      </w:r>
      <w:r>
        <w:rPr>
          <w:rStyle w:val="FootnoteAnchor"/>
          <w:rtl w:val="true"/>
        </w:rPr>
        <w:footnoteReference w:id="1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أمر به النبی صلی الله علیه و آله من لم یَسُق من الصحابة </w:t>
      </w:r>
      <w:r>
        <w:rPr>
          <w:rStyle w:val="FootnoteAnchor"/>
          <w:rtl w:val="true"/>
        </w:rPr>
        <w:footnoteReference w:id="1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تقیید بکون المعدول عنه مندوباً أو غیر 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 سؤال الفرق بین جواز العدول عن المعیّن اختیاراً وعدم جوازه ابتداءً </w:t>
      </w:r>
      <w:r>
        <w:rPr>
          <w:rStyle w:val="FootnoteAnchor"/>
          <w:rtl w:val="true"/>
        </w:rPr>
        <w:footnoteReference w:id="1911"/>
      </w:r>
      <w:r>
        <w:rPr>
          <w:rFonts w:ascii="IRNazanin" w:hAnsi="IRNazanin" w:eastAsia="IRNazanin"/>
          <w:color w:val="111111"/>
          <w:sz w:val="28"/>
          <w:sz w:val="28"/>
          <w:szCs w:val="28"/>
          <w:rtl w:val="true"/>
          <w:lang w:bidi="fa-IR"/>
        </w:rPr>
        <w:t xml:space="preserve">بل ربّما کان الابتداء أولی، للأمر بإتمام الحجّ والعمرة للّٰه </w:t>
      </w:r>
      <w:r>
        <w:rPr>
          <w:rStyle w:val="FootnoteAnchor"/>
          <w:rtl w:val="true"/>
        </w:rPr>
        <w:footnoteReference w:id="1912"/>
      </w:r>
      <w:r>
        <w:rPr>
          <w:rFonts w:ascii="IRNazanin" w:hAnsi="IRNazanin" w:eastAsia="IRNazanin"/>
          <w:color w:val="111111"/>
          <w:sz w:val="28"/>
          <w:sz w:val="28"/>
          <w:szCs w:val="28"/>
          <w:rtl w:val="true"/>
          <w:lang w:bidi="fa-IR"/>
        </w:rPr>
        <w:t xml:space="preserve">ومن ثمّ خصّه بعض الأصحاب بما إذا لم یتعیّن علیه الإفراد وقسیمه </w:t>
      </w:r>
      <w:r>
        <w:rPr>
          <w:rStyle w:val="FootnoteAnchor"/>
          <w:rtl w:val="true"/>
        </w:rPr>
        <w:footnoteReference w:id="1913"/>
      </w:r>
      <w:r>
        <w:rPr>
          <w:rFonts w:ascii="IRNazanin" w:hAnsi="IRNazanin" w:eastAsia="IRNazanin"/>
          <w:color w:val="111111"/>
          <w:sz w:val="28"/>
          <w:sz w:val="28"/>
          <w:szCs w:val="28"/>
          <w:rtl w:val="true"/>
          <w:lang w:bidi="fa-IR"/>
        </w:rPr>
        <w:t xml:space="preserve">کالمندوب والواجب المخیَّر، جمعاً بین ما دلّ علی الجواز مطلقاً </w:t>
      </w:r>
      <w:r>
        <w:rPr>
          <w:rStyle w:val="FootnoteAnchor"/>
          <w:rtl w:val="true"/>
        </w:rPr>
        <w:footnoteReference w:id="1914"/>
      </w:r>
      <w:r>
        <w:rPr>
          <w:rFonts w:ascii="IRNazanin" w:hAnsi="IRNazanin" w:eastAsia="IRNazanin"/>
          <w:color w:val="111111"/>
          <w:sz w:val="28"/>
          <w:sz w:val="28"/>
          <w:szCs w:val="28"/>
          <w:rtl w:val="true"/>
          <w:lang w:bidi="fa-IR"/>
        </w:rPr>
        <w:t xml:space="preserve">وما دلّ علی اختصاص کلّ قوم بنوع </w:t>
      </w:r>
      <w:r>
        <w:rPr>
          <w:rStyle w:val="FootnoteAnchor"/>
          <w:rtl w:val="true"/>
        </w:rPr>
        <w:footnoteReference w:id="1915"/>
      </w:r>
      <w:r>
        <w:rPr>
          <w:rFonts w:ascii="IRNazanin" w:hAnsi="IRNazanin" w:eastAsia="IRNazanin"/>
          <w:color w:val="111111"/>
          <w:sz w:val="28"/>
          <w:sz w:val="28"/>
          <w:szCs w:val="28"/>
          <w:rtl w:val="true"/>
          <w:lang w:bidi="fa-IR"/>
        </w:rPr>
        <w:t>وهو أولی إن لم نقل بجواز العدول عن الإفراد إلی التمتّع ابتداءً</w:t>
      </w:r>
      <w:r>
        <w:rPr>
          <w:rFonts w:eastAsia="IRNazanin" w:cs="IRNazanin"/>
          <w:color w:val="111111"/>
          <w:sz w:val="28"/>
          <w:szCs w:val="28"/>
          <w:rtl w:val="true"/>
          <w:lang w:bidi="fa-IR"/>
        </w:rPr>
        <w:t>.</w:t>
      </w:r>
      <w:bookmarkStart w:id="549" w:name="pg19806_203693"/>
    </w:p>
    <w:p>
      <w:pPr>
        <w:pStyle w:val="Heading5"/>
        <w:numPr>
          <w:ilvl w:val="4"/>
          <w:numId w:val="1"/>
        </w:numPr>
        <w:rPr/>
      </w:pPr>
      <w:bookmarkStart w:id="550" w:name="__RefHeading___Toc2028109_2314609296"/>
      <w:bookmarkStart w:id="551" w:name="_Toc202"/>
      <w:bookmarkEnd w:id="549"/>
      <w:bookmarkEnd w:id="550"/>
      <w:r>
        <w:rPr>
          <w:rtl w:val="true"/>
        </w:rPr>
        <w:t>الثانیة یجوز للقارن والمفرد إذا دخلا مکّة الطواف والسعی</w:t>
      </w:r>
      <w:r>
        <w:rPr>
          <w:rtl w:val="true"/>
        </w:rPr>
        <w:t>»</w:t>
      </w:r>
      <w:bookmarkEnd w:id="551"/>
    </w:p>
    <w:p>
      <w:pPr>
        <w:pStyle w:val="BookText"/>
        <w:rPr/>
      </w:pPr>
      <w:r>
        <w:rPr>
          <w:rFonts w:ascii="Amiri" w:hAnsi="Amiri" w:eastAsia="Amiri" w:cs="Amiri"/>
          <w:color w:val="111111"/>
          <w:sz w:val="28"/>
          <w:sz w:val="28"/>
          <w:szCs w:val="28"/>
          <w:rtl w:val="true"/>
          <w:lang w:bidi="ar-SA"/>
        </w:rPr>
        <w:t xml:space="preserve">للنصّ علی جوازه مطلقاً </w:t>
      </w:r>
      <w:r>
        <w:rPr>
          <w:rStyle w:val="FootnoteAnchor"/>
          <w:rtl w:val="true"/>
        </w:rPr>
        <w:footnoteReference w:id="1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الواجب أو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کون ذلک علی وجه التخییر؛ للإطلاق، والتردید؛ لمنع بعضهم من تقدیم الواجب </w:t>
      </w:r>
      <w:r>
        <w:rPr>
          <w:rStyle w:val="FootnoteAnchor"/>
          <w:rtl w:val="true"/>
        </w:rPr>
        <w:footnoteReference w:id="1917"/>
      </w:r>
      <w:r>
        <w:rPr>
          <w:rFonts w:ascii="IRNazanin" w:hAnsi="IRNazanin" w:eastAsia="IRNazanin"/>
          <w:color w:val="111111"/>
          <w:sz w:val="28"/>
          <w:sz w:val="28"/>
          <w:szCs w:val="28"/>
          <w:rtl w:val="true"/>
          <w:lang w:bidi="fa-IR"/>
        </w:rPr>
        <w:t xml:space="preserve">والأوّل مختاره فی الدروس </w:t>
      </w:r>
      <w:r>
        <w:rPr>
          <w:rStyle w:val="FootnoteAnchor"/>
          <w:rtl w:val="true"/>
        </w:rPr>
        <w:footnoteReference w:id="1918"/>
      </w:r>
      <w:r>
        <w:rPr>
          <w:rFonts w:ascii="IRNazanin" w:hAnsi="IRNazanin" w:eastAsia="IRNazanin"/>
          <w:color w:val="111111"/>
          <w:sz w:val="28"/>
          <w:sz w:val="28"/>
          <w:szCs w:val="28"/>
          <w:rtl w:val="true"/>
          <w:lang w:bidi="fa-IR"/>
        </w:rPr>
        <w:t>وعلیه فالحکم مختصّ بطواف الحجّ، دون طواف النساء، فلا یجوز تقدیمه إلّالضرورة کخوف الحیض المتأخّر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یجوز لهما تقدیم صلاة طوافٍ یجوز تقدیمه، کما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یجدّدان التلبیة عقیب صلاة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یعقدان بها الإحرام لئلّا یحلّا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ترکاها أحلّا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للنصوص الدالّة علیه </w:t>
      </w:r>
      <w:r>
        <w:rPr>
          <w:rStyle w:val="FootnoteAnchor"/>
          <w:rtl w:val="true"/>
        </w:rPr>
        <w:footnoteReference w:id="1919"/>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یحلّان إلّابالنیّة </w:t>
      </w:r>
      <w:r>
        <w:rPr>
          <w:rStyle w:val="FootnoteAnchor"/>
          <w:rtl w:val="true"/>
        </w:rPr>
        <w:footnoteReference w:id="1920"/>
      </w:r>
      <w:r>
        <w:rPr>
          <w:rFonts w:ascii="IRNazanin" w:hAnsi="IRNazanin" w:eastAsia="IRNazanin"/>
          <w:color w:val="111111"/>
          <w:sz w:val="28"/>
          <w:sz w:val="28"/>
          <w:szCs w:val="28"/>
          <w:rtl w:val="true"/>
          <w:lang w:bidi="fa-IR"/>
        </w:rPr>
        <w:t xml:space="preserve">وفی الدروس جعلها أولی </w:t>
      </w:r>
      <w:r>
        <w:rPr>
          <w:rStyle w:val="FootnoteAnchor"/>
          <w:rtl w:val="true"/>
        </w:rPr>
        <w:footnoteReference w:id="1921"/>
      </w:r>
      <w:r>
        <w:rPr>
          <w:rFonts w:ascii="IRNazanin" w:hAnsi="IRNazanin" w:eastAsia="IRNazanin"/>
          <w:color w:val="111111"/>
          <w:sz w:val="28"/>
          <w:sz w:val="28"/>
          <w:szCs w:val="28"/>
          <w:rtl w:val="true"/>
          <w:lang w:bidi="fa-IR"/>
        </w:rPr>
        <w:t xml:space="preserve">وعلی المشهور ینبغی الفوریّة بها عقیبها، ولا یفتقر إلی إعادة نیّة الإحرام، بناءً علی ما ذکره المصنّف من أنّ التلبیة کتکبیرة الإحرام لا تعتبر بدونها </w:t>
      </w:r>
      <w:r>
        <w:rPr>
          <w:rStyle w:val="FootnoteAnchor"/>
          <w:rtl w:val="true"/>
        </w:rPr>
        <w:footnoteReference w:id="1922"/>
      </w:r>
      <w:r>
        <w:rPr>
          <w:rFonts w:ascii="IRNazanin" w:hAnsi="IRNazanin" w:eastAsia="IRNazanin"/>
          <w:color w:val="111111"/>
          <w:sz w:val="28"/>
          <w:sz w:val="28"/>
          <w:szCs w:val="28"/>
          <w:rtl w:val="true"/>
          <w:lang w:bidi="fa-IR"/>
        </w:rPr>
        <w:t>لعدم الدلیل علی ذلک، بل إطلاق هذا دلیل علی ضعف</w:t>
      </w:r>
      <w:bookmarkStart w:id="552" w:name="pg19806_203694"/>
    </w:p>
    <w:p>
      <w:pPr>
        <w:pStyle w:val="BookText"/>
        <w:rPr/>
      </w:pPr>
      <w:bookmarkEnd w:id="552"/>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أخلّا بالتلبیة صار حجّهما عمرة وانقلب تمتّعاً ولا یجزئ عن فرضهما؛ لأ نّه عدول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بهما عن المتمتّع فلا یجوز له تقدیمهما علی الوقوف اختیاراً، ویجوز </w:t>
      </w:r>
      <w:r>
        <w:rPr>
          <w:rStyle w:val="FootnoteAnchor"/>
          <w:rtl w:val="true"/>
        </w:rPr>
        <w:footnoteReference w:id="1923"/>
      </w:r>
      <w:r>
        <w:rPr>
          <w:rFonts w:ascii="IRNazanin" w:hAnsi="IRNazanin" w:eastAsia="IRNazanin"/>
          <w:color w:val="111111"/>
          <w:sz w:val="28"/>
          <w:sz w:val="28"/>
          <w:szCs w:val="28"/>
          <w:rtl w:val="true"/>
          <w:lang w:bidi="fa-IR"/>
        </w:rPr>
        <w:t>مع الاضطرار کخوف الحیض المتأخّر، وحینئذٍ فیجب علیه التلبیة، لإطلاق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طوافه ندباً وجهان، فإن فعل جدّد التلبیة کغیره</w:t>
      </w:r>
      <w:r>
        <w:rPr>
          <w:rFonts w:eastAsia="IRNazanin" w:cs="IRNazanin"/>
          <w:color w:val="111111"/>
          <w:sz w:val="28"/>
          <w:szCs w:val="28"/>
          <w:rtl w:val="true"/>
          <w:lang w:bidi="fa-IR"/>
        </w:rPr>
        <w:t>.</w:t>
      </w:r>
    </w:p>
    <w:p>
      <w:pPr>
        <w:pStyle w:val="Heading5"/>
        <w:numPr>
          <w:ilvl w:val="4"/>
          <w:numId w:val="1"/>
        </w:numPr>
        <w:rPr/>
      </w:pPr>
      <w:bookmarkStart w:id="553" w:name="__RefHeading___Toc2028111_2314609296"/>
      <w:bookmarkStart w:id="554" w:name="_Toc203"/>
      <w:bookmarkEnd w:id="553"/>
      <w:r>
        <w:rPr>
          <w:rtl w:val="true"/>
        </w:rPr>
        <w:t>«</w:t>
      </w:r>
      <w:r>
        <w:rPr>
          <w:rtl w:val="true"/>
        </w:rPr>
        <w:t>الثالثة</w:t>
      </w:r>
      <w:r>
        <w:rPr>
          <w:rtl w:val="true"/>
        </w:rPr>
        <w:t>» : «</w:t>
      </w:r>
      <w:r>
        <w:rPr>
          <w:rtl w:val="true"/>
        </w:rPr>
        <w:t>لو بَعُد المکّی</w:t>
      </w:r>
      <w:r>
        <w:rPr>
          <w:rtl w:val="true"/>
        </w:rPr>
        <w:t>»</w:t>
      </w:r>
      <w:bookmarkEnd w:id="554"/>
    </w:p>
    <w:p>
      <w:pPr>
        <w:pStyle w:val="BookText"/>
        <w:rPr/>
      </w:pPr>
      <w:r>
        <w:rPr>
          <w:rFonts w:ascii="IRNazanin" w:hAnsi="IRNazanin" w:eastAsia="IRNazanin"/>
          <w:color w:val="111111"/>
          <w:sz w:val="28"/>
          <w:sz w:val="28"/>
          <w:szCs w:val="28"/>
          <w:rtl w:val="true"/>
          <w:lang w:bidi="fa-IR"/>
        </w:rPr>
        <w:t xml:space="preserve">عن المیقات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حجّ علی میقاتٍ أحرم منه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صار میقاته بسبب مروره کغیره من أهل المواقیت إذا مرّ بغیر میقاته وإن کان میقاته دویرة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منزلان بمکّة أو ما فی حکمها وبالآفاق الموجبة للتمتّع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إقامته فی الآفاق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غلبت بمکّة وما فی حکمها قرن أو أفرد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الأنواع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یحصل من إقامته بمکّة ما یوجب انتقال حکمه، کما لو أقام بمنزله الآفاقی ثلاث سنین وبمکّة سنتین متوالیتین وحصلت الاستطاعة فیها، فإنّه حینئذٍ یلزمه حکم مکّة وإن کانت إقامته فی الآفاقی أکثر، لما سیأتی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الإقامة بین ما وقع منها حالَ التکلیف وغیره، ولا بین ما أتمّ الصلاة فیها وغیره، ولا بین الاختیاریة والاضطراریّة، ولا بین المنزل المملوک</w:t>
      </w:r>
    </w:p>
    <w:p>
      <w:pPr>
        <w:pStyle w:val="BookText"/>
        <w:rPr/>
      </w:pPr>
      <w:r>
        <w:rPr>
          <w:rFonts w:ascii="IRNazanin" w:hAnsi="IRNazanin" w:eastAsia="IRNazanin"/>
          <w:color w:val="111111"/>
          <w:sz w:val="28"/>
          <w:sz w:val="28"/>
          <w:szCs w:val="28"/>
          <w:rtl w:val="true"/>
          <w:lang w:bidi="fa-IR"/>
        </w:rPr>
        <w:t xml:space="preserve">عیناً ومنفعة والمغصوب، ولا بین أن یکون بین المنزلین مسافة القصر وعدمه، لإطلاق النصّ فی ذلک کلّه </w:t>
      </w:r>
      <w:r>
        <w:rPr>
          <w:rStyle w:val="FootnoteAnchor"/>
          <w:rtl w:val="true"/>
        </w:rPr>
        <w:footnoteReference w:id="1924"/>
      </w:r>
      <w:r>
        <w:rPr>
          <w:rFonts w:ascii="IRNazanin" w:hAnsi="IRNazanin" w:eastAsia="IRNazanin"/>
          <w:color w:val="111111"/>
          <w:sz w:val="28"/>
          <w:sz w:val="28"/>
          <w:szCs w:val="28"/>
          <w:rtl w:val="true"/>
          <w:lang w:bidi="fa-IR"/>
        </w:rPr>
        <w:t>ومسافة السفر إلی کلٍّ منهما لا یحتسب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حکم باللحوق بأحد المنزلین اعتبرت الاستطاعة منه، ولو اشتبه الأغلب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والمجاور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الإقامة علی الدوام أو لا معها من أهل الآفاق 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الثالثة إلی الإفراد والقران، وقبلها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تجدّدت الاستطاعة فی زمن الإقامة، وإلّا لم ینتقل ما وجب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والاستطاعة تابعة للفرض فیهما </w:t>
      </w:r>
      <w:r>
        <w:rPr>
          <w:rStyle w:val="FootnoteAnchor"/>
          <w:rtl w:val="true"/>
        </w:rPr>
        <w:footnoteReference w:id="1925"/>
      </w:r>
      <w:r>
        <w:rPr>
          <w:rFonts w:ascii="IRNazanin" w:hAnsi="IRNazanin" w:eastAsia="IRNazanin"/>
          <w:color w:val="111111"/>
          <w:sz w:val="28"/>
          <w:sz w:val="28"/>
          <w:szCs w:val="28"/>
          <w:rtl w:val="true"/>
          <w:lang w:bidi="fa-IR"/>
        </w:rPr>
        <w:t>إن کانت الإقامة بنیّة الدوام، وإلّا اعتبرت من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انعکس الفرض بأن أقام المکّی فی الآفاق، اعتبرت نیّة الدوام وعدمه فی الفرض والاستطاعة إن لم تسبق الاستطاعة بمکّة کما مرّ </w:t>
      </w:r>
      <w:r>
        <w:rPr>
          <w:rStyle w:val="FootnoteAnchor"/>
          <w:rtl w:val="true"/>
        </w:rPr>
        <w:footnoteReference w:id="1926"/>
      </w:r>
      <w:r>
        <w:rPr>
          <w:rFonts w:ascii="IRNazanin" w:hAnsi="IRNazanin" w:eastAsia="IRNazanin"/>
          <w:color w:val="111111"/>
          <w:sz w:val="28"/>
          <w:sz w:val="28"/>
          <w:szCs w:val="28"/>
          <w:rtl w:val="true"/>
          <w:lang w:bidi="fa-IR"/>
        </w:rPr>
        <w:t>کما یعتبر ذلک فی الآفاقی لو انتقل من بلدٍ إلی آخر یشارکه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أیضاً بین الإقامة زمن التکلیف وغیره، ولا بین الاختیاریّة والاضطراریّة؛ للإطلاق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الهدی علی غیر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قارناً، لأنّ هدی القران غیر واجب ابتداءً وإن تعیّن بعد الإشعار أو التقلید للذبح</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هدی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أجزاؤه من الطواف والسعی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فات من الإحرام له من</w:t>
      </w:r>
      <w:bookmarkStart w:id="555" w:name="pg19806_203696"/>
    </w:p>
    <w:p>
      <w:pPr>
        <w:pStyle w:val="BookText"/>
        <w:rPr/>
      </w:pPr>
      <w:bookmarkEnd w:id="555"/>
      <w:r>
        <w:rPr>
          <w:rFonts w:ascii="IRNazanin" w:hAnsi="IRNazanin" w:eastAsia="IRNazanin"/>
          <w:color w:val="111111"/>
          <w:sz w:val="28"/>
          <w:sz w:val="28"/>
          <w:szCs w:val="28"/>
          <w:rtl w:val="true"/>
          <w:lang w:bidi="fa-IR"/>
        </w:rPr>
        <w:t>المیقات، علی المشهور بین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رحمه الله قولٌ بأ نّه جبران </w:t>
      </w:r>
      <w:r>
        <w:rPr>
          <w:rStyle w:val="FootnoteAnchor"/>
          <w:rtl w:val="true"/>
        </w:rPr>
        <w:footnoteReference w:id="1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تعالی من الشعائر </w:t>
      </w:r>
      <w:r>
        <w:rPr>
          <w:rStyle w:val="FootnoteAnchor"/>
          <w:rtl w:val="true"/>
        </w:rPr>
        <w:footnoteReference w:id="1929"/>
      </w:r>
      <w:r>
        <w:rPr>
          <w:rFonts w:ascii="IRNazanin" w:hAnsi="IRNazanin" w:eastAsia="IRNazanin"/>
          <w:color w:val="111111"/>
          <w:sz w:val="28"/>
          <w:sz w:val="28"/>
          <w:szCs w:val="28"/>
          <w:rtl w:val="true"/>
          <w:lang w:bidi="fa-IR"/>
        </w:rPr>
        <w:t xml:space="preserve">وأمره بالأکل منه </w:t>
      </w:r>
      <w:r>
        <w:rPr>
          <w:rStyle w:val="FootnoteAnchor"/>
          <w:rtl w:val="true"/>
        </w:rPr>
        <w:footnoteReference w:id="1930"/>
      </w:r>
      <w:r>
        <w:rPr>
          <w:rFonts w:ascii="IRNazanin" w:hAnsi="IRNazanin" w:eastAsia="IRNazanin"/>
          <w:color w:val="111111"/>
          <w:sz w:val="28"/>
          <w:sz w:val="28"/>
          <w:szCs w:val="28"/>
          <w:rtl w:val="true"/>
          <w:lang w:bidi="fa-IR"/>
        </w:rPr>
        <w:t>یدلّ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الفائدة فیما لو أحرم به من المیقات أو مرّ به بعد أن أحرم من مکّة فیسقط الهدی علی الجبران، لحصول الغرض، ویبقی علی 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أحرم من مکّة وخرج إلی عرفات من غیر أن یمرّ بالمیقات وجب الهدی علی القولین وهو موضع وفاق</w:t>
      </w:r>
      <w:r>
        <w:rPr>
          <w:rFonts w:eastAsia="IRNazanin" w:cs="IRNazanin"/>
          <w:color w:val="111111"/>
          <w:sz w:val="28"/>
          <w:szCs w:val="28"/>
          <w:rtl w:val="true"/>
          <w:lang w:bidi="fa-IR"/>
        </w:rPr>
        <w:t>.</w:t>
      </w:r>
    </w:p>
    <w:p>
      <w:pPr>
        <w:pStyle w:val="Heading5"/>
        <w:numPr>
          <w:ilvl w:val="4"/>
          <w:numId w:val="1"/>
        </w:numPr>
        <w:rPr/>
      </w:pPr>
      <w:bookmarkStart w:id="556" w:name="__RefHeading___Toc2028113_2314609296"/>
      <w:bookmarkStart w:id="557" w:name="_Toc204"/>
      <w:bookmarkEnd w:id="556"/>
      <w:r>
        <w:rPr>
          <w:rtl w:val="true"/>
        </w:rPr>
        <w:t>الرابعةلا یجوز الجمع بین النسکین</w:t>
      </w:r>
      <w:bookmarkEnd w:id="557"/>
    </w:p>
    <w:p>
      <w:pPr>
        <w:pStyle w:val="BookText"/>
        <w:rPr/>
      </w:pPr>
      <w:r>
        <w:rPr>
          <w:rFonts w:ascii="IRNazanin" w:hAnsi="IRNazanin" w:eastAsia="IRNazanin"/>
          <w:color w:val="111111"/>
          <w:sz w:val="28"/>
          <w:sz w:val="28"/>
          <w:szCs w:val="28"/>
          <w:rtl w:val="true"/>
          <w:lang w:bidi="fa-IR"/>
        </w:rPr>
        <w:t xml:space="preserve">الحجّ والعمرة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القران وغیره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للنهی </w:t>
      </w:r>
      <w:r>
        <w:rPr>
          <w:rStyle w:val="FootnoteAnchor"/>
          <w:rtl w:val="true"/>
        </w:rPr>
        <w:footnoteReference w:id="1931"/>
      </w:r>
      <w:r>
        <w:rPr>
          <w:rFonts w:ascii="IRNazanin" w:hAnsi="IRNazanin" w:eastAsia="IRNazanin"/>
          <w:color w:val="111111"/>
          <w:sz w:val="28"/>
          <w:sz w:val="28"/>
          <w:szCs w:val="28"/>
          <w:rtl w:val="true"/>
          <w:lang w:bidi="fa-IR"/>
        </w:rPr>
        <w:t>المفسد للعبادة کما لو نوی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للخلاف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ینعقد الحجّ خاصّة </w:t>
      </w:r>
      <w:r>
        <w:rPr>
          <w:rStyle w:val="FootnoteAnchor"/>
          <w:rtl w:val="true"/>
        </w:rPr>
        <w:footnoteReference w:id="1932"/>
      </w:r>
      <w:r>
        <w:rPr>
          <w:rFonts w:ascii="IRNazanin" w:hAnsi="IRNazanin" w:eastAsia="IRNazanin"/>
          <w:color w:val="111111"/>
          <w:sz w:val="28"/>
          <w:sz w:val="28"/>
          <w:szCs w:val="28"/>
          <w:rtl w:val="true"/>
          <w:lang w:bidi="fa-IR"/>
        </w:rPr>
        <w:t xml:space="preserve">وللحسن حیث جوّز ذلک وجعله تفسیراً للقران مع سیاق الهدی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إدخال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ینوی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تحلّله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الفراغ منه، لا مطلق التحلّل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 الثانی إن کان</w:t>
      </w:r>
    </w:p>
    <w:p>
      <w:pPr>
        <w:pStyle w:val="BookText"/>
        <w:rPr/>
      </w:pP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حتی لو أوقعها قبلَ المبیت بمنی لیالی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التقصیر وتعمّد ذلک فالمرویّ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 یبقی علی حجّة مفردة </w:t>
      </w:r>
      <w:r>
        <w:rPr>
          <w:rStyle w:val="FootnoteAnchor"/>
          <w:rtl w:val="true"/>
        </w:rPr>
        <w:footnoteReference w:id="1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بطلان عمرة التمتّع وصیرورتها بالإحرام قبلَ إکمالها حجّة مفردة فیکملها ثم یعتمر بعدها عمرة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ونسبته إلی المرویّ یشعر بتوقّفه فی حکمه من حیث النهی عن الإحرام الثانی، وبوقوع خلاف ما نواه إن أدخل حجّ التمتّع، وعدم صلاحیّة الزمان إن أدخل غیره، فبطلان الإحرام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الروایة لیست صریحة فی ذلک؛ لأ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إذا طاف وسعی ثمَّ لبّی قبل أن یقصّر فلیس له أن یقصّر ولیس له متعة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المصنّف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حملها علی متمتّعٍ عدل عن الإفراد ثمّ لبّی بعد السعی؛ لأنّه روی التصریح بذلک فی روایة اُخری </w:t>
      </w:r>
      <w:r>
        <w:rPr>
          <w:rStyle w:val="FootnoteAnchor"/>
          <w:rtl w:val="true"/>
        </w:rPr>
        <w:footnoteReference w:id="1935"/>
      </w:r>
      <w:r>
        <w:rPr>
          <w:rFonts w:ascii="IRNazanin" w:hAnsi="IRNazanin" w:eastAsia="IRNazanin"/>
          <w:color w:val="111111"/>
          <w:sz w:val="28"/>
          <w:sz w:val="28"/>
          <w:szCs w:val="28"/>
          <w:rtl w:val="true"/>
          <w:lang w:bidi="fa-IR"/>
        </w:rPr>
        <w:t xml:space="preserve">والشیخ رحمه الله حملها علی المتعمّد، جمعاً بینها وبین حسنة عمّار المتضمّنة أنّ من دخل فی الحجّ قبل التقصیر ناسیاً لا شیء علیه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حکمنا بصحّة الثانی وانقلابه مفرداً لا یجزئ عن فرضه؛ لأنّه عدول اختیاری ولم یأت بالمأمور به علی وجهه، والجاهل عامد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ناسیاً صحّ إحرامه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وحجّه، ولا یلزمه قضاء التقصیر؛</w:t>
      </w:r>
    </w:p>
    <w:p>
      <w:pPr>
        <w:pStyle w:val="BookText"/>
        <w:rPr/>
      </w:pPr>
      <w:r>
        <w:rPr>
          <w:rFonts w:ascii="Amiri" w:hAnsi="Amiri" w:eastAsia="Amiri" w:cs="Amiri"/>
          <w:color w:val="111111"/>
          <w:sz w:val="28"/>
          <w:sz w:val="28"/>
          <w:szCs w:val="28"/>
          <w:rtl w:val="true"/>
          <w:lang w:bidi="ar-SA"/>
        </w:rPr>
        <w:t xml:space="preserve">لأ نّه لیس جزءاً بل محلّلاً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جبره 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للروایة </w:t>
      </w:r>
      <w:r>
        <w:rPr>
          <w:rStyle w:val="FootnoteAnchor"/>
          <w:rtl w:val="true"/>
        </w:rPr>
        <w:footnoteReference w:id="1937"/>
      </w:r>
      <w:r>
        <w:rPr>
          <w:rFonts w:ascii="IRNazanin" w:hAnsi="IRNazanin" w:eastAsia="IRNazanin"/>
          <w:color w:val="111111"/>
          <w:sz w:val="28"/>
          <w:sz w:val="28"/>
          <w:szCs w:val="28"/>
          <w:rtl w:val="true"/>
          <w:lang w:bidi="fa-IR"/>
        </w:rPr>
        <w:t>المحمولة علی الاستحباب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الإحرام قبل إکمال السعی بطل ووجب إکمال العمرة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 نّه لا یحتاج إلی استثناء من تعذّر علیه إتمام نسکه، فإنّه یجوز له الانتقال إلی الآخر قبل إکماله؛ لأنّ ذلک لا یسمّی إدخالاً، بل انتقالاً وإن کان المصنّف قد استثناه فی الدروس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bookmarkStart w:id="558" w:name="pg19806_203699"/>
    </w:p>
    <w:p>
      <w:pPr>
        <w:pStyle w:val="Heading3"/>
        <w:numPr>
          <w:ilvl w:val="2"/>
          <w:numId w:val="1"/>
        </w:numPr>
        <w:rPr/>
      </w:pPr>
      <w:bookmarkStart w:id="559" w:name="__RefHeading___Toc2028115_2314609296"/>
      <w:bookmarkStart w:id="560" w:name="_Toc205"/>
      <w:bookmarkEnd w:id="558"/>
      <w:bookmarkEnd w:id="559"/>
      <w:r>
        <w:rPr>
          <w:rtl w:val="true"/>
        </w:rPr>
        <w:t>«</w:t>
      </w:r>
      <w:r>
        <w:rPr>
          <w:rtl w:val="true"/>
        </w:rPr>
        <w:t>الفصل الثالث</w:t>
      </w:r>
      <w:r>
        <w:rPr>
          <w:rtl w:val="true"/>
        </w:rPr>
        <w:t>» «</w:t>
      </w:r>
      <w:r>
        <w:rPr>
          <w:rtl w:val="true"/>
        </w:rPr>
        <w:t>فی المواقیت</w:t>
      </w:r>
      <w:r>
        <w:rPr>
          <w:rtl w:val="true"/>
        </w:rPr>
        <w:t>»</w:t>
      </w:r>
      <w:bookmarkEnd w:id="560"/>
    </w:p>
    <w:p>
      <w:pPr>
        <w:pStyle w:val="BookText"/>
        <w:rPr/>
      </w:pPr>
      <w:r>
        <w:rPr>
          <w:rFonts w:ascii="IRNazanin" w:hAnsi="IRNazanin" w:eastAsia="IRNazanin"/>
          <w:color w:val="111111"/>
          <w:sz w:val="28"/>
          <w:sz w:val="28"/>
          <w:szCs w:val="28"/>
          <w:rtl w:val="true"/>
          <w:lang w:bidi="fa-IR"/>
        </w:rPr>
        <w:t>واحدها میقات، وهو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المضروب للفعل والموضع المعیّن له، والمراد هنا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الإحرام قبل المیقات إلّابالنذر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العهد والیمین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الإحرام فی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لما یشترط وقوعه فیها، وهو الحجّ مطلقاً وعمرة التمتّع</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عمرة مفردة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إحرامها فی أشهره، لجوازها فی مطلق السنة، فیصحّ تقدیمه علی المیقات بالنذر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بجواز تقدیمه بالنذر وشبهه أصحّ القولین وأشهرهما، وبه أخبارٌ </w:t>
      </w:r>
      <w:r>
        <w:rPr>
          <w:rStyle w:val="FootnoteAnchor"/>
          <w:rtl w:val="true"/>
        </w:rPr>
        <w:footnoteReference w:id="1939"/>
      </w:r>
      <w:r>
        <w:rPr>
          <w:rFonts w:ascii="IRNazanin" w:hAnsi="IRNazanin" w:eastAsia="IRNazanin"/>
          <w:color w:val="111111"/>
          <w:sz w:val="28"/>
          <w:sz w:val="28"/>
          <w:szCs w:val="28"/>
          <w:rtl w:val="true"/>
          <w:lang w:bidi="fa-IR"/>
        </w:rPr>
        <w:t xml:space="preserve">بعضها صحیح </w:t>
      </w:r>
      <w:r>
        <w:rPr>
          <w:rStyle w:val="FootnoteAnchor"/>
          <w:rtl w:val="true"/>
        </w:rPr>
        <w:footnoteReference w:id="1940"/>
      </w:r>
      <w:r>
        <w:rPr>
          <w:rFonts w:ascii="IRNazanin" w:hAnsi="IRNazanin" w:eastAsia="IRNazanin"/>
          <w:color w:val="111111"/>
          <w:sz w:val="28"/>
          <w:sz w:val="28"/>
          <w:szCs w:val="28"/>
          <w:rtl w:val="true"/>
          <w:lang w:bidi="fa-IR"/>
        </w:rPr>
        <w:t xml:space="preserve">فلا یُسمع إنکار بعض الأصحاب له </w:t>
      </w:r>
      <w:r>
        <w:rPr>
          <w:rStyle w:val="FootnoteAnchor"/>
          <w:rtl w:val="true"/>
        </w:rPr>
        <w:footnoteReference w:id="1941"/>
      </w:r>
      <w:r>
        <w:rPr>
          <w:rFonts w:ascii="IRNazanin" w:hAnsi="IRNazanin" w:eastAsia="IRNazanin"/>
          <w:color w:val="111111"/>
          <w:sz w:val="28"/>
          <w:sz w:val="28"/>
          <w:szCs w:val="28"/>
          <w:rtl w:val="true"/>
          <w:lang w:bidi="fa-IR"/>
        </w:rPr>
        <w:t>استضعافاً لمستنده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خاف مرید الاعتمار فی رجب تقضّیه جاز له الإحرام قبل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لیدرک فضیلة الاعتمار فی رجب الذی یلی الحجّ فی الفضل </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وتحصل بالإهلال فیه وإن وقعت الأفعال فی غیره، ولیکن الإحرام فی آخر جزءٍ من رجب تقریباً لا تحقیقاً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إعادته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فی أصحّ القولین </w:t>
      </w:r>
      <w:r>
        <w:rPr>
          <w:rStyle w:val="FootnoteAnchor"/>
          <w:rtl w:val="true"/>
        </w:rPr>
        <w:footnoteReference w:id="1943"/>
      </w:r>
      <w:r>
        <w:rPr>
          <w:rFonts w:ascii="IRNazanin" w:hAnsi="IRNazanin" w:eastAsia="IRNazanin"/>
          <w:color w:val="111111"/>
          <w:sz w:val="28"/>
          <w:sz w:val="28"/>
          <w:szCs w:val="28"/>
          <w:rtl w:val="true"/>
          <w:lang w:bidi="fa-IR"/>
        </w:rPr>
        <w:t>للامتثال المقتضی للإجزاء، نعم یستحبّ خروجاً من خلاف من أوجبها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لمکلّف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یتجاوز المیقات بغیر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استثنی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المتکرّر، ومن دخلها لقتال؛ ومن لیس بقاصد مکّة عند مروره علی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تجاوزه غیر هؤلاء بغیر 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تعذّر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تجاوزه بغیر إحرام عالماً بوجوبه، ووجب علیه قضاؤه وإن لم یکن مستطیعاً بل کان سببه إرادة الدخول، فإنّ ذلک موجب له کالمنذور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رجع قبل دخول الحرم فلا قضاء علیه وإن أثم بتأخیر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متعمّداً بل نسی أو جهل أو لم یکن قاصداً مکّة ثم بدا له قصدها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من حیث أمکن</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معذوراً ثم زال عذره بذکره وعلمه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خرج عن منتهی الحرم إن لم یمکنه الوصول إلی أحد المواقیت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إلی أدنی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أمکنه الرجوع إلی المیقات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الواجب بالأصالة، وإنّما قام غیره مقامه للضرورة، ومع إمکان الرجوع إلیه لا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کمل غیر المکلَّف بالبلوغ</w:t>
      </w:r>
    </w:p>
    <w:p>
      <w:pPr>
        <w:pStyle w:val="BookText"/>
        <w:rPr/>
      </w:pPr>
      <w:r>
        <w:rPr>
          <w:rFonts w:ascii="IRNazanin" w:hAnsi="IRNazanin" w:eastAsia="IRNazanin"/>
          <w:color w:val="111111"/>
          <w:sz w:val="28"/>
          <w:sz w:val="28"/>
          <w:szCs w:val="28"/>
          <w:rtl w:val="true"/>
          <w:lang w:bidi="fa-IR"/>
        </w:rPr>
        <w:t xml:space="preserve">والعقل والعتق بعد تجاوز المیقات فکمن لا یرید النسک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وقّتها رسول اللّٰه صلی الله علیه و آله لأهل الآفاق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لهنّ ولمن أتی علیهنّ من غیر أهلهنّ</w:t>
      </w:r>
      <w:r>
        <w:rPr>
          <w:rFonts w:eastAsia="IRNazanin" w:cs="IRNazanin"/>
          <w:color w:val="111111"/>
          <w:sz w:val="28"/>
          <w:szCs w:val="28"/>
          <w:rtl w:val="true"/>
          <w:lang w:bidi="fa-IR"/>
        </w:rPr>
        <w:t xml:space="preserve">»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وفتح اللام والتاء بعد الفاء </w:t>
      </w:r>
      <w:r>
        <w:rPr>
          <w:rStyle w:val="FootnoteAnchor"/>
          <w:rtl w:val="true"/>
        </w:rPr>
        <w:footnoteReference w:id="1946"/>
      </w:r>
      <w:r>
        <w:rPr>
          <w:rFonts w:ascii="IRNazanin" w:hAnsi="IRNazanin" w:eastAsia="IRNazanin"/>
          <w:color w:val="111111"/>
          <w:sz w:val="28"/>
          <w:sz w:val="28"/>
          <w:szCs w:val="28"/>
          <w:rtl w:val="true"/>
          <w:lang w:bidi="fa-IR"/>
        </w:rPr>
        <w:t xml:space="preserve">بغیر فصل،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واللام، واحد الحلفاء، وهو النبات المعروف، قاله الجوهری </w:t>
      </w:r>
      <w:r>
        <w:rPr>
          <w:rStyle w:val="FootnoteAnchor"/>
          <w:rtl w:val="true"/>
        </w:rPr>
        <w:footnoteReference w:id="1947"/>
      </w:r>
      <w:r>
        <w:rPr>
          <w:rFonts w:ascii="IRNazanin" w:hAnsi="IRNazanin" w:eastAsia="IRNazanin"/>
          <w:color w:val="111111"/>
          <w:sz w:val="28"/>
          <w:sz w:val="28"/>
          <w:szCs w:val="28"/>
          <w:rtl w:val="true"/>
          <w:lang w:bidi="fa-IR"/>
        </w:rPr>
        <w:t xml:space="preserve">أو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الیمین لتحالف قومٍ من العرب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ماء علی ستّة أمیال من المدینة، والمراد الموضع الذی فیه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مسجد الشجرة، والإحرام منه أفضل وأحوط، للتأسّی </w:t>
      </w:r>
      <w:r>
        <w:rPr>
          <w:rStyle w:val="FootnoteAnchor"/>
          <w:rtl w:val="true"/>
        </w:rPr>
        <w:footnoteReference w:id="1948"/>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یتعیّن منه </w:t>
      </w:r>
      <w:r>
        <w:rPr>
          <w:rStyle w:val="FootnoteAnchor"/>
          <w:rtl w:val="true"/>
        </w:rPr>
        <w:footnoteReference w:id="1949"/>
      </w:r>
      <w:r>
        <w:rPr>
          <w:rFonts w:ascii="IRNazanin" w:hAnsi="IRNazanin" w:eastAsia="IRNazanin"/>
          <w:color w:val="111111"/>
          <w:sz w:val="28"/>
          <w:sz w:val="28"/>
          <w:szCs w:val="28"/>
          <w:rtl w:val="true"/>
          <w:lang w:bidi="fa-IR"/>
        </w:rPr>
        <w:t xml:space="preserve">لتفسیر ذی الحلیفة به فی بعض الأخبار </w:t>
      </w:r>
      <w:r>
        <w:rPr>
          <w:rStyle w:val="FootnoteAnchor"/>
          <w:rtl w:val="true"/>
        </w:rPr>
        <w:footnoteReference w:id="1950"/>
      </w:r>
      <w:r>
        <w:rPr>
          <w:rFonts w:ascii="IRNazanin" w:hAnsi="IRNazanin" w:eastAsia="IRNazanin"/>
          <w:color w:val="111111"/>
          <w:sz w:val="28"/>
          <w:sz w:val="28"/>
          <w:szCs w:val="28"/>
          <w:rtl w:val="true"/>
          <w:lang w:bidi="fa-IR"/>
        </w:rPr>
        <w:t xml:space="preserve">وهو جامع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للمدینة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الأصل مدینة أجحف بها السیل، علی ثلاث مراحل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الآن لأهل مصر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من جبال تهامة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للیمن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وقَرْن المنازل </w:t>
      </w:r>
      <w:r>
        <w:rPr>
          <w:rStyle w:val="FootnoteAnchor"/>
          <w:rtl w:val="true"/>
        </w:rPr>
        <w:footnoteReference w:id="1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فسکون الراء، 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وأنّ اُویساً منها </w:t>
      </w:r>
      <w:r>
        <w:rPr>
          <w:rStyle w:val="FootnoteAnchor"/>
          <w:rtl w:val="true"/>
        </w:rPr>
        <w:footnoteReference w:id="1952"/>
      </w:r>
      <w:r>
        <w:rPr>
          <w:rFonts w:ascii="Amiri" w:hAnsi="Amiri" w:eastAsia="Amiri" w:cs="Amiri"/>
          <w:color w:val="111111"/>
          <w:sz w:val="28"/>
          <w:sz w:val="28"/>
          <w:szCs w:val="28"/>
          <w:rtl w:val="true"/>
          <w:lang w:bidi="ar-SA"/>
        </w:rPr>
        <w:t>وخطّؤوه فیهما؛ فإنّ اُویساً یمنیٌّ منسوب إلی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مراد، وقَرن جبل صغیر میقات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وادٍ طویل یزید علی بریدین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للعراق، وأفضله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المسلخ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أوّله من جهة العراق، ورُوی أنّ أوّله دونه بستّة أمیال </w:t>
      </w:r>
      <w:r>
        <w:rPr>
          <w:rStyle w:val="FootnoteAnchor"/>
          <w:rtl w:val="true"/>
        </w:rPr>
        <w:footnoteReference w:id="1954"/>
      </w:r>
      <w:r>
        <w:rPr>
          <w:rFonts w:ascii="IRNazanin" w:hAnsi="IRNazanin" w:eastAsia="IRNazanin"/>
          <w:color w:val="111111"/>
          <w:sz w:val="28"/>
          <w:sz w:val="28"/>
          <w:szCs w:val="28"/>
          <w:rtl w:val="true"/>
          <w:lang w:bidi="fa-IR"/>
        </w:rPr>
        <w:t xml:space="preserve">ولیس فی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بالسین والحاء المهملتین، واحد المسالح وهو المواضع العالیة </w:t>
      </w:r>
      <w:r>
        <w:rPr>
          <w:rStyle w:val="FootnoteAnchor"/>
          <w:rtl w:val="true"/>
        </w:rPr>
        <w:footnoteReference w:id="1955"/>
      </w:r>
      <w:r>
        <w:rPr>
          <w:rFonts w:ascii="IRNazanin" w:hAnsi="IRNazanin" w:eastAsia="IRNazanin"/>
          <w:color w:val="111111"/>
          <w:sz w:val="28"/>
          <w:sz w:val="28"/>
          <w:szCs w:val="28"/>
          <w:rtl w:val="true"/>
          <w:lang w:bidi="fa-IR"/>
        </w:rPr>
        <w:t xml:space="preserve">وبالخاء المعجمة لنزع الثیاب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یلیه فی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وسط الوادی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آخره إلی جهة المغرب، وبُعدها عن مکّة مرحلتان قاصدتان </w:t>
      </w:r>
      <w:r>
        <w:rPr>
          <w:rStyle w:val="FootnoteAnchor"/>
          <w:rtl w:val="true"/>
        </w:rPr>
        <w:footnoteReference w:id="1956"/>
      </w:r>
      <w:r>
        <w:rPr>
          <w:rFonts w:ascii="Amiri" w:hAnsi="Amiri" w:eastAsia="Amiri" w:cs="Amiri"/>
          <w:color w:val="111111"/>
          <w:sz w:val="28"/>
          <w:sz w:val="28"/>
          <w:szCs w:val="28"/>
          <w:rtl w:val="true"/>
          <w:lang w:bidi="ar-SA"/>
        </w:rPr>
        <w:t xml:space="preserve">کبُعد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ومیقات حجّ التمتّع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w:t>
      </w:r>
      <w:r>
        <w:rPr>
          <w:rStyle w:val="FootnoteAnchor"/>
          <w:rtl w:val="true"/>
        </w:rPr>
        <w:footnoteReference w:id="1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 الإفراد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أقرب إلی عرفات من المیقات مطلقاً </w:t>
      </w:r>
      <w:r>
        <w:rPr>
          <w:rStyle w:val="FootnoteAnchor"/>
          <w:rtl w:val="true"/>
        </w:rPr>
        <w:footnoteReference w:id="1958"/>
      </w:r>
      <w:r>
        <w:rPr>
          <w:rFonts w:ascii="IRNazanin" w:hAnsi="IRNazanin" w:eastAsia="IRNazanin"/>
          <w:color w:val="111111"/>
          <w:sz w:val="28"/>
          <w:sz w:val="28"/>
          <w:szCs w:val="28"/>
          <w:rtl w:val="true"/>
          <w:lang w:bidi="fa-IR"/>
        </w:rPr>
        <w:t xml:space="preserve">لما عرفت من أنّ أقرب المواقیت إلی مکّة مرحلتان هی ثمانیة وأربعون میلاً، وهی منتهی مسافة حاضری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سبق </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کان منزله أقرب إلی عرفات فمیقاته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بإمکان زیادة منزله بالنسبة إلی عرفة والمساواة فیتعیّن المیقات فیهما وإن لم یتّفق ذلک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 حجّ علی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کالشامی یمرّ بذی الحلیفة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من أهله، ولو تعدّدت المواقیت فی الطریق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کذی الحلیفة والجحفة والعقیق بطریق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من أوّلها مع الاختیار، ومن ثانیها مع الاضطرار، کمرض یشقّ معه التجرید وکشف الرأس، أو ضعفٍ، أو حرٍّ، أو بردٍ بحیث لا یتحمّل ذلک عادة، ولو عدل عنه جاز التأخیر إلی الآخر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 إلی الآخر عمداً أثم وأجزأ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حجّ علی غیر میقاتٍ کفته المحاذاة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للمیقات، وهی مسامتته بالإضافة إلی قاصد مکّة عرفاً إن اتّفقت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یحاذ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من قدرٍ تشترک فیه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قدر بُعد أقرب المواقیت من مکّة، وهو مرحلتان کما سبق علماً أو ظنّاً فی برٍّ أو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أعمّ ممّا اعتبرناه؛ لأنّ المشترک بینها یصدق بالیسیر، وکأ نّه أراد تمام المشترک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تبیّنت </w:t>
      </w:r>
      <w:r>
        <w:rPr>
          <w:rStyle w:val="FootnoteAnchor"/>
          <w:rtl w:val="true"/>
        </w:rPr>
        <w:footnoteReference w:id="1960"/>
      </w:r>
      <w:r>
        <w:rPr>
          <w:rFonts w:ascii="IRNazanin" w:hAnsi="IRNazanin" w:eastAsia="IRNazanin"/>
          <w:color w:val="111111"/>
          <w:sz w:val="28"/>
          <w:sz w:val="28"/>
          <w:szCs w:val="28"/>
          <w:rtl w:val="true"/>
          <w:lang w:bidi="fa-IR"/>
        </w:rPr>
        <w:t>الموافقة أو استمرّ الاشتباه أجزأ، ولو تبیّن تقدّمه قبل تجاوزه أعاده، وبعدَه أو تبیّن تأخّره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المخالفة، وتعبّده بظنّه المقتضی للإجزاء</w:t>
      </w:r>
      <w:r>
        <w:rPr>
          <w:rFonts w:eastAsia="IRNazanin" w:cs="IRNazanin"/>
          <w:color w:val="111111"/>
          <w:sz w:val="28"/>
          <w:szCs w:val="28"/>
          <w:rtl w:val="true"/>
          <w:lang w:bidi="fa-IR"/>
        </w:rPr>
        <w:t>.</w:t>
      </w:r>
      <w:bookmarkStart w:id="561" w:name="pg19806_203705"/>
    </w:p>
    <w:p>
      <w:pPr>
        <w:pStyle w:val="Heading3"/>
        <w:numPr>
          <w:ilvl w:val="2"/>
          <w:numId w:val="1"/>
        </w:numPr>
        <w:rPr/>
      </w:pPr>
      <w:bookmarkStart w:id="562" w:name="__RefHeading___Toc2028117_2314609296"/>
      <w:bookmarkStart w:id="563" w:name="_Toc206"/>
      <w:bookmarkEnd w:id="561"/>
      <w:bookmarkEnd w:id="562"/>
      <w:r>
        <w:rPr>
          <w:rtl w:val="true"/>
        </w:rPr>
        <w:t>«</w:t>
      </w:r>
      <w:r>
        <w:rPr>
          <w:rtl w:val="true"/>
        </w:rPr>
        <w:t>الفصل الرابع</w:t>
      </w:r>
      <w:r>
        <w:rPr>
          <w:rtl w:val="true"/>
        </w:rPr>
        <w:t>» «</w:t>
      </w:r>
      <w:r>
        <w:rPr>
          <w:rtl w:val="true"/>
        </w:rPr>
        <w:t>فی أفعال العمرة</w:t>
      </w:r>
      <w:r>
        <w:rPr>
          <w:rtl w:val="true"/>
        </w:rPr>
        <w:t xml:space="preserve">» </w:t>
      </w:r>
      <w:r>
        <w:rPr>
          <w:rtl w:val="true"/>
        </w:rPr>
        <w:t>المطلقة</w:t>
      </w:r>
      <w:bookmarkEnd w:id="563"/>
    </w:p>
    <w:p>
      <w:pPr>
        <w:pStyle w:val="Heading4"/>
        <w:numPr>
          <w:ilvl w:val="3"/>
          <w:numId w:val="1"/>
        </w:numPr>
        <w:rPr/>
      </w:pPr>
      <w:bookmarkStart w:id="564" w:name="__RefHeading___Toc2028119_2314609296"/>
      <w:bookmarkStart w:id="565" w:name="_Toc207"/>
      <w:bookmarkEnd w:id="564"/>
      <w:r>
        <w:rPr>
          <w:rtl w:val="true"/>
        </w:rPr>
        <w:t>اشارة</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أفعال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w:t>
      </w:r>
      <w:r>
        <w:rPr>
          <w:rStyle w:val="FootnoteAnchor"/>
          <w:rtl w:val="true"/>
        </w:rPr>
        <w:footnoteReference w:id="1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والطواف، والسعی، والتقصیر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الأربعة تشترک فیها عمرة الإفراد والتمتّع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ویزید فی عمرة الإفراد بعد التقصیر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ورکعتیه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الاُول منها أرکان دون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التلبیة من الأفعال کما ذکرها فی الدروس </w:t>
      </w:r>
      <w:r>
        <w:rPr>
          <w:rStyle w:val="FootnoteAnchor"/>
          <w:rtl w:val="true"/>
        </w:rPr>
        <w:footnoteReference w:id="1962"/>
      </w:r>
      <w:r>
        <w:rPr>
          <w:rFonts w:ascii="IRNazanin" w:hAnsi="IRNazanin" w:eastAsia="IRNazanin"/>
          <w:color w:val="111111"/>
          <w:sz w:val="28"/>
          <w:sz w:val="28"/>
          <w:szCs w:val="28"/>
          <w:rtl w:val="true"/>
          <w:lang w:bidi="fa-IR"/>
        </w:rPr>
        <w:t>إلحاقاً لها بواجبات الإحرام کلُبس ثوبیه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العمرة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مخیّراً بینه وبین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یتعیّن التقصیر، لیتوفّر الشَعر فی إحرام حجّه المرتبط بها</w:t>
      </w:r>
      <w:r>
        <w:rPr>
          <w:rFonts w:eastAsia="IRNazanin" w:cs="IRNazanin"/>
          <w:color w:val="111111"/>
          <w:sz w:val="28"/>
          <w:szCs w:val="28"/>
          <w:rtl w:val="true"/>
          <w:lang w:bidi="fa-IR"/>
        </w:rPr>
        <w:t>.</w:t>
      </w:r>
      <w:bookmarkStart w:id="566" w:name="pg19806_203706"/>
    </w:p>
    <w:p>
      <w:pPr>
        <w:pStyle w:val="Heading4"/>
        <w:numPr>
          <w:ilvl w:val="3"/>
          <w:numId w:val="1"/>
        </w:numPr>
        <w:rPr/>
      </w:pPr>
      <w:bookmarkStart w:id="567" w:name="__RefHeading___Toc2028121_2314609296"/>
      <w:bookmarkStart w:id="568" w:name="_Toc208"/>
      <w:bookmarkEnd w:id="566"/>
      <w:bookmarkEnd w:id="567"/>
      <w:r>
        <w:rPr>
          <w:rtl w:val="true"/>
        </w:rPr>
        <w:t>«</w:t>
      </w:r>
      <w:r>
        <w:rPr>
          <w:rtl w:val="true"/>
        </w:rPr>
        <w:t>القول فی الإحرام</w:t>
      </w:r>
      <w:r>
        <w:rPr>
          <w:rtl w:val="true"/>
        </w:rPr>
        <w:t>»</w:t>
      </w:r>
      <w:bookmarkEnd w:id="568"/>
    </w:p>
    <w:p>
      <w:pPr>
        <w:pStyle w:val="Heading5"/>
        <w:numPr>
          <w:ilvl w:val="4"/>
          <w:numId w:val="1"/>
        </w:numPr>
        <w:rPr/>
      </w:pPr>
      <w:bookmarkStart w:id="569" w:name="__RefHeading___Toc2028123_2314609296"/>
      <w:bookmarkStart w:id="570" w:name="_Toc209"/>
      <w:bookmarkEnd w:id="569"/>
      <w:r>
        <w:rPr>
          <w:rtl w:val="true"/>
        </w:rPr>
        <w:t>[</w:t>
      </w:r>
      <w:r>
        <w:rPr>
          <w:rtl w:val="true"/>
        </w:rPr>
        <w:t>مستحباته و واجباته</w:t>
      </w:r>
      <w:r>
        <w:rPr>
          <w:rtl w:val="true"/>
        </w:rPr>
        <w:t>]</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شعر الرأس لمن أراد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تمتّعاً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ذی القعدة، وآکد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توفیره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التوفیر وبالإخلال به دم شاة </w:t>
      </w:r>
      <w:r>
        <w:rPr>
          <w:rStyle w:val="FootnoteAnchor"/>
          <w:rtl w:val="true"/>
        </w:rPr>
        <w:footnoteReference w:id="1963"/>
      </w:r>
      <w:r>
        <w:rPr>
          <w:rFonts w:ascii="IRNazanin" w:hAnsi="IRNazanin" w:eastAsia="IRNazanin"/>
          <w:color w:val="111111"/>
          <w:sz w:val="28"/>
          <w:sz w:val="28"/>
          <w:szCs w:val="28"/>
          <w:rtl w:val="true"/>
          <w:lang w:bidi="fa-IR"/>
        </w:rPr>
        <w:t>ولمن أراد العمرة توفیره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واستکمال التنظیف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إرادة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 الأظفار، وأخذ الشارب، والإطلاء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تحت رقبته من بدنه وإن قرب العهد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الإطلاء علی یوم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السُنّة وإن کانت الإعادة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یمضِ خمسة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بوجوبه </w:t>
      </w:r>
      <w:r>
        <w:rPr>
          <w:rStyle w:val="FootnoteAnchor"/>
          <w:rtl w:val="true"/>
        </w:rPr>
        <w:footnoteReference w:id="1964"/>
      </w:r>
      <w:r>
        <w:rPr>
          <w:rFonts w:ascii="IRNazanin" w:hAnsi="IRNazanin" w:eastAsia="IRNazanin"/>
          <w:color w:val="111111"/>
          <w:sz w:val="28"/>
          <w:sz w:val="28"/>
          <w:szCs w:val="28"/>
          <w:rtl w:val="true"/>
          <w:lang w:bidi="fa-IR"/>
        </w:rPr>
        <w:t>ومکانه المیقات إن أمکن فیه، ولو کان مسجداً فقُربُه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 یوم الإحرام بحیث لا یتخلّل بینهما حدث، أو أکل، أو طیب، أو لُبس ما لا یحلّ 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خاف عوزَ الماء فیه قدّمه فی أقرب أوقات إمکانه إلیه، فیلبس ثوبیه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التیمّم لفاقد الماء بدله قولٌ للشیخ </w:t>
      </w:r>
      <w:r>
        <w:rPr>
          <w:rStyle w:val="FootnoteAnchor"/>
          <w:rtl w:val="true"/>
        </w:rPr>
        <w:footnoteReference w:id="1965"/>
      </w:r>
      <w:r>
        <w:rPr>
          <w:rFonts w:ascii="IRNazanin" w:hAnsi="IRNazanin" w:eastAsia="IRNazanin"/>
          <w:color w:val="111111"/>
          <w:sz w:val="28"/>
          <w:sz w:val="28"/>
          <w:szCs w:val="28"/>
          <w:rtl w:val="true"/>
          <w:lang w:bidi="fa-IR"/>
        </w:rPr>
        <w:t>لا بأس به، وإن جُهل مأخذه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سنّة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ستّ رکعات، ثم أربع، ثم رکعتان قبل</w:t>
      </w:r>
    </w:p>
    <w:p>
      <w:pPr>
        <w:pStyle w:val="BookText"/>
        <w:rPr/>
      </w:pPr>
      <w:r>
        <w:rPr>
          <w:rFonts w:ascii="IRNazanin" w:hAnsi="IRNazanin" w:eastAsia="IRNazanin"/>
          <w:color w:val="111111"/>
          <w:sz w:val="28"/>
          <w:sz w:val="28"/>
          <w:szCs w:val="28"/>
          <w:rtl w:val="true"/>
          <w:lang w:bidi="fa-IR"/>
        </w:rPr>
        <w:t>الفریضة إن جمعهما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والإحرام 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أو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یتّفق الظهر ولو مقضیّة إن لم یتّفق وقت فریضة مؤدّاة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w:t>
      </w:r>
      <w:r>
        <w:rPr>
          <w:rStyle w:val="FootnoteAnchor"/>
          <w:rtl w:val="true"/>
        </w:rPr>
        <w:footnoteReference w:id="1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وقت الفریضة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ولیکن ذلک کلّه بعد الغسل ولُبس الثوبین، لیحرم عقیب الصلاة بغیر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المشتملة علی مشخّصاته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إحرام حجّ أو عمرة تمتّع أو غیره، إسلامیٍّ أو منذورٍ،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غایة الفعل المتعبّد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إنّ الحمد والنعمة والملک لک، لا شریک لک لبّیک</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أوجب المصنّف وغیره النیّة للتلبیة أیضاً، وجعلوها متقدّمة علی التقرّب بنیّة الإحرام بحیث یجمع النیّتین جملةً لتتحقّق المقارنة بینهما، کتکبیرة الإحرام لنیّة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وجبت النیّة للتلبیة دون التحریمة؛ لأنّ أفعال الصلاة متّصلة حسّاً وشرعاً، فیکفی نیّة واحدة للجملة کغیر التحریمة من الأجزاء، بخلاف التلبیة فإنّها من جملة أفعال الحجّ وهی منفصلة شرعاً وحسّاً، فلا بدّ لکلّ واحد من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فکان إفراد التلبیة عن الإحرام وجعلها من جملة الأفعال أولی، کما صنع فی غیره </w:t>
      </w:r>
      <w:r>
        <w:rPr>
          <w:rStyle w:val="FootnoteAnchor"/>
          <w:rtl w:val="true"/>
        </w:rPr>
        <w:footnoteReference w:id="1967"/>
      </w:r>
      <w:r>
        <w:rPr>
          <w:rFonts w:ascii="IRNazanin" w:hAnsi="IRNazanin" w:eastAsia="IRNazanin"/>
          <w:color w:val="111111"/>
          <w:sz w:val="28"/>
          <w:sz w:val="28"/>
          <w:szCs w:val="28"/>
          <w:rtl w:val="true"/>
          <w:lang w:bidi="fa-IR"/>
        </w:rPr>
        <w:t xml:space="preserve">وبعض الأصحاب جعل نیّة التلبیة بعد نیّة الإحرام وإن حصل بها فصل </w:t>
      </w:r>
      <w:r>
        <w:rPr>
          <w:rStyle w:val="FootnoteAnchor"/>
          <w:rtl w:val="true"/>
        </w:rPr>
        <w:footnoteReference w:id="1968"/>
      </w:r>
      <w:r>
        <w:rPr>
          <w:rFonts w:ascii="IRNazanin" w:hAnsi="IRNazanin" w:eastAsia="IRNazanin"/>
          <w:color w:val="111111"/>
          <w:sz w:val="28"/>
          <w:sz w:val="28"/>
          <w:szCs w:val="28"/>
          <w:rtl w:val="true"/>
          <w:lang w:bidi="fa-IR"/>
        </w:rPr>
        <w:t>وکثیرٌ منهم لم یعتبروا المقارنة بینهما</w:t>
      </w:r>
    </w:p>
    <w:p>
      <w:pPr>
        <w:pStyle w:val="BookText"/>
        <w:rPr/>
      </w:pPr>
      <w:r>
        <w:rPr>
          <w:rFonts w:ascii="Amiri" w:hAnsi="Amiri" w:eastAsia="Amiri" w:cs="Amiri"/>
          <w:color w:val="111111"/>
          <w:sz w:val="28"/>
          <w:sz w:val="28"/>
          <w:szCs w:val="28"/>
          <w:rtl w:val="true"/>
          <w:lang w:bidi="ar-SA"/>
        </w:rPr>
        <w:t xml:space="preserve">مطلقاً </w:t>
      </w:r>
      <w:r>
        <w:rPr>
          <w:rStyle w:val="FootnoteAnchor"/>
          <w:rtl w:val="true"/>
        </w:rPr>
        <w:footnoteReference w:id="1969"/>
      </w:r>
      <w:r>
        <w:rPr>
          <w:rFonts w:ascii="IRNazanin" w:hAnsi="IRNazanin" w:eastAsia="IRNazanin"/>
          <w:color w:val="111111"/>
          <w:sz w:val="28"/>
          <w:sz w:val="28"/>
          <w:szCs w:val="28"/>
          <w:rtl w:val="true"/>
          <w:lang w:bidi="fa-IR"/>
        </w:rPr>
        <w:t xml:space="preserve">والنصوص خالیة عن اعتبار المقارنة، بل بعضها صریح فی عدمها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علی المصدر،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إقامة أو إخلاصاً،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به،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وثُنّی تأکیداً أی إقامة بعد إقامة وإخلاصاً </w:t>
      </w:r>
      <w:r>
        <w:rPr>
          <w:rStyle w:val="FootnoteAnchor"/>
          <w:rtl w:val="true"/>
        </w:rPr>
        <w:footnoteReference w:id="1971"/>
      </w:r>
      <w:r>
        <w:rPr>
          <w:rFonts w:ascii="IRNazanin" w:hAnsi="IRNazanin" w:eastAsia="IRNazanin"/>
          <w:color w:val="111111"/>
          <w:sz w:val="28"/>
          <w:sz w:val="28"/>
          <w:szCs w:val="28"/>
          <w:rtl w:val="true"/>
          <w:lang w:bidi="fa-IR"/>
        </w:rPr>
        <w:t>بعد إخلاص، هذا بحسب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صار موضوعاً للإجابة، وهی هنا جواب عن النداء الذی أمر اللّٰه تعالی به إبراهیم بأن یؤذّن فی الناس بالحجّ </w:t>
      </w:r>
      <w:r>
        <w:rPr>
          <w:rStyle w:val="FootnoteAnchor"/>
          <w:rtl w:val="true"/>
        </w:rPr>
        <w:footnoteReference w:id="1972"/>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1973"/>
      </w:r>
      <w:r>
        <w:rPr>
          <w:rFonts w:ascii="IRNazanin" w:hAnsi="IRNazanin" w:eastAsia="IRNazanin"/>
          <w:color w:val="111111"/>
          <w:sz w:val="28"/>
          <w:sz w:val="28"/>
          <w:szCs w:val="28"/>
          <w:rtl w:val="true"/>
          <w:lang w:bidi="fa-IR"/>
        </w:rPr>
        <w:t>علی الاستئناف، وفتحها بنزع الخافض وهو لام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الأوّل تعمیم، فکان أولی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ولُبس ثوبی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 ما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فلا یجوزان من جلدِ وصوفِ وشعرِ وَوَبرِ ما لا یؤکل لحمه، ولا من جلد المأکول مع عدم التذکیة، ولا فی الحریر للرجال، ولا فی الشافّ </w:t>
      </w:r>
      <w:r>
        <w:rPr>
          <w:rStyle w:val="FootnoteAnchor"/>
          <w:rtl w:val="true"/>
        </w:rPr>
        <w:footnoteReference w:id="1974"/>
      </w:r>
      <w:r>
        <w:rPr>
          <w:rFonts w:ascii="Amiri" w:hAnsi="Amiri" w:eastAsia="Amiri" w:cs="Amiri"/>
          <w:color w:val="111111"/>
          <w:sz w:val="28"/>
          <w:sz w:val="28"/>
          <w:szCs w:val="28"/>
          <w:rtl w:val="true"/>
          <w:lang w:bidi="ar-SA"/>
        </w:rPr>
        <w:t xml:space="preserve">مطلقاً </w:t>
      </w:r>
      <w:r>
        <w:rPr>
          <w:rStyle w:val="FootnoteAnchor"/>
          <w:rtl w:val="true"/>
        </w:rPr>
        <w:footnoteReference w:id="1975"/>
      </w:r>
      <w:r>
        <w:rPr>
          <w:rFonts w:ascii="IRNazanin" w:hAnsi="IRNazanin" w:eastAsia="IRNazanin"/>
          <w:color w:val="111111"/>
          <w:sz w:val="28"/>
          <w:sz w:val="28"/>
          <w:szCs w:val="28"/>
          <w:rtl w:val="true"/>
          <w:lang w:bidi="fa-IR"/>
        </w:rPr>
        <w:t>ولا فی النجس غیر المعفوّ عنها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کونهما غیر مخیطین، ولا ما أشبه المخیط</w:t>
      </w:r>
    </w:p>
    <w:p>
      <w:pPr>
        <w:pStyle w:val="BookText"/>
        <w:rPr/>
      </w:pPr>
      <w:r>
        <w:rPr>
          <w:rFonts w:ascii="IRNazanin" w:hAnsi="IRNazanin" w:eastAsia="IRNazanin"/>
          <w:color w:val="111111"/>
          <w:sz w:val="28"/>
          <w:sz w:val="28"/>
          <w:szCs w:val="28"/>
          <w:rtl w:val="true"/>
          <w:lang w:bidi="fa-IR"/>
        </w:rPr>
        <w:t>کالمُحیط من اللبد، والدرع المنسوج کذلک والمعقود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المصنّف عن هذا الشرط بمفهوم جوازه للنساء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یأتزر بأحدهما ویرتدی بالآخر </w:t>
      </w:r>
      <w:r>
        <w:rPr>
          <w:rStyle w:val="FootnoteAnchor"/>
          <w:rtl w:val="true"/>
        </w:rPr>
        <w:footnoteReference w:id="1977"/>
      </w:r>
      <w:r>
        <w:rPr>
          <w:rFonts w:ascii="IRNazanin" w:hAnsi="IRNazanin" w:eastAsia="IRNazanin"/>
          <w:color w:val="111111"/>
          <w:sz w:val="28"/>
          <w:sz w:val="28"/>
          <w:szCs w:val="28"/>
          <w:rtl w:val="true"/>
          <w:lang w:bidi="fa-IR"/>
        </w:rPr>
        <w:t>بأن یغطّی به منکبیه، أو یتوشّح به بأن یغطّی به أحدهما، وتجوز الزیادة علیهما، لا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أن لُبسهما واجب، لا شرط فی صحّته، فلو أخلّ به اختیاراً أثم وصحّ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والقارن یعقد إحرامه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نیّة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بالإشعار أو </w:t>
      </w:r>
      <w:r>
        <w:rPr>
          <w:rStyle w:val="FootnoteAnchor"/>
          <w:rtl w:val="true"/>
        </w:rPr>
        <w:footnoteReference w:id="1978"/>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المتقدّمین </w:t>
      </w:r>
      <w:r>
        <w:rPr>
          <w:rStyle w:val="FootnoteAnchor"/>
          <w:rtl w:val="true"/>
        </w:rPr>
        <w:footnoteReference w:id="1979"/>
      </w:r>
      <w:r>
        <w:rPr>
          <w:rFonts w:ascii="IRNazanin" w:hAnsi="IRNazanin" w:eastAsia="IRNazanin"/>
          <w:color w:val="111111"/>
          <w:sz w:val="28"/>
          <w:sz w:val="28"/>
          <w:szCs w:val="28"/>
          <w:rtl w:val="true"/>
          <w:lang w:bidi="fa-IR"/>
        </w:rPr>
        <w:t>وبأیّهما بدأ استحبّ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عقده بهما علی تقدیر المقارنة واضح، فبدونها لا یقع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المشهور یقع ولکن لا یحرم به محرّمات الإحرام بدون أحدهما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الحریر والمخیط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 القولین </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علی کراهة، دون الرجال والخناثی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ذیله علی الکتفین، أو باطنه ظاهره من غیر أن یخرج یدیه من 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أولی وفاقاً للدروس </w:t>
      </w:r>
      <w:r>
        <w:rPr>
          <w:rStyle w:val="FootnoteAnchor"/>
          <w:rtl w:val="true"/>
        </w:rPr>
        <w:footnoteReference w:id="1981"/>
      </w:r>
      <w:r>
        <w:rPr>
          <w:rFonts w:ascii="IRNazanin" w:hAnsi="IRNazanin" w:eastAsia="IRNazanin"/>
          <w:color w:val="111111"/>
          <w:sz w:val="28"/>
          <w:sz w:val="28"/>
          <w:szCs w:val="28"/>
          <w:rtl w:val="true"/>
          <w:lang w:bidi="fa-IR"/>
        </w:rPr>
        <w:t>والجمع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یجوز لُبس القباء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فقد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بدلاً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أخلّ بالقلب أو أدخل یده فی کُمّه فکلُبس المخیط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یجزئ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السراویل لو فقد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اعتبار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فدیة فی الموضعین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لمطلق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الصوت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یُحرم إن کان راجلاً بطریق المدینة، أو مطلقاً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علت راحلته البیداء </w:t>
      </w:r>
      <w:r>
        <w:rPr>
          <w:rStyle w:val="FootnoteAnchor"/>
          <w:rtl w:val="true"/>
        </w:rPr>
        <w:footnoteReference w:id="1982"/>
      </w:r>
      <w:r>
        <w:rPr>
          <w:rFonts w:ascii="IRNazanin" w:hAnsi="IRNazanin" w:eastAsia="IRNazanin"/>
          <w:color w:val="111111"/>
          <w:sz w:val="28"/>
          <w:sz w:val="28"/>
          <w:szCs w:val="28"/>
          <w:rtl w:val="true"/>
          <w:lang w:bidi="fa-IR"/>
        </w:rPr>
        <w:t xml:space="preserve">راکباً بطریق المدینة، وإذا أشرف علی الأبطح </w:t>
      </w:r>
      <w:r>
        <w:rPr>
          <w:rStyle w:val="FootnoteAnchor"/>
          <w:rtl w:val="true"/>
        </w:rPr>
        <w:footnoteReference w:id="1983"/>
      </w:r>
      <w:r>
        <w:rPr>
          <w:rFonts w:ascii="IRNazanin" w:hAnsi="IRNazanin" w:eastAsia="IRNazanin"/>
          <w:color w:val="111111"/>
          <w:sz w:val="28"/>
          <w:sz w:val="28"/>
          <w:szCs w:val="28"/>
          <w:rtl w:val="true"/>
          <w:lang w:bidi="fa-IR"/>
        </w:rPr>
        <w:t>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وتُسرّ المرأة والخنثی، ویجوز الجهر حیث لا یسمع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التلبیة غیر ما یعقد به الإحرام إن اعتبرنا المقارنة، وإلّا جاز العقد بها، وهو ظاهر الأخبار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ولیجدّد </w:t>
      </w:r>
      <w:r>
        <w:rPr>
          <w:rStyle w:val="FootnoteAnchor"/>
          <w:rtl w:val="true"/>
        </w:rPr>
        <w:footnoteReference w:id="1985"/>
      </w:r>
      <w:r>
        <w:rPr>
          <w:rFonts w:ascii="IRNazanin" w:hAnsi="IRNazanin" w:eastAsia="IRNazanin"/>
          <w:color w:val="111111"/>
          <w:sz w:val="28"/>
          <w:sz w:val="28"/>
          <w:szCs w:val="28"/>
          <w:rtl w:val="true"/>
          <w:lang w:bidi="fa-IR"/>
        </w:rPr>
        <w:t>عند مختلف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برکوب ونزول، وعُلوٍّ وهبوط، وملاقاةِ أحد، ویقظةٍ وخصوصاً بالأسحار، وأدبارِ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ویضاف إلیها</w:t>
      </w:r>
    </w:p>
    <w:p>
      <w:pPr>
        <w:pStyle w:val="BookText"/>
        <w:rPr/>
      </w:pPr>
      <w:r>
        <w:rPr>
          <w:rFonts w:ascii="Amiri" w:hAnsi="Amiri" w:eastAsia="Amiri" w:cs="Amiri"/>
          <w:color w:val="111111"/>
          <w:sz w:val="28"/>
          <w:sz w:val="28"/>
          <w:szCs w:val="28"/>
          <w:rtl w:val="true"/>
          <w:lang w:bidi="ar-SA"/>
        </w:rPr>
        <w:t>التلبیات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لبَّیک ذا المعارج لبّیک</w:t>
      </w:r>
      <w:r>
        <w:rPr>
          <w:rFonts w:eastAsia="Amiri" w:cs="Amiri" w:ascii="Amiri" w:hAnsi="Amiri"/>
          <w:color w:val="111111"/>
          <w:sz w:val="28"/>
          <w:szCs w:val="28"/>
          <w:rtl w:val="true"/>
          <w:lang w:bidi="ar-SA"/>
        </w:rPr>
        <w:t xml:space="preserve">. . .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ویقطعها المتمتّع إذا شاهد بیوت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عقبة المدنیّین إن دخلها من أعلاها، وعقبة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دخلها </w:t>
      </w:r>
      <w:r>
        <w:rPr>
          <w:rFonts w:eastAsia="IRNazanin" w:cs="IRNazanin"/>
          <w:color w:val="111111"/>
          <w:sz w:val="28"/>
          <w:szCs w:val="28"/>
          <w:rtl w:val="true"/>
          <w:lang w:bidi="fa-IR"/>
        </w:rPr>
        <w:t xml:space="preserve">] </w:t>
      </w:r>
      <w:r>
        <w:rPr>
          <w:rStyle w:val="FootnoteAnchor"/>
          <w:rtl w:val="true"/>
        </w:rPr>
        <w:footnoteReference w:id="1987"/>
      </w:r>
      <w:r>
        <w:rPr>
          <w:rFonts w:ascii="IRNazanin" w:hAnsi="IRNazanin" w:eastAsia="IRNazanin"/>
          <w:color w:val="111111"/>
          <w:sz w:val="28"/>
          <w:sz w:val="28"/>
          <w:szCs w:val="28"/>
          <w:rtl w:val="true"/>
          <w:lang w:bidi="fa-IR"/>
        </w:rPr>
        <w:t xml:space="preserve">من أسفلها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والحاجّ إلی زوال عرفة، والمعتمر مفردة </w:t>
      </w:r>
      <w:r>
        <w:rPr>
          <w:rStyle w:val="FootnoteAnchor"/>
          <w:rtl w:val="true"/>
        </w:rPr>
        <w:footnoteReference w:id="1988"/>
      </w:r>
      <w:r>
        <w:rPr>
          <w:rFonts w:ascii="IRNazanin" w:hAnsi="IRNazanin" w:eastAsia="IRNazanin"/>
          <w:color w:val="111111"/>
          <w:sz w:val="28"/>
          <w:sz w:val="28"/>
          <w:szCs w:val="28"/>
          <w:rtl w:val="true"/>
          <w:lang w:bidi="fa-IR"/>
        </w:rPr>
        <w:t>إذا دخل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أحرم بها من أحد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خرج لها من مکّة إلی خارج الحرم فإذا شاهد بیوت مکّة، إذ لا یکون حینئذٍ بین أوّل الحرم وموضع الإحرام مسافة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والاشتراط </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نیّة الإحرام متّصلاً بها بأن یحلّه حیث حبسه، ولفظه المرویّ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اُرید التمتّع بالعمرة إلی الحجّ علی کتابک وسُنّة نبیّک صلی الله علیه و آله، فإن عرض لی شیءٌ یحبسنی فحلّنی حیثُ حبستنی لقَدَرک الذی قدّرت علیَّ، اللهمّ إن لم تکن حجّةً فعمرة، اُحرم لک شعری وبشری ولحمی ودمی وعظامی ومُخّی وعَصَبی من النساء والثیاب والطیب، أبتغی بذلک وجهک والدار الآخرة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الملوَّنة بغیر البیاض، کالحمراء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والمعصفرة وشبهها </w:t>
      </w:r>
      <w:r>
        <w:rPr>
          <w:rStyle w:val="FootnoteAnchor"/>
          <w:rtl w:val="true"/>
        </w:rPr>
        <w:footnoteReference w:id="1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وقیّدها فی الدروس بالمشبعة </w:t>
      </w:r>
      <w:r>
        <w:rPr>
          <w:rStyle w:val="FootnoteAnchor"/>
          <w:rtl w:val="true"/>
        </w:rPr>
        <w:footnoteReference w:id="1992"/>
      </w:r>
      <w:r>
        <w:rPr>
          <w:rFonts w:ascii="IRNazanin" w:hAnsi="IRNazanin" w:eastAsia="IRNazanin"/>
          <w:color w:val="111111"/>
          <w:sz w:val="28"/>
          <w:sz w:val="28"/>
          <w:szCs w:val="28"/>
          <w:rtl w:val="true"/>
          <w:lang w:bidi="fa-IR"/>
        </w:rPr>
        <w:t>فلا یکره بغیره، والفضل فی البیض من القطن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نوم المُحرم علی الفُرُش المصبوغة بالسواد والعُصْفُر</w:t>
      </w:r>
      <w:bookmarkStart w:id="571" w:name="pg19806_203712"/>
    </w:p>
    <w:p>
      <w:pPr>
        <w:pStyle w:val="BookText"/>
        <w:rPr/>
      </w:pPr>
      <w:bookmarkEnd w:id="571"/>
      <w:r>
        <w:rPr>
          <w:rFonts w:ascii="IRNazanin" w:hAnsi="IRNazanin" w:eastAsia="IRNazanin"/>
          <w:color w:val="111111"/>
          <w:sz w:val="28"/>
          <w:sz w:val="28"/>
          <w:szCs w:val="28"/>
          <w:rtl w:val="true"/>
          <w:lang w:bidi="fa-IR"/>
        </w:rPr>
        <w:t xml:space="preserve">وشبهه </w:t>
      </w:r>
      <w:r>
        <w:rPr>
          <w:rStyle w:val="FootnoteAnchor"/>
          <w:rtl w:val="true"/>
        </w:rPr>
        <w:footnoteReference w:id="1993"/>
      </w:r>
      <w:r>
        <w:rPr>
          <w:rFonts w:ascii="IRNazanin" w:hAnsi="IRNazanin" w:eastAsia="IRNazanin"/>
          <w:color w:val="111111"/>
          <w:sz w:val="28"/>
          <w:sz w:val="28"/>
          <w:szCs w:val="28"/>
          <w:rtl w:val="true"/>
          <w:lang w:bidi="fa-IR"/>
        </w:rPr>
        <w:t>من الألوان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الوَسَخ ابتداءً، أمّا لو عرض فی أثناء الإحرام کره غسلها، إلّا </w:t>
      </w:r>
      <w:r>
        <w:rPr>
          <w:rStyle w:val="FootnoteAnchor"/>
          <w:rtl w:val="true"/>
        </w:rPr>
        <w:footnoteReference w:id="1994"/>
      </w:r>
      <w:r>
        <w:rPr>
          <w:rFonts w:ascii="Amiri" w:hAnsi="Amiri" w:eastAsia="Amiri" w:cs="Amiri"/>
          <w:color w:val="111111"/>
          <w:sz w:val="28"/>
          <w:sz w:val="28"/>
          <w:szCs w:val="28"/>
          <w:rtl w:val="true"/>
          <w:lang w:bidi="ar-SA"/>
        </w:rPr>
        <w:t>لنجاسة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للمجهول، وهی المشتملة علی لونٍ آخر یخالف لونها، حالَ عملها کالثوب المحُوک من لونین، أو بعدَه بالطرز </w:t>
      </w:r>
      <w:r>
        <w:rPr>
          <w:rStyle w:val="FootnoteAnchor"/>
          <w:rtl w:val="true"/>
        </w:rPr>
        <w:footnoteReference w:id="1995"/>
      </w:r>
      <w:r>
        <w:rPr>
          <w:rFonts w:ascii="IRNazanin" w:hAnsi="IRNazanin" w:eastAsia="IRNazanin"/>
          <w:color w:val="111111"/>
          <w:sz w:val="28"/>
          <w:sz w:val="28"/>
          <w:szCs w:val="28"/>
          <w:rtl w:val="true"/>
          <w:lang w:bidi="fa-IR"/>
        </w:rPr>
        <w:t>والصبغ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وتلبیةُ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مقام التلبیة للّٰه، فلا یُشرک غیرَه فیها، بل یجیبه بغیرها من الألفاظ،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أو یا سعدیک</w:t>
      </w:r>
      <w:r>
        <w:rPr>
          <w:rFonts w:eastAsia="IRNazanin" w:cs="IRNazanin"/>
          <w:color w:val="111111"/>
          <w:sz w:val="28"/>
          <w:szCs w:val="28"/>
          <w:rtl w:val="true"/>
          <w:lang w:bidi="fa-IR"/>
        </w:rPr>
        <w:t>.</w:t>
      </w:r>
    </w:p>
    <w:p>
      <w:pPr>
        <w:pStyle w:val="Heading5"/>
        <w:numPr>
          <w:ilvl w:val="4"/>
          <w:numId w:val="1"/>
        </w:numPr>
        <w:rPr/>
      </w:pPr>
      <w:bookmarkStart w:id="572" w:name="__RefHeading___Toc2028125_2314609296"/>
      <w:bookmarkStart w:id="573" w:name="_Toc210"/>
      <w:bookmarkEnd w:id="572"/>
      <w:r>
        <w:rPr>
          <w:rtl w:val="true"/>
        </w:rPr>
        <w:t>[</w:t>
      </w:r>
      <w:r>
        <w:rPr>
          <w:rtl w:val="true"/>
        </w:rPr>
        <w:t>تروک الاحرام</w:t>
      </w:r>
      <w:r>
        <w:rPr>
          <w:rtl w:val="true"/>
        </w:rPr>
        <w:t>]</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التروک المحرّمة فثلاثون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المحلّل الممتنع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 والأرنب والضبّ والیربوع والقُنفذ والقُمّل والزُنبور والعظاءة، فلا یحرم قتل الأنعام وإن توحّشت، ولا صید الضبُع والنمر والصقر وشبهها من حیوان البرّ، ولا الفأرة والحیّة ونحوهما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یختصّ التحریم بمباشرة قتلها، بل یحرم الإعانة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بأحد الأعضاء، وهی أخصّ من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تحریمهما علی المُحرم بین کون المدلول مُحرِماً ومُحلّاً، ولابین الخفیّة والواضحة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المدلول عالماً به بحیث لم یفده زیادة انبعاث علیها فلا حکم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أطلق المصنّف صید البرّ مع کونه مخصوصاً بما ذُکر؛ تبعاً للآیة </w:t>
      </w:r>
      <w:r>
        <w:rPr>
          <w:rStyle w:val="FootnoteAnchor"/>
          <w:rtl w:val="true"/>
        </w:rPr>
        <w:footnoteReference w:id="1996"/>
      </w:r>
      <w:r>
        <w:rPr>
          <w:rFonts w:ascii="Amiri" w:hAnsi="Amiri" w:eastAsia="Amiri" w:cs="Amiri"/>
          <w:color w:val="111111"/>
          <w:sz w:val="28"/>
          <w:sz w:val="28"/>
          <w:szCs w:val="28"/>
          <w:rtl w:val="true"/>
          <w:lang w:bidi="ar-SA"/>
        </w:rPr>
        <w:t>واعتماداً</w:t>
      </w:r>
    </w:p>
    <w:p>
      <w:pPr>
        <w:pStyle w:val="BookText"/>
        <w:rPr/>
      </w:pPr>
      <w:r>
        <w:rPr>
          <w:rFonts w:ascii="IRNazanin" w:hAnsi="IRNazanin" w:eastAsia="IRNazanin"/>
          <w:color w:val="111111"/>
          <w:sz w:val="28"/>
          <w:sz w:val="28"/>
          <w:szCs w:val="28"/>
          <w:rtl w:val="true"/>
          <w:lang w:bidi="fa-IR"/>
        </w:rPr>
        <w:t>علی ما اشتهر من التخصیص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یحرم صید البحر، وهو ما یبیض ویفرِّخ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تخلّف أحدهما وإن لازم الماء کالبطّ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والمتولّد بین الصید وغیره یتبع الاسم، فإن انتفیا عنه وکان ممتنعاً فهو صید إن لحق بأحد أفراده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والنساء بکلّ 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الجماع ومقدّماته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علیه وإقامتها وإن تحمّلها مُحلّاً أو کان العقد بین مُحلّین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استدعاء المنیّ بغیر 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ولُبس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الخیاطة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أحاط کالدرع المنسوج واللبد المعمول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وعقد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وتخلیله وَزرّه ونحو ذلک، دون عقد الإزار ونحوه، فإنّه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منه الهمیان فعُفی عن خیاطته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ومطلق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الجسم ذو الریح الطیّبة المتّخذ للشمّ غالباً، غیر الریاحین، کالمسک والعنبر والزعفران وماء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الاتّخاذ للشمّ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یُطلب منه الأکل أو التداوی غالباً کالقَرنفُل والدارصینی وسائر الأبازیر </w:t>
      </w:r>
      <w:r>
        <w:rPr>
          <w:rStyle w:val="FootnoteAnchor"/>
          <w:rtl w:val="true"/>
        </w:rPr>
        <w:footnoteReference w:id="1997"/>
      </w:r>
      <w:r>
        <w:rPr>
          <w:rFonts w:ascii="IRNazanin" w:hAnsi="IRNazanin" w:eastAsia="IRNazanin"/>
          <w:color w:val="111111"/>
          <w:sz w:val="28"/>
          <w:sz w:val="28"/>
          <w:szCs w:val="28"/>
          <w:rtl w:val="true"/>
          <w:lang w:bidi="fa-IR"/>
        </w:rPr>
        <w:t>الطیّبة فلا یحرم 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لا ینبت للطیب کالفُوتَنج </w:t>
      </w:r>
      <w:r>
        <w:rPr>
          <w:rStyle w:val="FootnoteAnchor"/>
          <w:rtl w:val="true"/>
        </w:rPr>
        <w:footnoteReference w:id="1998"/>
      </w:r>
      <w:r>
        <w:rPr>
          <w:rFonts w:ascii="IRNazanin" w:hAnsi="IRNazanin" w:eastAsia="IRNazanin"/>
          <w:color w:val="111111"/>
          <w:sz w:val="28"/>
          <w:sz w:val="28"/>
          <w:szCs w:val="28"/>
          <w:rtl w:val="true"/>
          <w:lang w:bidi="fa-IR"/>
        </w:rPr>
        <w:t>والحِنّاء والعُصْفُر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یقصد شمّه من النبات الرطب کالورد والیاسمین فهو ریحان، والأقوی تحریم شمّه أیضاً، وعلیه المصنّف فی الدروس </w:t>
      </w:r>
      <w:r>
        <w:rPr>
          <w:rStyle w:val="FootnoteAnchor"/>
          <w:rtl w:val="true"/>
        </w:rPr>
        <w:footnoteReference w:id="1999"/>
      </w:r>
      <w:r>
        <w:rPr>
          <w:rFonts w:ascii="IRNazanin" w:hAnsi="IRNazanin" w:eastAsia="IRNazanin"/>
          <w:color w:val="111111"/>
          <w:sz w:val="28"/>
          <w:sz w:val="28"/>
          <w:szCs w:val="28"/>
          <w:rtl w:val="true"/>
          <w:lang w:bidi="fa-IR"/>
        </w:rPr>
        <w:t xml:space="preserve">وظاهره هنا عدم التحریم، واستثنی منه الشیح والخزامی والإذخر والقیصوم إن سُمّیت ریحاناً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ونبّه بالإطلاق علی خلاف الشیخ حیث خصّه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والعنبر والزعفران والورس </w:t>
      </w:r>
      <w:r>
        <w:rPr>
          <w:rStyle w:val="FootnoteAnchor"/>
          <w:rtl w:val="true"/>
        </w:rPr>
        <w:footnoteReference w:id="2001"/>
      </w:r>
      <w:r>
        <w:rPr>
          <w:rFonts w:ascii="IRNazanin" w:hAnsi="IRNazanin" w:eastAsia="IRNazanin"/>
          <w:color w:val="111111"/>
          <w:sz w:val="28"/>
          <w:sz w:val="28"/>
          <w:szCs w:val="28"/>
          <w:rtl w:val="true"/>
          <w:lang w:bidi="fa-IR"/>
        </w:rPr>
        <w:t xml:space="preserve">وفی قول آخر له بستّة، بإضافة العود والکافور إلیها </w:t>
      </w:r>
      <w:r>
        <w:rPr>
          <w:rStyle w:val="FootnoteAnchor"/>
          <w:rtl w:val="true"/>
        </w:rPr>
        <w:footnoteReference w:id="2002"/>
      </w:r>
      <w:r>
        <w:rPr>
          <w:rFonts w:ascii="IRNazanin" w:hAnsi="IRNazanin" w:eastAsia="IRNazanin"/>
          <w:color w:val="111111"/>
          <w:sz w:val="28"/>
          <w:sz w:val="28"/>
          <w:szCs w:val="28"/>
          <w:rtl w:val="true"/>
          <w:lang w:bidi="fa-IR"/>
        </w:rPr>
        <w:t xml:space="preserve">ویستثنی من الطیب خلوق الکعبة والعطر فی المسعی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والقبض من کریه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فعل فلا شیء علیه غیر الإثم، بخلاف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والاکتحال بالسواد والمطیَّب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فدیة فی الأوّل، والثانی من أفراد الطیب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بمطیَّب وغیره اختیاراً، ولا کفّارة فی غیر المطیَّب منه، بل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أکل الدهن غیر المطیَّب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والجدال، وهو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الیمین </w:t>
      </w:r>
      <w:r>
        <w:rPr>
          <w:rStyle w:val="FootnoteAnchor"/>
          <w:rtl w:val="true"/>
        </w:rPr>
        <w:footnoteReference w:id="2004"/>
      </w:r>
      <w:r>
        <w:rPr>
          <w:rFonts w:ascii="IRNazanin" w:hAnsi="IRNazanin" w:eastAsia="IRNazanin"/>
          <w:color w:val="111111"/>
          <w:sz w:val="28"/>
          <w:sz w:val="28"/>
          <w:szCs w:val="28"/>
          <w:rtl w:val="true"/>
          <w:lang w:bidi="fa-IR"/>
        </w:rPr>
        <w:t xml:space="preserve">وهو خیرة الدروس </w:t>
      </w:r>
      <w:r>
        <w:rPr>
          <w:rStyle w:val="FootnoteAnchor"/>
          <w:rtl w:val="true"/>
        </w:rPr>
        <w:footnoteReference w:id="2005"/>
      </w:r>
      <w:r>
        <w:rPr>
          <w:rFonts w:ascii="IRNazanin" w:hAnsi="IRNazanin" w:eastAsia="IRNazanin"/>
          <w:color w:val="111111"/>
          <w:sz w:val="28"/>
          <w:sz w:val="28"/>
          <w:szCs w:val="28"/>
          <w:rtl w:val="true"/>
          <w:lang w:bidi="fa-IR"/>
        </w:rPr>
        <w:t>وإنّما یحرم مع عدم الحاجة إلیه، فلو اضطرّ إلیه لإثبات حقّ أو نفی باطل، فالأقوی جوازه، ولا کفّارة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والفسوق، وهو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وتحریمهما ثابت فی الإحرام وغیره ولکنّه فیه آکد، کالصوم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فیه سوی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وبعد الهمزة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فدیه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وإخراج الدم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بحکّ الجسد والسواک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أ نّه لا فدیة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بالاختیار عن إخراجه لضرورة، کبطّ جرح </w:t>
      </w:r>
      <w:r>
        <w:rPr>
          <w:rStyle w:val="FootnoteAnchor"/>
          <w:rtl w:val="true"/>
        </w:rPr>
        <w:footnoteReference w:id="2007"/>
      </w:r>
      <w:r>
        <w:rPr>
          <w:rFonts w:ascii="Amiri" w:hAnsi="Amiri" w:eastAsia="Amiri" w:cs="Amiri"/>
          <w:color w:val="111111"/>
          <w:sz w:val="28"/>
          <w:sz w:val="28"/>
          <w:szCs w:val="28"/>
          <w:rtl w:val="true"/>
          <w:lang w:bidi="ar-SA"/>
        </w:rPr>
        <w:t>وشقّ دُمَل وحجامةٍ وفصدٍ عند الحاجة إلیها، فیجوز إجماعاً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وقلع 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به مجهولة مقطوعة </w:t>
      </w:r>
      <w:r>
        <w:rPr>
          <w:rStyle w:val="FootnoteAnchor"/>
          <w:rtl w:val="true"/>
        </w:rPr>
        <w:footnoteReference w:id="2008"/>
      </w:r>
      <w:r>
        <w:rPr>
          <w:rFonts w:ascii="Amiri" w:hAnsi="Amiri" w:eastAsia="Amiri" w:cs="Amiri"/>
          <w:color w:val="111111"/>
          <w:sz w:val="28"/>
          <w:sz w:val="28"/>
          <w:szCs w:val="28"/>
          <w:rtl w:val="true"/>
          <w:lang w:bidi="ar-SA"/>
        </w:rPr>
        <w:t xml:space="preserve">ومن ثمَّ أباحه جماعة </w:t>
      </w:r>
      <w:r>
        <w:rPr>
          <w:rStyle w:val="FootnoteAnchor"/>
          <w:rtl w:val="true"/>
        </w:rPr>
        <w:footnoteReference w:id="2009"/>
      </w:r>
      <w:r>
        <w:rPr>
          <w:rFonts w:ascii="IRNazanin" w:hAnsi="IRNazanin" w:eastAsia="IRNazanin"/>
          <w:color w:val="111111"/>
          <w:sz w:val="28"/>
          <w:sz w:val="28"/>
          <w:szCs w:val="28"/>
          <w:rtl w:val="true"/>
          <w:lang w:bidi="fa-IR"/>
        </w:rPr>
        <w:t>خصوصاً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من جهة إخراج الدم، ولکن لا فدیة له، وفی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شاة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إزالته أو بعضه اختیاراً، فلو انکسر فله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أنّ فیه الفدیة کغیره؛ للروایة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وإزالة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بحلقٍ ونتفٍ وغیرهما مع الاختیار، فلو اضطرّ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نبت فی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إزالته،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التأذّی بکثرته لحرٍّ أو قمّل جاز أیضاً، لکن یجب الفداء؛ لأنّه محلّ المؤذی لا نفسه، والمعتبر إزالته بنفسه، فلو کشط </w:t>
      </w:r>
      <w:r>
        <w:rPr>
          <w:rStyle w:val="FootnoteAnchor"/>
          <w:rtl w:val="true"/>
        </w:rPr>
        <w:footnoteReference w:id="2012"/>
      </w:r>
      <w:r>
        <w:rPr>
          <w:rFonts w:ascii="IRNazanin" w:hAnsi="IRNazanin" w:eastAsia="IRNazanin"/>
          <w:color w:val="111111"/>
          <w:sz w:val="28"/>
          <w:sz w:val="28"/>
          <w:szCs w:val="28"/>
          <w:rtl w:val="true"/>
          <w:lang w:bidi="fa-IR"/>
        </w:rPr>
        <w:t>جلدة علیها شعر فلا شیء فی الشعر؛ لأنّه غیر مقصود بالإ بانة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وتغطیة الرأس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 وغیره حتی بالطین والحِنّاء والارتماس وحمل متاع یستره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عصام القِربة وعصابة الصُداع وما یستر منه بالوسادة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صدقه بالید وجهان، وقطع فی التذکرة بجوازه </w:t>
      </w:r>
      <w:r>
        <w:rPr>
          <w:rStyle w:val="FootnoteAnchor"/>
          <w:rtl w:val="true"/>
        </w:rPr>
        <w:footnoteReference w:id="2013"/>
      </w:r>
      <w:r>
        <w:rPr>
          <w:rFonts w:ascii="IRNazanin" w:hAnsi="IRNazanin" w:eastAsia="IRNazanin"/>
          <w:color w:val="111111"/>
          <w:sz w:val="28"/>
          <w:sz w:val="28"/>
          <w:szCs w:val="28"/>
          <w:rtl w:val="true"/>
          <w:lang w:bidi="fa-IR"/>
        </w:rPr>
        <w:t xml:space="preserve">وفی الدروس جعل ترکه أولی </w:t>
      </w:r>
      <w:r>
        <w:rPr>
          <w:rStyle w:val="FootnoteAnchor"/>
          <w:rtl w:val="true"/>
        </w:rPr>
        <w:footnoteReference w:id="2014"/>
      </w:r>
      <w:r>
        <w:rPr>
          <w:rFonts w:ascii="IRNazanin" w:hAnsi="IRNazanin" w:eastAsia="IRNazanin"/>
          <w:color w:val="111111"/>
          <w:sz w:val="28"/>
          <w:sz w:val="28"/>
          <w:szCs w:val="28"/>
          <w:rtl w:val="true"/>
          <w:lang w:bidi="fa-IR"/>
        </w:rPr>
        <w:t xml:space="preserve">والأقوی الجواز، لصحیحة معاویة بن عمّار </w:t>
      </w:r>
      <w:r>
        <w:rPr>
          <w:rStyle w:val="FootnoteAnchor"/>
          <w:rtl w:val="true"/>
        </w:rPr>
        <w:footnoteReference w:id="2015"/>
      </w:r>
      <w:r>
        <w:rPr>
          <w:rFonts w:ascii="IRNazanin" w:hAnsi="IRNazanin" w:eastAsia="IRNazanin"/>
          <w:color w:val="111111"/>
          <w:sz w:val="28"/>
          <w:sz w:val="28"/>
          <w:szCs w:val="28"/>
          <w:rtl w:val="true"/>
          <w:lang w:bidi="fa-IR"/>
        </w:rPr>
        <w:t xml:space="preserve">والمراد بالرأس هنا منابت الشعر حقیقةً أو حکماً، فالاُذنان لیستا منه، خلافاً للتحریر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تصدق بالید کالرأس، ولا بالنوم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ویستثنی من الوجه ما یتمّ به ستر الرأس؛ لأنّ مراعاة الستر أقوی، وحقّ الصلاة أسبق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لها سدل القناع إلی طرف أنفها بغیر إصابة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والنصّ خالٍ من اعتبار عدم الإصابة </w:t>
      </w:r>
      <w:r>
        <w:rPr>
          <w:rStyle w:val="FootnoteAnchor"/>
          <w:rtl w:val="true"/>
        </w:rPr>
        <w:footnoteReference w:id="2017"/>
      </w:r>
      <w:r>
        <w:rPr>
          <w:rFonts w:ascii="IRNazanin" w:hAnsi="IRNazanin" w:eastAsia="IRNazanin"/>
          <w:color w:val="111111"/>
          <w:sz w:val="28"/>
          <w:sz w:val="28"/>
          <w:szCs w:val="28"/>
          <w:rtl w:val="true"/>
          <w:lang w:bidi="fa-IR"/>
        </w:rPr>
        <w:t xml:space="preserve">ومعه لا یختصّ بالأنف </w:t>
      </w:r>
      <w:r>
        <w:rPr>
          <w:rStyle w:val="FootnoteAnchor"/>
          <w:rtl w:val="true"/>
        </w:rPr>
        <w:footnoteReference w:id="2018"/>
      </w:r>
      <w:r>
        <w:rPr>
          <w:rFonts w:ascii="IRNazanin" w:hAnsi="IRNazanin" w:eastAsia="IRNazanin"/>
          <w:color w:val="111111"/>
          <w:sz w:val="28"/>
          <w:sz w:val="28"/>
          <w:szCs w:val="28"/>
          <w:rtl w:val="true"/>
          <w:lang w:bidi="fa-IR"/>
        </w:rPr>
        <w:t>بل یجوز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الخنثی بین وظیفة الرجل والمرأة، فتغطّی الرأس أو الوجه، ولو جمعت بینهما کفّرت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وخصّه مع دخوله فی تحریم تغطیة الوجه تبعاً للروایة </w:t>
      </w:r>
      <w:r>
        <w:rPr>
          <w:rStyle w:val="FootnoteAnchor"/>
          <w:rtl w:val="true"/>
        </w:rPr>
        <w:footnoteReference w:id="2019"/>
      </w:r>
      <w:r>
        <w:rPr>
          <w:rFonts w:ascii="IRNazanin" w:hAnsi="IRNazanin" w:eastAsia="IRNazanin"/>
          <w:color w:val="111111"/>
          <w:sz w:val="28"/>
          <w:sz w:val="28"/>
          <w:szCs w:val="28"/>
          <w:rtl w:val="true"/>
          <w:lang w:bidi="fa-IR"/>
        </w:rPr>
        <w:t>وإلّا فهو کالمستغنی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والحِنّاء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للسنّة سواء الرجل والمرأة، والمرجع فیهما إلی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یحرم قبلَ الإحرام إذا بقی أثره إلیه، والمشهور فیه الکراهة وإن کان التحریم أولی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والتختّم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للسُنّة والمرجع فیهما إلی القصد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المرأة ما لم تعتده من الحُلیّ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وإظهار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یحرم علیها لُبسه للزینة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بالتحریم کذلک هو المشهور، ولا فدیة له سوی الاستغفار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الخُفّین للرجل، وما یستر ظهرَ قدمیه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تسمیته لُبساً والظاهر أنّ بعض الظَهر کالجمیع إلّاما یتوقّف علیه لُبس النعلین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والتظلیل للرجل الصحیح سائراً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یحرم نازلاً إجماعاً، ولا ماشیاً إذا مرّ تحت المحمل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منه ما کان فوق رأسه، فلا یحرم الکون فی ظلّ المحمل عند میل الشمس إلی أحد جانبیه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بالرجل عن المرأة والصبیّ فیجوز لهما الظلّ اتّفاقاً، وبالصحیح عن العلیل ومن لا یتحمّل الحَرّ والبرد بحیث یشقّ علیه بما لا یتحمّل عادة، فیجوز له الظلّ لکن تجب الفدیة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ولُبس السلاح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وإن ضعف دلیله، ومع الحاجة إلیه یباح قطعاً، ولا فدیة فیه مطلقاً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شجر الحرم وحشیشه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إلّاالإذْخِر، وما ینبت فی ملکه، وعُودَی المَحالة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وهی البَکَرة الکبیرة التی یستقی بها علی الإ بل، قاله الجوهری </w:t>
      </w:r>
      <w:r>
        <w:rPr>
          <w:rStyle w:val="FootnoteAnchor"/>
          <w:rtl w:val="true"/>
        </w:rPr>
        <w:footnoteReference w:id="2021"/>
      </w:r>
      <w:r>
        <w:rPr>
          <w:rFonts w:ascii="Amiri" w:hAnsi="Amiri" w:eastAsia="Amiri" w:cs="Amiri"/>
          <w:color w:val="111111"/>
          <w:sz w:val="28"/>
          <w:sz w:val="28"/>
          <w:szCs w:val="28"/>
          <w:rtl w:val="true"/>
          <w:lang w:bidi="ar-SA"/>
        </w:rPr>
        <w:t>وفی تعدّی الحکم إلی مطلق البَکَرَة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ورودها لغةً</w:t>
      </w:r>
    </w:p>
    <w:p>
      <w:pPr>
        <w:pStyle w:val="BookText"/>
        <w:rPr/>
      </w:pPr>
      <w:r>
        <w:rPr>
          <w:rFonts w:ascii="IRNazanin" w:hAnsi="IRNazanin" w:eastAsia="IRNazanin"/>
          <w:color w:val="111111"/>
          <w:sz w:val="28"/>
          <w:sz w:val="28"/>
          <w:szCs w:val="28"/>
          <w:rtl w:val="true"/>
          <w:lang w:bidi="fa-IR"/>
        </w:rPr>
        <w:t xml:space="preserve">مخصوصة، وکون الحکم علی خلاف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وشجر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ذلک </w:t>
      </w:r>
      <w:r>
        <w:rPr>
          <w:rStyle w:val="FootnoteAnchor"/>
          <w:rtl w:val="true"/>
        </w:rPr>
        <w:footnoteReference w:id="2022"/>
      </w:r>
      <w:r>
        <w:rPr>
          <w:rFonts w:ascii="IRNazanin" w:hAnsi="IRNazanin" w:eastAsia="IRNazanin"/>
          <w:color w:val="111111"/>
          <w:sz w:val="28"/>
          <w:sz w:val="28"/>
          <w:szCs w:val="28"/>
          <w:rtl w:val="true"/>
          <w:lang w:bidi="fa-IR"/>
        </w:rPr>
        <w:t>علی المحُلّ أیضاً؛ ولذا لم یذکره فی الدروس من محرّمات الإحرام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هوامّ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جمع هامّة، وهی دوابّه کالقُمل والقراد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البُرْغوث بها قولان </w:t>
      </w:r>
      <w:r>
        <w:rPr>
          <w:rStyle w:val="FootnoteAnchor"/>
          <w:rtl w:val="true"/>
        </w:rPr>
        <w:footnoteReference w:id="2023"/>
      </w:r>
      <w:r>
        <w:rPr>
          <w:rFonts w:ascii="IRNazanin" w:hAnsi="IRNazanin" w:eastAsia="IRNazanin"/>
          <w:color w:val="111111"/>
          <w:sz w:val="28"/>
          <w:sz w:val="28"/>
          <w:szCs w:val="28"/>
          <w:rtl w:val="true"/>
          <w:lang w:bidi="fa-IR"/>
        </w:rPr>
        <w:t>أجودهما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قتله مباشرةً وتسبیباً کوضع دواءٍ یقتله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إلی آخر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النصّ </w:t>
      </w:r>
      <w:r>
        <w:rPr>
          <w:rStyle w:val="FootnoteAnchor"/>
          <w:rtl w:val="true"/>
        </w:rPr>
        <w:footnoteReference w:id="2024"/>
      </w:r>
      <w:r>
        <w:rPr>
          <w:rFonts w:ascii="IRNazanin" w:hAnsi="IRNazanin" w:eastAsia="IRNazanin"/>
          <w:color w:val="111111"/>
          <w:sz w:val="28"/>
          <w:sz w:val="28"/>
          <w:szCs w:val="28"/>
          <w:rtl w:val="true"/>
          <w:lang w:bidi="fa-IR"/>
        </w:rPr>
        <w:t>والفتوی عدم اختصاص المنقول إلیه بکونه مساویاً للأوّل أو أحرز، نعم لا یکفی ما یکون معرِضاً لسقوطه قطعاً أو غالباً</w:t>
      </w:r>
      <w:r>
        <w:rPr>
          <w:rFonts w:eastAsia="IRNazanin" w:cs="IRNazanin"/>
          <w:color w:val="111111"/>
          <w:sz w:val="28"/>
          <w:szCs w:val="28"/>
          <w:rtl w:val="true"/>
          <w:lang w:bidi="fa-IR"/>
        </w:rPr>
        <w:t>.</w:t>
      </w:r>
      <w:bookmarkStart w:id="574" w:name="pg19806_203719"/>
    </w:p>
    <w:p>
      <w:pPr>
        <w:pStyle w:val="Heading4"/>
        <w:numPr>
          <w:ilvl w:val="3"/>
          <w:numId w:val="1"/>
        </w:numPr>
        <w:rPr/>
      </w:pPr>
      <w:bookmarkStart w:id="575" w:name="__RefHeading___Toc2028127_2314609296"/>
      <w:bookmarkStart w:id="576" w:name="_Toc211"/>
      <w:bookmarkEnd w:id="574"/>
      <w:bookmarkEnd w:id="575"/>
      <w:r>
        <w:rPr>
          <w:rtl w:val="true"/>
        </w:rPr>
        <w:t>«</w:t>
      </w:r>
      <w:r>
        <w:rPr>
          <w:rtl w:val="true"/>
        </w:rPr>
        <w:t>القول فی الطواف</w:t>
      </w:r>
      <w:r>
        <w:rPr>
          <w:rtl w:val="true"/>
        </w:rPr>
        <w:t>»</w:t>
      </w:r>
      <w:bookmarkEnd w:id="576"/>
    </w:p>
    <w:p>
      <w:pPr>
        <w:pStyle w:val="Heading5"/>
        <w:numPr>
          <w:ilvl w:val="4"/>
          <w:numId w:val="1"/>
        </w:numPr>
        <w:rPr/>
      </w:pPr>
      <w:bookmarkStart w:id="577" w:name="__RefHeading___Toc2028129_2314609296"/>
      <w:bookmarkStart w:id="578" w:name="_Toc212"/>
      <w:bookmarkEnd w:id="577"/>
      <w:r>
        <w:rPr>
          <w:rtl w:val="true"/>
        </w:rPr>
        <w:t>[</w:t>
      </w:r>
      <w:r>
        <w:rPr>
          <w:rtl w:val="true"/>
        </w:rPr>
        <w:t>شروطه و واجباته</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عدم صحّته من المستحاضة والمتیمّم، لعدم إمکان رفعه فی حقّهما وإن استباحا العبادة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الأصحّ الاجتزاء بطهارة المستحاضة والمتیمّم مع تعذّر المائیّة </w:t>
      </w:r>
      <w:r>
        <w:rPr>
          <w:rStyle w:val="FootnoteAnchor"/>
          <w:rtl w:val="true"/>
        </w:rPr>
        <w:footnoteReference w:id="2025"/>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مختصّ بالواجب، أمّا المندوب فالأقوی عدم اشتراطه بالطهارة وإن کان أکمل، وبه صرّح المصنّف فی غیر الکتاب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أیضاً یقتضی عدم الفرق بین ما یُعفی عنه فی الصلاة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یتمّ علی قول من منع من إدخال مطلق النجاسة المسجد </w:t>
      </w:r>
      <w:r>
        <w:rPr>
          <w:rStyle w:val="FootnoteAnchor"/>
          <w:rtl w:val="true"/>
        </w:rPr>
        <w:footnoteReference w:id="2027"/>
      </w:r>
      <w:r>
        <w:rPr>
          <w:rFonts w:ascii="Amiri" w:hAnsi="Amiri" w:eastAsia="Amiri" w:cs="Amiri"/>
          <w:color w:val="111111"/>
          <w:sz w:val="28"/>
          <w:sz w:val="28"/>
          <w:szCs w:val="28"/>
          <w:rtl w:val="true"/>
          <w:lang w:bidi="ar-SA"/>
        </w:rPr>
        <w:t>لیکون منهیّاً عن العبادة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ومختار المصنّف تحریم الملوِّثة خاصّة </w:t>
      </w:r>
      <w:r>
        <w:rPr>
          <w:rStyle w:val="FootnoteAnchor"/>
          <w:rtl w:val="true"/>
        </w:rPr>
        <w:footnoteReference w:id="2028"/>
      </w:r>
      <w:r>
        <w:rPr>
          <w:rFonts w:ascii="IRNazanin" w:hAnsi="IRNazanin" w:eastAsia="IRNazanin"/>
          <w:color w:val="111111"/>
          <w:sz w:val="28"/>
          <w:sz w:val="28"/>
          <w:szCs w:val="28"/>
          <w:rtl w:val="true"/>
          <w:lang w:bidi="fa-IR"/>
        </w:rPr>
        <w:t>فلیکن هنا کذلک، وظاهر الدروس القطع به وهو حسن،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بالعفو عن النجاسة هنا مطلقاً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والختان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إمکانه فلو تعذّر وضاق وقته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الخنثی فظاهر العبارة عدم اشتراطه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واعتباره قویّ لعموم النصّ </w:t>
      </w:r>
      <w:r>
        <w:rPr>
          <w:rStyle w:val="FootnoteAnchor"/>
          <w:rtl w:val="true"/>
        </w:rPr>
        <w:footnoteReference w:id="2030"/>
      </w:r>
      <w:r>
        <w:rPr>
          <w:rFonts w:ascii="Amiri" w:hAnsi="Amiri" w:eastAsia="Amiri" w:cs="Amiri"/>
          <w:color w:val="111111"/>
          <w:sz w:val="28"/>
          <w:sz w:val="28"/>
          <w:szCs w:val="28"/>
          <w:rtl w:val="true"/>
          <w:lang w:bidi="ar-SA"/>
        </w:rPr>
        <w:t>إلّاما اُجمع علی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القول فی الصبیّ وإن لم یکن مکلَّفاً</w:t>
      </w:r>
    </w:p>
    <w:p>
      <w:pPr>
        <w:pStyle w:val="BookText"/>
        <w:rPr/>
      </w:pPr>
      <w:r>
        <w:rPr>
          <w:rFonts w:ascii="IRNazanin" w:hAnsi="IRNazanin" w:eastAsia="IRNazanin"/>
          <w:color w:val="111111"/>
          <w:sz w:val="28"/>
          <w:sz w:val="28"/>
          <w:szCs w:val="28"/>
          <w:rtl w:val="true"/>
          <w:lang w:bidi="fa-IR"/>
        </w:rPr>
        <w:t>کالطهارة بالنسبة إلی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یجب سترها فی الصلاة ویختلف بحسب حال الطائف فی الذکورة والاُنوثة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قصده فی النُسک المعیّن من حجٍّ أو عمرةٍ، إسلامیٍّ أو غیره، تمتّع أو أحد قسیمیه، والوجه علی ما مرّ </w:t>
      </w:r>
      <w:r>
        <w:rPr>
          <w:rStyle w:val="FootnoteAnchor"/>
          <w:rtl w:val="true"/>
        </w:rPr>
        <w:footnoteReference w:id="2031"/>
      </w:r>
      <w:r>
        <w:rPr>
          <w:rFonts w:ascii="IRNazanin" w:hAnsi="IRNazanin" w:eastAsia="IRNazanin"/>
          <w:color w:val="111111"/>
          <w:sz w:val="28"/>
          <w:sz w:val="28"/>
          <w:szCs w:val="28"/>
          <w:rtl w:val="true"/>
          <w:lang w:bidi="fa-IR"/>
        </w:rPr>
        <w:t>والقربة والمقارنة للحرکة فی الجزء الأوّل من الشوط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والبدأةُ بالحَجَر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یکون أوّل جزءٍ من بدنه بإزاءأوّل جزءٍ منه حتّی یمرّ علیه کلّه ولو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استقباله حالَ النیّة بوجهه للتأسّی </w:t>
      </w:r>
      <w:r>
        <w:rPr>
          <w:rStyle w:val="FootnoteAnchor"/>
          <w:rtl w:val="true"/>
        </w:rPr>
        <w:footnoteReference w:id="2032"/>
      </w:r>
      <w:r>
        <w:rPr>
          <w:rFonts w:ascii="IRNazanin" w:hAnsi="IRNazanin" w:eastAsia="IRNazanin"/>
          <w:color w:val="111111"/>
          <w:sz w:val="28"/>
          <w:sz w:val="28"/>
          <w:szCs w:val="28"/>
          <w:rtl w:val="true"/>
          <w:lang w:bidi="fa-IR"/>
        </w:rPr>
        <w:t>ثمّ یأخذ فی الحرکة علی الیسار عقیب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جعله علی یساره ابتداءً جاز مع عدم التقیّة،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مصرِّحةٌ باستحباب الاستقبال </w:t>
      </w:r>
      <w:r>
        <w:rPr>
          <w:rStyle w:val="FootnoteAnchor"/>
          <w:rtl w:val="true"/>
        </w:rPr>
        <w:footnoteReference w:id="2033"/>
      </w:r>
      <w:r>
        <w:rPr>
          <w:rFonts w:ascii="IRNazanin" w:hAnsi="IRNazanin" w:eastAsia="IRNazanin"/>
          <w:color w:val="111111"/>
          <w:sz w:val="28"/>
          <w:sz w:val="28"/>
          <w:szCs w:val="28"/>
          <w:rtl w:val="true"/>
          <w:lang w:bidi="fa-IR"/>
        </w:rPr>
        <w:t xml:space="preserve">وکذا جمع من الأصحاب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یحاذیه فی آخر شوط </w:t>
      </w:r>
      <w:r>
        <w:rPr>
          <w:rStyle w:val="FootnoteAnchor"/>
          <w:rtl w:val="true"/>
        </w:rPr>
        <w:footnoteReference w:id="2035"/>
      </w:r>
      <w:r>
        <w:rPr>
          <w:rFonts w:ascii="IRNazanin" w:hAnsi="IRNazanin" w:eastAsia="IRNazanin"/>
          <w:color w:val="111111"/>
          <w:sz w:val="28"/>
          <w:sz w:val="28"/>
          <w:szCs w:val="28"/>
          <w:rtl w:val="true"/>
          <w:lang w:bidi="fa-IR"/>
        </w:rPr>
        <w:t>کما ابتدأ أوّلاً لیکمل الشوط من غیر زیادة ولا 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البیت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الطواف، فلو استقبله بوجهه أو ظهره أو جَعَله علی یمینه ولو فی خطوة منه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والطواف بینه وبین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هو الآن، مراعیاً لتلک النسبة من جمیع الجهات، فلو خرج عنها ولو قلیلاً بطل، وتُحتسب المسافة من جهة الحِجْر من خارجه وإن جعلناه خارجاً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بالمقام نفس الصخرة، لا ما علیه من البناء، ترجیحاً للاستعمال الشرعی علی العرفی لو 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وإدخال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الطواف للتأسّی </w:t>
      </w:r>
      <w:r>
        <w:rPr>
          <w:rStyle w:val="FootnoteAnchor"/>
          <w:rtl w:val="true"/>
        </w:rPr>
        <w:footnoteReference w:id="2036"/>
      </w:r>
      <w:r>
        <w:rPr>
          <w:rFonts w:ascii="IRNazanin" w:hAnsi="IRNazanin" w:eastAsia="IRNazanin"/>
          <w:color w:val="111111"/>
          <w:sz w:val="28"/>
          <w:sz w:val="28"/>
          <w:szCs w:val="28"/>
          <w:rtl w:val="true"/>
          <w:lang w:bidi="fa-IR"/>
        </w:rPr>
        <w:t xml:space="preserve">والأمر به </w:t>
      </w:r>
      <w:r>
        <w:rPr>
          <w:rStyle w:val="FootnoteAnchor"/>
          <w:rtl w:val="true"/>
        </w:rPr>
        <w:footnoteReference w:id="2037"/>
      </w:r>
      <w:r>
        <w:rPr>
          <w:rFonts w:ascii="IRNazanin" w:hAnsi="IRNazanin" w:eastAsia="IRNazanin"/>
          <w:color w:val="111111"/>
          <w:sz w:val="28"/>
          <w:sz w:val="28"/>
          <w:szCs w:val="28"/>
          <w:rtl w:val="true"/>
          <w:lang w:bidi="fa-IR"/>
        </w:rPr>
        <w:t xml:space="preserve">لا لکونه من البیت، بل قد رُوی أ نّه لیس منه </w:t>
      </w:r>
      <w:r>
        <w:rPr>
          <w:rStyle w:val="FootnoteAnchor"/>
          <w:rtl w:val="true"/>
        </w:rPr>
        <w:footnoteReference w:id="2038"/>
      </w:r>
      <w:r>
        <w:rPr>
          <w:rFonts w:ascii="IRNazanin" w:hAnsi="IRNazanin" w:eastAsia="IRNazanin"/>
          <w:color w:val="111111"/>
          <w:sz w:val="28"/>
          <w:sz w:val="28"/>
          <w:szCs w:val="28"/>
          <w:rtl w:val="true"/>
          <w:lang w:bidi="fa-IR"/>
        </w:rPr>
        <w:t xml:space="preserve">أو أنّ بعضه منه </w:t>
      </w:r>
      <w:r>
        <w:rPr>
          <w:rStyle w:val="FootnoteAnchor"/>
          <w:rtl w:val="true"/>
        </w:rPr>
        <w:footnoteReference w:id="2039"/>
      </w:r>
      <w:r>
        <w:rPr>
          <w:rFonts w:ascii="IRNazanin" w:hAnsi="IRNazanin" w:eastAsia="IRNazanin"/>
          <w:color w:val="111111"/>
          <w:sz w:val="28"/>
          <w:sz w:val="28"/>
          <w:szCs w:val="28"/>
          <w:rtl w:val="true"/>
          <w:lang w:bidi="fa-IR"/>
        </w:rPr>
        <w:t xml:space="preserve">وأمّا الخروج عن شیء آخر خارجَ الحِجر فلا یعتبر </w:t>
      </w:r>
      <w:r>
        <w:rPr>
          <w:rStyle w:val="FootnoteAnchor"/>
          <w:rtl w:val="true"/>
        </w:rPr>
        <w:footnoteReference w:id="2040"/>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وخروجه بجمیع بدنه عن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أدخل یده فی بابه حالتَه أو مشی علی شاذَروانه </w:t>
      </w:r>
      <w:r>
        <w:rPr>
          <w:rStyle w:val="FootnoteAnchor"/>
          <w:rtl w:val="true"/>
        </w:rPr>
        <w:footnoteReference w:id="2041"/>
      </w:r>
      <w:r>
        <w:rPr>
          <w:rFonts w:ascii="IRNazanin" w:hAnsi="IRNazanin" w:eastAsia="IRNazanin"/>
          <w:color w:val="111111"/>
          <w:sz w:val="28"/>
          <w:sz w:val="28"/>
          <w:szCs w:val="28"/>
          <w:rtl w:val="true"/>
          <w:lang w:bidi="fa-IR"/>
        </w:rPr>
        <w:t>ولو خُطوة أو مسّ حائطه من جهته ماشیاً بطل، فلو أراد مسّه وقف حالته، لئلّا یقطع جزءاً من الطواف غیر خارج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وإکمال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الحَجَر إلیه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الزیادة علیها، فیبطل إن 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 سهواً فإن لم یکمل الشوط الثامن تعیّن القطع، فإن زاد فکالمتعمّد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بلغه تخیّر بین القطع وإکمال اُسبوعین، فیکون الثانی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ویقدّم صلاةَ الفریضة علی السعی، ویؤخّر صلاة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والرکعتان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هو الآن، أو إلی أحد جانبیه، وإنّما أطلق فعلهما خلفَه تبعاً لبعض الأخبار </w:t>
      </w:r>
      <w:r>
        <w:rPr>
          <w:rStyle w:val="FootnoteAnchor"/>
          <w:rtl w:val="true"/>
        </w:rPr>
        <w:footnoteReference w:id="2042"/>
      </w:r>
      <w:r>
        <w:rPr>
          <w:rFonts w:ascii="IRNazanin" w:hAnsi="IRNazanin" w:eastAsia="IRNazanin"/>
          <w:color w:val="111111"/>
          <w:sz w:val="28"/>
          <w:sz w:val="28"/>
          <w:szCs w:val="28"/>
          <w:rtl w:val="true"/>
          <w:lang w:bidi="fa-IR"/>
        </w:rPr>
        <w:t xml:space="preserve">وقد اختلفت عبارته فی ذلک فاعتبر هنا خلفه، وأضاف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جانبیه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الألفیّة </w:t>
      </w:r>
      <w:r>
        <w:rPr>
          <w:rStyle w:val="FootnoteAnchor"/>
          <w:rtl w:val="true"/>
        </w:rPr>
        <w:footnoteReference w:id="2043"/>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فَعَلَهما فی المقام، ولو منعه زحام أو غیره صلّی خلفه أو إلی أحد جانبیه </w:t>
      </w:r>
      <w:r>
        <w:rPr>
          <w:rStyle w:val="FootnoteAnchor"/>
          <w:rtl w:val="true"/>
        </w:rPr>
        <w:footnoteReference w:id="2044"/>
      </w:r>
      <w:r>
        <w:rPr>
          <w:rFonts w:ascii="IRNazanin" w:hAnsi="IRNazanin" w:eastAsia="IRNazanin"/>
          <w:color w:val="111111"/>
          <w:sz w:val="28"/>
          <w:sz w:val="28"/>
          <w:szCs w:val="28"/>
          <w:rtl w:val="true"/>
          <w:lang w:bidi="fa-IR"/>
        </w:rPr>
        <w:t>والأوسط 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نیّتهما قصد الصلاة للطواف المعیّن متقرّباً، والأولی إضافة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فعل صلاة الطواف المندوب حیث شاء من المسجد، والمقام أفضل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وتواصُلُ أربعة أشواط، فلو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لدونها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لضرورة، أو دخول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صلاة فریضة ضاق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الأربعة یباح القطع لضرورةٍ، وصلاة فریضةٍ ونافلةٍ یخاف فوتها، وقضاءِ حاجة مؤمن،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یقطعه یجب أن یحفظ موضعه لیُکمل منه بعد العود، حذراً من الزیادة أو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أخذ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طواف الفریضة، أمّا النافلة فیبنی فیها لعذرٍ مطلقاً ویستأنف قبل بلوغ الأربعة لا له مطلقاً </w:t>
      </w:r>
      <w:r>
        <w:rPr>
          <w:rStyle w:val="FootnoteAnchor"/>
          <w:rtl w:val="true"/>
        </w:rPr>
        <w:footnoteReference w:id="2045"/>
      </w:r>
      <w:r>
        <w:rPr>
          <w:rFonts w:ascii="IRNazanin" w:hAnsi="IRNazanin" w:eastAsia="IRNazanin"/>
          <w:color w:val="111111"/>
          <w:sz w:val="28"/>
          <w:sz w:val="28"/>
          <w:szCs w:val="28"/>
          <w:rtl w:val="true"/>
          <w:lang w:bidi="fa-IR"/>
        </w:rPr>
        <w:t>وفی</w:t>
      </w:r>
      <w:bookmarkStart w:id="579" w:name="pg19806_203723"/>
    </w:p>
    <w:p>
      <w:pPr>
        <w:pStyle w:val="BookText"/>
        <w:rPr/>
      </w:pPr>
      <w:bookmarkEnd w:id="579"/>
      <w:r>
        <w:rPr>
          <w:rFonts w:ascii="IRNazanin" w:hAnsi="IRNazanin" w:eastAsia="IRNazanin"/>
          <w:color w:val="111111"/>
          <w:sz w:val="28"/>
          <w:sz w:val="28"/>
          <w:szCs w:val="28"/>
          <w:rtl w:val="true"/>
          <w:lang w:bidi="fa-IR"/>
        </w:rPr>
        <w:t xml:space="preserve">الدروس أطلق البناء فیها مطلقاً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السعی ترتّبت صحّته وبطلانه علی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نقصان الطواف قبلَ إکمال أربع استأنفهما، وإن کان بعده بنی علیهما وإن لم یتجاوز نصف السعی، فإنّه تابع للطواف فی البناء والاستئناف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شکّ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عدد الأشواط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فراغه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الأثناء یبطل إن شکّ فی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شکّ بین کونه تامّاً أو ناقصاً، أو فی عدد الأشواط مع تحقّقه عدم الإکمال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ویبنی علی الأقلّ إن شکّ فی الزیادة علی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تحقّق إکمالها إن کان علی الرکن </w:t>
      </w:r>
      <w:r>
        <w:rPr>
          <w:rStyle w:val="FootnoteAnchor"/>
          <w:rtl w:val="true"/>
        </w:rPr>
        <w:footnoteReference w:id="2047"/>
      </w:r>
      <w:r>
        <w:rPr>
          <w:rFonts w:ascii="IRNazanin" w:hAnsi="IRNazanin" w:eastAsia="IRNazanin"/>
          <w:color w:val="111111"/>
          <w:sz w:val="28"/>
          <w:sz w:val="28"/>
          <w:szCs w:val="28"/>
          <w:rtl w:val="true"/>
          <w:lang w:bidi="fa-IR"/>
        </w:rPr>
        <w:t>ولو کان قبلَه بطل أیضاً مطلقاً کالنقصان، لتردّده بین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الإکمال المحتمل للزیادة عمداً، والقطع المحتمل للنقیصة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اقتصر علیه بدون القید، لرجوعه إلی الشکّ فی 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نفل الطواف فیبنی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شکّ فی الزیادة أم النقصان، وسواء بلغ الرکن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الأفضل، ولو بنی علی الأکثر حیث لا یستلزم الزیادة جاز أیضاً کالصلاة</w:t>
      </w:r>
      <w:r>
        <w:rPr>
          <w:rFonts w:eastAsia="IRNazanin" w:cs="IRNazanin"/>
          <w:color w:val="111111"/>
          <w:sz w:val="28"/>
          <w:szCs w:val="28"/>
          <w:rtl w:val="true"/>
          <w:lang w:bidi="fa-IR"/>
        </w:rPr>
        <w:t>.</w:t>
      </w:r>
    </w:p>
    <w:p>
      <w:pPr>
        <w:pStyle w:val="Heading5"/>
        <w:numPr>
          <w:ilvl w:val="4"/>
          <w:numId w:val="1"/>
        </w:numPr>
        <w:rPr/>
      </w:pPr>
      <w:bookmarkStart w:id="580" w:name="__RefHeading___Toc2028131_2314609296"/>
      <w:bookmarkStart w:id="581" w:name="_Toc213"/>
      <w:bookmarkEnd w:id="580"/>
      <w:r>
        <w:rPr>
          <w:rtl w:val="true"/>
        </w:rPr>
        <w:t>[</w:t>
      </w:r>
      <w:r>
        <w:rPr>
          <w:rtl w:val="true"/>
        </w:rPr>
        <w:t>سننه</w:t>
      </w:r>
      <w:r>
        <w:rPr>
          <w:rtl w:val="true"/>
        </w:rPr>
        <w:t>]</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بئر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فرسخ من مکّة بطریق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ومضغ الإذخر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والخاء المعجمة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مکّة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عقبة المدنیّین، للتأسّی </w:t>
      </w:r>
      <w:r>
        <w:rPr>
          <w:rStyle w:val="FootnoteAnchor"/>
          <w:rtl w:val="true"/>
        </w:rPr>
        <w:footnoteReference w:id="2048"/>
      </w:r>
      <w:r>
        <w:rPr>
          <w:rFonts w:ascii="IRNazanin" w:hAnsi="IRNazanin" w:eastAsia="IRNazanin"/>
          <w:color w:val="111111"/>
          <w:sz w:val="28"/>
          <w:sz w:val="28"/>
          <w:szCs w:val="28"/>
          <w:rtl w:val="true"/>
          <w:lang w:bidi="fa-IR"/>
        </w:rPr>
        <w:t>سواء فی ذلک</w:t>
      </w:r>
    </w:p>
    <w:p>
      <w:pPr>
        <w:pStyle w:val="BookText"/>
        <w:rPr/>
      </w:pPr>
      <w:r>
        <w:rPr>
          <w:rFonts w:ascii="IRNazanin" w:hAnsi="IRNazanin" w:eastAsia="IRNazanin"/>
          <w:color w:val="111111"/>
          <w:sz w:val="28"/>
          <w:sz w:val="28"/>
          <w:szCs w:val="28"/>
          <w:rtl w:val="true"/>
          <w:lang w:bidi="fa-IR"/>
        </w:rPr>
        <w:t xml:space="preserve">المدنی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ونعلُه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الاعتدال فی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الطمأنینة فی النفس وإحضار البال والخشوع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والدخول من باب بنی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لیطأ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الآن فی داخل المسجد بسبب توسعته، بإزاء باب السلام عند الأساطین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الدعاء </w:t>
      </w:r>
      <w:r>
        <w:rPr>
          <w:rStyle w:val="FootnoteAnchor"/>
          <w:rtl w:val="true"/>
        </w:rPr>
        <w:footnoteReference w:id="2050"/>
      </w:r>
      <w:r>
        <w:rPr>
          <w:rFonts w:ascii="IRNazanin" w:hAnsi="IRNazanin" w:eastAsia="IRNazanin"/>
          <w:color w:val="111111"/>
          <w:sz w:val="28"/>
          <w:sz w:val="28"/>
          <w:szCs w:val="28"/>
          <w:rtl w:val="true"/>
          <w:lang w:bidi="fa-IR"/>
        </w:rPr>
        <w:t>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الباب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والوقوف عند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حالة الوقوف مستقبلاً رافعاً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حالات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بالمنقول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وقراءة القدر </w:t>
      </w:r>
      <w:r>
        <w:rPr>
          <w:rStyle w:val="FootnoteAnchor"/>
          <w:rtl w:val="true"/>
        </w:rPr>
        <w:footnoteReference w:id="2053"/>
      </w:r>
      <w:r>
        <w:rPr>
          <w:rFonts w:ascii="Amiri" w:hAnsi="Amiri" w:eastAsia="Amiri" w:cs="Amiri"/>
          <w:color w:val="111111"/>
          <w:sz w:val="28"/>
          <w:sz w:val="28"/>
          <w:szCs w:val="28"/>
          <w:rtl w:val="true"/>
          <w:lang w:bidi="ar-SA"/>
        </w:rPr>
        <w:t>وذکر اللّٰه تعالی</w:t>
      </w:r>
      <w:r>
        <w:rPr>
          <w:rFonts w:eastAsia="Amiri" w:cs="Amiri" w:ascii="Amiri" w:hAnsi="Amiri"/>
          <w:color w:val="111111"/>
          <w:sz w:val="28"/>
          <w:szCs w:val="28"/>
          <w:rtl w:val="true"/>
          <w:lang w:bidi="ar-SA"/>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والسکینة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الاقتصاد فیه مطلقاً فی المشهور </w:t>
      </w:r>
      <w:r>
        <w:rPr>
          <w:rStyle w:val="FootnoteAnchor"/>
          <w:rtl w:val="true"/>
        </w:rPr>
        <w:footnoteReference w:id="2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الإسراع فی المشی مع تقارب الخُطی، دون الوثوب والعدْو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الاُولی </w:t>
      </w:r>
      <w:r>
        <w:rPr>
          <w:rStyle w:val="FootnoteAnchor"/>
          <w:rtl w:val="true"/>
        </w:rPr>
        <w:footnoteReference w:id="2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والمشی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المبسوط فی طواف القدوم خاصّة </w:t>
      </w:r>
      <w:r>
        <w:rPr>
          <w:rStyle w:val="FootnoteAnchor"/>
          <w:rtl w:val="true"/>
        </w:rPr>
        <w:footnoteReference w:id="2056"/>
      </w:r>
      <w:r>
        <w:rPr>
          <w:rFonts w:ascii="Amiri" w:hAnsi="Amiri" w:eastAsia="Amiri" w:cs="Amiri"/>
          <w:color w:val="111111"/>
          <w:sz w:val="28"/>
          <w:sz w:val="28"/>
          <w:szCs w:val="28"/>
          <w:rtl w:val="true"/>
          <w:lang w:bidi="ar-SA"/>
        </w:rPr>
        <w:t>وإنّما أطلقه لأنّ</w:t>
      </w:r>
    </w:p>
    <w:p>
      <w:pPr>
        <w:pStyle w:val="BookText"/>
        <w:rPr/>
      </w:pPr>
      <w:r>
        <w:rPr>
          <w:rFonts w:ascii="IRNazanin" w:hAnsi="IRNazanin" w:eastAsia="IRNazanin"/>
          <w:color w:val="111111"/>
          <w:sz w:val="28"/>
          <w:sz w:val="28"/>
          <w:szCs w:val="28"/>
          <w:rtl w:val="true"/>
          <w:lang w:bidi="fa-IR"/>
        </w:rPr>
        <w:t>کلامه الآن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الصحیح دون المرأة والخنثی والعلیل، بشرط أن لا یؤذی غیره ولا یتأذّی به، ولو کان راکباً حرّک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الرکنین الیمانیّین </w:t>
      </w:r>
      <w:r>
        <w:rPr>
          <w:rStyle w:val="FootnoteAnchor"/>
          <w:rtl w:val="true"/>
        </w:rPr>
        <w:footnoteReference w:id="2057"/>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ترکه فی الأشواط أو بعضها لم یقضِه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واستلام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أمکن من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والاستلام بغیر 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 من السِلام بالکسر وهی الحجارة بمعنی مسّ السِلام، أو من السَلام وهو التحیّة،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الدِرع، کأ نّه اتّخذه جنّة وسلاحاً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الإمکان وإلّا استلمه بیده ثم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ذلک فی کلّ شوط، وأقلّه الفتح والختم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واستلام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کلّما مرّ بها خصوصاً الیمانی والعراقی، وتقبیلهما؛ للتأسّی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بحذاء الباب دون الرکن الیمانی بقلیل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وإلصاق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ببشرته به فی هذا الطواف لإمکانه، وتتأدّی السنّة</w:t>
      </w:r>
      <w:bookmarkStart w:id="582" w:name="pg19806_203726"/>
    </w:p>
    <w:p>
      <w:pPr>
        <w:pStyle w:val="BookText"/>
        <w:rPr/>
      </w:pPr>
      <w:bookmarkEnd w:id="582"/>
      <w:r>
        <w:rPr>
          <w:rFonts w:ascii="IRNazanin" w:hAnsi="IRNazanin" w:eastAsia="IRNazanin"/>
          <w:color w:val="111111"/>
          <w:sz w:val="28"/>
          <w:sz w:val="28"/>
          <w:szCs w:val="28"/>
          <w:rtl w:val="true"/>
          <w:lang w:bidi="fa-IR"/>
        </w:rPr>
        <w:t xml:space="preserve">فی غیره من طواف مجامع للُبس المخیط ولو من داخل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إلصاق بشرة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وعدّ ذنوبه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مفصَّلة، فلیس من مؤمنٍ یُقرّ لربّه بذنوبه فیه إلّا غفرها له إن شاء اللّٰه تعالی، رواه معاویة بن عمّار عن الصادق علیه السلام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ومتی استلم حفظ موضعه بأن یثبت رجلیه فیه ولا یتقدّم بهما حالتَه، حذراً من الزیادة فی الطواف أو 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والتدانی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الخُطی، فجاز اشتمال القلیلة علی مزیّة وثواب زائد علی </w:t>
      </w:r>
      <w:r>
        <w:rPr>
          <w:rStyle w:val="FootnoteAnchor"/>
          <w:rtl w:val="true"/>
        </w:rPr>
        <w:footnoteReference w:id="2061"/>
      </w:r>
      <w:r>
        <w:rPr>
          <w:rFonts w:ascii="IRNazanin" w:hAnsi="IRNazanin" w:eastAsia="IRNazanin"/>
          <w:color w:val="111111"/>
          <w:sz w:val="28"/>
          <w:sz w:val="28"/>
          <w:szCs w:val="28"/>
          <w:rtl w:val="true"/>
          <w:lang w:bidi="fa-IR"/>
        </w:rPr>
        <w:t xml:space="preserve">الکثیرة وإن کان 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خُطوةٍ من الطواف سبعون ألف حسنة</w:t>
      </w:r>
      <w:r>
        <w:rPr>
          <w:rFonts w:eastAsia="IRNazanin" w:cs="IRNazanin"/>
          <w:color w:val="111111"/>
          <w:sz w:val="28"/>
          <w:szCs w:val="28"/>
          <w:rtl w:val="true"/>
          <w:lang w:bidi="fa-IR"/>
        </w:rPr>
        <w:t xml:space="preserve">» </w:t>
      </w:r>
      <w:r>
        <w:rPr>
          <w:rStyle w:val="FootnoteAnchor"/>
          <w:rtl w:val="true"/>
        </w:rPr>
        <w:footnoteReference w:id="2062"/>
      </w:r>
      <w:r>
        <w:rPr>
          <w:rFonts w:ascii="IRNazanin" w:hAnsi="IRNazanin" w:eastAsia="IRNazanin"/>
          <w:color w:val="111111"/>
          <w:sz w:val="28"/>
          <w:sz w:val="28"/>
          <w:szCs w:val="28"/>
          <w:rtl w:val="true"/>
          <w:lang w:bidi="fa-IR"/>
        </w:rPr>
        <w:t>ویمکن الجمع بین تکثیرها والتدانی، بتکثیر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الکلام فی أثنائه بغیر الذکر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والصلاة علی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ذکرناه یمکن دخوله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w:t>
      </w:r>
    </w:p>
    <w:p>
      <w:pPr>
        <w:pStyle w:val="Heading4"/>
        <w:numPr>
          <w:ilvl w:val="3"/>
          <w:numId w:val="1"/>
        </w:numPr>
        <w:rPr/>
      </w:pPr>
      <w:bookmarkStart w:id="583" w:name="__RefHeading___Toc2028133_2314609296"/>
      <w:bookmarkStart w:id="584" w:name="_Toc214"/>
      <w:bookmarkEnd w:id="583"/>
      <w:r>
        <w:rPr>
          <w:rtl w:val="true"/>
        </w:rPr>
        <w:t>«</w:t>
      </w:r>
      <w:r>
        <w:rPr>
          <w:rtl w:val="true"/>
        </w:rPr>
        <w:t>مسائل</w:t>
      </w:r>
      <w:r>
        <w:rPr>
          <w:rtl w:val="true"/>
        </w:rPr>
        <w:t>»</w:t>
      </w:r>
      <w:bookmarkEnd w:id="584"/>
    </w:p>
    <w:p>
      <w:pPr>
        <w:pStyle w:val="Heading5"/>
        <w:numPr>
          <w:ilvl w:val="4"/>
          <w:numId w:val="1"/>
        </w:numPr>
        <w:rPr/>
      </w:pPr>
      <w:bookmarkStart w:id="585" w:name="__RefHeading___Toc2028135_2314609296"/>
      <w:bookmarkStart w:id="586" w:name="_Toc215"/>
      <w:bookmarkEnd w:id="585"/>
      <w:r>
        <w:rPr>
          <w:rtl w:val="true"/>
        </w:rPr>
        <w:t>الاُولی</w:t>
      </w:r>
      <w:r>
        <w:rPr>
          <w:rtl w:val="true"/>
        </w:rPr>
        <w:t>: [</w:t>
      </w:r>
      <w:r>
        <w:rPr>
          <w:rtl w:val="true"/>
        </w:rPr>
        <w:t xml:space="preserve">رکنیة الطواف </w:t>
      </w:r>
      <w:r>
        <w:rPr>
          <w:rtl w:val="true"/>
        </w:rPr>
        <w:t>]</w:t>
      </w:r>
      <w:bookmarkEnd w:id="58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طواف‌واجبٍ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النسک بترکه عمداً کغیره من الأرکان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والجاهل 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یبطل بترکه نسیاناً، لکن یجب تدارکه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مع المکنة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w:t>
      </w:r>
      <w:bookmarkStart w:id="587" w:name="pg19806_203727"/>
    </w:p>
    <w:p>
      <w:pPr>
        <w:pStyle w:val="BookText"/>
        <w:rPr/>
      </w:pPr>
      <w:bookmarkEnd w:id="587"/>
      <w:r>
        <w:rPr>
          <w:rFonts w:ascii="IRNazanin" w:hAnsi="IRNazanin" w:eastAsia="IRNazanin"/>
          <w:color w:val="111111"/>
          <w:sz w:val="28"/>
          <w:sz w:val="28"/>
          <w:szCs w:val="28"/>
          <w:rtl w:val="true"/>
          <w:lang w:bidi="fa-IR"/>
        </w:rPr>
        <w:t>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 المشقة الکثیرة وفاقاً للدروس </w:t>
      </w:r>
      <w:r>
        <w:rPr>
          <w:rStyle w:val="FootnoteAnchor"/>
          <w:rtl w:val="true"/>
        </w:rPr>
        <w:footnoteReference w:id="2063"/>
      </w:r>
      <w:r>
        <w:rPr>
          <w:rFonts w:ascii="IRNazanin" w:hAnsi="IRNazanin" w:eastAsia="IRNazanin"/>
          <w:color w:val="111111"/>
          <w:sz w:val="28"/>
          <w:sz w:val="28"/>
          <w:szCs w:val="28"/>
          <w:rtl w:val="true"/>
          <w:lang w:bidi="fa-IR"/>
        </w:rPr>
        <w:t xml:space="preserve">ویحتمل إرادة العجز عنه مطلقاً </w:t>
      </w:r>
      <w:r>
        <w:rPr>
          <w:rStyle w:val="FootnoteAnchor"/>
          <w:rtl w:val="true"/>
        </w:rPr>
        <w:footnoteReference w:id="2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البطلان بترکه عمداً وجهلاً بخروج ذی الحجّة قبلَ فعله إن کان طواف الحجّ مطلقاً، وفی عمرة التمتّع بضیق وقت الوقوف إلّاعن التلبّس بالحجّ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المفردة المجامعة للحجّ والمفردة عنه إشکال </w:t>
      </w:r>
      <w:r>
        <w:rPr>
          <w:rStyle w:val="FootnoteAnchor"/>
          <w:rtl w:val="true"/>
        </w:rPr>
        <w:footnoteReference w:id="2065"/>
      </w:r>
      <w:r>
        <w:rPr>
          <w:rFonts w:ascii="IRNazanin" w:hAnsi="IRNazanin" w:eastAsia="IRNazanin"/>
          <w:color w:val="111111"/>
          <w:sz w:val="28"/>
          <w:sz w:val="28"/>
          <w:szCs w:val="28"/>
          <w:rtl w:val="true"/>
          <w:lang w:bidi="fa-IR"/>
        </w:rPr>
        <w:t>ویمکن اعتبار نیّة الإعراض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نسی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خرج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العود، لکن لو اتّفق عوده لم یجز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ترکه عمداً وجب العود إلیه مع الإمکان، ولا تحلّ النساء بدونه مطلقاً حتی العقد، ولو کان امرأة حرم علیها تمکین الزوج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والجاهل عامد کما مرّ ولو کان المنسیّ بعضاً من غیر طواف النساء بعد إکمال الأربع جازت الاستنابة فیه کطواف النساء</w:t>
      </w:r>
      <w:r>
        <w:rPr>
          <w:rFonts w:eastAsia="IRNazanin" w:cs="IRNazanin"/>
          <w:color w:val="111111"/>
          <w:sz w:val="28"/>
          <w:szCs w:val="28"/>
          <w:rtl w:val="true"/>
          <w:lang w:bidi="fa-IR"/>
        </w:rPr>
        <w:t>.</w:t>
      </w:r>
    </w:p>
    <w:p>
      <w:pPr>
        <w:pStyle w:val="Heading5"/>
        <w:numPr>
          <w:ilvl w:val="4"/>
          <w:numId w:val="1"/>
        </w:numPr>
        <w:rPr/>
      </w:pPr>
      <w:bookmarkStart w:id="588" w:name="__RefHeading___Toc2028137_2314609296"/>
      <w:bookmarkStart w:id="589" w:name="_Toc216"/>
      <w:bookmarkEnd w:id="588"/>
      <w:r>
        <w:rPr>
          <w:rtl w:val="true"/>
        </w:rPr>
        <w:t>«</w:t>
      </w:r>
      <w:r>
        <w:rPr>
          <w:rtl w:val="true"/>
        </w:rPr>
        <w:t>الثانیة</w:t>
      </w:r>
      <w:r>
        <w:rPr>
          <w:rtl w:val="true"/>
        </w:rPr>
        <w:t>» : [</w:t>
      </w:r>
      <w:r>
        <w:rPr>
          <w:rtl w:val="true"/>
        </w:rPr>
        <w:t>حکم تقدیم طواف الحج و سعیه علی الوقوف</w:t>
      </w:r>
      <w:r>
        <w:rPr>
          <w:rtl w:val="true"/>
        </w:rPr>
        <w:t>]</w:t>
      </w:r>
      <w:bookmarkEnd w:id="58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تقدیم طواف الحجّ وسعیه للمفرد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بعرفة اختیاراً، لکن یجدّدان التلبیة عقیب صلاة کلّ طواف کما مرّ </w:t>
      </w:r>
      <w:r>
        <w:rPr>
          <w:rStyle w:val="FootnoteAnchor"/>
          <w:rtl w:val="true"/>
        </w:rPr>
        <w:footnoteReference w:id="2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یجوز تقدیمهما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للمتمتّع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کخوف الحیض والنفاس المتأخّرین، وعلیه تجدید التلبیة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وطواف النساء لا یقدَّم لهما</w:t>
      </w:r>
      <w:r>
        <w:rPr>
          <w:rFonts w:eastAsia="IRNazanin" w:cs="IRNazanin"/>
          <w:color w:val="111111"/>
          <w:sz w:val="28"/>
          <w:szCs w:val="28"/>
          <w:rtl w:val="true"/>
          <w:lang w:bidi="fa-IR"/>
        </w:rPr>
        <w:t>»</w:t>
      </w:r>
      <w:bookmarkStart w:id="590" w:name="pg19806_203728"/>
    </w:p>
    <w:p>
      <w:pPr>
        <w:pStyle w:val="BookText"/>
        <w:rPr/>
      </w:pPr>
      <w:bookmarkEnd w:id="590"/>
      <w:r>
        <w:rPr>
          <w:rFonts w:ascii="Amiri" w:hAnsi="Amiri" w:eastAsia="Amiri" w:cs="Amiri"/>
          <w:color w:val="111111"/>
          <w:sz w:val="28"/>
          <w:sz w:val="28"/>
          <w:szCs w:val="28"/>
          <w:rtl w:val="true"/>
          <w:lang w:bidi="ar-SA"/>
        </w:rPr>
        <w:t xml:space="preserve">ولا للقارن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إلّالضرورة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فی کلّ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کان أم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Style w:val="FootnoteAnchor"/>
          <w:rtl w:val="true"/>
        </w:rPr>
        <w:footnoteReference w:id="2067"/>
      </w:r>
      <w:r>
        <w:rPr>
          <w:rFonts w:ascii="IRNazanin" w:hAnsi="IRNazanin" w:eastAsia="IRNazanin"/>
          <w:color w:val="111111"/>
          <w:sz w:val="28"/>
          <w:sz w:val="28"/>
          <w:szCs w:val="28"/>
          <w:rtl w:val="true"/>
          <w:lang w:bidi="fa-IR"/>
        </w:rPr>
        <w:t>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وأوجبه فیها بعض الأصحاب </w:t>
      </w:r>
      <w:r>
        <w:rPr>
          <w:rStyle w:val="FootnoteAnchor"/>
          <w:rtl w:val="true"/>
        </w:rPr>
        <w:footnoteReference w:id="2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والاُنثی، الصغیرَ والکبیر، ومن یقدر علی الجماع وغیره، وهو کذلک، إلّاأنّ إطلاق الوجوب علی غیر المکلَّف مجاز، والمراد أ نّه ثابت علیهم حتی لو ترکه الصبیّ حرم علیه النساء بعد البلوغ حتی یفعله أو یُفعل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متأخّر عن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قدّمه علیه عامداً أعاده بعده، وناسیاً یجزئ، والجاهل عامد</w:t>
      </w:r>
      <w:r>
        <w:rPr>
          <w:rFonts w:eastAsia="IRNazanin" w:cs="IRNazanin"/>
          <w:color w:val="111111"/>
          <w:sz w:val="28"/>
          <w:szCs w:val="28"/>
          <w:rtl w:val="true"/>
          <w:lang w:bidi="fa-IR"/>
        </w:rPr>
        <w:t>.</w:t>
      </w:r>
    </w:p>
    <w:p>
      <w:pPr>
        <w:pStyle w:val="Heading5"/>
        <w:numPr>
          <w:ilvl w:val="4"/>
          <w:numId w:val="1"/>
        </w:numPr>
        <w:rPr/>
      </w:pPr>
      <w:bookmarkStart w:id="591" w:name="__RefHeading___Toc2028139_2314609296"/>
      <w:bookmarkStart w:id="592" w:name="_Toc217"/>
      <w:bookmarkEnd w:id="591"/>
      <w:r>
        <w:rPr>
          <w:rtl w:val="true"/>
        </w:rPr>
        <w:t>«</w:t>
      </w:r>
      <w:r>
        <w:rPr>
          <w:rtl w:val="true"/>
        </w:rPr>
        <w:t>الثالثة</w:t>
      </w:r>
      <w:r>
        <w:rPr>
          <w:rtl w:val="true"/>
        </w:rPr>
        <w:t>» : [</w:t>
      </w:r>
      <w:r>
        <w:rPr>
          <w:rtl w:val="true"/>
        </w:rPr>
        <w:t>حکم لبس البرطلة فی الطواف</w:t>
      </w:r>
      <w:r>
        <w:rPr>
          <w:rtl w:val="true"/>
        </w:rPr>
        <w:t>]</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والطاء وإسکان الراء وتشدید اللام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قلنسوة طویلة کانت تُلبس قدیماً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من النهی عنها معلّلاً بأ نّها من زیّ الیهود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ابن إدریس واستقربه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بموضع تحریم ستر الرأس </w:t>
      </w:r>
      <w:r>
        <w:rPr>
          <w:rStyle w:val="FootnoteAnchor"/>
          <w:rtl w:val="true"/>
        </w:rPr>
        <w:footnoteReference w:id="2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کطواف العمرة؛ لضعف مستند</w:t>
      </w:r>
      <w:bookmarkStart w:id="593" w:name="pg19806_203729"/>
    </w:p>
    <w:p>
      <w:pPr>
        <w:pStyle w:val="BookText"/>
        <w:rPr/>
      </w:pPr>
      <w:bookmarkEnd w:id="593"/>
      <w:r>
        <w:rPr>
          <w:rFonts w:ascii="IRNazanin" w:hAnsi="IRNazanin" w:eastAsia="IRNazanin"/>
          <w:color w:val="111111"/>
          <w:sz w:val="28"/>
          <w:sz w:val="28"/>
          <w:szCs w:val="28"/>
          <w:rtl w:val="true"/>
          <w:lang w:bidi="fa-IR"/>
        </w:rPr>
        <w:t xml:space="preserve">التحریم </w:t>
      </w:r>
      <w:r>
        <w:rPr>
          <w:rStyle w:val="FootnoteAnchor"/>
          <w:rtl w:val="true"/>
        </w:rPr>
        <w:footnoteReference w:id="2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النهی علی الکراهة بشاهد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التحریم لا یقدح فی صحّة الطواف؛ لأنّ النهی عن وصفٍ خارجٍ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طاف لابساً للمخیط</w:t>
      </w:r>
      <w:r>
        <w:rPr>
          <w:rFonts w:eastAsia="IRNazanin" w:cs="IRNazanin"/>
          <w:color w:val="111111"/>
          <w:sz w:val="28"/>
          <w:szCs w:val="28"/>
          <w:rtl w:val="true"/>
          <w:lang w:bidi="fa-IR"/>
        </w:rPr>
        <w:t>.</w:t>
      </w:r>
    </w:p>
    <w:p>
      <w:pPr>
        <w:pStyle w:val="Heading5"/>
        <w:numPr>
          <w:ilvl w:val="4"/>
          <w:numId w:val="1"/>
        </w:numPr>
        <w:rPr/>
      </w:pPr>
      <w:bookmarkStart w:id="594" w:name="__RefHeading___Toc2028141_2314609296"/>
      <w:bookmarkStart w:id="595" w:name="_Toc218"/>
      <w:bookmarkEnd w:id="594"/>
      <w:r>
        <w:rPr>
          <w:rtl w:val="true"/>
        </w:rPr>
        <w:t>«</w:t>
      </w:r>
      <w:r>
        <w:rPr>
          <w:rtl w:val="true"/>
        </w:rPr>
        <w:t>الرابعة</w:t>
      </w:r>
      <w:r>
        <w:rPr>
          <w:rtl w:val="true"/>
        </w:rPr>
        <w:t>» : [</w:t>
      </w:r>
      <w:r>
        <w:rPr>
          <w:rtl w:val="true"/>
        </w:rPr>
        <w:t>حکم نذر الطواف علی اربع</w:t>
      </w:r>
      <w:r>
        <w:rPr>
          <w:rtl w:val="true"/>
        </w:rPr>
        <w:t>]</w:t>
      </w:r>
      <w:bookmarkEnd w:id="59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علیّ علیه السلام بسند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نذرت الطواف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یدیها ورجلیها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علیها طوافین </w:t>
      </w:r>
      <w:r>
        <w:rPr>
          <w:rStyle w:val="FootnoteAnchor"/>
          <w:rtl w:val="true"/>
        </w:rPr>
        <w:footnoteReference w:id="2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بالمعهود، وعمل بمضمونه الشیخ رحمه الله </w:t>
      </w:r>
      <w:r>
        <w:rPr>
          <w:rStyle w:val="FootnoteAnchor"/>
          <w:rtl w:val="true"/>
        </w:rPr>
        <w:footnoteReference w:id="2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المحقّق </w:t>
      </w:r>
      <w:r>
        <w:rPr>
          <w:rStyle w:val="FootnoteAnchor"/>
          <w:rtl w:val="true"/>
        </w:rPr>
        <w:footnoteReference w:id="20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وقوفاً فیما خالف الأصل علی موضع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ویبطل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الهیئة غیر متعبَّد بها شرعاً، فلا ینعقد فی غیر موضع النصّ </w:t>
      </w:r>
      <w:r>
        <w:rPr>
          <w:rStyle w:val="FootnoteAnchor"/>
          <w:rtl w:val="true"/>
        </w:rPr>
        <w:footnoteReference w:id="2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ابن إدریس </w:t>
      </w:r>
      <w:r>
        <w:rPr>
          <w:rStyle w:val="FootnoteAnchor"/>
          <w:rtl w:val="true"/>
        </w:rPr>
        <w:footnoteReference w:id="20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یبطل فیهما </w:t>
      </w:r>
      <w:r>
        <w:rPr>
          <w:rStyle w:val="FootnoteAnchor"/>
          <w:rtl w:val="true"/>
        </w:rPr>
        <w:footnoteReference w:id="2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واستضعافاً للروایة</w:t>
      </w:r>
      <w:r>
        <w:rPr>
          <w:rFonts w:eastAsia="IRNazanin" w:cs="IRNazanin"/>
          <w:color w:val="111111"/>
          <w:sz w:val="28"/>
          <w:szCs w:val="28"/>
          <w:rtl w:val="true"/>
          <w:lang w:bidi="fa-IR"/>
        </w:rPr>
        <w:t>.</w:t>
      </w:r>
      <w:bookmarkStart w:id="596" w:name="pg19806_203730"/>
    </w:p>
    <w:p>
      <w:pPr>
        <w:pStyle w:val="BookText"/>
        <w:rPr/>
      </w:pPr>
      <w:bookmarkEnd w:id="5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الصحّة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وضعف السند منجبر بالشهرة، وإذا ثبت فی المرأة ففی الرجل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ما اختاره ابن إدریس من البطلان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ینعقد النذر دون الوصف </w:t>
      </w:r>
      <w:r>
        <w:rPr>
          <w:rStyle w:val="FootnoteAnchor"/>
          <w:rtl w:val="true"/>
        </w:rPr>
        <w:footnoteReference w:id="2078"/>
      </w:r>
      <w:r>
        <w:rPr>
          <w:rFonts w:ascii="Amiri" w:hAnsi="Amiri" w:eastAsia="Amiri" w:cs="Amiri"/>
          <w:color w:val="111111"/>
          <w:sz w:val="28"/>
          <w:sz w:val="28"/>
          <w:szCs w:val="28"/>
          <w:rtl w:val="true"/>
          <w:lang w:bidi="ar-SA"/>
        </w:rPr>
        <w:t>ویُضعَّف بعدم قصد المطلق</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2028143_2314609296"/>
      <w:bookmarkStart w:id="598" w:name="_Toc219"/>
      <w:bookmarkEnd w:id="597"/>
      <w:r>
        <w:rPr>
          <w:rtl w:val="true"/>
        </w:rPr>
        <w:t>«</w:t>
      </w:r>
      <w:r>
        <w:rPr>
          <w:rtl w:val="true"/>
        </w:rPr>
        <w:t>الخامسة</w:t>
      </w:r>
      <w:r>
        <w:rPr>
          <w:rtl w:val="true"/>
        </w:rPr>
        <w:t>» : [</w:t>
      </w:r>
      <w:r>
        <w:rPr>
          <w:rtl w:val="true"/>
        </w:rPr>
        <w:t xml:space="preserve">استحباب اکثار الطواف </w:t>
      </w:r>
      <w:r>
        <w:rPr>
          <w:rtl w:val="true"/>
        </w:rPr>
        <w:t>]</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إکثار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حاضر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استطاع، وهو أفضل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وللمجاور فی السنة الاُولی، وفی الثانیة یتساویان فیشرِّک بینهما، وفی الثالثة تصیر الصلاة أفضل کالمقیم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ثلاثمئة وستّین طوافاً، 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أشواطاً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أحداً وخمسین طوافاً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ثلاثة أشواط تلحق بالطواف الأخیر، وهو مستثنی من کراهة القران فی النافلة بالنصّ </w:t>
      </w:r>
      <w:r>
        <w:rPr>
          <w:rStyle w:val="FootnoteAnchor"/>
          <w:rtl w:val="true"/>
        </w:rPr>
        <w:footnoteReference w:id="2079"/>
      </w:r>
      <w:r>
        <w:rPr>
          <w:rFonts w:ascii="IRNazanin" w:hAnsi="IRNazanin" w:eastAsia="IRNazanin"/>
          <w:color w:val="111111"/>
          <w:sz w:val="28"/>
          <w:sz w:val="28"/>
          <w:szCs w:val="28"/>
          <w:rtl w:val="true"/>
          <w:lang w:bidi="fa-IR"/>
        </w:rPr>
        <w:t xml:space="preserve">واستحبّ بعض الأصحاب إلحاقه بأربعة اُخری لتصیر مع الزیادة طوافاً کاملاً، حذراً من القران </w:t>
      </w:r>
      <w:r>
        <w:rPr>
          <w:rStyle w:val="FootnoteAnchor"/>
          <w:rtl w:val="true"/>
        </w:rPr>
        <w:footnoteReference w:id="2080"/>
      </w:r>
      <w:r>
        <w:rPr>
          <w:rFonts w:ascii="IRNazanin" w:hAnsi="IRNazanin" w:eastAsia="IRNazanin"/>
          <w:color w:val="111111"/>
          <w:sz w:val="28"/>
          <w:sz w:val="28"/>
          <w:szCs w:val="28"/>
          <w:rtl w:val="true"/>
          <w:lang w:bidi="fa-IR"/>
        </w:rPr>
        <w:t xml:space="preserve">واستحباب ذلک </w:t>
      </w:r>
      <w:r>
        <w:rPr>
          <w:rStyle w:val="FootnoteAnchor"/>
          <w:rtl w:val="true"/>
        </w:rPr>
        <w:footnoteReference w:id="2081"/>
      </w:r>
      <w:r>
        <w:rPr>
          <w:rFonts w:ascii="IRNazanin" w:hAnsi="IRNazanin" w:eastAsia="IRNazanin"/>
          <w:color w:val="111111"/>
          <w:sz w:val="28"/>
          <w:sz w:val="28"/>
          <w:szCs w:val="28"/>
          <w:rtl w:val="true"/>
          <w:lang w:bidi="fa-IR"/>
        </w:rPr>
        <w:t>لا ینافی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القران فی العبادة مع صحّتها لا ینافی الاستحباب </w:t>
      </w:r>
      <w:r>
        <w:rPr>
          <w:rStyle w:val="FootnoteAnchor"/>
          <w:rtl w:val="true"/>
        </w:rPr>
        <w:footnoteReference w:id="2082"/>
      </w:r>
      <w:r>
        <w:rPr>
          <w:rFonts w:ascii="IRNazanin" w:hAnsi="IRNazanin" w:eastAsia="IRNazanin"/>
          <w:color w:val="111111"/>
          <w:sz w:val="28"/>
          <w:sz w:val="28"/>
          <w:szCs w:val="28"/>
          <w:rtl w:val="true"/>
          <w:lang w:bidi="fa-IR"/>
        </w:rPr>
        <w:t>وهو حسن وإن استحبّ الأمران</w:t>
      </w:r>
      <w:r>
        <w:rPr>
          <w:rFonts w:eastAsia="IRNazanin" w:cs="IRNazanin"/>
          <w:color w:val="111111"/>
          <w:sz w:val="28"/>
          <w:szCs w:val="28"/>
          <w:rtl w:val="true"/>
          <w:lang w:bidi="fa-IR"/>
        </w:rPr>
        <w:t>.</w:t>
      </w:r>
      <w:bookmarkStart w:id="599" w:name="pg19806_203731"/>
    </w:p>
    <w:p>
      <w:pPr>
        <w:pStyle w:val="Heading5"/>
        <w:numPr>
          <w:ilvl w:val="4"/>
          <w:numId w:val="1"/>
        </w:numPr>
        <w:rPr/>
      </w:pPr>
      <w:bookmarkStart w:id="600" w:name="__RefHeading___Toc2028145_2314609296"/>
      <w:bookmarkStart w:id="601" w:name="_Toc220"/>
      <w:bookmarkEnd w:id="599"/>
      <w:bookmarkEnd w:id="600"/>
      <w:r>
        <w:rPr>
          <w:rtl w:val="true"/>
        </w:rPr>
        <w:t>«</w:t>
      </w:r>
      <w:r>
        <w:rPr>
          <w:rtl w:val="true"/>
        </w:rPr>
        <w:t>السادسة</w:t>
      </w:r>
      <w:r>
        <w:rPr>
          <w:rtl w:val="true"/>
        </w:rPr>
        <w:t>» : [</w:t>
      </w:r>
      <w:r>
        <w:rPr>
          <w:rtl w:val="true"/>
        </w:rPr>
        <w:t xml:space="preserve">حکم القران بین اسبوعین فی الطواف </w:t>
      </w:r>
      <w:r>
        <w:rPr>
          <w:rtl w:val="true"/>
        </w:rPr>
        <w:t>]</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اُسبوعین بحیث لا یجعل بینهما تراخیاً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یطلق علی الزیادة عن العدد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مبطل فی طواف الفریضة، ولا بأس به فی النافلة، وإن کان ترکه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بأفضلیّة ترکه علی بقاء فضل معه، کما هو شأن کلّ عبادة مکروهة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تتعلّق الکراهة بمجموع الطواف أم بالزیادة؟ الأجود الثانی إن عرض قصدها بعد الإکمال، وإلا فالأوّل، وعلی التقدیرین فالزیادة یستحقّ علیها ثواب فی الجملة وإن قلّ</w:t>
      </w:r>
      <w:r>
        <w:rPr>
          <w:rFonts w:eastAsia="IRNazanin" w:cs="IRNazanin"/>
          <w:color w:val="111111"/>
          <w:sz w:val="28"/>
          <w:szCs w:val="28"/>
          <w:rtl w:val="true"/>
          <w:lang w:bidi="fa-IR"/>
        </w:rPr>
        <w:t>.</w:t>
      </w:r>
      <w:bookmarkStart w:id="602" w:name="pg19806_203732"/>
    </w:p>
    <w:p>
      <w:pPr>
        <w:pStyle w:val="Heading4"/>
        <w:numPr>
          <w:ilvl w:val="3"/>
          <w:numId w:val="1"/>
        </w:numPr>
        <w:rPr/>
      </w:pPr>
      <w:bookmarkStart w:id="603" w:name="__RefHeading___Toc2028147_2314609296"/>
      <w:bookmarkStart w:id="604" w:name="_Toc221"/>
      <w:bookmarkEnd w:id="602"/>
      <w:bookmarkEnd w:id="603"/>
      <w:r>
        <w:rPr>
          <w:rtl w:val="true"/>
        </w:rPr>
        <w:t>«</w:t>
      </w:r>
      <w:r>
        <w:rPr>
          <w:rtl w:val="true"/>
        </w:rPr>
        <w:t>القول فی السعی والتقصیر</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مسنونة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إرادة الخروج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والشرب من زمزم، وصبّ الماء منه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الدلو المقابل للحَجَر، وإلّا فمن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استقاؤه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عند الشرب والصبّ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ورزقاً واسعاً، وشفاءً من کلّ داء وسُقم</w:t>
      </w:r>
      <w:r>
        <w:rPr>
          <w:rFonts w:eastAsia="IRNazanin" w:cs="IRNazanin"/>
          <w:color w:val="111111"/>
          <w:sz w:val="28"/>
          <w:szCs w:val="28"/>
          <w:rtl w:val="true"/>
          <w:lang w:bidi="fa-IR"/>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الحدث علی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الخبث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والخروج من 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داخل فی المسجد کباب بنی شیبة، إلّا أ نّه معلَّم باُسطوانتین، فلیخرج من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استحباب الخروج من الباب الموازی لهما </w:t>
      </w:r>
      <w:r>
        <w:rPr>
          <w:rStyle w:val="FootnoteAnchor"/>
          <w:rtl w:val="true"/>
        </w:rPr>
        <w:footnoteReference w:id="2084"/>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والوقوف علی الصفا </w:t>
      </w:r>
      <w:r>
        <w:rPr>
          <w:rStyle w:val="FootnoteAnchor"/>
          <w:rtl w:val="true"/>
        </w:rPr>
        <w:footnoteReference w:id="2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الصعود إلیه حتّی یری البیت من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الکعبة</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والذکر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الشروع بقدر قراءة البقرة مترسّلاً للتأسّی </w:t>
      </w:r>
      <w:r>
        <w:rPr>
          <w:rStyle w:val="FootnoteAnchor"/>
          <w:rtl w:val="true"/>
        </w:rPr>
        <w:footnoteReference w:id="2086"/>
      </w:r>
      <w:r>
        <w:rPr>
          <w:rFonts w:ascii="IRNazanin" w:hAnsi="IRNazanin" w:eastAsia="IRNazanin"/>
          <w:color w:val="111111"/>
          <w:sz w:val="28"/>
          <w:sz w:val="28"/>
          <w:szCs w:val="28"/>
          <w:rtl w:val="true"/>
          <w:lang w:bidi="fa-IR"/>
        </w:rPr>
        <w:t>ولیکن الذکر مئة تکبیرة وتسبیحة وتحمیدة وتهلیلة، ثم الصلاة علی النبیّ وآله صلی الله علیه و آله مئة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 قصد الفعل المخصوص متقرّباً مقارنة للحرکة وللصفا بأن یصعد علیه، فیجزئ من أی جزءٍ کان منه أو یُلصق عقبه به إن لم یصعد، فإذا وصل إلی المروة ألصق أصابع رجلیه بها إن لم یدخلها لیستوعب سلوک المسافة التی بینهما فی کلّ شوط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والبدأة بالصفا والختم بالمروة، فهذا شوط، وعوده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المروة إلی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المروة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وترک الزیادة علی السبعة </w:t>
      </w:r>
      <w:r>
        <w:rPr>
          <w:rStyle w:val="FootnoteAnchor"/>
          <w:rtl w:val="true"/>
        </w:rPr>
        <w:footnoteReference w:id="2087"/>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والنقیصة، فیأتی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طال الزمان إذ لا تجب الموالاة فیه، أو کان دون الأربع </w:t>
      </w:r>
      <w:r>
        <w:rPr>
          <w:rStyle w:val="FootnoteAnchor"/>
          <w:rtl w:val="true"/>
        </w:rPr>
        <w:footnoteReference w:id="2088"/>
      </w:r>
      <w:r>
        <w:rPr>
          <w:rFonts w:ascii="IRNazanin" w:hAnsi="IRNazanin" w:eastAsia="IRNazanin"/>
          <w:color w:val="111111"/>
          <w:sz w:val="28"/>
          <w:sz w:val="28"/>
          <w:szCs w:val="28"/>
          <w:rtl w:val="true"/>
          <w:lang w:bidi="fa-IR"/>
        </w:rPr>
        <w:t>بل یبنی ولو علی شوط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w:t>
      </w:r>
      <w:r>
        <w:rPr>
          <w:rStyle w:val="FootnoteAnchor"/>
          <w:rtl w:val="true"/>
        </w:rPr>
        <w:footnoteReference w:id="2089"/>
      </w:r>
      <w:r>
        <w:rPr>
          <w:rFonts w:ascii="IRNazanin" w:hAnsi="IRNazanin" w:eastAsia="IRNazanin"/>
          <w:color w:val="111111"/>
          <w:sz w:val="28"/>
          <w:sz w:val="28"/>
          <w:szCs w:val="28"/>
          <w:rtl w:val="true"/>
          <w:lang w:bidi="fa-IR"/>
        </w:rPr>
        <w:t>زاد سهواً تخیّر بین الإهدار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وتکمیل اُسبوعین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یذکر حتی أکمل الثامن، وإلّا تعیّن إهداره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القید </w:t>
      </w:r>
      <w:r>
        <w:rPr>
          <w:rStyle w:val="FootnoteAnchor"/>
          <w:rtl w:val="true"/>
        </w:rPr>
        <w:footnoteReference w:id="2090"/>
      </w:r>
      <w:r>
        <w:rPr>
          <w:rFonts w:ascii="IRNazanin" w:hAnsi="IRNazanin" w:eastAsia="IRNazanin"/>
          <w:color w:val="111111"/>
          <w:sz w:val="28"/>
          <w:sz w:val="28"/>
          <w:szCs w:val="28"/>
          <w:rtl w:val="true"/>
          <w:lang w:bidi="fa-IR"/>
        </w:rPr>
        <w:t>یمکن استفادته من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فی الدروس الحکم </w:t>
      </w:r>
      <w:r>
        <w:rPr>
          <w:rStyle w:val="FootnoteAnchor"/>
          <w:rtl w:val="true"/>
        </w:rPr>
        <w:footnoteReference w:id="2091"/>
      </w:r>
      <w:r>
        <w:rPr>
          <w:rFonts w:ascii="Amiri" w:hAnsi="Amiri" w:eastAsia="Amiri" w:cs="Amiri"/>
          <w:color w:val="111111"/>
          <w:sz w:val="28"/>
          <w:sz w:val="28"/>
          <w:szCs w:val="28"/>
          <w:rtl w:val="true"/>
          <w:lang w:bidi="ar-SA"/>
        </w:rPr>
        <w:t xml:space="preserve">وجماعة </w:t>
      </w:r>
      <w:r>
        <w:rPr>
          <w:rStyle w:val="FootnoteAnchor"/>
          <w:rtl w:val="true"/>
        </w:rPr>
        <w:footnoteReference w:id="2092"/>
      </w:r>
      <w:r>
        <w:rPr>
          <w:rFonts w:ascii="IRNazanin" w:hAnsi="IRNazanin" w:eastAsia="IRNazanin"/>
          <w:color w:val="111111"/>
          <w:sz w:val="28"/>
          <w:sz w:val="28"/>
          <w:szCs w:val="28"/>
          <w:rtl w:val="true"/>
          <w:lang w:bidi="fa-IR"/>
        </w:rPr>
        <w:t>والأقوی تقییده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فمع الإکمال یکون الثانی مستحبّاً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یُشرّع استحباب السعی إلّاهنا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یُشرّع ابتداءً مطلقاً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بتعمّد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جهل</w:t>
      </w:r>
    </w:p>
    <w:p>
      <w:pPr>
        <w:pStyle w:val="BookText"/>
        <w:rPr/>
      </w:pPr>
      <w:r>
        <w:rPr>
          <w:rFonts w:ascii="IRNazanin" w:hAnsi="IRNazanin" w:eastAsia="IRNazanin"/>
          <w:color w:val="111111"/>
          <w:sz w:val="28"/>
          <w:sz w:val="28"/>
          <w:szCs w:val="28"/>
          <w:rtl w:val="true"/>
          <w:lang w:bidi="fa-IR"/>
        </w:rPr>
        <w:t>الحکم، لا بنسیانه بل یأتی به مع الإمکان، ومع التعذّر یستنیب کالطواف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له ما یتوقّف علیه من المحرّمات حتی یأتی به کَمَلاً أو نائبه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ظنّ فعلَه فواقع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أحلّ بالتقصیر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نّه لم یُتمّ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 وکفّر ببقرة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استناداً إلی روایات دلّت علی الحکم </w:t>
      </w:r>
      <w:r>
        <w:rPr>
          <w:rStyle w:val="FootnoteAnchor"/>
          <w:rtl w:val="true"/>
        </w:rPr>
        <w:footnoteReference w:id="2093"/>
      </w:r>
      <w:r>
        <w:rPr>
          <w:rFonts w:ascii="IRNazanin" w:hAnsi="IRNazanin" w:eastAsia="IRNazanin"/>
          <w:color w:val="111111"/>
          <w:sz w:val="28"/>
          <w:sz w:val="28"/>
          <w:szCs w:val="28"/>
          <w:rtl w:val="true"/>
          <w:lang w:bidi="fa-IR"/>
        </w:rPr>
        <w:t>وموردها ظنّ إکمال السعی بعد أن سعی ستّة أشواط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مخالف للأُصول الشرعیّة من وجوه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علی الناسی فی غیر الصید، والبقرة فی تقلیم الظفر أو الأظفار، ووجوبها بالجماع مطلقاً، ومساواته للقَلْم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أسقط وجوبها بعضهم وحملها علی الاستحباب </w:t>
      </w:r>
      <w:r>
        <w:rPr>
          <w:rStyle w:val="FootnoteAnchor"/>
          <w:rtl w:val="true"/>
        </w:rPr>
        <w:footnoteReference w:id="2094"/>
      </w:r>
      <w:r>
        <w:rPr>
          <w:rFonts w:ascii="IRNazanin" w:hAnsi="IRNazanin" w:eastAsia="IRNazanin"/>
          <w:color w:val="111111"/>
          <w:sz w:val="28"/>
          <w:sz w:val="28"/>
          <w:szCs w:val="28"/>
          <w:rtl w:val="true"/>
          <w:lang w:bidi="fa-IR"/>
        </w:rPr>
        <w:t xml:space="preserve">وبعضهم أوجبها للظنّ وإن لم تجب علی الناسی </w:t>
      </w:r>
      <w:r>
        <w:rPr>
          <w:rStyle w:val="FootnoteAnchor"/>
          <w:rtl w:val="true"/>
        </w:rPr>
        <w:footnoteReference w:id="2095"/>
      </w:r>
      <w:r>
        <w:rPr>
          <w:rFonts w:ascii="IRNazanin" w:hAnsi="IRNazanin" w:eastAsia="IRNazanin"/>
          <w:color w:val="111111"/>
          <w:sz w:val="28"/>
          <w:sz w:val="28"/>
          <w:szCs w:val="28"/>
          <w:rtl w:val="true"/>
          <w:lang w:bidi="fa-IR"/>
        </w:rPr>
        <w:t xml:space="preserve">وآخرون تلقّوها بالقبول مطلقاً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توجیهه بتقصیره هنا فی ظنّ الإکمال، فإنّ من سعی ستّة یکون علی الصفا، فظنّ الإکمال مع اعتبار کونه علی المروة تقصیر، بل تفریط </w:t>
      </w:r>
      <w:r>
        <w:rPr>
          <w:rStyle w:val="FootnoteAnchor"/>
          <w:rtl w:val="true"/>
        </w:rPr>
        <w:footnoteReference w:id="2097"/>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المصنّف وجماعة فرضوها قبل إتمام السعی مطلقاً </w:t>
      </w:r>
      <w:r>
        <w:rPr>
          <w:rStyle w:val="FootnoteAnchor"/>
          <w:rtl w:val="true"/>
        </w:rPr>
        <w:footnoteReference w:id="2098"/>
      </w:r>
      <w:r>
        <w:rPr>
          <w:rFonts w:ascii="IRNazanin" w:hAnsi="IRNazanin" w:eastAsia="IRNazanin"/>
          <w:color w:val="111111"/>
          <w:sz w:val="28"/>
          <w:sz w:val="28"/>
          <w:szCs w:val="28"/>
          <w:rtl w:val="true"/>
          <w:lang w:bidi="fa-IR"/>
        </w:rPr>
        <w:t>فیشمل ما یتحقّق فیه العذر</w:t>
      </w:r>
    </w:p>
    <w:p>
      <w:pPr>
        <w:pStyle w:val="BookText"/>
        <w:rPr/>
      </w:pPr>
      <w:r>
        <w:rPr>
          <w:rFonts w:ascii="IRNazanin" w:hAnsi="IRNazanin" w:eastAsia="IRNazanin"/>
          <w:color w:val="111111"/>
          <w:sz w:val="28"/>
          <w:sz w:val="28"/>
          <w:szCs w:val="28"/>
          <w:rtl w:val="true"/>
          <w:lang w:bidi="fa-IR"/>
        </w:rPr>
        <w:t>کالخمسة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فالإشکال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قطعه لحاجة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بلوغ الأربعة، وبعدها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کالطواف </w:t>
      </w:r>
      <w:r>
        <w:rPr>
          <w:rStyle w:val="FootnoteAnchor"/>
          <w:rtl w:val="true"/>
        </w:rPr>
        <w:footnoteReference w:id="2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والاستراحة فی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علی رأس الشوط مع حفظ موضعه، حذراً من الزیادة والنقصان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إبانة الشعر أو الظفر بحدیدٍ ونتفٍ وقرضٍ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یصدق علیه أ نّه أخذ من شعر أو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یجب التقصیر متعیّناً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سعی العمرة </w:t>
      </w:r>
      <w:r>
        <w:rPr>
          <w:rStyle w:val="FootnoteAnchor"/>
          <w:rtl w:val="true"/>
        </w:rPr>
        <w:footnoteReference w:id="2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غیرها فیتخیّر بینه وبین الحلق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فیه بین شعر الرأس واللحیة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الید أو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حلق بعض الشعر أجزأ، وإنّما یحرم حلق جمیع الرأس أو ما یصدق علیه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یتحلّل من إحرامها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 له جمیع ما حرم بالإحرام حتی الوقاع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رأسه عامداً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یجزئ عن التقصیر؛ للنهی </w:t>
      </w:r>
      <w:r>
        <w:rPr>
          <w:rStyle w:val="FootnoteAnchor"/>
          <w:rtl w:val="true"/>
        </w:rPr>
        <w:footnoteReference w:id="210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 </w:t>
      </w:r>
      <w:r>
        <w:rPr>
          <w:rStyle w:val="FootnoteAnchor"/>
          <w:rtl w:val="true"/>
        </w:rPr>
        <w:footnoteReference w:id="2102"/>
      </w:r>
      <w:r>
        <w:rPr>
          <w:rFonts w:ascii="IRNazanin" w:hAnsi="IRNazanin" w:eastAsia="IRNazanin"/>
          <w:color w:val="111111"/>
          <w:sz w:val="28"/>
          <w:sz w:val="28"/>
          <w:szCs w:val="28"/>
          <w:rtl w:val="true"/>
          <w:lang w:bidi="fa-IR"/>
        </w:rPr>
        <w:t>لحصوله بالشروع والمحرّم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 مع تجدّد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وناسیاً أو جاهلاً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الحلق ولو بعد التقصیر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جامع قبل التقصیر عمداً فبدنة للموسر، وبقرة للمتوسط، وشاة للمعسر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الثلاثة إلی العرف بحسب حالهم ومحلّهم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جاهلاً أو ناسیاً فلا شیء علیه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ویستحبّ التشبّه </w:t>
      </w:r>
      <w:r>
        <w:rPr>
          <w:rStyle w:val="FootnoteAnchor"/>
          <w:rtl w:val="true"/>
        </w:rPr>
        <w:footnoteReference w:id="2103"/>
      </w:r>
      <w:r>
        <w:rPr>
          <w:rFonts w:ascii="IRNazanin" w:hAnsi="IRNazanin" w:eastAsia="IRNazanin"/>
          <w:color w:val="111111"/>
          <w:sz w:val="28"/>
          <w:sz w:val="28"/>
          <w:szCs w:val="28"/>
          <w:rtl w:val="true"/>
          <w:lang w:bidi="fa-IR"/>
        </w:rPr>
        <w:t>بالمحرمین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التقصیر بترک لُبس المخیط وغیره کما یقتضیه إطلاق النصّ </w:t>
      </w:r>
      <w:r>
        <w:rPr>
          <w:rStyle w:val="FootnoteAnchor"/>
          <w:rtl w:val="true"/>
        </w:rPr>
        <w:footnoteReference w:id="2104"/>
      </w:r>
      <w:r>
        <w:rPr>
          <w:rFonts w:ascii="IRNazanin" w:hAnsi="IRNazanin" w:eastAsia="IRNazanin"/>
          <w:color w:val="111111"/>
          <w:sz w:val="28"/>
          <w:sz w:val="28"/>
          <w:szCs w:val="28"/>
          <w:rtl w:val="true"/>
          <w:lang w:bidi="fa-IR"/>
        </w:rPr>
        <w:t xml:space="preserve">والعبارة وفی الدروس اقتصر علی التشبّه بترک المخیط </w:t>
      </w:r>
      <w:r>
        <w:rPr>
          <w:rStyle w:val="FootnoteAnchor"/>
          <w:rtl w:val="true"/>
        </w:rPr>
        <w:footnoteReference w:id="2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مکّة فی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أی موسم الحجّ، أوّلُه وصول الوفود إلیهم محرمین، وآخره العید عند إحلالهم</w:t>
      </w:r>
      <w:r>
        <w:rPr>
          <w:rFonts w:eastAsia="IRNazanin" w:cs="IRNazanin"/>
          <w:color w:val="111111"/>
          <w:sz w:val="28"/>
          <w:szCs w:val="28"/>
          <w:rtl w:val="true"/>
          <w:lang w:bidi="fa-IR"/>
        </w:rPr>
        <w:t>.</w:t>
      </w:r>
      <w:bookmarkStart w:id="605" w:name="pg19806_203737"/>
    </w:p>
    <w:p>
      <w:pPr>
        <w:pStyle w:val="Heading3"/>
        <w:numPr>
          <w:ilvl w:val="2"/>
          <w:numId w:val="1"/>
        </w:numPr>
        <w:rPr/>
      </w:pPr>
      <w:bookmarkStart w:id="606" w:name="__RefHeading___Toc2028149_2314609296"/>
      <w:bookmarkStart w:id="607" w:name="_Toc222"/>
      <w:bookmarkEnd w:id="605"/>
      <w:bookmarkEnd w:id="606"/>
      <w:r>
        <w:rPr>
          <w:rtl w:val="true"/>
        </w:rPr>
        <w:t>«</w:t>
      </w:r>
      <w:r>
        <w:rPr>
          <w:rtl w:val="true"/>
        </w:rPr>
        <w:t>الفصل الخامس</w:t>
      </w:r>
      <w:r>
        <w:rPr>
          <w:rtl w:val="true"/>
        </w:rPr>
        <w:t>» «</w:t>
      </w:r>
      <w:r>
        <w:rPr>
          <w:rtl w:val="true"/>
        </w:rPr>
        <w:t>فی أفعال الحجّ</w:t>
      </w:r>
      <w:r>
        <w:rPr>
          <w:rtl w:val="true"/>
        </w:rPr>
        <w:t>»</w:t>
      </w:r>
      <w:bookmarkEnd w:id="607"/>
    </w:p>
    <w:p>
      <w:pPr>
        <w:pStyle w:val="Heading4"/>
        <w:numPr>
          <w:ilvl w:val="3"/>
          <w:numId w:val="1"/>
        </w:numPr>
        <w:rPr/>
      </w:pPr>
      <w:bookmarkStart w:id="608" w:name="__RefHeading___Toc2028151_2314609296"/>
      <w:bookmarkStart w:id="609" w:name="_Toc223"/>
      <w:bookmarkEnd w:id="608"/>
      <w:r>
        <w:rPr>
          <w:rtl w:val="true"/>
        </w:rPr>
        <w:t>اشارة</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والوقوفان، ومناسک منی، وطواف الحجّ، وسعیه، وطواف النساء، ورمی الجمرات، والمبیت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والأرکان منها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الاُوَل، والطواف الأوّل، والسعی</w:t>
      </w:r>
      <w:r>
        <w:rPr>
          <w:rFonts w:eastAsia="IRNazanin" w:cs="IRNazanin"/>
          <w:color w:val="111111"/>
          <w:sz w:val="28"/>
          <w:szCs w:val="28"/>
          <w:rtl w:val="true"/>
          <w:lang w:bidi="fa-IR"/>
        </w:rPr>
        <w:t>.</w:t>
      </w:r>
    </w:p>
    <w:p>
      <w:pPr>
        <w:pStyle w:val="Heading4"/>
        <w:numPr>
          <w:ilvl w:val="3"/>
          <w:numId w:val="1"/>
        </w:numPr>
        <w:rPr/>
      </w:pPr>
      <w:bookmarkStart w:id="610" w:name="__RefHeading___Toc2028153_2314609296"/>
      <w:bookmarkStart w:id="611" w:name="_Toc224"/>
      <w:bookmarkEnd w:id="610"/>
      <w:r>
        <w:rPr>
          <w:rtl w:val="true"/>
        </w:rPr>
        <w:t>«</w:t>
      </w:r>
      <w:r>
        <w:rPr>
          <w:rtl w:val="true"/>
        </w:rPr>
        <w:t>القول فی الإحرام والوقوفین</w:t>
      </w:r>
      <w:r>
        <w:rPr>
          <w:rtl w:val="true"/>
        </w:rPr>
        <w:t>»</w:t>
      </w:r>
      <w:bookmarkEnd w:id="611"/>
    </w:p>
    <w:p>
      <w:pPr>
        <w:pStyle w:val="Heading5"/>
        <w:numPr>
          <w:ilvl w:val="4"/>
          <w:numId w:val="1"/>
        </w:numPr>
        <w:rPr/>
      </w:pPr>
      <w:bookmarkStart w:id="612" w:name="__RefHeading___Toc2028155_2314609296"/>
      <w:bookmarkStart w:id="613" w:name="_Toc225"/>
      <w:bookmarkEnd w:id="612"/>
      <w:r>
        <w:rPr>
          <w:rtl w:val="true"/>
        </w:rPr>
        <w:t>اشارة</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بعد التقصیر الإحرام بالحجّ علی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موسَّعاً، إلی أن یبقی للوقوف مقدار ما یمکن إدراکه بعد الإحرام من محلّه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الثامن من ذی الحجّة، سُمِّی بذلک؛ لأنّ الحاجّ کان یتروّی الماء لعرفة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لم یکن بها ماءٌ کالیوم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بعضهم یقول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تروّیتم لتخرجوا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الظهرین المتعقّبتین لسنّة الإحرام </w:t>
      </w:r>
      <w:r>
        <w:rPr>
          <w:rStyle w:val="FootnoteAnchor"/>
          <w:rtl w:val="true"/>
        </w:rPr>
        <w:footnoteReference w:id="2106"/>
      </w:r>
      <w:r>
        <w:rPr>
          <w:rFonts w:ascii="IRNazanin" w:hAnsi="IRNazanin" w:eastAsia="IRNazanin"/>
          <w:color w:val="111111"/>
          <w:sz w:val="28"/>
          <w:sz w:val="28"/>
          <w:szCs w:val="28"/>
          <w:rtl w:val="true"/>
          <w:lang w:bidi="fa-IR"/>
        </w:rPr>
        <w:t xml:space="preserve">الماضیة </w:t>
      </w:r>
      <w:r>
        <w:rPr>
          <w:rStyle w:val="FootnoteAnchor"/>
          <w:rtl w:val="true"/>
        </w:rPr>
        <w:footnoteReference w:id="2107"/>
      </w:r>
      <w:r>
        <w:rPr>
          <w:rFonts w:ascii="IRNazanin" w:hAnsi="IRNazanin" w:eastAsia="IRNazanin"/>
          <w:color w:val="111111"/>
          <w:sz w:val="28"/>
          <w:sz w:val="28"/>
          <w:szCs w:val="28"/>
          <w:rtl w:val="true"/>
          <w:lang w:bidi="fa-IR"/>
        </w:rPr>
        <w:t>والحکم مختصّ بغیر الإمام والمضطرّ، وسیأتی استثناؤهما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وصفته کما مرّ </w:t>
      </w:r>
      <w:r>
        <w:rPr>
          <w:rStyle w:val="FootnoteAnchor"/>
          <w:rtl w:val="true"/>
        </w:rPr>
        <w:footnoteReference w:id="2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والمندوبات والمکروهات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بعرفة من زوال التاسع إلی غروب الشمس مقروناً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 قصد الفعل المخصوص متقرّباً بعد تحقّق الزوال بغیر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والرکن من ذلک أمرٌ کلّی وهو جزءٌ من مجموع الوقت بعد النیّة ولو سائراً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عُرَنَة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المهملة وفتح الراء 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المثلّثة وکسر الواو وتشدید الیاء المثنّاة من تحت المفتوحة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وکسر المیم وفتح الراء، وهی بطن عُرَنة، فکان یستغنی عن التحدید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المذکورات حدود لا محدود، فلا یصحّ الوقوف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الغروب عامداً ولم یَعُدْ فبدنة، فإن عجز صام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 أو حضراً، متتابعة أو غیر متتابعة فی أصحّ القولین </w:t>
      </w:r>
      <w:r>
        <w:rPr>
          <w:rStyle w:val="FootnoteAnchor"/>
          <w:rtl w:val="true"/>
        </w:rPr>
        <w:footnoteReference w:id="2109"/>
      </w:r>
      <w:r>
        <w:rPr>
          <w:rFonts w:ascii="IRNazanin" w:hAnsi="IRNazanin" w:eastAsia="IRNazanin"/>
          <w:color w:val="111111"/>
          <w:sz w:val="28"/>
          <w:sz w:val="28"/>
          <w:szCs w:val="28"/>
          <w:rtl w:val="true"/>
          <w:lang w:bidi="fa-IR"/>
        </w:rPr>
        <w:t xml:space="preserve">وفی الدروس أوجب فیها المتابعة هنا وجعلها فی الصوم أحوط </w:t>
      </w:r>
      <w:r>
        <w:rPr>
          <w:rStyle w:val="FootnoteAnchor"/>
          <w:rtl w:val="true"/>
        </w:rPr>
        <w:footnoteReference w:id="2110"/>
      </w:r>
      <w:r>
        <w:rPr>
          <w:rFonts w:ascii="IRNazanin" w:hAnsi="IRNazanin" w:eastAsia="IRNazanin"/>
          <w:color w:val="111111"/>
          <w:sz w:val="28"/>
          <w:sz w:val="28"/>
          <w:szCs w:val="28"/>
          <w:rtl w:val="true"/>
          <w:lang w:bidi="fa-IR"/>
        </w:rPr>
        <w:t>وهو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عاد قبل الغروب فالأقوی سقوطها وإن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ناسیاً أو جاهلاً فلا شیء علیه إن لم یعلم بالحکم قبل الغروب، وإلّا وجب العود مع الإمکان، فإن أخلّ به فهو 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العود بعد الغروب فلا أثر له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الوقوف علی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أسفله بالسفح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الکون بها قاعداً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واقفاً، وهو الأصل فی إطلاق الوقوف علی الکون، إطلاقاً لأفضل أفراده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المبیت بمنی لیلة التاسع إلی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بالغایة عن توهّم سقوط الوظیفة بعد نصف اللیل کمبیتها لیالی التشریق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یقطع مُحسِّراً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السین، وهو حدّ منی إلی جهة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تطلع الشمس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منی قبل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الظهرین یوم الترویة لیصلّیهما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کالتقیید لما أطلقه سابقاً من استحباب إیقاع الإحرام بعد الصلاة المستلزم لتأخّر </w:t>
      </w:r>
      <w:r>
        <w:rPr>
          <w:rStyle w:val="FootnoteAnchor"/>
          <w:rtl w:val="true"/>
        </w:rPr>
        <w:footnoteReference w:id="2111"/>
      </w:r>
      <w:r>
        <w:rPr>
          <w:rFonts w:ascii="IRNazanin" w:hAnsi="IRNazanin" w:eastAsia="IRNazanin"/>
          <w:color w:val="111111"/>
          <w:sz w:val="28"/>
          <w:sz w:val="28"/>
          <w:szCs w:val="28"/>
          <w:rtl w:val="true"/>
          <w:lang w:bidi="fa-IR"/>
        </w:rPr>
        <w:t xml:space="preserve">الخروج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ذو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کالهِمّ </w:t>
      </w:r>
      <w:r>
        <w:rPr>
          <w:rStyle w:val="FootnoteAnchor"/>
          <w:rtl w:val="true"/>
        </w:rPr>
        <w:footnoteReference w:id="2112"/>
      </w:r>
      <w:r>
        <w:rPr>
          <w:rFonts w:ascii="IRNazanin" w:hAnsi="IRNazanin" w:eastAsia="IRNazanin"/>
          <w:color w:val="111111"/>
          <w:sz w:val="28"/>
          <w:sz w:val="28"/>
          <w:szCs w:val="28"/>
          <w:rtl w:val="true"/>
          <w:lang w:bidi="fa-IR"/>
        </w:rPr>
        <w:t>والعلیل والمرأة وخائف الزحام، ولا یتقیّد خروجه بمقدار الإمام کما سلف، بل له التقدّم بیومین وثلاثة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عند الخروج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منی فی ابتدائه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بالمأثور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بالأدعیة المأثورة عن أهل البیت علیهم السلام </w:t>
      </w:r>
      <w:r>
        <w:rPr>
          <w:rStyle w:val="FootnoteAnchor"/>
          <w:rtl w:val="true"/>
        </w:rPr>
        <w:footnoteReference w:id="2114"/>
      </w:r>
      <w:r>
        <w:rPr>
          <w:rFonts w:ascii="IRNazanin" w:hAnsi="IRNazanin" w:eastAsia="IRNazanin"/>
          <w:color w:val="111111"/>
          <w:sz w:val="28"/>
          <w:sz w:val="28"/>
          <w:szCs w:val="28"/>
          <w:rtl w:val="true"/>
          <w:lang w:bidi="fa-IR"/>
        </w:rPr>
        <w:t xml:space="preserve">خصوصاً دعاء الحسین </w:t>
      </w:r>
      <w:r>
        <w:rPr>
          <w:rStyle w:val="FootnoteAnchor"/>
          <w:rtl w:val="true"/>
        </w:rPr>
        <w:footnoteReference w:id="2115"/>
      </w:r>
      <w:r>
        <w:rPr>
          <w:rFonts w:ascii="IRNazanin" w:hAnsi="IRNazanin" w:eastAsia="IRNazanin"/>
          <w:color w:val="111111"/>
          <w:sz w:val="28"/>
          <w:sz w:val="28"/>
          <w:szCs w:val="28"/>
          <w:rtl w:val="true"/>
          <w:lang w:bidi="fa-IR"/>
        </w:rPr>
        <w:t xml:space="preserve">وولده زین العابدین علیهما السلام </w:t>
      </w:r>
      <w:r>
        <w:rPr>
          <w:rStyle w:val="FootnoteAnchor"/>
          <w:rtl w:val="true"/>
        </w:rPr>
        <w:footnoteReference w:id="2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وإکثار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للّٰه‌تعالی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ولیذکر إخوانه بالدعاء، وأقلّهم 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علیّ ابن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عبد اللّٰه بن جندب بالموقف فلم أر موقفاً کان أحسنَ من موقفه، ما زال مادّاً یده إلی السماء ودموعه تسیل علی خدّیه حتی تبلغ الأرض، 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w:t>
      </w:r>
      <w:r>
        <w:rPr>
          <w:rFonts w:eastAsia="IRNazanin" w:cs="IRNazanin"/>
          <w:color w:val="111111"/>
          <w:sz w:val="28"/>
          <w:szCs w:val="28"/>
          <w:rtl w:val="true"/>
          <w:lang w:bidi="fa-IR"/>
        </w:rPr>
        <w:t xml:space="preserve">] </w:t>
      </w:r>
      <w:r>
        <w:rPr>
          <w:rStyle w:val="FootnoteAnchor"/>
          <w:rtl w:val="true"/>
        </w:rPr>
        <w:footnoteReference w:id="2117"/>
      </w:r>
      <w:r>
        <w:rPr>
          <w:rFonts w:ascii="IRNazanin" w:hAnsi="IRNazanin" w:eastAsia="IRNazanin"/>
          <w:color w:val="111111"/>
          <w:sz w:val="28"/>
          <w:sz w:val="28"/>
          <w:szCs w:val="28"/>
          <w:rtl w:val="true"/>
          <w:lang w:bidi="fa-IR"/>
        </w:rPr>
        <w:t>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رأیت موقفاً قطّ أحسن من موقفک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دعوت فیه إلّالإخوانی، وذلک لأنّ أبا الحسن موسی علیه السلام أخبرنی أ نّه من دعا لأخیه بظهر الغیب نودی من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مئة ألف ضعف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وکرهت أن أدَعَ مئة ألف ضعف لواحدة لا أدری تستجاب أم لا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الموقف، فلمّا أفضت أتیت إبراهیم ابن شعیب فسلّمت علیه وکان مصاباً با حدی عینیه وإذا عینه الصحیحة حمراء کأ نّها عَلَقةُ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اُصبت با حدی عینیک وأنا واللّٰه مشفق علی الاُخری، فلو قصرت من البکاء قلیلاً،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أبا محمّد ما دعوت لنفسی الیوم دعوة،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دعوت؟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لإخوانی؛ لأنّی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لأخیه بظهر الغیب وکّل اللّٰه به ملکاً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مثلاه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أکون أنا أدعو لإخوانی، والملک یدعو لی؛ لأنی فی شکّ من دعائی لنفسی، ولست فی شکّ من دعاء الملک لی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ینصرف، وأصله الاندفاع بکثرةٍ اُطلق علی الخروج من</w:t>
      </w:r>
    </w:p>
    <w:p>
      <w:pPr>
        <w:pStyle w:val="BookText"/>
        <w:rPr/>
      </w:pPr>
      <w:r>
        <w:rPr>
          <w:rFonts w:ascii="IRNazanin" w:hAnsi="IRNazanin" w:eastAsia="IRNazanin"/>
          <w:color w:val="111111"/>
          <w:sz w:val="28"/>
          <w:sz w:val="28"/>
          <w:szCs w:val="28"/>
          <w:rtl w:val="true"/>
          <w:lang w:bidi="fa-IR"/>
        </w:rPr>
        <w:t xml:space="preserve">عرفة لما یتّفق فیه من اندفاع الجمع الکثیر منه کإفاضة الماء، وهو متعدٍّ، لا لازم، أی یُفیض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بذهاب الحمرة المشرقیّة بحیث لا یقطع حدود عرفة حتی تغرب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سیره، داعیاً إذا بلغ الکثیب </w:t>
      </w:r>
      <w:r>
        <w:rPr>
          <w:rStyle w:val="FootnoteAnchor"/>
          <w:rtl w:val="true"/>
        </w:rPr>
        <w:footnoteReference w:id="2120"/>
      </w: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 الطریق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موقفی، وزد فی عملی، وسلِّم لی دینی، وتقبّل مناسکی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هذا الموقف، وارزقنیه أبداً ما أبقیتنی</w:t>
      </w:r>
      <w:r>
        <w:rPr>
          <w:rFonts w:eastAsia="IRNazanin" w:cs="IRNazanin"/>
          <w:color w:val="111111"/>
          <w:sz w:val="28"/>
          <w:szCs w:val="28"/>
          <w:rtl w:val="true"/>
          <w:lang w:bidi="fa-IR"/>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بالمشعر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إلی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واقفاً کان، أم نائماً، أم غیرهما من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تجدیدها بعد طلوع الفجر، لتغایر الواجبین، فإنّ الواجب الرکنی منه اختیاراً المسمّی فیما بین طلوع الفجر إلی طلوع الشمس، والباقی واجب لا غیر، کالوقوف بعرفة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والذکر والقراءة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أحیاها لم یمت قلبه یوم تموت القلوب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ووطء الصرورة المشعر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نعل أو ببعیره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 نّه </w:t>
      </w:r>
      <w:r>
        <w:rPr>
          <w:rStyle w:val="FootnoteAnchor"/>
          <w:rtl w:val="true"/>
        </w:rPr>
        <w:footnoteReference w:id="2122"/>
      </w:r>
      <w:r>
        <w:rPr>
          <w:rFonts w:ascii="IRNazanin" w:hAnsi="IRNazanin" w:eastAsia="IRNazanin"/>
          <w:color w:val="111111"/>
          <w:sz w:val="28"/>
          <w:sz w:val="28"/>
          <w:szCs w:val="28"/>
          <w:rtl w:val="true"/>
          <w:lang w:bidi="fa-IR"/>
        </w:rPr>
        <w:t xml:space="preserve">المسجد الموجود الآن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bookmarkStart w:id="614" w:name="pg19806_203742"/>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والصعود علی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 وفتح الزاء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المشعر الحرام، وهو جبل هناک یستحبّ الصعود علیه </w:t>
      </w:r>
      <w:r>
        <w:rPr>
          <w:rStyle w:val="FootnoteAnchor"/>
          <w:rtl w:val="true"/>
        </w:rPr>
        <w:footnoteReference w:id="2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أعمّ منه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2028157_2314609296"/>
      <w:bookmarkStart w:id="616" w:name="_Toc226"/>
      <w:bookmarkEnd w:id="615"/>
      <w:r>
        <w:rPr>
          <w:rtl w:val="true"/>
        </w:rPr>
        <w:t>«</w:t>
      </w:r>
      <w:r>
        <w:rPr>
          <w:rtl w:val="true"/>
        </w:rPr>
        <w:t>مسائل</w:t>
      </w:r>
      <w:r>
        <w:rPr>
          <w:rtl w:val="true"/>
        </w:rPr>
        <w:t>» :</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الموقفین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مسمّی الوقوف فی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الحجّ بترکه عمداً، ولا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حکم أرکان الحجّ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سهی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مختصّ بالوقوفین، وفواتهما أو أحدهما لعذر کالفوات 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ولکلٍّ من الموقفین </w:t>
      </w:r>
      <w:r>
        <w:rPr>
          <w:rStyle w:val="FootnoteAnchor"/>
          <w:rtl w:val="true"/>
        </w:rPr>
        <w:footnoteReference w:id="2126"/>
      </w:r>
      <w:r>
        <w:rPr>
          <w:rFonts w:ascii="IRNazanin" w:hAnsi="IRNazanin" w:eastAsia="IRNazanin"/>
          <w:color w:val="111111"/>
          <w:sz w:val="28"/>
          <w:sz w:val="28"/>
          <w:szCs w:val="28"/>
          <w:rtl w:val="true"/>
          <w:lang w:bidi="fa-IR"/>
        </w:rPr>
        <w:t>اختیاریٌّ واضطراریٌّ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فاختیاریّ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الزوال والغروب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واختیاریّ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طلوع الفجر وطلوع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واضطراریّ عرفة لیلة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الغروب إلی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واضطراریّ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طلوع شمسه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زواله</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2127"/>
      </w:r>
      <w:r>
        <w:rPr>
          <w:rFonts w:ascii="IRNazanin" w:hAnsi="IRNazanin" w:eastAsia="IRNazanin"/>
          <w:color w:val="111111"/>
          <w:sz w:val="28"/>
          <w:sz w:val="28"/>
          <w:szCs w:val="28"/>
          <w:rtl w:val="true"/>
          <w:lang w:bidi="fa-IR"/>
        </w:rPr>
        <w:t>اضطراریٌّ آخر أقوی منه؛ لأنّه مشوب بالاختیاری، وهو</w:t>
      </w:r>
    </w:p>
    <w:p>
      <w:pPr>
        <w:pStyle w:val="BookText"/>
        <w:rPr/>
      </w:pPr>
      <w:r>
        <w:rPr>
          <w:rFonts w:ascii="IRNazanin" w:hAnsi="IRNazanin" w:eastAsia="IRNazanin"/>
          <w:color w:val="111111"/>
          <w:sz w:val="28"/>
          <w:sz w:val="28"/>
          <w:szCs w:val="28"/>
          <w:rtl w:val="true"/>
          <w:lang w:bidi="fa-IR"/>
        </w:rPr>
        <w:t>اضطراری عرفة لیلة النحر، ووجه شوبه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اجتزاء المرأة به اختیاراً والمضطرّ والمتعمّد مطلقاً مع جبره بشاة، والاضطراری المحض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من الوقوف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ومن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کالرکن من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وأقسام الوقوفین بالنسبة إلی الاختیاری والاضطراری ثمانیة، أربعة مفردة، وهی کلّ واحد من الاختیاریّین والاضطراریّین، وأربعة مرکّبة، وهی الاختیاریّان والاضطراریّان، واختیاریّ عرفة مع اضطراریّ المشعر وعکسه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أقسامه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لا مطلقاً، فإنّ العامد یبطل حجّه بفوات کلّ واحد من الاختیاریّین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إلّاالاضطراریّ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یجزئ مطلقاً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إجزاء اضطراریّ المشعر وحده، لصحیحة عبد اللّٰه بن مسکان </w:t>
      </w:r>
      <w:r>
        <w:rPr>
          <w:rStyle w:val="FootnoteAnchor"/>
          <w:rtl w:val="true"/>
        </w:rPr>
        <w:footnoteReference w:id="2128"/>
      </w:r>
      <w:r>
        <w:rPr>
          <w:rFonts w:ascii="IRNazanin" w:hAnsi="IRNazanin" w:eastAsia="IRNazanin"/>
          <w:color w:val="111111"/>
          <w:sz w:val="28"/>
          <w:sz w:val="28"/>
          <w:szCs w:val="28"/>
          <w:rtl w:val="true"/>
          <w:lang w:bidi="fa-IR"/>
        </w:rPr>
        <w:t xml:space="preserve">عن الکاظم علیه السلام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اضطراریّه السابق فمجزئ مطلقاً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یستثنه هنا؛ لأنّه جعله من قسم الاختیاری، حیث خصّ الاضطراریّ بما بعد طلوع الشمس، ونبّه علی حکمه 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أفاض قبل الفجر عامداً 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وناسیاً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الجاهل بالعامد کما فی نظائره، أو الناسی قولان، وکذا فی ترک أحد الوقوفین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الإفاضة قبل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والخائف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مضطرّ</w:t>
      </w:r>
    </w:p>
    <w:p>
      <w:pPr>
        <w:pStyle w:val="BookText"/>
        <w:rPr/>
      </w:pPr>
      <w:r>
        <w:rPr>
          <w:rFonts w:ascii="IRNazanin" w:hAnsi="IRNazanin" w:eastAsia="IRNazanin"/>
          <w:color w:val="111111"/>
          <w:sz w:val="28"/>
          <w:sz w:val="28"/>
          <w:szCs w:val="28"/>
          <w:rtl w:val="true"/>
          <w:lang w:bidi="fa-IR"/>
        </w:rPr>
        <w:t xml:space="preserve">کالراعی والمریض والصبیّ مطلقاً ورفیق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ذلک مع نیّة الوقوف لیلاً کما نبّه علیه بإ یجابه النیّة له عند وصوله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 المشعر ما بین الحیاض </w:t>
      </w:r>
      <w:r>
        <w:rPr>
          <w:rStyle w:val="FootnoteAnchor"/>
          <w:rtl w:val="true"/>
        </w:rPr>
        <w:footnoteReference w:id="2132"/>
      </w:r>
      <w:r>
        <w:rPr>
          <w:rFonts w:ascii="IRNazanin" w:hAnsi="IRNazanin" w:eastAsia="IRNazanin"/>
          <w:color w:val="111111"/>
          <w:sz w:val="28"/>
          <w:sz w:val="28"/>
          <w:szCs w:val="28"/>
          <w:rtl w:val="true"/>
          <w:lang w:bidi="fa-IR"/>
        </w:rPr>
        <w:t>والمأزِمین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بالهمز الساکن ثمّ کسر الزاء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الطریق الضیّق بین الجبلین،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طرف منی کما سبق </w:t>
      </w:r>
      <w:r>
        <w:rPr>
          <w:rStyle w:val="FootnoteAnchor"/>
          <w:rtl w:val="true"/>
        </w:rPr>
        <w:footnoteReference w:id="2133"/>
      </w:r>
      <w:r>
        <w:rPr>
          <w:rFonts w:ascii="IRNazanin" w:hAnsi="IRNazanin" w:eastAsia="IRNazanin"/>
          <w:color w:val="111111"/>
          <w:sz w:val="28"/>
          <w:sz w:val="28"/>
          <w:szCs w:val="28"/>
          <w:rtl w:val="true"/>
          <w:lang w:bidi="fa-IR"/>
        </w:rPr>
        <w:t>فلا واسطة بین المشعر ومنی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حصی الجمار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الرمی تحیّة لموضعه کما مرّ </w:t>
      </w:r>
      <w:r>
        <w:rPr>
          <w:rStyle w:val="FootnoteAnchor"/>
          <w:rtl w:val="true"/>
        </w:rPr>
        <w:footnoteReference w:id="2134"/>
      </w:r>
      <w:r>
        <w:rPr>
          <w:rFonts w:ascii="IRNazanin" w:hAnsi="IRNazanin" w:eastAsia="IRNazanin"/>
          <w:color w:val="111111"/>
          <w:sz w:val="28"/>
          <w:sz w:val="28"/>
          <w:szCs w:val="28"/>
          <w:rtl w:val="true"/>
          <w:lang w:bidi="fa-IR"/>
        </w:rPr>
        <w:t xml:space="preserve">فینبغی التقاطه من المشعر، لئلّا یشتغل عند قدومه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Style w:val="FootnoteAnchor"/>
          <w:rtl w:val="true"/>
        </w:rPr>
        <w:footnoteReference w:id="2135"/>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حصاة، ذکّر الضمیر، لعوده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علیه بالالتقاط، ولو التقط أزید منها احتیاطاً حذراً من سقوط بعضها أو عدم إصابته فلا بأس</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والهرولة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الإسراع فوق المشی ودون العدو کالرَمَل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للماشی والراکب فیحرِّک دابّته، وقدرها مئة ذراع أو مئة خُطوة، واستحبابها مؤکَّد حتی لو نسیها رجع إلیها وإن وصل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الهرولة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عهدی، واقبل توبتی، وأجب دعوتی، واخلفنی فیمن ترکت بعدی</w:t>
      </w:r>
      <w:r>
        <w:rPr>
          <w:rFonts w:eastAsia="IRNazanin" w:cs="IRNazanin"/>
          <w:color w:val="111111"/>
          <w:sz w:val="28"/>
          <w:szCs w:val="28"/>
          <w:rtl w:val="true"/>
          <w:lang w:bidi="fa-IR"/>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bookmarkStart w:id="617" w:name="pg19806_203745"/>
    </w:p>
    <w:p>
      <w:pPr>
        <w:pStyle w:val="Heading4"/>
        <w:numPr>
          <w:ilvl w:val="3"/>
          <w:numId w:val="1"/>
        </w:numPr>
        <w:rPr/>
      </w:pPr>
      <w:bookmarkStart w:id="618" w:name="__RefHeading___Toc2028159_2314609296"/>
      <w:bookmarkStart w:id="619" w:name="_Toc227"/>
      <w:bookmarkEnd w:id="617"/>
      <w:bookmarkEnd w:id="618"/>
      <w:r>
        <w:rPr>
          <w:rtl w:val="true"/>
        </w:rPr>
        <w:t>«</w:t>
      </w:r>
      <w:r>
        <w:rPr>
          <w:rtl w:val="true"/>
        </w:rPr>
        <w:t>القول فی مناسک منی</w:t>
      </w:r>
      <w:r>
        <w:rPr>
          <w:rtl w:val="true"/>
        </w:rPr>
        <w:t>»</w:t>
      </w:r>
      <w:bookmarkEnd w:id="619"/>
    </w:p>
    <w:p>
      <w:pPr>
        <w:pStyle w:val="BookText"/>
        <w:rPr/>
      </w:pPr>
      <w:r>
        <w:rPr>
          <w:rFonts w:ascii="IRNazanin" w:hAnsi="IRNazanin" w:eastAsia="IRNazanin"/>
          <w:color w:val="111111"/>
          <w:sz w:val="28"/>
          <w:sz w:val="28"/>
          <w:szCs w:val="28"/>
          <w:rtl w:val="true"/>
          <w:lang w:bidi="fa-IR"/>
        </w:rPr>
        <w:t>جمع مَنسک، وأصله موضع النُسک وهو العبادة، ثم اُطلق اسم المحلّ علی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عبَّر بالنُسک کان هو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ومِنی بکسر المیم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مذکّر منصرف، قاله الجوهری </w:t>
      </w:r>
      <w:r>
        <w:rPr>
          <w:rStyle w:val="FootnoteAnchor"/>
          <w:rtl w:val="true"/>
        </w:rPr>
        <w:footnoteReference w:id="2137"/>
      </w:r>
      <w:r>
        <w:rPr>
          <w:rFonts w:ascii="IRNazanin" w:hAnsi="IRNazanin" w:eastAsia="IRNazanin"/>
          <w:color w:val="111111"/>
          <w:sz w:val="28"/>
          <w:sz w:val="28"/>
          <w:szCs w:val="28"/>
          <w:rtl w:val="true"/>
          <w:lang w:bidi="fa-IR"/>
        </w:rPr>
        <w:t xml:space="preserve">وجوّز غیره تأنیثه </w:t>
      </w:r>
      <w:r>
        <w:rPr>
          <w:rStyle w:val="FootnoteAnchor"/>
          <w:rtl w:val="true"/>
        </w:rPr>
        <w:footnoteReference w:id="2138"/>
      </w:r>
      <w:r>
        <w:rPr>
          <w:rFonts w:ascii="IRNazanin" w:hAnsi="IRNazanin" w:eastAsia="IRNazanin"/>
          <w:color w:val="111111"/>
          <w:sz w:val="28"/>
          <w:sz w:val="28"/>
          <w:szCs w:val="28"/>
          <w:rtl w:val="true"/>
          <w:lang w:bidi="fa-IR"/>
        </w:rPr>
        <w:t>سُمّی به المکان المخصوص؛ لقول جبرائیل علیه السلام فیه لإبراهیم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 علی ربّک ما شئت</w:t>
      </w:r>
      <w:r>
        <w:rPr>
          <w:rFonts w:eastAsia="IRNazanin" w:cs="IRNazanin"/>
          <w:color w:val="111111"/>
          <w:sz w:val="28"/>
          <w:szCs w:val="28"/>
          <w:rtl w:val="true"/>
          <w:lang w:bidi="fa-IR"/>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ومناسکها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أقرب الجمرات الثلاث إلی مکّة، وهی حدّها من تلک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الذبح، ثم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عکس عمداً أثم وأجزأ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النیّة فی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 تعیینه، وکونه فی حجّ الإسلام أو غیره، والقربة، والمقارنة لأوّله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التعرّض للأداء والعدد، ولو تدارکه بعد وقته نوی القضاء</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وإکمال السبع </w:t>
      </w:r>
      <w:r>
        <w:rPr>
          <w:rStyle w:val="FootnoteAnchor"/>
          <w:rtl w:val="true"/>
        </w:rPr>
        <w:footnoteReference w:id="2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یُجزی ما دونها، ولو </w:t>
      </w:r>
      <w:r>
        <w:rPr>
          <w:rStyle w:val="FootnoteAnchor"/>
          <w:rtl w:val="true"/>
        </w:rPr>
        <w:footnoteReference w:id="2142"/>
      </w:r>
      <w:r>
        <w:rPr>
          <w:rFonts w:ascii="IRNazanin" w:hAnsi="IRNazanin" w:eastAsia="IRNazanin"/>
          <w:color w:val="111111"/>
          <w:sz w:val="28"/>
          <w:sz w:val="28"/>
          <w:szCs w:val="28"/>
          <w:rtl w:val="true"/>
          <w:lang w:bidi="fa-IR"/>
        </w:rPr>
        <w:t>اقتصر علیه استأنف إن</w:t>
      </w:r>
    </w:p>
    <w:p>
      <w:pPr>
        <w:pStyle w:val="BookText"/>
        <w:rPr/>
      </w:pPr>
      <w:r>
        <w:rPr>
          <w:rFonts w:ascii="IRNazanin" w:hAnsi="IRNazanin" w:eastAsia="IRNazanin"/>
          <w:color w:val="111111"/>
          <w:sz w:val="28"/>
          <w:sz w:val="28"/>
          <w:szCs w:val="28"/>
          <w:rtl w:val="true"/>
          <w:lang w:bidi="fa-IR"/>
        </w:rPr>
        <w:t>أخلّ بالموالاة عرفاً ولم تبلغ الأربع، ولو کان قد بلغها قبل القطع کفاه الإتمام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 للجمرة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البناء المخصوص، أو موضعه وما حوله ممّا یجتمع من الحصا، کذا عرَّفها المصنّف فی الدروس </w:t>
      </w:r>
      <w:r>
        <w:rPr>
          <w:rStyle w:val="FootnoteAnchor"/>
          <w:rtl w:val="true"/>
        </w:rPr>
        <w:footnoteReference w:id="214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مجمع الحصا دون السائل </w:t>
      </w:r>
      <w:r>
        <w:rPr>
          <w:rStyle w:val="FootnoteAnchor"/>
          <w:rtl w:val="true"/>
        </w:rPr>
        <w:footnoteReference w:id="214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الأرض </w:t>
      </w:r>
      <w:r>
        <w:rPr>
          <w:rStyle w:val="FootnoteAnchor"/>
          <w:rtl w:val="true"/>
        </w:rPr>
        <w:footnoteReference w:id="2145"/>
      </w:r>
      <w:r>
        <w:rPr>
          <w:rFonts w:ascii="IRNazanin" w:hAnsi="IRNazanin" w:eastAsia="IRNazanin"/>
          <w:color w:val="111111"/>
          <w:sz w:val="28"/>
          <w:sz w:val="28"/>
          <w:szCs w:val="28"/>
          <w:rtl w:val="true"/>
          <w:lang w:bidi="fa-IR"/>
        </w:rPr>
        <w:t xml:space="preserve">ولو </w:t>
      </w:r>
      <w:r>
        <w:rPr>
          <w:rStyle w:val="FootnoteAnchor"/>
          <w:rtl w:val="true"/>
        </w:rPr>
        <w:footnoteReference w:id="2146"/>
      </w:r>
      <w:r>
        <w:rPr>
          <w:rFonts w:ascii="IRNazanin" w:hAnsi="IRNazanin" w:eastAsia="IRNazanin"/>
          <w:color w:val="111111"/>
          <w:sz w:val="28"/>
          <w:sz w:val="28"/>
          <w:szCs w:val="28"/>
          <w:rtl w:val="true"/>
          <w:lang w:bidi="fa-IR"/>
        </w:rPr>
        <w:t>لم یصب لم یحتسب، ولو شکّ فی الإصابة أعاد؛ لأصالة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کون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الاستنابة فیه اختیاراً، وکذا لو حصلت الإصابة بمعونة غیره ولو حصاة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وثبت حصاة بها فأصابت لم یحتسب الواثبة، بل المرمیّة إن أصابت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وقعت علی ما هو أعلی من الجمرة ثم وقعت فأصابت کفی، وکذا لو وقعت علی غیر أرض الجمرة ثم وثبت إلیها بواسطة صدم الأرض وشبهها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واشتراط کون الرمی بفعله أعمّ من مباشرته بیده، وقد اقتصر هنا وفی الدروس علیه </w:t>
      </w:r>
      <w:r>
        <w:rPr>
          <w:rStyle w:val="FootnoteAnchor"/>
          <w:rtl w:val="true"/>
        </w:rPr>
        <w:footnoteReference w:id="2147"/>
      </w:r>
      <w:r>
        <w:rPr>
          <w:rFonts w:ascii="IRNazanin" w:hAnsi="IRNazanin" w:eastAsia="IRNazanin"/>
          <w:color w:val="111111"/>
          <w:sz w:val="28"/>
          <w:sz w:val="28"/>
          <w:szCs w:val="28"/>
          <w:rtl w:val="true"/>
          <w:lang w:bidi="fa-IR"/>
        </w:rPr>
        <w:t xml:space="preserve">وفی رسالة الحجّ اعتبر کونه مع ذلک بالید </w:t>
      </w:r>
      <w:r>
        <w:rPr>
          <w:rStyle w:val="FootnoteAnchor"/>
          <w:rtl w:val="true"/>
        </w:rPr>
        <w:footnoteReference w:id="2148"/>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یُسمّی 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وضعها أو طرحها من غیر رمی لم یُجز؛ لأنّ الواجب صدق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نسب ذلک إلی قول </w:t>
      </w:r>
      <w:r>
        <w:rPr>
          <w:rStyle w:val="FootnoteAnchor"/>
          <w:rtl w:val="true"/>
        </w:rPr>
        <w:footnoteReference w:id="2149"/>
      </w:r>
      <w:r>
        <w:rPr>
          <w:rFonts w:ascii="Amiri" w:hAnsi="Amiri" w:eastAsia="Amiri" w:cs="Amiri"/>
          <w:color w:val="111111"/>
          <w:sz w:val="28"/>
          <w:sz w:val="28"/>
          <w:szCs w:val="28"/>
          <w:rtl w:val="true"/>
          <w:lang w:bidi="ar-SA"/>
        </w:rPr>
        <w:t>وهو یدلّ</w:t>
      </w:r>
    </w:p>
    <w:p>
      <w:pPr>
        <w:pStyle w:val="BookText"/>
        <w:rPr/>
      </w:pPr>
      <w:r>
        <w:rPr>
          <w:rFonts w:ascii="IRNazanin" w:hAnsi="IRNazanin" w:eastAsia="IRNazanin"/>
          <w:color w:val="111111"/>
          <w:sz w:val="28"/>
          <w:sz w:val="28"/>
          <w:szCs w:val="28"/>
          <w:rtl w:val="true"/>
          <w:lang w:bidi="fa-IR"/>
        </w:rPr>
        <w:t>علی تمریضه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یسمّی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الرمی بغیره ولو بخروجه عنه بالاستحالة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فیه بین الصغیر والکبیر ولا بین الطاهر والنجس، ولا بین المتّصل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کفصّ الخاتم لو کان حجراً حرمیّاً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یُجزئ من غیره، ویعتبر فیه أن لا یکون مسجداً، لتحریم إخراج الحصا منه المقتضی للفساد 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مرمیّ بها رمیاً صحیحاً، فلو رُمی بها بغیر نیّة أو لم یصب لم یخرج عن کونها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مع ذلک کلِّه تلاحُق الرمی، فلا یُجزئ الدفعة وإن تلاحقت الإصابة، بل یحتسب منها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تَلاحق الإصابة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البُرْش </w:t>
      </w:r>
      <w:r>
        <w:rPr>
          <w:rStyle w:val="FootnoteAnchor"/>
          <w:rtl w:val="true"/>
        </w:rPr>
        <w:footnoteReference w:id="2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ألوان مختلفة بینها وفی کلّ واحدة منها، ومن ثمّ اجتزأ بها عن المنقّطة، لا کما فعل فی غیره </w:t>
      </w:r>
      <w:r>
        <w:rPr>
          <w:rStyle w:val="FootnoteAnchor"/>
          <w:rtl w:val="true"/>
        </w:rPr>
        <w:footnoteReference w:id="2151"/>
      </w:r>
      <w:r>
        <w:rPr>
          <w:rFonts w:ascii="IRNazanin" w:hAnsi="IRNazanin" w:eastAsia="IRNazanin"/>
          <w:color w:val="111111"/>
          <w:sz w:val="28"/>
          <w:sz w:val="28"/>
          <w:szCs w:val="28"/>
          <w:rtl w:val="true"/>
          <w:lang w:bidi="fa-IR"/>
        </w:rPr>
        <w:t xml:space="preserve">وغیره </w:t>
      </w:r>
      <w:r>
        <w:rPr>
          <w:rStyle w:val="FootnoteAnchor"/>
          <w:rtl w:val="true"/>
        </w:rPr>
        <w:footnoteReference w:id="2152"/>
      </w:r>
      <w:r>
        <w:rPr>
          <w:rFonts w:ascii="IRNazanin" w:hAnsi="IRNazanin" w:eastAsia="IRNazanin"/>
          <w:color w:val="111111"/>
          <w:sz w:val="28"/>
          <w:sz w:val="28"/>
          <w:szCs w:val="28"/>
          <w:rtl w:val="true"/>
          <w:lang w:bidi="fa-IR"/>
        </w:rPr>
        <w:t xml:space="preserve">ومن جمع بین الوصفین أراد بالبُرش المعنی الأوّل، وبالمنقّطة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کلّ واحدة منها مأخوذة من الأرض منفصلة، واحترز بها عن المکسَّرة من حجر، وفی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 الحصی ولا تکسرنّ منه شیئاً</w:t>
      </w:r>
      <w:r>
        <w:rPr>
          <w:rFonts w:eastAsia="IRNazanin" w:cs="IRNazanin"/>
          <w:color w:val="111111"/>
          <w:sz w:val="28"/>
          <w:szCs w:val="28"/>
          <w:rtl w:val="true"/>
          <w:lang w:bidi="fa-IR"/>
        </w:rPr>
        <w:t xml:space="preserve">» </w:t>
      </w:r>
      <w:r>
        <w:rPr>
          <w:rStyle w:val="FootnoteAnchor"/>
          <w:rtl w:val="true"/>
        </w:rPr>
        <w:footnoteReference w:id="2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الأنمُلة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الهمزة وضم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الأصبع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الحدث حالة الرمی فی المشهور، جمعاً بین صحیحة محمّد بن مسلم </w:t>
      </w:r>
      <w:r>
        <w:rPr>
          <w:rStyle w:val="FootnoteAnchor"/>
          <w:rtl w:val="true"/>
        </w:rPr>
        <w:footnoteReference w:id="2154"/>
      </w:r>
      <w:r>
        <w:rPr>
          <w:rFonts w:ascii="IRNazanin" w:hAnsi="IRNazanin" w:eastAsia="IRNazanin"/>
          <w:color w:val="111111"/>
          <w:sz w:val="28"/>
          <w:sz w:val="28"/>
          <w:szCs w:val="28"/>
          <w:rtl w:val="true"/>
          <w:lang w:bidi="fa-IR"/>
        </w:rPr>
        <w:t xml:space="preserve">الدالّة علی النهی عنه بدونها، وروایة أبی غسّان </w:t>
      </w:r>
      <w:r>
        <w:rPr>
          <w:rStyle w:val="FootnoteAnchor"/>
          <w:rtl w:val="true"/>
        </w:rPr>
        <w:footnoteReference w:id="2155"/>
      </w:r>
      <w:r>
        <w:rPr>
          <w:rFonts w:ascii="IRNazanin" w:hAnsi="IRNazanin" w:eastAsia="IRNazanin"/>
          <w:color w:val="111111"/>
          <w:sz w:val="28"/>
          <w:sz w:val="28"/>
          <w:szCs w:val="28"/>
          <w:rtl w:val="true"/>
          <w:lang w:bidi="fa-IR"/>
        </w:rPr>
        <w:t xml:space="preserve">بجوازه علی غیر طهر، کذا علّله المصنّف </w:t>
      </w:r>
      <w:r>
        <w:rPr>
          <w:rStyle w:val="FootnoteAnchor"/>
          <w:rtl w:val="true"/>
        </w:rPr>
        <w:footnoteReference w:id="2156"/>
      </w:r>
      <w:r>
        <w:rPr>
          <w:rFonts w:ascii="IRNazanin" w:hAnsi="IRNazanin" w:eastAsia="IRNazanin"/>
          <w:color w:val="111111"/>
          <w:sz w:val="28"/>
          <w:sz w:val="28"/>
          <w:szCs w:val="28"/>
          <w:rtl w:val="true"/>
          <w:lang w:bidi="fa-IR"/>
        </w:rPr>
        <w:t xml:space="preserve">وغیره </w:t>
      </w:r>
      <w:r>
        <w:rPr>
          <w:rStyle w:val="FootnoteAnchor"/>
          <w:rtl w:val="true"/>
        </w:rPr>
        <w:footnoteReference w:id="2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لأنّ المجوّزة مجهولة الراوی فکیف یُؤوّل الصحیح لأجلها، ومن ثَمّ ذهب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المفید والمرتضی </w:t>
      </w:r>
      <w:r>
        <w:rPr>
          <w:rStyle w:val="FootnoteAnchor"/>
          <w:rtl w:val="true"/>
        </w:rPr>
        <w:footnoteReference w:id="2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اشتراطها والدلیل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یرید طهارة الحصی، فإنّه مستحبّ أیضاً علی المشهور، وقیل بوجوبه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کان الأوّل أرجح؛ لأنّ سیاق أوصاف الحصی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لینتظم مع ما سبق منها، ولو اُرید الأعمّ منهما کان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الرمی وقبله وهی بیده بالمأثور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والتکبیر مع کلّ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کون الظرف للتکبیر والدعاء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الرامی عن الجمرة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خمس عشرة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عشر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ورمیها خَذْفاً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یضع الحصاة علی بطن إبهام الید الیمنی ویدفعها بظُفر السبّابة، وأوجبه جماعة منهم ابن إدریس بهذا المعنی </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 xml:space="preserve">والمرتضی </w:t>
      </w:r>
      <w:r>
        <w:rPr>
          <w:rStyle w:val="FootnoteAnchor"/>
          <w:rtl w:val="true"/>
        </w:rPr>
        <w:footnoteReference w:id="2162"/>
      </w:r>
      <w:r>
        <w:rPr>
          <w:rFonts w:ascii="IRNazanin" w:hAnsi="IRNazanin" w:eastAsia="IRNazanin"/>
          <w:color w:val="111111"/>
          <w:sz w:val="28"/>
          <w:sz w:val="28"/>
          <w:szCs w:val="28"/>
          <w:rtl w:val="true"/>
          <w:lang w:bidi="fa-IR"/>
        </w:rPr>
        <w:t>لکنّه جعل الدفع بظُفر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الخذف بالحصی الرمی بها بالأصابع </w:t>
      </w:r>
      <w:r>
        <w:rPr>
          <w:rStyle w:val="FootnoteAnchor"/>
          <w:rtl w:val="true"/>
        </w:rPr>
        <w:footnoteReference w:id="2163"/>
      </w:r>
      <w:r>
        <w:rPr>
          <w:rFonts w:ascii="IRNazanin" w:hAnsi="IRNazanin" w:eastAsia="IRNazanin"/>
          <w:color w:val="111111"/>
          <w:sz w:val="28"/>
          <w:sz w:val="28"/>
          <w:szCs w:val="28"/>
          <w:rtl w:val="true"/>
          <w:lang w:bidi="fa-IR"/>
        </w:rPr>
        <w:t>وهو غیر منافٍ للمرویّ الذی فسّروه به بالمعنی الأوّل؛ لأنّه قال فی روایة البزنطی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تخذفهنّ خذفاً، وتضعها علی الإ بهام وتدفعها بظفر السبابة</w:t>
      </w:r>
      <w:r>
        <w:rPr>
          <w:rFonts w:eastAsia="IRNazanin" w:cs="IRNazanin"/>
          <w:color w:val="111111"/>
          <w:sz w:val="28"/>
          <w:szCs w:val="28"/>
          <w:rtl w:val="true"/>
          <w:lang w:bidi="fa-IR"/>
        </w:rPr>
        <w:t xml:space="preserve">» </w:t>
      </w:r>
      <w:r>
        <w:rPr>
          <w:rStyle w:val="FootnoteAnchor"/>
          <w:rtl w:val="true"/>
        </w:rPr>
        <w:footnoteReference w:id="2164"/>
      </w:r>
      <w:r>
        <w:rPr>
          <w:rFonts w:ascii="IRNazanin" w:hAnsi="IRNazanin" w:eastAsia="IRNazanin"/>
          <w:color w:val="111111"/>
          <w:sz w:val="28"/>
          <w:sz w:val="28"/>
          <w:szCs w:val="28"/>
          <w:rtl w:val="true"/>
          <w:lang w:bidi="fa-IR"/>
        </w:rPr>
        <w:t>وظاهر العطف أنّ ذلک أمر زائد علی الخذف، فیکون فیه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رمیها خذفاً بالإصابع لا بغیرها وإن کان بالید، والاُخری جعله بالهیئة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فتتأدّی سنّة الخذف برمیها بالأصابع کیف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مناسبة اُخری للتباعد بالقدر المذکور، فإنّ الجمع بینه وبین الخذف بالمعنیین السابقین بعید، وینبغی مع التعارض ترجیح الخذف، خروجاً من خلاف موجبه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واستقبال الجمرة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جمرة العقبة، والمراد باستقبالها کونه مقابلاً لها لا عالیاً علیها، کما یظهر من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ارمها من قِبَل وجهها، ولا ترمها من أعلاها</w:t>
      </w:r>
      <w:r>
        <w:rPr>
          <w:rFonts w:eastAsia="IRNazanin" w:cs="IRNazanin"/>
          <w:color w:val="111111"/>
          <w:sz w:val="28"/>
          <w:szCs w:val="28"/>
          <w:rtl w:val="true"/>
          <w:lang w:bidi="fa-IR"/>
        </w:rPr>
        <w:t xml:space="preserve">» </w:t>
      </w:r>
      <w:r>
        <w:rPr>
          <w:rStyle w:val="FootnoteAnchor"/>
          <w:rtl w:val="true"/>
        </w:rPr>
        <w:footnoteReference w:id="2166"/>
      </w:r>
      <w:r>
        <w:rPr>
          <w:rFonts w:ascii="IRNazanin" w:hAnsi="IRNazanin" w:eastAsia="IRNazanin"/>
          <w:color w:val="111111"/>
          <w:sz w:val="28"/>
          <w:sz w:val="28"/>
          <w:szCs w:val="28"/>
          <w:rtl w:val="true"/>
          <w:lang w:bidi="fa-IR"/>
        </w:rPr>
        <w:t xml:space="preserve">وإلّا فلیس لها وجه خاصّ یتحقّق به الاستقبال، ولیکن مع ذلک مستدبراً للقبلة </w:t>
      </w:r>
      <w:r>
        <w:rPr>
          <w:rStyle w:val="FootnoteAnchor"/>
          <w:rtl w:val="true"/>
        </w:rPr>
        <w:footnoteReference w:id="2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الجمرتین الأخیرتین </w:t>
      </w:r>
      <w:r>
        <w:rPr>
          <w:rStyle w:val="FootnoteAnchor"/>
          <w:rtl w:val="true"/>
        </w:rPr>
        <w:footnoteReference w:id="2168"/>
      </w:r>
      <w:r>
        <w:rPr>
          <w:rFonts w:ascii="IRNazanin" w:hAnsi="IRNazanin" w:eastAsia="IRNazanin"/>
          <w:color w:val="111111"/>
          <w:sz w:val="28"/>
          <w:sz w:val="28"/>
          <w:szCs w:val="28"/>
          <w:rtl w:val="true"/>
          <w:lang w:bidi="fa-IR"/>
        </w:rPr>
        <w:t>یستقبل القبلة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والرمی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من منزله، لا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الرمی راکباً </w:t>
      </w:r>
      <w:r>
        <w:rPr>
          <w:rStyle w:val="FootnoteAnchor"/>
          <w:rtl w:val="true"/>
        </w:rPr>
        <w:footnoteReference w:id="2169"/>
      </w:r>
      <w:r>
        <w:rPr>
          <w:rFonts w:ascii="Amiri" w:hAnsi="Amiri" w:eastAsia="Amiri" w:cs="Amiri"/>
          <w:color w:val="111111"/>
          <w:sz w:val="28"/>
          <w:sz w:val="28"/>
          <w:szCs w:val="28"/>
          <w:rtl w:val="true"/>
          <w:lang w:bidi="ar-SA"/>
        </w:rPr>
        <w:t xml:space="preserve">تأسّیاً بالنبیّ صلی الله علیه و آله </w:t>
      </w:r>
      <w:r>
        <w:rPr>
          <w:rStyle w:val="FootnoteAnchor"/>
          <w:rtl w:val="true"/>
        </w:rPr>
        <w:footnoteReference w:id="2170"/>
      </w:r>
      <w:r>
        <w:rPr>
          <w:rFonts w:ascii="IRNazanin" w:hAnsi="IRNazanin" w:eastAsia="IRNazanin"/>
          <w:color w:val="111111"/>
          <w:sz w:val="28"/>
          <w:sz w:val="28"/>
          <w:szCs w:val="28"/>
          <w:rtl w:val="true"/>
          <w:lang w:bidi="fa-IR"/>
        </w:rPr>
        <w:t xml:space="preserve">ویضعّف بأ نّه صلی الله علیه و آله رمی ماشیاً أیضاً، رواه علیّ بن جعفر عن أخیه علیه السلام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لهدی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من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کمل سنّه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w:t>
      </w:r>
      <w:r>
        <w:rPr>
          <w:rStyle w:val="FootnoteAnchor"/>
          <w:rtl w:val="true"/>
        </w:rPr>
        <w:footnoteReference w:id="2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ثنی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البقر والمعز ما دخل فی الثانیة، ومن الإ بل فی السادسة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الأعور ولو ببیاض علی عینه، والأعرج، والأجرب، ومکسور القرن الداخل، ومقطوع شیء من الاُذن، والخصیّ، والأبتر، وساقط الأسنان لکبر وغیره، والمریض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شقّ الاُذن من غیر أن یذهب منها شیء وثقبها ووسمها وکسر القرن الظاهر وفقدان القرن والاُذن خلقةً ورضّ الخصیتین، فلیس بنقص وإن کره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مهزول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ذا شحم علی الکلیتین وإن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فیه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إلی نظر أهل الخبرة، لتعذّر العلم به غالباً، فمتی ظنّه کذلک أجزأ وإن ظهر مهزولاً، لتعبّده بظنّه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ظهر ناقصاً، فإنّه لا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تمام الخلقة أمر ظاهر، فتبیّن خلافِه مستند إلی تقصیره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ظهور المخالفة فیهما </w:t>
      </w:r>
      <w:r>
        <w:rPr>
          <w:rStyle w:val="FootnoteAnchor"/>
          <w:rtl w:val="true"/>
        </w:rPr>
        <w:footnoteReference w:id="2173"/>
      </w:r>
      <w:r>
        <w:rPr>
          <w:rFonts w:ascii="IRNazanin" w:hAnsi="IRNazanin" w:eastAsia="IRNazanin"/>
          <w:color w:val="111111"/>
          <w:sz w:val="28"/>
          <w:sz w:val="28"/>
          <w:szCs w:val="28"/>
          <w:rtl w:val="true"/>
          <w:lang w:bidi="fa-IR"/>
        </w:rPr>
        <w:t>بعد الذبح؛ إذ لو ظهر</w:t>
      </w:r>
    </w:p>
    <w:p>
      <w:pPr>
        <w:pStyle w:val="BookText"/>
        <w:rPr/>
      </w:pPr>
      <w:r>
        <w:rPr>
          <w:rFonts w:ascii="IRNazanin" w:hAnsi="IRNazanin" w:eastAsia="IRNazanin"/>
          <w:color w:val="111111"/>
          <w:sz w:val="28"/>
          <w:sz w:val="28"/>
          <w:szCs w:val="28"/>
          <w:rtl w:val="true"/>
          <w:lang w:bidi="fa-IR"/>
        </w:rPr>
        <w:t xml:space="preserve">التمام قبله أجزأ قطعاً </w:t>
      </w:r>
      <w:r>
        <w:rPr>
          <w:rStyle w:val="FootnoteAnchor"/>
          <w:rtl w:val="true"/>
        </w:rPr>
        <w:footnoteReference w:id="2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ظهر الهزال قبله مع ظنّ سمنه عند الشراء ففی إجزائه قولان </w:t>
      </w:r>
      <w:r>
        <w:rPr>
          <w:rStyle w:val="FootnoteAnchor"/>
          <w:rtl w:val="true"/>
        </w:rPr>
        <w:footnoteReference w:id="2175"/>
      </w:r>
      <w:r>
        <w:rPr>
          <w:rFonts w:ascii="IRNazanin" w:hAnsi="IRNazanin" w:eastAsia="IRNazanin"/>
          <w:color w:val="111111"/>
          <w:sz w:val="28"/>
          <w:sz w:val="28"/>
          <w:szCs w:val="28"/>
          <w:rtl w:val="true"/>
          <w:lang w:bidi="fa-IR"/>
        </w:rPr>
        <w:t xml:space="preserve">، أجودهما الإجزاء؛ للنصّ </w:t>
      </w:r>
      <w:r>
        <w:rPr>
          <w:rStyle w:val="FootnoteAnchor"/>
          <w:rtl w:val="true"/>
        </w:rPr>
        <w:footnoteReference w:id="2176"/>
      </w:r>
      <w:r>
        <w:rPr>
          <w:rFonts w:ascii="IRNazanin" w:hAnsi="IRNazanin" w:eastAsia="IRNazanin"/>
          <w:color w:val="111111"/>
          <w:sz w:val="28"/>
          <w:sz w:val="28"/>
          <w:szCs w:val="28"/>
          <w:rtl w:val="true"/>
          <w:lang w:bidi="fa-IR"/>
        </w:rPr>
        <w:t>وإن کان عدمه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اشتراه من غیر اعتبار أو مع ظنّ نقصه أو هزاله لم یُجزِ، إلّاأن تظهر الموافقة قبل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قویّاً الإجزاء لو ظهر سمیناً بعده، لصحیحة العیص بن القاسم عن الصادق علیه السلام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ممّا 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حضر عرفات وقت الوقوف، ویکفی قول بائعه فیه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ما یعتبر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ویمشی ویبرک فی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متعلّق </w:t>
      </w:r>
      <w:r>
        <w:rPr>
          <w:rStyle w:val="FootnoteAnchor"/>
          <w:rtl w:val="true"/>
        </w:rPr>
        <w:footnoteReference w:id="2178"/>
      </w:r>
      <w:r>
        <w:rPr>
          <w:rFonts w:ascii="IRNazanin" w:hAnsi="IRNazanin" w:eastAsia="IRNazanin"/>
          <w:color w:val="111111"/>
          <w:sz w:val="28"/>
          <w:sz w:val="28"/>
          <w:szCs w:val="28"/>
          <w:rtl w:val="true"/>
          <w:lang w:bidi="fa-IR"/>
        </w:rPr>
        <w:t xml:space="preserve">بالثلاثة علی وجه التنازع،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ویبعر فی سواد</w:t>
      </w:r>
      <w:r>
        <w:rPr>
          <w:rFonts w:eastAsia="IRNazanin" w:cs="IRNazanin"/>
          <w:color w:val="111111"/>
          <w:sz w:val="28"/>
          <w:szCs w:val="28"/>
          <w:rtl w:val="true"/>
          <w:lang w:bidi="fa-IR"/>
        </w:rPr>
        <w:t xml:space="preserve">» </w:t>
      </w:r>
      <w:r>
        <w:rPr>
          <w:rStyle w:val="FootnoteAnchor"/>
          <w:rtl w:val="true"/>
        </w:rPr>
        <w:footnoteReference w:id="2179"/>
      </w:r>
      <w:r>
        <w:rPr>
          <w:rFonts w:ascii="IRNazanin" w:hAnsi="IRNazanin" w:eastAsia="IRNazanin"/>
          <w:color w:val="111111"/>
          <w:sz w:val="28"/>
          <w:sz w:val="28"/>
          <w:szCs w:val="28"/>
          <w:rtl w:val="true"/>
          <w:lang w:bidi="fa-IR"/>
        </w:rPr>
        <w:t>إمّا بکون هذه المواضع وهی العین والقوائم والبطن والمبعر سوداً، أو بکونه ذا ظلّ عظیم لسمنه وعظم جثّته بحیث ینظر فیه ویبرک ویمشی مجازاً فی السمن، أو بکونه رعی ومشی ونظر وبرک وبعر فی السواد، وهو الخُضرة والمرعی زماناً طویلاً فسمن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والتفسیرات الثلاثة مرویّة عن أهل البیت علیهم السلام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إناثاً من الإ بل والبقر، ذُکراناً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 الکبش والتیس من الضأن والمَعز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الذبح مقارنةً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تعذّر الجمع بینها وبین الذکر فی أوّله قدّمها علیه، مقتصراً منه علی أقلّه جمعاً بین الحقّین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ویتولّاها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هو الحاجّ أم غیره؛ إذ یجوز الاستنابة فیهما </w:t>
      </w:r>
      <w:r>
        <w:rPr>
          <w:rStyle w:val="FootnoteAnchor"/>
          <w:rtl w:val="true"/>
        </w:rPr>
        <w:footnoteReference w:id="2181"/>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نیّتهما، ولا یکفی نیّة المالک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جعل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الذابح لو تغایرا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 بین الإهداء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مع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ترتیب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التسویة، بل یکفی من الأکل مسمّاه، ویعتبر فیهما </w:t>
      </w:r>
      <w:r>
        <w:rPr>
          <w:rStyle w:val="FootnoteAnchor"/>
          <w:rtl w:val="true"/>
        </w:rPr>
        <w:footnoteReference w:id="2182"/>
      </w:r>
      <w:r>
        <w:rPr>
          <w:rFonts w:ascii="IRNazanin" w:hAnsi="IRNazanin" w:eastAsia="IRNazanin"/>
          <w:color w:val="111111"/>
          <w:sz w:val="28"/>
          <w:sz w:val="28"/>
          <w:szCs w:val="28"/>
          <w:rtl w:val="true"/>
          <w:lang w:bidi="fa-IR"/>
        </w:rPr>
        <w:t>أن لا ینقص کلّ منهما عن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النیّة لکلّ منها مقارنةً للتناول أو التسلیم إلی المستحقّ 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أخلّ بالصدقة ضمن الثلث، وکذا الإهداء إلّاأن یجعله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وبالأکل یأثم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نحر الإ بل قائمة قد ربطت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یداها مجتمعتین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الخفّ والرکبة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لتمتنع من الاضطراب، أو تُعقل یدها الیسری من الخفّ إلی الرکبة ویوقفها علی الیمنی، وکلاهما مرویّ </w:t>
      </w:r>
      <w:r>
        <w:rPr>
          <w:rStyle w:val="FootnoteAnchor"/>
          <w:rtl w:val="true"/>
        </w:rPr>
        <w:footnoteReference w:id="2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وطعنها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یقف الذابح علی ذلک الجانب ویطعَنها فی موضع النحر، فإنّه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بالمأثور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عجز عن السمین فالأقرب إجزاء المهزول، وکذا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w:t>
      </w:r>
    </w:p>
    <w:p>
      <w:pPr>
        <w:pStyle w:val="BookText"/>
        <w:rPr/>
      </w:pPr>
      <w:r>
        <w:rPr>
          <w:rFonts w:ascii="IRNazanin" w:hAnsi="IRNazanin" w:eastAsia="IRNazanin"/>
          <w:color w:val="111111"/>
          <w:sz w:val="28"/>
          <w:sz w:val="28"/>
          <w:szCs w:val="28"/>
          <w:rtl w:val="true"/>
          <w:lang w:bidi="fa-IR"/>
        </w:rPr>
        <w:t xml:space="preserve">عن التامّ، للأمر بالإتیان بالمستطاع </w:t>
      </w:r>
      <w:r>
        <w:rPr>
          <w:rStyle w:val="FootnoteAnchor"/>
          <w:rtl w:val="true"/>
        </w:rPr>
        <w:footnoteReference w:id="2185"/>
      </w:r>
      <w:r>
        <w:rPr>
          <w:rFonts w:ascii="IRNazanin" w:hAnsi="IRNazanin" w:eastAsia="IRNazanin"/>
          <w:color w:val="111111"/>
          <w:sz w:val="28"/>
          <w:sz w:val="28"/>
          <w:szCs w:val="28"/>
          <w:rtl w:val="true"/>
          <w:lang w:bidi="fa-IR"/>
        </w:rPr>
        <w:t xml:space="preserve">المقتضی امتثاله للإجزاء، ولحسنة معاویة 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تجد فما تیسّر لک</w:t>
      </w:r>
      <w:r>
        <w:rPr>
          <w:rFonts w:eastAsia="IRNazanin" w:cs="IRNazanin"/>
          <w:color w:val="111111"/>
          <w:sz w:val="28"/>
          <w:szCs w:val="28"/>
          <w:rtl w:val="true"/>
          <w:lang w:bidi="fa-IR"/>
        </w:rPr>
        <w:t xml:space="preserve">» </w:t>
      </w:r>
      <w:r>
        <w:rPr>
          <w:rStyle w:val="FootnoteAnchor"/>
          <w:rtl w:val="true"/>
        </w:rPr>
        <w:footnoteReference w:id="218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إلی الصوم </w:t>
      </w:r>
      <w:r>
        <w:rPr>
          <w:rStyle w:val="FootnoteAnchor"/>
          <w:rtl w:val="true"/>
        </w:rPr>
        <w:footnoteReference w:id="2187"/>
      </w:r>
      <w:r>
        <w:rPr>
          <w:rFonts w:ascii="IRNazanin" w:hAnsi="IRNazanin" w:eastAsia="IRNazanin"/>
          <w:color w:val="111111"/>
          <w:sz w:val="28"/>
          <w:sz w:val="28"/>
          <w:szCs w:val="28"/>
          <w:rtl w:val="true"/>
          <w:lang w:bidi="fa-IR"/>
        </w:rPr>
        <w:t>لأنّ المأمور به هو الکامل، فإذا تعذّر انتقل إلی بدله وهو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 الثمن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عند من یشتریه ویهدیه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الثِقات إن لم یُقِم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تعذّر فیه فمن القابل فیه، ویسقط هنا الأکل فیصرف الثلثین فی وجههما، ویتخیّر فی الثلث الآخر بین الأمرین </w:t>
      </w:r>
      <w:r>
        <w:rPr>
          <w:rStyle w:val="FootnoteAnchor"/>
          <w:rtl w:val="true"/>
        </w:rPr>
        <w:footnoteReference w:id="2188"/>
      </w:r>
      <w:r>
        <w:rPr>
          <w:rFonts w:ascii="IRNazanin" w:hAnsi="IRNazanin" w:eastAsia="IRNazanin"/>
          <w:color w:val="111111"/>
          <w:sz w:val="28"/>
          <w:sz w:val="28"/>
          <w:szCs w:val="28"/>
          <w:rtl w:val="true"/>
          <w:lang w:bidi="fa-IR"/>
        </w:rPr>
        <w:t xml:space="preserve">مع احتمال قیام النائب مقامه فیه </w:t>
      </w:r>
      <w:r>
        <w:rPr>
          <w:rStyle w:val="FootnoteAnchor"/>
          <w:rtl w:val="true"/>
        </w:rPr>
        <w:footnoteReference w:id="2189"/>
      </w:r>
      <w:r>
        <w:rPr>
          <w:rFonts w:ascii="IRNazanin" w:hAnsi="IRNazanin" w:eastAsia="IRNazanin"/>
          <w:color w:val="111111"/>
          <w:sz w:val="28"/>
          <w:sz w:val="28"/>
          <w:szCs w:val="28"/>
          <w:rtl w:val="true"/>
          <w:lang w:bidi="fa-IR"/>
        </w:rPr>
        <w:t>ولم یتعرّضوا لهذا الحکم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تحصیل الثقة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ولو بالاستدانة علی ما فی بلده والاکتساب اللائق بحاله وبیع ما عدا المستثنیات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 عشرة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إلّاما استثنی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التلبّس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أوّل ذی الحجّة، ویستحبّ السابع وتالیاه، وآخر وقتها آخر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وسبعة إذا رجع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أو حکماً، کمن لم یرجع فینتظر مدّة لو ذهب لوصل إلی </w:t>
      </w:r>
      <w:r>
        <w:rPr>
          <w:rStyle w:val="FootnoteAnchor"/>
          <w:rtl w:val="true"/>
        </w:rPr>
        <w:footnoteReference w:id="2190"/>
      </w:r>
      <w:r>
        <w:rPr>
          <w:rFonts w:ascii="IRNazanin" w:hAnsi="IRNazanin" w:eastAsia="IRNazanin"/>
          <w:color w:val="111111"/>
          <w:sz w:val="28"/>
          <w:sz w:val="28"/>
          <w:szCs w:val="28"/>
          <w:rtl w:val="true"/>
          <w:lang w:bidi="fa-IR"/>
        </w:rPr>
        <w:t>أهله عادةً، أو مُضیّ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تقیید الثلاثة بالموالاة دون السبعة عدم اعتبارها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أجود</w:t>
      </w:r>
    </w:p>
    <w:p>
      <w:pPr>
        <w:pStyle w:val="BookText"/>
        <w:rPr/>
      </w:pPr>
      <w:r>
        <w:rPr>
          <w:rFonts w:ascii="IRNazanin" w:hAnsi="IRNazanin" w:eastAsia="IRNazanin"/>
          <w:color w:val="111111"/>
          <w:sz w:val="28"/>
          <w:sz w:val="28"/>
          <w:szCs w:val="28"/>
          <w:rtl w:val="true"/>
          <w:lang w:bidi="fa-IR"/>
        </w:rPr>
        <w:t xml:space="preserve">القولین، وقد تقدّم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ویتخیّر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الإهداء عنه، وبین أمره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عاجز عنه ففرضه الصوم، لکن لو تبرّع المولی بالإخراج أجزأ، کما یُجزئ عن غیره لو تبرّع علیه متبرّع، والنصّ ورد بهذا التخییر </w:t>
      </w:r>
      <w:r>
        <w:rPr>
          <w:rStyle w:val="FootnoteAnchor"/>
          <w:rtl w:val="true"/>
        </w:rPr>
        <w:footnoteReference w:id="2192"/>
      </w:r>
      <w:r>
        <w:rPr>
          <w:rFonts w:ascii="IRNazanin" w:hAnsi="IRNazanin" w:eastAsia="IRNazanin"/>
          <w:color w:val="111111"/>
          <w:sz w:val="28"/>
          <w:sz w:val="28"/>
          <w:szCs w:val="28"/>
          <w:rtl w:val="true"/>
          <w:lang w:bidi="fa-IR"/>
        </w:rPr>
        <w:t>وهو دلیل علی أ نّه لا یملک شیئاً، وإلّا اتّجه وجوب الهدی مع قدرته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والحجر علیه غیر مانع منه، کالسفیه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إلّاعن واحد، ولو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الأقوال </w:t>
      </w:r>
      <w:r>
        <w:rPr>
          <w:rStyle w:val="FootnoteAnchor"/>
          <w:rtl w:val="true"/>
        </w:rPr>
        <w:footnoteReference w:id="219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 عن سبعة وعن سبعین </w:t>
      </w:r>
      <w:r>
        <w:rPr>
          <w:rStyle w:val="FootnoteAnchor"/>
          <w:rtl w:val="true"/>
        </w:rPr>
        <w:footnoteReference w:id="2194"/>
      </w:r>
      <w:r>
        <w:rPr>
          <w:rFonts w:ascii="IRNazanin" w:hAnsi="IRNazanin" w:eastAsia="IRNazanin"/>
          <w:color w:val="111111"/>
          <w:sz w:val="28"/>
          <w:sz w:val="28"/>
          <w:szCs w:val="28"/>
          <w:rtl w:val="true"/>
          <w:lang w:bidi="fa-IR"/>
        </w:rPr>
        <w:t>اُولی خوان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2195"/>
      </w:r>
      <w:r>
        <w:rPr>
          <w:rFonts w:ascii="Amiri" w:hAnsi="Amiri" w:eastAsia="Amiri" w:cs="Amiri"/>
          <w:color w:val="111111"/>
          <w:sz w:val="28"/>
          <w:sz w:val="28"/>
          <w:szCs w:val="28"/>
          <w:rtl w:val="true"/>
          <w:lang w:bidi="ar-SA"/>
        </w:rPr>
        <w:t xml:space="preserve">وبه روایاتٌ </w:t>
      </w:r>
      <w:r>
        <w:rPr>
          <w:rStyle w:val="FootnoteAnchor"/>
          <w:rtl w:val="true"/>
        </w:rPr>
        <w:footnoteReference w:id="2196"/>
      </w:r>
      <w:r>
        <w:rPr>
          <w:rFonts w:ascii="IRNazanin" w:hAnsi="IRNazanin" w:eastAsia="IRNazanin"/>
          <w:color w:val="111111"/>
          <w:sz w:val="28"/>
          <w:sz w:val="28"/>
          <w:szCs w:val="28"/>
          <w:rtl w:val="true"/>
          <w:lang w:bidi="fa-IR"/>
        </w:rPr>
        <w:t>محمولةٌ علی المندوب جمعاً، کهدی القران قبل تعیّنه والاُضحیة، فإنّه یطلق علیها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الواجب ولو بالشروع فی الحجّ المندوب فلا یُجزئ إلّاعن واحد، فینتقل مع العجز ولو بتعذّره إلی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علیه الهدی قبل 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أصله وإن لم یوصَ به، کغیره من الحقوق المالیّة الواجبة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الصوم صام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بیانه</w:t>
      </w:r>
    </w:p>
    <w:p>
      <w:pPr>
        <w:pStyle w:val="BookText"/>
        <w:rPr/>
      </w:pPr>
      <w:r>
        <w:rPr>
          <w:rFonts w:ascii="IRNazanin" w:hAnsi="IRNazanin" w:eastAsia="IRNazanin"/>
          <w:color w:val="111111"/>
          <w:sz w:val="28"/>
          <w:sz w:val="28"/>
          <w:szCs w:val="28"/>
          <w:rtl w:val="true"/>
          <w:lang w:bidi="fa-IR"/>
        </w:rPr>
        <w:t xml:space="preserve">فی الصوم </w:t>
      </w:r>
      <w:r>
        <w:rPr>
          <w:rStyle w:val="FootnoteAnchor"/>
          <w:rtl w:val="true"/>
        </w:rPr>
        <w:footnoteReference w:id="2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العشرة علی قول </w:t>
      </w:r>
      <w:r>
        <w:rPr>
          <w:rStyle w:val="FootnoteAnchor"/>
          <w:rtl w:val="true"/>
        </w:rPr>
        <w:footnoteReference w:id="2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الأدلّة بوجوب قضائه ما فاته من الصوم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ویقوی مراعاة تمکّنه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یتمکّن لم یجب کغیره من الصوم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التمکّن فی الثلاثة بإمکان فعلها فی الحجّ، وفی السبعة بوصوله إلی أهله، أو مضیّ المدّة المشترطة إن أقام بغیره ومضیّ مدّة یمکنه فیها الصوم، ولو تمکّن من البعض قضاه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الآخر وجوب قضاء الثلاثة خاصّةً </w:t>
      </w:r>
      <w:r>
        <w:rPr>
          <w:rStyle w:val="FootnoteAnchor"/>
          <w:rtl w:val="true"/>
        </w:rPr>
        <w:footnoteReference w:id="2200"/>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لهدی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والحلقِ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خارجة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وادی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ویظهر من جعله حدّاً </w:t>
      </w:r>
      <w:r>
        <w:rPr>
          <w:rStyle w:val="FootnoteAnchor"/>
          <w:rtl w:val="true"/>
        </w:rPr>
        <w:footnoteReference w:id="2201"/>
      </w:r>
      <w:r>
        <w:rPr>
          <w:rFonts w:ascii="IRNazanin" w:hAnsi="IRNazanin" w:eastAsia="IRNazanin"/>
          <w:color w:val="111111"/>
          <w:sz w:val="28"/>
          <w:sz w:val="28"/>
          <w:szCs w:val="28"/>
          <w:rtl w:val="true"/>
          <w:lang w:bidi="fa-IR"/>
        </w:rPr>
        <w:t>خروجُه عنها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کثیر أ نّه منها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ذبح هدی القران متی ساقه وعقد به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أشعره أو قلَّده، وهذا هو سیاقه شرعاً، فالعطف تفسیری وإن کان ظاهر العبارة تغایرهما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یخرج عن ملک سائقه بذلک وإن تعیّن ذبحه، فله رکوبه وشرب لبنه ما لم یضرّ به أو بولده، ولیس له إبداله بعد سیاقه المتحقّق بأحد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ذبحه أو نحره بغیر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فرَّط فیه ضمنه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الوصول إلی محلّه الذی یجب ذبحه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نحره وصرفه فی وجوهه فی موضع 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یوجد فیه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علامة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یغمسَ نعله فی دمه ویضربَ بها صفحة سنامه، أو یکتبَ رقعةً ویضعها عنده یؤذن بأ نّه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التعویل علیها هنا فی الحکم بالتذکیة وإ باحة الأکل؛ للنصّ </w:t>
      </w:r>
      <w:r>
        <w:rPr>
          <w:rStyle w:val="FootnoteAnchor"/>
          <w:rtl w:val="true"/>
        </w:rPr>
        <w:footnoteReference w:id="2203"/>
      </w:r>
      <w:r>
        <w:rPr>
          <w:rFonts w:ascii="IRNazanin" w:hAnsi="IRNazanin" w:eastAsia="IRNazanin"/>
          <w:color w:val="111111"/>
          <w:sz w:val="28"/>
          <w:sz w:val="28"/>
          <w:szCs w:val="28"/>
          <w:rtl w:val="true"/>
          <w:lang w:bidi="fa-IR"/>
        </w:rPr>
        <w:t>وتسقط النیّة المقارنة لتناول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الإقامة عنده إلی أن یوجد وإن أمکنت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بیعه لو انکسر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کسراً یمنع 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ذبحه فی محلّه مشروطٌ بإمکانه وقد تعذّر فیسقط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بین عجزه وکسره فی وجوب ذبحه وبیعه النصّ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ضلّ فذبحه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صاحبه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للنصّ </w:t>
      </w:r>
      <w:r>
        <w:rPr>
          <w:rStyle w:val="FootnoteAnchor"/>
          <w:rtl w:val="true"/>
        </w:rPr>
        <w:footnoteReference w:id="2205"/>
      </w:r>
      <w:r>
        <w:rPr>
          <w:rFonts w:ascii="IRNazanin" w:hAnsi="IRNazanin" w:eastAsia="IRNazanin"/>
          <w:color w:val="111111"/>
          <w:sz w:val="28"/>
          <w:sz w:val="28"/>
          <w:szCs w:val="28"/>
          <w:rtl w:val="true"/>
          <w:lang w:bidi="fa-IR"/>
        </w:rPr>
        <w:t>أمّا لو ذبحه فی غیره أو عن غیره أو لابنیّته لم یُجزِ</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یجزئ ذبح هدی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صاحبه لو 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التعیین </w:t>
      </w:r>
      <w:r>
        <w:rPr>
          <w:rStyle w:val="FootnoteAnchor"/>
          <w:rtl w:val="true"/>
        </w:rPr>
        <w:footnoteReference w:id="2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للذبح، إذ یجوز لصاحبه إبداله قبل الذبح، بخلاف هدی القران فإنّه یتعیّن ذبحه بالإشعار أو التقلید، 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اختاره فی الدروس </w:t>
      </w:r>
      <w:r>
        <w:rPr>
          <w:rStyle w:val="FootnoteAnchor"/>
          <w:rtl w:val="true"/>
        </w:rPr>
        <w:footnoteReference w:id="2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الإجزاء؛ لدلالة الأخبار الصحیحة علیه </w:t>
      </w:r>
      <w:r>
        <w:rPr>
          <w:rStyle w:val="FootnoteAnchor"/>
          <w:rtl w:val="true"/>
        </w:rPr>
        <w:footnoteReference w:id="2208"/>
      </w:r>
      <w:r>
        <w:rPr>
          <w:rFonts w:ascii="IRNazanin" w:hAnsi="IRNazanin" w:eastAsia="IRNazanin"/>
          <w:color w:val="111111"/>
          <w:sz w:val="28"/>
          <w:sz w:val="28"/>
          <w:szCs w:val="28"/>
          <w:rtl w:val="true"/>
          <w:lang w:bidi="fa-IR"/>
        </w:rPr>
        <w:t>وحینئذٍ فیسقط الأکل منه ویصرف فی الجهتین الاُخریین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لواجده تعریفه قبل الذبح وبعده ما دام وقت الذبح باقیاً، لیدفع عن صاحبه غرامة الإ بدال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 ذبح هدی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إن قرنه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ومِنی إن قرنه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فیه ما یجب فی هدی التمتّع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ذبحه خاصّة إن لم یکن منذور الصدقة </w:t>
      </w:r>
      <w:r>
        <w:rPr>
          <w:rStyle w:val="FootnoteAnchor"/>
          <w:rtl w:val="true"/>
        </w:rPr>
        <w:footnoteReference w:id="2209"/>
      </w:r>
      <w:r>
        <w:rPr>
          <w:rFonts w:ascii="IRNazanin" w:hAnsi="IRNazanin" w:eastAsia="IRNazanin"/>
          <w:color w:val="111111"/>
          <w:sz w:val="28"/>
          <w:sz w:val="28"/>
          <w:szCs w:val="28"/>
          <w:rtl w:val="true"/>
          <w:lang w:bidi="fa-IR"/>
        </w:rPr>
        <w:t xml:space="preserve">وجزم به المصنّف فی الدروس </w:t>
      </w:r>
      <w:r>
        <w:rPr>
          <w:rStyle w:val="FootnoteAnchor"/>
          <w:rtl w:val="true"/>
        </w:rPr>
        <w:footnoteReference w:id="2210"/>
      </w:r>
      <w:r>
        <w:rPr>
          <w:rFonts w:ascii="IRNazanin" w:hAnsi="IRNazanin" w:eastAsia="IRNazanin"/>
          <w:color w:val="111111"/>
          <w:sz w:val="28"/>
          <w:sz w:val="28"/>
          <w:szCs w:val="28"/>
          <w:rtl w:val="true"/>
          <w:lang w:bidi="fa-IR"/>
        </w:rPr>
        <w:t xml:space="preserve">ثمّ جعل الأوّل قریباً، وعبارته هنا تشعر بالثانی؛ لأنّه جعل الواجب الذبح وأطلق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ویجزئ الهدی الواجب عن الاُضحیّة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 وکسرها وتشدید الیاء المفتوحة فیهما وهی ما یُذبح یوم عید الأضحی تبرّعاً وهی مستحبّة استحباباً مؤکّداً،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بوجوبها علی القادر </w:t>
      </w:r>
      <w:r>
        <w:rPr>
          <w:rStyle w:val="FootnoteAnchor"/>
          <w:rtl w:val="true"/>
        </w:rPr>
        <w:footnoteReference w:id="2212"/>
      </w:r>
      <w:r>
        <w:rPr>
          <w:rFonts w:ascii="IRNazanin" w:hAnsi="IRNazanin" w:eastAsia="IRNazanin"/>
          <w:color w:val="111111"/>
          <w:sz w:val="28"/>
          <w:sz w:val="28"/>
          <w:szCs w:val="28"/>
          <w:rtl w:val="true"/>
          <w:lang w:bidi="fa-IR"/>
        </w:rPr>
        <w:t xml:space="preserve">وروی استحباب الاقتراض لها وأ نّه دین مقضیّ </w:t>
      </w:r>
      <w:r>
        <w:rPr>
          <w:rStyle w:val="FootnoteAnchor"/>
          <w:rtl w:val="true"/>
        </w:rPr>
        <w:footnoteReference w:id="2213"/>
      </w:r>
      <w:r>
        <w:rPr>
          <w:rFonts w:ascii="IRNazanin" w:hAnsi="IRNazanin" w:eastAsia="IRNazanin"/>
          <w:color w:val="111111"/>
          <w:sz w:val="28"/>
          <w:sz w:val="28"/>
          <w:szCs w:val="28"/>
          <w:rtl w:val="true"/>
          <w:lang w:bidi="fa-IR"/>
        </w:rPr>
        <w:t xml:space="preserve">فإن وجب علی المکلَّف هدی أجزأ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وشرائطها وسننها کالهَدْی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التضحیة بما یشتریه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حکمه </w:t>
      </w:r>
      <w:r>
        <w:rPr>
          <w:rStyle w:val="FootnoteAnchor"/>
          <w:rtl w:val="true"/>
        </w:rPr>
        <w:footnoteReference w:id="2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بما یربّیه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w:t>
      </w:r>
      <w:r>
        <w:rPr>
          <w:rStyle w:val="FootnoteAnchor"/>
          <w:rtl w:val="true"/>
        </w:rPr>
        <w:footnoteReference w:id="2215"/>
      </w:r>
      <w:r>
        <w:rPr>
          <w:rFonts w:ascii="IRNazanin" w:hAnsi="IRNazanin" w:eastAsia="IRNazanin"/>
          <w:color w:val="111111"/>
          <w:sz w:val="28"/>
          <w:sz w:val="28"/>
          <w:szCs w:val="28"/>
          <w:rtl w:val="true"/>
          <w:lang w:bidi="fa-IR"/>
        </w:rPr>
        <w:t>ولأ نّه یورث القسوة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أیّام الاُضحیّة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 أربعة، أوّلها النحر، وبالأمصار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النحر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وقتها من یوم النحر طلوع الشمس ومضیّ قدر صلاة العید والخطبتین بعده </w:t>
      </w:r>
      <w:r>
        <w:rPr>
          <w:rStyle w:val="FootnoteAnchor"/>
          <w:rtl w:val="true"/>
        </w:rPr>
        <w:footnoteReference w:id="2216"/>
      </w:r>
      <w:r>
        <w:rPr>
          <w:rFonts w:ascii="IRNazanin" w:hAnsi="IRNazanin" w:eastAsia="IRNazanin"/>
          <w:color w:val="111111"/>
          <w:sz w:val="28"/>
          <w:sz w:val="28"/>
          <w:szCs w:val="28"/>
          <w:rtl w:val="true"/>
          <w:lang w:bidi="fa-IR"/>
        </w:rPr>
        <w:t>ولو فاتت لم تُقضَ، إلّاأن تکون واجبة بنذر وشبهه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تعذّرت 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اتّفق فی الأثمان ما یجزئ منها أو ما یرید 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اختلفت، فثمن موزَّع علیها </w:t>
      </w:r>
      <w:r>
        <w:rPr>
          <w:rStyle w:val="FootnoteAnchor"/>
          <w:rtl w:val="true"/>
        </w:rPr>
        <w:footnoteReference w:id="2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إخراج قیمة منسوبة إلی القیم المختلفة بالسویّة، فمن الاثنین النصف، ومن الثلاث الثلث،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فلو کان قیمة بعضها مئة وبعضها مئة وخمسین، تصدَّق بمئة وخمسة وعشرین، ولو کانت ثالثة بخمسین تصدق بمئة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قیام مجموع القیمة مقام بعضها لو کانت موجودة </w:t>
      </w:r>
      <w:r>
        <w:rPr>
          <w:rStyle w:val="FootnoteAnchor"/>
          <w:rtl w:val="true"/>
        </w:rPr>
        <w:footnoteReference w:id="2218"/>
      </w:r>
      <w:r>
        <w:rPr>
          <w:rFonts w:ascii="IRNazanin" w:hAnsi="IRNazanin" w:eastAsia="IRNazanin"/>
          <w:color w:val="111111"/>
          <w:sz w:val="28"/>
          <w:sz w:val="28"/>
          <w:szCs w:val="28"/>
          <w:rtl w:val="true"/>
          <w:lang w:bidi="fa-IR"/>
        </w:rPr>
        <w:t xml:space="preserve">وروی استحباب الصدقة بأکثرها </w:t>
      </w:r>
      <w:r>
        <w:rPr>
          <w:rStyle w:val="FootnoteAnchor"/>
          <w:rtl w:val="true"/>
        </w:rPr>
        <w:footnoteReference w:id="2219"/>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w:t>
      </w:r>
    </w:p>
    <w:p>
      <w:pPr>
        <w:pStyle w:val="BookText"/>
        <w:rPr/>
      </w:pPr>
      <w:r>
        <w:rPr>
          <w:rFonts w:ascii="IRNazanin" w:hAnsi="IRNazanin" w:eastAsia="IRNazanin"/>
          <w:color w:val="111111"/>
          <w:sz w:val="28"/>
          <w:sz w:val="28"/>
          <w:szCs w:val="28"/>
          <w:rtl w:val="true"/>
          <w:lang w:bidi="fa-IR"/>
        </w:rPr>
        <w:t xml:space="preserve">بالجمیع أفضل </w:t>
      </w:r>
      <w:r>
        <w:rPr>
          <w:rStyle w:val="FootnoteAnchor"/>
          <w:rtl w:val="true"/>
        </w:rPr>
        <w:footnoteReference w:id="2220"/>
      </w:r>
      <w:r>
        <w:rPr>
          <w:rFonts w:ascii="IRNazanin" w:hAnsi="IRNazanin" w:eastAsia="IRNazanin"/>
          <w:color w:val="111111"/>
          <w:sz w:val="28"/>
          <w:sz w:val="28"/>
          <w:szCs w:val="28"/>
          <w:rtl w:val="true"/>
          <w:lang w:bidi="fa-IR"/>
        </w:rPr>
        <w:t>فلا إشکال حینئذٍ فی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أخذ شیءٍ من جلودها وإعطاؤها 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أجرةً، أمّا صدقةً إذا اتّصف بها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حکم جِلالها </w:t>
      </w:r>
      <w:r>
        <w:rPr>
          <w:rStyle w:val="FootnoteAnchor"/>
          <w:rtl w:val="true"/>
        </w:rPr>
        <w:footnoteReference w:id="2221"/>
      </w:r>
      <w:r>
        <w:rPr>
          <w:rFonts w:ascii="IRNazanin" w:hAnsi="IRNazanin" w:eastAsia="IRNazanin"/>
          <w:color w:val="111111"/>
          <w:sz w:val="28"/>
          <w:sz w:val="28"/>
          <w:szCs w:val="28"/>
          <w:rtl w:val="true"/>
          <w:lang w:bidi="fa-IR"/>
        </w:rPr>
        <w:t xml:space="preserve">وقلائدها تأسّیاً بالنبیّ صلی الله علیه و آله </w:t>
      </w:r>
      <w:r>
        <w:rPr>
          <w:rStyle w:val="FootnoteAnchor"/>
          <w:rtl w:val="true"/>
        </w:rPr>
        <w:footnoteReference w:id="2222"/>
      </w:r>
      <w:r>
        <w:rPr>
          <w:rFonts w:ascii="IRNazanin" w:hAnsi="IRNazanin" w:eastAsia="IRNazanin"/>
          <w:color w:val="111111"/>
          <w:sz w:val="28"/>
          <w:sz w:val="28"/>
          <w:szCs w:val="28"/>
          <w:rtl w:val="true"/>
          <w:lang w:bidi="fa-IR"/>
        </w:rPr>
        <w:t xml:space="preserve">وکذا یکره بیعها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جعلُه مصلّی ینتفع به فی البیت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فیتخیّر بینه وبین التقصیر، والحلق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الفردین الواجبین تخییراً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للملبِّد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 وتلبیده هو أن یأخذ عسلاً وصمغاً ویجعله فی رأسه، لئلّا یَقْمَل أو یتّسخ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یجزئهما إلّا الحلق </w:t>
      </w:r>
      <w:r>
        <w:rPr>
          <w:rStyle w:val="FootnoteAnchor"/>
          <w:rtl w:val="true"/>
        </w:rPr>
        <w:footnoteReference w:id="2224"/>
      </w:r>
      <w:r>
        <w:rPr>
          <w:rFonts w:ascii="IRNazanin" w:hAnsi="IRNazanin" w:eastAsia="IRNazanin"/>
          <w:color w:val="111111"/>
          <w:sz w:val="28"/>
          <w:sz w:val="28"/>
          <w:szCs w:val="28"/>
          <w:rtl w:val="true"/>
          <w:lang w:bidi="fa-IR"/>
        </w:rPr>
        <w:t xml:space="preserve">للأخبار الدالّة علیه </w:t>
      </w:r>
      <w:r>
        <w:rPr>
          <w:rStyle w:val="FootnoteAnchor"/>
          <w:rtl w:val="true"/>
        </w:rPr>
        <w:footnoteReference w:id="2225"/>
      </w:r>
      <w:r>
        <w:rPr>
          <w:rFonts w:ascii="IRNazanin" w:hAnsi="IRNazanin" w:eastAsia="IRNazanin"/>
          <w:color w:val="111111"/>
          <w:sz w:val="28"/>
          <w:sz w:val="28"/>
          <w:szCs w:val="28"/>
          <w:rtl w:val="true"/>
          <w:lang w:bidi="fa-IR"/>
        </w:rPr>
        <w:t>وحملت علی الندب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ویتعیّن علی المرأة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یجزئها الحلق، حتی لو نذرته لغا، کما لا یجزئ الرجل فی عمرة التمتّع وإن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فیه النیّة المشتملة علی قصد التحلّل من النُسک المخصوص متقرّباً، ویجزئ مسمّاه کما مرّ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 بالشعر إلیها لیُدفن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Style w:val="FootnoteAnchor"/>
          <w:rtl w:val="true"/>
        </w:rPr>
        <w:footnoteReference w:id="2227"/>
      </w:r>
      <w:r>
        <w:rPr>
          <w:rFonts w:ascii="IRNazanin" w:hAnsi="IRNazanin" w:eastAsia="IRNazanin"/>
          <w:color w:val="111111"/>
          <w:sz w:val="28"/>
          <w:sz w:val="28"/>
          <w:szCs w:val="28"/>
          <w:rtl w:val="true"/>
          <w:lang w:bidi="fa-IR"/>
        </w:rPr>
        <w:t>من غیر تلازم،</w:t>
      </w:r>
    </w:p>
    <w:p>
      <w:pPr>
        <w:pStyle w:val="BookText"/>
        <w:rPr/>
      </w:pPr>
      <w:r>
        <w:rPr>
          <w:rFonts w:ascii="IRNazanin" w:hAnsi="IRNazanin" w:eastAsia="IRNazanin"/>
          <w:color w:val="111111"/>
          <w:sz w:val="28"/>
          <w:sz w:val="28"/>
          <w:szCs w:val="28"/>
          <w:rtl w:val="true"/>
          <w:lang w:bidi="fa-IR"/>
        </w:rPr>
        <w:t>فلو اقتصر علی أحدهما تأدّت سنّته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ویُمرّ فاقد الشعر الموسی علی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إن وجد ما یُقصّر منه غیره </w:t>
      </w:r>
      <w:r>
        <w:rPr>
          <w:rStyle w:val="FootnoteAnchor"/>
          <w:rtl w:val="true"/>
        </w:rPr>
        <w:footnoteReference w:id="2228"/>
      </w:r>
      <w:r>
        <w:rPr>
          <w:rFonts w:ascii="IRNazanin" w:hAnsi="IRNazanin" w:eastAsia="IRNazanin"/>
          <w:color w:val="111111"/>
          <w:sz w:val="28"/>
          <w:sz w:val="28"/>
          <w:szCs w:val="28"/>
          <w:rtl w:val="true"/>
          <w:lang w:bidi="fa-IR"/>
        </w:rPr>
        <w:t>وإلّا وجوباً، ولا یجزئ الإمرار مع إمکان التقصیر؛ لأنّه بدل عن الحلق اضطراری والتقصیر قسیم اختیاری، ولا یعقل إجزاء الاضطراری مع القدرة علی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بوجوب الإمرار علی من حلق فی إحرام العمرة وإن وجب علیه التقصیر من غیره لتقصیره بفعل المحرَّم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تقدیم مناسک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طواف الحجّ فلو أخّرها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عامداً فشاة، ولا شیء علی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ویعید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العامد اتّفاقاً والناسی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الجاهل بالعامد أو الناسی قولان، أجودهما الثانی فی نفی الکفّارة ووجوب الإعادة </w:t>
      </w:r>
      <w:r>
        <w:rPr>
          <w:rStyle w:val="FootnoteAnchor"/>
          <w:rtl w:val="true"/>
        </w:rPr>
        <w:footnoteReference w:id="2230"/>
      </w:r>
      <w:r>
        <w:rPr>
          <w:rFonts w:ascii="IRNazanin" w:hAnsi="IRNazanin" w:eastAsia="IRNazanin"/>
          <w:color w:val="111111"/>
          <w:sz w:val="28"/>
          <w:sz w:val="28"/>
          <w:szCs w:val="28"/>
          <w:rtl w:val="true"/>
          <w:lang w:bidi="fa-IR"/>
        </w:rPr>
        <w:t xml:space="preserve">وإن فارقه </w:t>
      </w:r>
      <w:r>
        <w:rPr>
          <w:rStyle w:val="FootnoteAnchor"/>
          <w:rtl w:val="true"/>
        </w:rPr>
        <w:footnoteReference w:id="2231"/>
      </w:r>
      <w:r>
        <w:rPr>
          <w:rFonts w:ascii="IRNazanin" w:hAnsi="IRNazanin" w:eastAsia="IRNazanin"/>
          <w:color w:val="111111"/>
          <w:sz w:val="28"/>
          <w:sz w:val="28"/>
          <w:szCs w:val="28"/>
          <w:rtl w:val="true"/>
          <w:lang w:bidi="fa-IR"/>
        </w:rPr>
        <w:t>فی التقصیر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قدّم السعی أعاده أیضاً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 الطواف أو هما علی التقصیر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قدّمه علی الذبح أو الرمی ففی إلحاقه بتقدیمه علی التقصیر خاصّة وجهان، أجودهما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غیر ما استثنی سابقاً من تقدیم المتمتّع لهما اضطراراً، وقسیمیه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الرمی والذبح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ما حرّمه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إلّامن النساء والطیب والصید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قدّمه علیهما </w:t>
      </w:r>
      <w:r>
        <w:rPr>
          <w:rStyle w:val="FootnoteAnchor"/>
          <w:rtl w:val="true"/>
        </w:rPr>
        <w:footnoteReference w:id="2232"/>
      </w:r>
      <w:r>
        <w:rPr>
          <w:rFonts w:ascii="IRNazanin" w:hAnsi="IRNazanin" w:eastAsia="IRNazanin"/>
          <w:color w:val="111111"/>
          <w:sz w:val="28"/>
          <w:sz w:val="28"/>
          <w:szCs w:val="28"/>
          <w:rtl w:val="true"/>
          <w:lang w:bidi="fa-IR"/>
        </w:rPr>
        <w:t xml:space="preserve">أو وسّطه بینهما، ففی تحلّله به </w:t>
      </w:r>
      <w:r>
        <w:rPr>
          <w:rStyle w:val="FootnoteAnchor"/>
          <w:rtl w:val="true"/>
        </w:rPr>
        <w:footnoteReference w:id="2233"/>
      </w:r>
      <w:r>
        <w:rPr>
          <w:rFonts w:ascii="IRNazanin" w:hAnsi="IRNazanin" w:eastAsia="IRNazanin"/>
          <w:color w:val="111111"/>
          <w:sz w:val="28"/>
          <w:sz w:val="28"/>
          <w:szCs w:val="28"/>
          <w:rtl w:val="true"/>
          <w:lang w:bidi="fa-IR"/>
        </w:rPr>
        <w:t xml:space="preserve">أو توقّفه علی الثلاثة قولان، أجودهما الثانی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الطیب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 بالطواف خاصّة </w:t>
      </w:r>
      <w:r>
        <w:rPr>
          <w:rStyle w:val="FootnoteAnchor"/>
          <w:rtl w:val="true"/>
        </w:rPr>
        <w:footnoteReference w:id="2235"/>
      </w:r>
      <w:r>
        <w:rPr>
          <w:rFonts w:ascii="IRNazanin" w:hAnsi="IRNazanin" w:eastAsia="IRNazanin"/>
          <w:color w:val="111111"/>
          <w:sz w:val="28"/>
          <w:sz w:val="28"/>
          <w:szCs w:val="28"/>
          <w:rtl w:val="true"/>
          <w:lang w:bidi="fa-IR"/>
        </w:rPr>
        <w:t xml:space="preserve">والأوّل أقوی؛ للخبر الصحیح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أخّر الطواف والسعی عن الوقوفین </w:t>
      </w:r>
      <w:r>
        <w:rPr>
          <w:rStyle w:val="FootnoteAnchor"/>
          <w:rtl w:val="true"/>
        </w:rPr>
        <w:footnoteReference w:id="2237"/>
      </w:r>
      <w:r>
        <w:rPr>
          <w:rFonts w:ascii="IRNazanin" w:hAnsi="IRNazanin" w:eastAsia="IRNazanin"/>
          <w:color w:val="111111"/>
          <w:sz w:val="28"/>
          <w:sz w:val="28"/>
          <w:szCs w:val="28"/>
          <w:rtl w:val="true"/>
          <w:lang w:bidi="fa-IR"/>
        </w:rPr>
        <w:t xml:space="preserve">أمّا لو قدّمهما علی أحد الوجهین </w:t>
      </w:r>
      <w:r>
        <w:rPr>
          <w:rStyle w:val="FootnoteAnchor"/>
          <w:rtl w:val="true"/>
        </w:rPr>
        <w:footnoteReference w:id="2238"/>
      </w:r>
      <w:r>
        <w:rPr>
          <w:rFonts w:ascii="IRNazanin" w:hAnsi="IRNazanin" w:eastAsia="IRNazanin"/>
          <w:color w:val="111111"/>
          <w:sz w:val="28"/>
          <w:sz w:val="28"/>
          <w:szCs w:val="28"/>
          <w:rtl w:val="true"/>
          <w:lang w:bidi="fa-IR"/>
        </w:rPr>
        <w:t xml:space="preserve">ففی حلّه من حین فعلهما أو توقّفه علی أفعال منی وجهان، وقطع المصنّف فی الدروس بالثانی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من المحرّمات النساء والصید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طاف للنساء حللن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رجلاً، ولو کان صبیّاً فالظاهر أ نّه کذلک من حیث الخطاب الوضعی، وإن لم یحرمن علیه حینئذٍ فیحرمن بعد البلوغ بدونه إلی أن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المرأة فلا إشکال فی تحریم الرجال علیها بالإحرام، وإنّما الشکّ فی المحلِّل، والأقوی أ نّها کالرجل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 طواف النساء علی الوقوفین ففی حلّهن به أو توقّفه علی بقیّة المناسک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یتوقّف المحلّل علی صلاة الطواف عملاً بالإطلاق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وبقی حکم الصید غیر معلوم من العبارة وکثیر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حِلّ الإحرامیّ منه </w:t>
      </w:r>
      <w:r>
        <w:rPr>
          <w:rStyle w:val="FootnoteAnchor"/>
          <w:rtl w:val="true"/>
        </w:rPr>
        <w:footnoteReference w:id="2241"/>
      </w:r>
      <w:r>
        <w:rPr>
          <w:rFonts w:ascii="IRNazanin" w:hAnsi="IRNazanin" w:eastAsia="IRNazanin"/>
          <w:color w:val="111111"/>
          <w:sz w:val="28"/>
          <w:sz w:val="28"/>
          <w:szCs w:val="28"/>
          <w:rtl w:val="true"/>
          <w:lang w:bidi="fa-IR"/>
        </w:rPr>
        <w:t>بطواف النساء</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ویُکره له </w:t>
      </w:r>
      <w:r>
        <w:rPr>
          <w:rStyle w:val="FootnoteAnchor"/>
          <w:rtl w:val="true"/>
        </w:rPr>
        <w:footnoteReference w:id="2242"/>
      </w:r>
      <w:r>
        <w:rPr>
          <w:rFonts w:ascii="IRNazanin" w:hAnsi="IRNazanin" w:eastAsia="IRNazanin"/>
          <w:color w:val="111111"/>
          <w:sz w:val="28"/>
          <w:sz w:val="28"/>
          <w:szCs w:val="28"/>
          <w:rtl w:val="true"/>
          <w:lang w:bidi="fa-IR"/>
        </w:rPr>
        <w:t>لُبس المخیط قبل طواف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طواف الحجّ، وقبل السعی أیضاً، وکذا یُکره تغطیة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والطیب حتی یطوف للنساء</w:t>
      </w:r>
      <w:r>
        <w:rPr>
          <w:rFonts w:eastAsia="IRNazanin" w:cs="IRNazanin"/>
          <w:color w:val="111111"/>
          <w:sz w:val="28"/>
          <w:szCs w:val="28"/>
          <w:rtl w:val="true"/>
          <w:lang w:bidi="fa-IR"/>
        </w:rPr>
        <w:t>» .</w:t>
      </w:r>
      <w:bookmarkStart w:id="620" w:name="pg19806_203763"/>
    </w:p>
    <w:p>
      <w:pPr>
        <w:pStyle w:val="Heading4"/>
        <w:numPr>
          <w:ilvl w:val="3"/>
          <w:numId w:val="1"/>
        </w:numPr>
        <w:rPr/>
      </w:pPr>
      <w:bookmarkStart w:id="621" w:name="__RefHeading___Toc2028161_2314609296"/>
      <w:bookmarkStart w:id="622" w:name="_Toc228"/>
      <w:bookmarkEnd w:id="620"/>
      <w:bookmarkEnd w:id="621"/>
      <w:r>
        <w:rPr>
          <w:rtl w:val="true"/>
        </w:rPr>
        <w:t>«</w:t>
      </w:r>
      <w:r>
        <w:rPr>
          <w:rtl w:val="true"/>
        </w:rPr>
        <w:t>القول فی العود إلی مکّة للطوافین والسعی</w:t>
      </w:r>
      <w:r>
        <w:rPr>
          <w:rtl w:val="true"/>
        </w:rPr>
        <w:t>»</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تعجیل العود من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فرغ من 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تأخیره إلی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یأثم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القارن والمفرد فیجوز لهما تأخیرهما طولَ ذی الحجّة 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المتمتّع فی تأخیره عن الغد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ویجزئ طول ذی‌الحجّة </w:t>
      </w:r>
      <w:r>
        <w:rPr>
          <w:rStyle w:val="FootnoteAnchor"/>
          <w:rtl w:val="true"/>
        </w:rPr>
        <w:footnoteReference w:id="2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کقسیمیه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الأقوی، لدلالة الأخبار الصحیحة علیه </w:t>
      </w:r>
      <w:r>
        <w:rPr>
          <w:rStyle w:val="FootnoteAnchor"/>
          <w:rtl w:val="true"/>
        </w:rPr>
        <w:footnoteReference w:id="2244"/>
      </w:r>
      <w:r>
        <w:rPr>
          <w:rFonts w:ascii="IRNazanin" w:hAnsi="IRNazanin" w:eastAsia="IRNazanin"/>
          <w:color w:val="111111"/>
          <w:sz w:val="28"/>
          <w:sz w:val="28"/>
          <w:szCs w:val="28"/>
          <w:rtl w:val="true"/>
          <w:lang w:bidi="fa-IR"/>
        </w:rPr>
        <w:t xml:space="preserve">واختاره المصنّف فی الدروس </w:t>
      </w:r>
      <w:r>
        <w:rPr>
          <w:rStyle w:val="FootnoteAnchor"/>
          <w:rtl w:val="true"/>
        </w:rPr>
        <w:footnoteReference w:id="2245"/>
      </w:r>
      <w:r>
        <w:rPr>
          <w:rFonts w:ascii="IRNazanin" w:hAnsi="IRNazanin" w:eastAsia="IRNazanin"/>
          <w:color w:val="111111"/>
          <w:sz w:val="28"/>
          <w:sz w:val="28"/>
          <w:szCs w:val="28"/>
          <w:rtl w:val="true"/>
          <w:lang w:bidi="fa-IR"/>
        </w:rPr>
        <w:t>وعلی القول بالمنع لا یقدح التأخیر فی الصحة وإن أثم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وکیفیّة الجمیع کما مرّ </w:t>
      </w:r>
      <w:r>
        <w:rPr>
          <w:rStyle w:val="FootnoteAnchor"/>
          <w:rtl w:val="true"/>
        </w:rPr>
        <w:footnoteReference w:id="2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والمندوبات، حتی فی سنن دخول مکّة من الغسل والدعاء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ویجزئ الغسل بمنی، بل غسل النهار لیومه واللیل للیلته ما لم یحدث، فیعیده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بهذه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کونها مناسکه، فینوی طواف حجّ الإسلام حج التمتّع، أو غیرهما من الأفراد، مراعیاً للترتیب، فیبدأ بطواف الحجّ ثم برکعتیه، ثم السعی، ثم طواف النساء ثم رکعتیه</w:t>
      </w:r>
      <w:r>
        <w:rPr>
          <w:rFonts w:eastAsia="IRNazanin" w:cs="IRNazanin"/>
          <w:color w:val="111111"/>
          <w:sz w:val="28"/>
          <w:szCs w:val="28"/>
          <w:rtl w:val="true"/>
          <w:lang w:bidi="fa-IR"/>
        </w:rPr>
        <w:t>.</w:t>
      </w:r>
      <w:bookmarkStart w:id="623" w:name="pg19806_203764"/>
    </w:p>
    <w:p>
      <w:pPr>
        <w:pStyle w:val="Heading4"/>
        <w:numPr>
          <w:ilvl w:val="3"/>
          <w:numId w:val="1"/>
        </w:numPr>
        <w:rPr/>
      </w:pPr>
      <w:bookmarkStart w:id="624" w:name="__RefHeading___Toc2028163_2314609296"/>
      <w:bookmarkStart w:id="625" w:name="_Toc229"/>
      <w:bookmarkEnd w:id="623"/>
      <w:bookmarkEnd w:id="624"/>
      <w:r>
        <w:rPr>
          <w:rtl w:val="true"/>
        </w:rPr>
        <w:t>«</w:t>
      </w:r>
      <w:r>
        <w:rPr>
          <w:rtl w:val="true"/>
        </w:rPr>
        <w:t>القول فی العود إلی منی</w:t>
      </w:r>
      <w:r>
        <w:rPr>
          <w:rtl w:val="true"/>
        </w:rPr>
        <w:t>»</w:t>
      </w:r>
      <w:bookmarkEnd w:id="625"/>
    </w:p>
    <w:p>
      <w:pPr>
        <w:pStyle w:val="Heading5"/>
        <w:numPr>
          <w:ilvl w:val="4"/>
          <w:numId w:val="1"/>
        </w:numPr>
        <w:rPr/>
      </w:pPr>
      <w:bookmarkStart w:id="626" w:name="__RefHeading___Toc2028165_2314609296"/>
      <w:bookmarkStart w:id="627" w:name="_Toc230"/>
      <w:bookmarkEnd w:id="626"/>
      <w:r>
        <w:rPr>
          <w:rtl w:val="true"/>
        </w:rPr>
        <w:t>اشارة</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بعد قضاء مناسکه بمنی العود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الموجود فی النسخ، والظاهر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قضاء مناسکه بمکّة العود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مناسک مکّة متخلّلة بین مناسک منی أوّلاً وآخراً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یحسن تخصیص مناسک منی مع أنّ بعدها ما هو أقوی، وما ذکرناه عبارة الدروس </w:t>
      </w:r>
      <w:r>
        <w:rPr>
          <w:rStyle w:val="FootnoteAnchor"/>
          <w:rtl w:val="true"/>
        </w:rPr>
        <w:footnoteReference w:id="2247"/>
      </w:r>
      <w:r>
        <w:rPr>
          <w:rFonts w:ascii="IRNazanin" w:hAnsi="IRNazanin" w:eastAsia="IRNazanin"/>
          <w:color w:val="111111"/>
          <w:sz w:val="28"/>
          <w:sz w:val="28"/>
          <w:szCs w:val="28"/>
          <w:rtl w:val="true"/>
          <w:lang w:bidi="fa-IR"/>
        </w:rPr>
        <w:t xml:space="preserve">وغیرها </w:t>
      </w:r>
      <w:r>
        <w:rPr>
          <w:rStyle w:val="FootnoteAnchor"/>
          <w:rtl w:val="true"/>
        </w:rPr>
        <w:footnoteReference w:id="2248"/>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فیجب العود إلی منی إن کان خرج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للمبیت بها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لیلتین أو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مقروناً بالنیّة المشتملة علی قصده فی النُسُک المعیّن بالقربة بعد تحقّق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ترکها ففی کونه کمن لم یبت أو یأثم خاصّة مع التعمّد،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تعلیق وجوب الشاة علی من لم یبت وهو حاصل بدون النیّة، ومن عدم الاعتداد به شرعاً 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ورمی الجمرات الثلاث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یجب مبیت لیلته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w:t>
      </w:r>
      <w:r>
        <w:rPr>
          <w:rStyle w:val="FootnoteAnchor"/>
          <w:rtl w:val="true"/>
        </w:rPr>
        <w:footnoteReference w:id="2249"/>
      </w:r>
      <w:r>
        <w:rPr>
          <w:rFonts w:ascii="IRNazanin" w:hAnsi="IRNazanin" w:eastAsia="IRNazanin"/>
          <w:color w:val="111111"/>
          <w:sz w:val="28"/>
          <w:sz w:val="28"/>
          <w:szCs w:val="28"/>
          <w:rtl w:val="true"/>
          <w:lang w:bidi="fa-IR"/>
        </w:rPr>
        <w:t>بات بغیرها فعن کلّ لیلة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الإطلاق عدم الفرق بین المختار والمضطرّ فی وجوب الفدیة، وهو ظاهر الفتوی والنصّ </w:t>
      </w:r>
      <w:r>
        <w:rPr>
          <w:rStyle w:val="FootnoteAnchor"/>
          <w:rtl w:val="true"/>
        </w:rPr>
        <w:footnoteReference w:id="2250"/>
      </w:r>
      <w:r>
        <w:rPr>
          <w:rFonts w:ascii="IRNazanin" w:hAnsi="IRNazanin" w:eastAsia="IRNazanin"/>
          <w:color w:val="111111"/>
          <w:sz w:val="28"/>
          <w:sz w:val="28"/>
          <w:szCs w:val="28"/>
          <w:rtl w:val="true"/>
          <w:lang w:bidi="fa-IR"/>
        </w:rPr>
        <w:t>وإن جاز خروج المضطرّ منها، لمانع خاصّ أو عامّ، أو حاجة، أو حفظ مال، أو تمریض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سقوط الفدیة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بنی الوجهان علی أنّ الشاة هل هی کفّارة أو</w:t>
      </w:r>
    </w:p>
    <w:p>
      <w:pPr>
        <w:pStyle w:val="BookText"/>
        <w:rPr/>
      </w:pPr>
      <w:r>
        <w:rPr>
          <w:rFonts w:ascii="IRNazanin" w:hAnsi="IRNazanin" w:eastAsia="IRNazanin"/>
          <w:color w:val="111111"/>
          <w:sz w:val="28"/>
          <w:sz w:val="28"/>
          <w:szCs w:val="28"/>
          <w:rtl w:val="true"/>
          <w:lang w:bidi="fa-IR"/>
        </w:rPr>
        <w:t>فدیة وجبران؟ فتسقط علی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الرعاة وأهل سقایة العبّاس </w:t>
      </w:r>
      <w:r>
        <w:rPr>
          <w:rStyle w:val="FootnoteAnchor"/>
          <w:rtl w:val="true"/>
        </w:rPr>
        <w:footnoteReference w:id="2251"/>
      </w:r>
      <w:r>
        <w:rPr>
          <w:rFonts w:ascii="IRNazanin" w:hAnsi="IRNazanin" w:eastAsia="IRNazanin"/>
          <w:color w:val="111111"/>
          <w:sz w:val="28"/>
          <w:sz w:val="28"/>
          <w:szCs w:val="28"/>
          <w:rtl w:val="true"/>
          <w:lang w:bidi="fa-IR"/>
        </w:rPr>
        <w:t>فقد رخّص لهم فی‌ترک المبیت من غیر 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وجوبها بین مبیته بغیرها لعبادة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یبیت بمکّة مشتغلاً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الواجبة أو المندوبة مع استیعابه اللیلة بها إلّاما یضطرّ إلیه، من أکل وشرب وقضاء حاجة ونوم یغلب علیه، ومن أهمّ العبادة الاشتغال بالطواف والسعی، لکن لو فرغ منهما قبل الفجر وجب علیه إکمالها بما شاء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جواز رجوعه بعده </w:t>
      </w:r>
      <w:r>
        <w:rPr>
          <w:rStyle w:val="FootnoteAnchor"/>
          <w:rtl w:val="true"/>
        </w:rPr>
        <w:footnoteReference w:id="2252"/>
      </w:r>
      <w:r>
        <w:rPr>
          <w:rFonts w:ascii="IRNazanin" w:hAnsi="IRNazanin" w:eastAsia="IRNazanin"/>
          <w:color w:val="111111"/>
          <w:sz w:val="28"/>
          <w:sz w:val="28"/>
          <w:szCs w:val="28"/>
          <w:rtl w:val="true"/>
          <w:lang w:bidi="fa-IR"/>
        </w:rPr>
        <w:t>إلی منی لیلاً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استلزامه فوات جزء من اللیل بغیر أحد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المبیت بمنی، وبمکّة متعبّداً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 نّه تشاغل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الدروس جوازه وإن علم أ نّه لا یدرک منی إلّابعد انتصاف اللیل </w:t>
      </w:r>
      <w:r>
        <w:rPr>
          <w:rStyle w:val="FootnoteAnchor"/>
          <w:rtl w:val="true"/>
        </w:rPr>
        <w:footnoteReference w:id="2253"/>
      </w:r>
      <w:r>
        <w:rPr>
          <w:rFonts w:ascii="IRNazanin" w:hAnsi="IRNazanin" w:eastAsia="IRNazanin"/>
          <w:color w:val="111111"/>
          <w:sz w:val="28"/>
          <w:sz w:val="28"/>
          <w:szCs w:val="28"/>
          <w:rtl w:val="true"/>
          <w:lang w:bidi="fa-IR"/>
        </w:rPr>
        <w:t>ویشکل بأنّ مطلق التشاغل بالواجب غیر مجوِّز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الخروج بعده منها ولو إلی مکّة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 الرمی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الجمرات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أقربها إلی المشعر تلی مسجد الخیف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الوسطی، ثم جمرة العقبة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مؤخّراً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ناسیاً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رمیه أی مجموعه من حیث هو مجموع، أمّا رمی الاُولی فإنّه صحیح وإن تأخّرت، لصیرورتها أوّلاً، فیعید علی ما یحصل معه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النَکس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علی الوسطی وجمرة العقبة،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ویحصل الترتیب بأربع حَصَیات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 نّه إذا رمی الجمرة بأربع وانتقل إلی ما بعدها صحّ وأکمل الناقصة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أقلّ من أربع استأنف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الناقصة وجهان، أجودهما الاستئناف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رمی الأخیرة دون أربع ثمّ قطعه؛ لوجوب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الجهل أو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العمد فیجب إعادة ما بعد التی لم تکمل مطلقاً؛ للنهی عن الاشتغال بغیرها قبل إکمالها وإعادتها إن لم تبلغ الأربع </w:t>
      </w:r>
      <w:r>
        <w:rPr>
          <w:rStyle w:val="FootnoteAnchor"/>
          <w:rtl w:val="true"/>
        </w:rPr>
        <w:footnoteReference w:id="2255"/>
      </w:r>
      <w:r>
        <w:rPr>
          <w:rFonts w:ascii="IRNazanin" w:hAnsi="IRNazanin" w:eastAsia="IRNazanin"/>
          <w:color w:val="111111"/>
          <w:sz w:val="28"/>
          <w:sz w:val="28"/>
          <w:szCs w:val="28"/>
          <w:rtl w:val="true"/>
          <w:lang w:bidi="fa-IR"/>
        </w:rPr>
        <w:t>وإلّا بنی علیها واستأنف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العبارة عدم الفرق بین العامد وغیره، وبالتفصیل قطع فی الدروس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أعاد علی الجمیع إن لم تتعیّن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کونها الاُولی، فتبطل الأخیرتان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نسی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واشتبه الناقص من الجمرات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رماها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الترتیب بإکمال الأربع؛ وکذا لو نسی اثنتین وثلاثاً </w:t>
      </w:r>
      <w:r>
        <w:rPr>
          <w:rStyle w:val="FootnoteAnchor"/>
          <w:rtl w:val="true"/>
        </w:rPr>
        <w:footnoteReference w:id="2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الترتیب هنا؛ لأنّ الفائت من واحدة ووجوب الباقی من باب المقدّمة، کوجوب</w:t>
      </w:r>
    </w:p>
    <w:p>
      <w:pPr>
        <w:pStyle w:val="BookText"/>
        <w:rPr/>
      </w:pPr>
      <w:r>
        <w:rPr>
          <w:rFonts w:ascii="IRNazanin" w:hAnsi="IRNazanin" w:eastAsia="IRNazanin"/>
          <w:color w:val="111111"/>
          <w:sz w:val="28"/>
          <w:sz w:val="28"/>
          <w:szCs w:val="28"/>
          <w:rtl w:val="true"/>
          <w:lang w:bidi="fa-IR"/>
        </w:rPr>
        <w:t>ثلاث فرائض عن واحدة مشتبهة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فاته من کلّ جمرة واحدة أو اثنتان أو ثلاث وجب الترتیب، لتعدّد المرمیّ </w:t>
      </w:r>
      <w:r>
        <w:rPr>
          <w:rStyle w:val="FootnoteAnchor"/>
          <w:rtl w:val="true"/>
        </w:rPr>
        <w:footnoteReference w:id="2258"/>
      </w:r>
      <w:r>
        <w:rPr>
          <w:rFonts w:ascii="IRNazanin" w:hAnsi="IRNazanin" w:eastAsia="IRNazanin"/>
          <w:color w:val="111111"/>
          <w:sz w:val="28"/>
          <w:sz w:val="28"/>
          <w:szCs w:val="28"/>
          <w:rtl w:val="true"/>
          <w:lang w:bidi="fa-IR"/>
        </w:rPr>
        <w:t>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فاته ما دون أربع وشکّ فی کونه من واحدة أو اثنتین أو ثلاث وجب رمی ما یحصل معه یقین البراءة مرتّباً، لجواز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فی‌أربع کذلک استأنف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یمین الرامی ویسارها بالإضافة إلی 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الرمی وقبلَه بالمأثور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والوقوف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الرمی مستقبلَ القبلة، حامداً مصلّیاً داعیاً سائلاً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رمیها عن یمینه ویسارها، واقفاً بعده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یقف عند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جمرة العقبة مستحبّاً، ولو وقف لغرضٍ فلا بأس</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بات بمنی لیلتین </w:t>
      </w:r>
      <w:r>
        <w:rPr>
          <w:rStyle w:val="FootnoteAnchor"/>
          <w:rtl w:val="true"/>
        </w:rPr>
        <w:footnoteReference w:id="2260"/>
      </w:r>
      <w:r>
        <w:rPr>
          <w:rFonts w:ascii="IRNazanin" w:hAnsi="IRNazanin" w:eastAsia="IRNazanin"/>
          <w:color w:val="111111"/>
          <w:sz w:val="28"/>
          <w:sz w:val="28"/>
          <w:szCs w:val="28"/>
          <w:rtl w:val="true"/>
          <w:lang w:bidi="fa-IR"/>
        </w:rPr>
        <w:t>جاز له النفر فی الثانی عشر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اتّقی الصید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إحرام الحجّ قطعاً، وإحرام العمرة أیضاً إن کان الحجّ تمتّعاً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باتّقاء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قتله، وباتّقاء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جماعهنّ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مقدّماته وباقی المحرّمات المتعلّقة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یفرق فیه بین العامد وغیره؟ أوجه ثالثها الفرق بین الصید والنساء،</w:t>
      </w:r>
    </w:p>
    <w:p>
      <w:pPr>
        <w:pStyle w:val="BookText"/>
        <w:rPr/>
      </w:pPr>
      <w:r>
        <w:rPr>
          <w:rFonts w:ascii="IRNazanin" w:hAnsi="IRNazanin" w:eastAsia="IRNazanin"/>
          <w:color w:val="111111"/>
          <w:sz w:val="28"/>
          <w:sz w:val="28"/>
          <w:szCs w:val="28"/>
          <w:rtl w:val="true"/>
          <w:lang w:bidi="fa-IR"/>
        </w:rPr>
        <w:t xml:space="preserve">لثبوت الکفّارة فیه مطلقاً، دون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تغرب علیه الشمس لیلة الثالث عشر بمنی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الأمران الاتّقاء وعدم الغروب، سواء انتفیا أم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المبیت لیلة الثالث عشر</w:t>
      </w:r>
      <w:r>
        <w:rPr>
          <w:rFonts w:eastAsia="IRNazanin" w:cs="IRNazanin"/>
          <w:color w:val="111111"/>
          <w:sz w:val="28"/>
          <w:szCs w:val="28"/>
          <w:rtl w:val="true"/>
          <w:lang w:bidi="fa-IR"/>
        </w:rPr>
        <w:t xml:space="preserve">» </w:t>
      </w:r>
      <w:r>
        <w:rPr>
          <w:rStyle w:val="FootnoteAnchor"/>
          <w:rtl w:val="true"/>
        </w:rPr>
        <w:footnoteReference w:id="2261"/>
      </w:r>
      <w:r>
        <w:rPr>
          <w:rFonts w:ascii="IRNazanin" w:hAnsi="IRNazanin" w:eastAsia="IRNazanin"/>
          <w:color w:val="111111"/>
          <w:sz w:val="28"/>
          <w:sz w:val="28"/>
          <w:szCs w:val="28"/>
          <w:rtl w:val="true"/>
          <w:lang w:bidi="fa-IR"/>
        </w:rPr>
        <w:t>ولا فرق مع غروبها علیه بین من تأهّب للخروج قبلَه فغربت علیه قبل أن یخرج وغیره، ولا بین من خرج ولم یتجاوز حدودها حتی غربت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خرج منها قبلَه ثم رجع بعده 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کأخذ شیء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عاد لتدارک واجبٍ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رجع قبل الغروب لذلک فغربت علیه بها ففی وجوب المبیت قولان </w:t>
      </w:r>
      <w:r>
        <w:rPr>
          <w:rStyle w:val="FootnoteAnchor"/>
          <w:rtl w:val="true"/>
        </w:rPr>
        <w:footnoteReference w:id="2262"/>
      </w:r>
      <w:r>
        <w:rPr>
          <w:rFonts w:ascii="IRNazanin" w:hAnsi="IRNazanin" w:eastAsia="IRNazanin"/>
          <w:color w:val="111111"/>
          <w:sz w:val="28"/>
          <w:sz w:val="28"/>
          <w:szCs w:val="28"/>
          <w:rtl w:val="true"/>
          <w:lang w:bidi="fa-IR"/>
        </w:rPr>
        <w:t>أجودهما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وجب مبیت لیلة الثالث عشر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ثم ینفر فی الثالث عشر، ویجوز قبلَ الزوال بعد الرمی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وقت الرمی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طلوع الشمس إلی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الفجر وأفضله عند الزوال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ویرمی المعذور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کالخائف والمریض والمرأة والراعی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الرمی لو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تالیه، حتّی لو فاته رمی یومین قدّم الأوّل علی الثانی وختم بالأداء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اعتبار وقت الرمی فی القضاء قولان، أجودهما ذلک </w:t>
      </w:r>
      <w:r>
        <w:rPr>
          <w:rStyle w:val="FootnoteAnchor"/>
          <w:rtl w:val="true"/>
        </w:rPr>
        <w:footnoteReference w:id="2264"/>
      </w:r>
      <w:r>
        <w:rPr>
          <w:rFonts w:ascii="IRNazanin" w:hAnsi="IRNazanin" w:eastAsia="IRNazanin"/>
          <w:color w:val="111111"/>
          <w:sz w:val="28"/>
          <w:sz w:val="28"/>
          <w:szCs w:val="28"/>
          <w:rtl w:val="true"/>
          <w:lang w:bidi="fa-IR"/>
        </w:rPr>
        <w:t>وتجب نیّة القضاء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الأداء فیه فی</w:t>
      </w:r>
      <w:bookmarkStart w:id="628" w:name="pg19806_203769"/>
    </w:p>
    <w:p>
      <w:pPr>
        <w:pStyle w:val="BookText"/>
        <w:rPr/>
      </w:pPr>
      <w:bookmarkEnd w:id="628"/>
      <w:r>
        <w:rPr>
          <w:rFonts w:ascii="IRNazanin" w:hAnsi="IRNazanin" w:eastAsia="IRNazanin"/>
          <w:color w:val="111111"/>
          <w:sz w:val="28"/>
          <w:sz w:val="28"/>
          <w:szCs w:val="28"/>
          <w:rtl w:val="true"/>
          <w:lang w:bidi="fa-IR"/>
        </w:rPr>
        <w:t>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وقوع ما فی ذمّته أوّلاً علی وجهین، دون الثانی</w:t>
      </w:r>
      <w:r>
        <w:rPr>
          <w:rFonts w:eastAsia="IRNazanin" w:cs="IRNazanin"/>
          <w:color w:val="111111"/>
          <w:sz w:val="28"/>
          <w:szCs w:val="28"/>
          <w:rtl w:val="true"/>
          <w:lang w:bidi="fa-IR"/>
        </w:rPr>
        <w:t>.</w:t>
      </w:r>
    </w:p>
    <w:p>
      <w:pPr>
        <w:pStyle w:val="Heading5"/>
        <w:numPr>
          <w:ilvl w:val="4"/>
          <w:numId w:val="1"/>
        </w:numPr>
        <w:rPr/>
      </w:pPr>
      <w:bookmarkStart w:id="629" w:name="__RefHeading___Toc2028167_2314609296"/>
      <w:bookmarkStart w:id="630" w:name="_Toc231"/>
      <w:bookmarkEnd w:id="629"/>
      <w:r>
        <w:rPr>
          <w:rtl w:val="true"/>
        </w:rPr>
        <w:t>[</w:t>
      </w:r>
      <w:r>
        <w:rPr>
          <w:rtl w:val="true"/>
        </w:rPr>
        <w:t>استحباب العود الی مکة لطواف الوداع</w:t>
      </w:r>
      <w:r>
        <w:rPr>
          <w:rtl w:val="true"/>
        </w:rPr>
        <w:t>]</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الرمی أداءً وقضاءً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وقته، فإن فات استناب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إن لم یحضر، وإلّا وجبت المباشرة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ویستحبّ النفر فی الأخیر </w:t>
      </w:r>
      <w:r>
        <w:rPr>
          <w:rStyle w:val="FootnoteAnchor"/>
          <w:rtl w:val="true"/>
        </w:rPr>
        <w:footnoteReference w:id="2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لم 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والعود إلی مکّة لطواف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مؤکّداً، ولیس واجباً عندنا </w:t>
      </w:r>
      <w:r>
        <w:rPr>
          <w:rStyle w:val="FootnoteAnchor"/>
          <w:rtl w:val="true"/>
        </w:rPr>
        <w:footnoteReference w:id="2266"/>
      </w:r>
      <w:r>
        <w:rPr>
          <w:rFonts w:ascii="IRNazanin" w:hAnsi="IRNazanin" w:eastAsia="IRNazanin"/>
          <w:color w:val="111111"/>
          <w:sz w:val="28"/>
          <w:sz w:val="28"/>
          <w:szCs w:val="28"/>
          <w:rtl w:val="true"/>
          <w:lang w:bidi="fa-IR"/>
        </w:rPr>
        <w:t>ووقته عند إرادة الخروج بحیث لا یمکث بعده إلّامشغولاً بأسبابه، فلو زاد عنه أعاده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نسیه حتی خرج استحبّ العود له وإن بلغ المسافة من غیر إحرام، إلّاأن یمضی له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وداع للمجاور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لدخولها، والدخول من باب بنی شیبة، والدعاء کما مرّ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دخولها دخول فی رحمة اللّٰه، والخروج منها خروج من الذنوب وعصمة فیما بقی من العمر، وغفران لما سلف من الذنوب </w:t>
      </w:r>
      <w:r>
        <w:rPr>
          <w:rStyle w:val="FootnoteAnchor"/>
          <w:rtl w:val="true"/>
        </w:rPr>
        <w:footnoteReference w:id="2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ولیدخلها بالسکینة والوقار، آخذاً بحلقتی الباب عند الدخول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بین الاُسطوانتین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اللتین تلیان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2269"/>
      </w:r>
      <w:r>
        <w:rPr>
          <w:rFonts w:ascii="Amiri" w:hAnsi="Amiri" w:eastAsia="Amiri" w:cs="Amiri"/>
          <w:color w:val="111111"/>
          <w:sz w:val="28"/>
          <w:sz w:val="28"/>
          <w:szCs w:val="28"/>
          <w:rtl w:val="true"/>
          <w:lang w:bidi="ar-SA"/>
        </w:rPr>
        <w:t>الرخامة</w:t>
      </w:r>
    </w:p>
    <w:p>
      <w:pPr>
        <w:pStyle w:val="BookText"/>
        <w:rPr/>
      </w:pP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ویستحبّ أن یقرأ فی اُولی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بعدد آیها وهی ثلاث أو أربع وخمسون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زوایاها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w:t>
      </w:r>
      <w:r>
        <w:rPr>
          <w:rStyle w:val="FootnoteAnchor"/>
          <w:rtl w:val="true"/>
        </w:rPr>
        <w:footnoteReference w:id="2270"/>
      </w:r>
      <w:r>
        <w:rPr>
          <w:rFonts w:ascii="IRNazanin" w:hAnsi="IRNazanin" w:eastAsia="IRNazanin"/>
          <w:color w:val="111111"/>
          <w:sz w:val="28"/>
          <w:sz w:val="28"/>
          <w:szCs w:val="28"/>
          <w:rtl w:val="true"/>
          <w:lang w:bidi="fa-IR"/>
        </w:rPr>
        <w:t xml:space="preserve">کلّ زاویة رکعتین، تأسّیاً بالنبی صلی الله علیه و آله </w:t>
      </w:r>
      <w:r>
        <w:rPr>
          <w:rStyle w:val="FootnoteAnchor"/>
          <w:rtl w:val="true"/>
        </w:rPr>
        <w:footnoteReference w:id="2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الزوایا والدعاء والقیام بین الرکن </w:t>
      </w:r>
      <w:r>
        <w:rPr>
          <w:rStyle w:val="FootnoteAnchor"/>
          <w:rtl w:val="true"/>
        </w:rPr>
        <w:footnoteReference w:id="2272"/>
      </w:r>
      <w:r>
        <w:rPr>
          <w:rFonts w:ascii="IRNazanin" w:hAnsi="IRNazanin" w:eastAsia="IRNazanin"/>
          <w:color w:val="111111"/>
          <w:sz w:val="28"/>
          <w:sz w:val="28"/>
          <w:szCs w:val="28"/>
          <w:rtl w:val="true"/>
          <w:lang w:bidi="fa-IR"/>
        </w:rPr>
        <w:t xml:space="preserve">الغربی والیمانی رافعاً یدیه ملصقاً به </w:t>
      </w:r>
      <w:r>
        <w:rPr>
          <w:rStyle w:val="FootnoteAnchor"/>
          <w:rtl w:val="true"/>
        </w:rPr>
        <w:footnoteReference w:id="2273"/>
      </w:r>
      <w:r>
        <w:rPr>
          <w:rFonts w:ascii="IRNazanin" w:hAnsi="IRNazanin" w:eastAsia="IRNazanin"/>
          <w:color w:val="111111"/>
          <w:sz w:val="28"/>
          <w:sz w:val="28"/>
          <w:szCs w:val="28"/>
          <w:rtl w:val="true"/>
          <w:lang w:bidi="fa-IR"/>
        </w:rPr>
        <w:t>ثم کذلک فی الرکن الیمانی، ثم الغربی، ثم الرکنین الآخرین، ثم یعود إلی الرخامة الحمراء فیقف علیها ویرفع رأسه إلی السماء ویطیل الدعاء ویبالغ فی الخشوع وحضور القلب</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عند الحطیم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لإزدحام الناس عنده للدعاء واستلام الحجر فیحطم بعضهم بعضاً، أو لانحطام الذنوب عنده، فهو فعیل بمعنی فاعل، أو لتوبة اللّٰه فیه علی آدم فانحطمت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أشرف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الأرض علی ما ورد فی الخبر عن زین العابدین وولده الباقر علیهما السلام </w:t>
      </w:r>
      <w:r>
        <w:rPr>
          <w:rStyle w:val="FootnoteAnchor"/>
          <w:rtl w:val="true"/>
        </w:rPr>
        <w:footnoteReference w:id="2274"/>
      </w:r>
      <w:r>
        <w:rPr>
          <w:rFonts w:ascii="IRNazanin" w:hAnsi="IRNazanin" w:eastAsia="IRNazanin"/>
          <w:color w:val="111111"/>
          <w:sz w:val="28"/>
          <w:sz w:val="28"/>
          <w:szCs w:val="28"/>
          <w:rtl w:val="true"/>
          <w:lang w:bidi="fa-IR"/>
        </w:rPr>
        <w:t>وهو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بین الباب والحجر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w:t>
      </w:r>
      <w:r>
        <w:rPr>
          <w:rStyle w:val="FootnoteAnchor"/>
          <w:rtl w:val="true"/>
        </w:rPr>
        <w:footnoteReference w:id="2275"/>
      </w:r>
      <w:r>
        <w:rPr>
          <w:rFonts w:ascii="IRNazanin" w:hAnsi="IRNazanin" w:eastAsia="IRNazanin"/>
          <w:color w:val="111111"/>
          <w:sz w:val="28"/>
          <w:sz w:val="28"/>
          <w:szCs w:val="28"/>
          <w:rtl w:val="true"/>
          <w:lang w:bidi="fa-IR"/>
        </w:rPr>
        <w:t>ویلی الحطیم فی الفضل عند المقام، ثم الحِجر، ثم ما دنا من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واستلام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والمستجار وإتیان زمزم والشرب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والامتلاء، فقد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w:t>
      </w:r>
      <w:r>
        <w:rPr>
          <w:rStyle w:val="FootnoteAnchor"/>
          <w:rtl w:val="true"/>
        </w:rPr>
        <w:footnoteReference w:id="2276"/>
      </w:r>
      <w:r>
        <w:rPr>
          <w:rFonts w:ascii="IRNazanin" w:hAnsi="IRNazanin" w:eastAsia="IRNazanin"/>
          <w:color w:val="111111"/>
          <w:sz w:val="28"/>
          <w:sz w:val="28"/>
          <w:szCs w:val="28"/>
          <w:rtl w:val="true"/>
          <w:lang w:bidi="fa-IR"/>
        </w:rPr>
        <w:t>فینبغی شربه للمهمّات الدینیّة والدنیویّة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فعله جماعة من الأعاظم لمطالب مهمّة فنالوها، وأهمّها طلب رضی اللّٰه والقرب منه والزلفی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مع ذلک حمله وإهداؤه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والخروج من باب الحنّاطین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لبیع الحِنطة عنده أو الحنوط، وهو باب بنی جُمح با زاء الرکن الشامی داخل فی المسجد کغیره، فیخرج من الباب المسامت له مارّاً من عند الأساطین إلیه علی الاستقامة لیظفر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 بتمر یشتریه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ویجعلها قبضة قبضة بالمعجمة وعُلّل فی الأخبار بکونه کفّارة لما لعلّه دخل علیه فی حجّه من حکّ أو قملةٍ سقطت، أو نحو ذلک </w:t>
      </w:r>
      <w:r>
        <w:rPr>
          <w:rStyle w:val="FootnoteAnchor"/>
          <w:rtl w:val="true"/>
        </w:rPr>
        <w:footnoteReference w:id="2277"/>
      </w:r>
      <w:r>
        <w:rPr>
          <w:rFonts w:ascii="IRNazanin" w:hAnsi="IRNazanin" w:eastAsia="IRNazanin"/>
          <w:color w:val="111111"/>
          <w:sz w:val="28"/>
          <w:sz w:val="28"/>
          <w:szCs w:val="28"/>
          <w:rtl w:val="true"/>
          <w:lang w:bidi="fa-IR"/>
        </w:rPr>
        <w:t>ثم إن استمرّ الاشتباه فهی صدقة مطلقة، وإن ظهر له موجب یتأدّی بالصدقة فالأقوی إجزاؤها، لظاهر التعلیل کما فی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اختلاف الوجه، لابتنائه علی الظاهر؛ مع أ نّا لا نعتبره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والعزم علی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الحجّ، فإنّه من أعظم الطاعات، ورُوی أ نّه من المنسئات فی العمر، کما أنّ العزم علی ترکه مقرِّب للأجل والعذاب </w:t>
      </w:r>
      <w:r>
        <w:rPr>
          <w:rStyle w:val="FootnoteAnchor"/>
          <w:rtl w:val="true"/>
        </w:rPr>
        <w:footnoteReference w:id="2278"/>
      </w:r>
      <w:r>
        <w:rPr>
          <w:rFonts w:ascii="Amiri" w:hAnsi="Amiri" w:eastAsia="Amiri" w:cs="Amiri"/>
          <w:color w:val="111111"/>
          <w:sz w:val="28"/>
          <w:sz w:val="28"/>
          <w:szCs w:val="28"/>
          <w:rtl w:val="true"/>
          <w:lang w:bidi="ar-SA"/>
        </w:rPr>
        <w:t>ویستحبّ</w:t>
      </w:r>
      <w:bookmarkStart w:id="631" w:name="pg19806_203772"/>
    </w:p>
    <w:p>
      <w:pPr>
        <w:pStyle w:val="BookText"/>
        <w:rPr/>
      </w:pPr>
      <w:bookmarkEnd w:id="631"/>
      <w:r>
        <w:rPr>
          <w:rFonts w:ascii="IRNazanin" w:hAnsi="IRNazanin" w:eastAsia="IRNazanin"/>
          <w:color w:val="111111"/>
          <w:sz w:val="28"/>
          <w:sz w:val="28"/>
          <w:szCs w:val="28"/>
          <w:rtl w:val="true"/>
          <w:lang w:bidi="fa-IR"/>
        </w:rPr>
        <w:t>أن یضمّ إلی العزم سؤال اللّٰه تعالی ذلک عند الانصراف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الإکثار من الصلاة بمسجد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بمنی 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من صلّی به مئة رکعة عدلت عبادة سبعین عاماً، ومن سبّح اللّٰه فیه مئة تسبیحة کُتب له أجر عتق رقبة، ومن هلّل اللّٰه فیه مئة عدلت إحیاء نسمة، ومن حمد اللّٰه فیه مئة عدلت خراج العراقین یُنفق فی سبیل اللّٰه</w:t>
      </w:r>
      <w:r>
        <w:rPr>
          <w:rFonts w:eastAsia="IRNazanin" w:cs="IRNazanin"/>
          <w:color w:val="111111"/>
          <w:sz w:val="28"/>
          <w:szCs w:val="28"/>
          <w:rtl w:val="true"/>
          <w:lang w:bidi="fa-IR"/>
        </w:rPr>
        <w:t xml:space="preserve">» </w:t>
      </w:r>
      <w:r>
        <w:rPr>
          <w:rStyle w:val="FootnoteAnchor"/>
          <w:rtl w:val="true"/>
        </w:rPr>
        <w:footnoteReference w:id="2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سُمِّی خیفاً؛ لأ نّه مرتفع عن الوادی، وکلّ ما ارتفع عنه سُمّی خیفاً</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عند المنارة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وفوقها إلی القبلة بنحو من ثلاثین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عن یمینها ویسارها وخلفها،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تحدیده </w:t>
      </w:r>
      <w:r>
        <w:rPr>
          <w:rFonts w:eastAsia="IRNazanin" w:cs="IRNazanin"/>
          <w:color w:val="111111"/>
          <w:sz w:val="28"/>
          <w:szCs w:val="28"/>
          <w:rtl w:val="true"/>
          <w:lang w:bidi="fa-IR"/>
        </w:rPr>
        <w:t xml:space="preserve">] </w:t>
      </w:r>
      <w:r>
        <w:rPr>
          <w:rStyle w:val="FootnoteAnchor"/>
          <w:rtl w:val="true"/>
        </w:rPr>
        <w:footnoteReference w:id="2281"/>
      </w:r>
      <w:r>
        <w:rPr>
          <w:rFonts w:ascii="IRNazanin" w:hAnsi="IRNazanin" w:eastAsia="IRNazanin"/>
          <w:color w:val="111111"/>
          <w:sz w:val="28"/>
          <w:sz w:val="28"/>
          <w:szCs w:val="28"/>
          <w:rtl w:val="true"/>
          <w:lang w:bidi="fa-IR"/>
        </w:rPr>
        <w:t xml:space="preserve">بذلک معاویة بن عمّار عن الصادق علیه السلام وأنّ ذلک مسجد رسول اللّٰه صلی الله علیه و آله، وأ نّه صلّی فیه ألف نبی </w:t>
      </w:r>
      <w:r>
        <w:rPr>
          <w:rStyle w:val="FootnoteAnchor"/>
          <w:rtl w:val="true"/>
        </w:rPr>
        <w:footnoteReference w:id="2282"/>
      </w:r>
      <w:r>
        <w:rPr>
          <w:rFonts w:ascii="IRNazanin" w:hAnsi="IRNazanin" w:eastAsia="IRNazanin"/>
          <w:color w:val="111111"/>
          <w:sz w:val="28"/>
          <w:sz w:val="28"/>
          <w:szCs w:val="28"/>
          <w:rtl w:val="true"/>
          <w:lang w:bidi="fa-IR"/>
        </w:rPr>
        <w:t xml:space="preserve">والمصنّف اقتصر علی الجهة الواحدة، وفی الدروس أضاف یمینها ویسارها کذلک </w:t>
      </w:r>
      <w:r>
        <w:rPr>
          <w:rStyle w:val="FootnoteAnchor"/>
          <w:rtl w:val="true"/>
        </w:rPr>
        <w:footnoteReference w:id="2283"/>
      </w:r>
      <w:r>
        <w:rPr>
          <w:rFonts w:ascii="IRNazanin" w:hAnsi="IRNazanin" w:eastAsia="IRNazanin"/>
          <w:color w:val="111111"/>
          <w:sz w:val="28"/>
          <w:sz w:val="28"/>
          <w:szCs w:val="28"/>
          <w:rtl w:val="true"/>
          <w:lang w:bidi="fa-IR"/>
        </w:rPr>
        <w:t>ولا وجه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یختصّ به من الصلوات صلاة ستّ رکعات فی أصل الصومعة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2028169_2314609296"/>
      <w:bookmarkStart w:id="633" w:name="_Toc232"/>
      <w:bookmarkEnd w:id="632"/>
      <w:r>
        <w:rPr>
          <w:rtl w:val="true"/>
        </w:rPr>
        <w:t>[</w:t>
      </w:r>
      <w:r>
        <w:rPr>
          <w:rtl w:val="true"/>
        </w:rPr>
        <w:t xml:space="preserve">حرمة اخراج الملتجی الی الحرم </w:t>
      </w:r>
      <w:r>
        <w:rPr>
          <w:rtl w:val="true"/>
        </w:rPr>
        <w:t>]</w:t>
      </w:r>
      <w:bookmarkEnd w:id="63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إخراج من التجأ إلی الحرم بعد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یوجب حدّاً</w:t>
      </w:r>
    </w:p>
    <w:p>
      <w:pPr>
        <w:pStyle w:val="BookText"/>
        <w:rPr/>
      </w:pPr>
      <w:r>
        <w:rPr>
          <w:rFonts w:ascii="IRNazanin" w:hAnsi="IRNazanin" w:eastAsia="IRNazanin"/>
          <w:color w:val="111111"/>
          <w:sz w:val="28"/>
          <w:sz w:val="28"/>
          <w:szCs w:val="28"/>
          <w:rtl w:val="true"/>
          <w:lang w:bidi="fa-IR"/>
        </w:rPr>
        <w:t>أو تعزیراً أو قصاصاً، وکذا لا یُقام علیه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یُضیَّق علیه فی المطعم والمشرب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یزاد منهما علی ما یسدّ الرمق ببیع ولا غیره ولا یُمکَّن من ماله زیادة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فیُستوفی منه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جنی فی الحرم قوبل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جنایته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لانتهاکه حرمة الحرم، فلا حرمة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بعضهم به مسجد النبی صلی الله علیه و آله ومشاهد الأئمة علیهم السلام </w:t>
      </w:r>
      <w:r>
        <w:rPr>
          <w:rStyle w:val="FootnoteAnchor"/>
          <w:rtl w:val="true"/>
        </w:rPr>
        <w:footnoteReference w:id="2285"/>
      </w:r>
      <w:r>
        <w:rPr>
          <w:rFonts w:ascii="IRNazanin" w:hAnsi="IRNazanin" w:eastAsia="IRNazanin"/>
          <w:color w:val="111111"/>
          <w:sz w:val="28"/>
          <w:sz w:val="28"/>
          <w:szCs w:val="28"/>
          <w:rtl w:val="true"/>
          <w:lang w:bidi="fa-IR"/>
        </w:rPr>
        <w:t xml:space="preserve">وهو ضعیف المستند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bookmarkStart w:id="634" w:name="pg19806_203775"/>
    </w:p>
    <w:p>
      <w:pPr>
        <w:pStyle w:val="Heading3"/>
        <w:numPr>
          <w:ilvl w:val="2"/>
          <w:numId w:val="1"/>
        </w:numPr>
        <w:rPr/>
      </w:pPr>
      <w:bookmarkStart w:id="635" w:name="__RefHeading___Toc2028171_2314609296"/>
      <w:bookmarkStart w:id="636" w:name="_Toc233"/>
      <w:bookmarkEnd w:id="634"/>
      <w:bookmarkEnd w:id="635"/>
      <w:r>
        <w:rPr>
          <w:rtl w:val="true"/>
        </w:rPr>
        <w:t>«</w:t>
      </w:r>
      <w:r>
        <w:rPr>
          <w:rtl w:val="true"/>
        </w:rPr>
        <w:t>الفصل السادس</w:t>
      </w:r>
      <w:r>
        <w:rPr>
          <w:rtl w:val="true"/>
        </w:rPr>
        <w:t>» «</w:t>
      </w:r>
      <w:r>
        <w:rPr>
          <w:rtl w:val="true"/>
        </w:rPr>
        <w:t>فی کفّارات الإحرام</w:t>
      </w:r>
      <w:r>
        <w:rPr>
          <w:rtl w:val="true"/>
        </w:rPr>
        <w:t xml:space="preserve">» </w:t>
      </w:r>
      <w:r>
        <w:rPr>
          <w:rtl w:val="true"/>
        </w:rPr>
        <w:t>اللاحقة بفعل شیء من محرّماته</w:t>
      </w:r>
      <w:bookmarkEnd w:id="636"/>
    </w:p>
    <w:p>
      <w:pPr>
        <w:pStyle w:val="Heading4"/>
        <w:numPr>
          <w:ilvl w:val="3"/>
          <w:numId w:val="1"/>
        </w:numPr>
        <w:rPr/>
      </w:pPr>
      <w:bookmarkStart w:id="637" w:name="__RefHeading___Toc2028173_2314609296"/>
      <w:bookmarkStart w:id="638" w:name="_Toc234"/>
      <w:bookmarkEnd w:id="637"/>
      <w:r>
        <w:rPr>
          <w:rtl w:val="true"/>
        </w:rPr>
        <w:t>اشارة</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بحثان</w:t>
      </w:r>
      <w:r>
        <w:rPr>
          <w:rFonts w:eastAsia="IRNazanin" w:cs="IRNazanin"/>
          <w:color w:val="111111"/>
          <w:sz w:val="28"/>
          <w:szCs w:val="28"/>
          <w:rtl w:val="true"/>
          <w:lang w:bidi="fa-IR"/>
        </w:rPr>
        <w:t>» :</w:t>
      </w:r>
    </w:p>
    <w:p>
      <w:pPr>
        <w:pStyle w:val="Heading4"/>
        <w:numPr>
          <w:ilvl w:val="3"/>
          <w:numId w:val="1"/>
        </w:numPr>
        <w:rPr/>
      </w:pPr>
      <w:bookmarkStart w:id="639" w:name="__RefHeading___Toc2028175_2314609296"/>
      <w:bookmarkStart w:id="640" w:name="_Toc235"/>
      <w:bookmarkEnd w:id="639"/>
      <w:r>
        <w:rPr>
          <w:rtl w:val="true"/>
        </w:rPr>
        <w:t>«</w:t>
      </w:r>
      <w:r>
        <w:rPr>
          <w:rtl w:val="true"/>
        </w:rPr>
        <w:t>الأوّل فی</w:t>
      </w:r>
      <w:r>
        <w:rPr>
          <w:rtl w:val="true"/>
        </w:rPr>
        <w:t xml:space="preserve">» </w:t>
      </w:r>
      <w:r>
        <w:rPr>
          <w:rtl w:val="true"/>
        </w:rPr>
        <w:t xml:space="preserve">کفّارة </w:t>
      </w:r>
      <w:r>
        <w:rPr>
          <w:rtl w:val="true"/>
        </w:rPr>
        <w:t>«</w:t>
      </w:r>
      <w:r>
        <w:rPr>
          <w:rtl w:val="true"/>
        </w:rPr>
        <w:t>الصید</w:t>
      </w:r>
      <w:r>
        <w:rPr>
          <w:rtl w:val="true"/>
        </w:rPr>
        <w:t>»</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النعامة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الإ بل الاُنثی التی کمل سنّها خمس سنین، سواء فی ذلک کبیر النعامة وصغیرها، ذَکَرُها واُنثاها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المماثلة بینهما فی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الفضّ </w:t>
      </w:r>
      <w:r>
        <w:rPr>
          <w:rStyle w:val="FootnoteAnchor"/>
          <w:rtl w:val="true"/>
        </w:rPr>
        <w:footnoteReference w:id="2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فضّ ثمن البدنة لو تعذّرت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 وإطعام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قیمتها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ولا یلزم </w:t>
      </w:r>
      <w:r>
        <w:rPr>
          <w:rStyle w:val="FootnoteAnchor"/>
          <w:rtl w:val="true"/>
        </w:rPr>
        <w:footnoteReference w:id="2288"/>
      </w:r>
      <w:r>
        <w:rPr>
          <w:rFonts w:ascii="IRNazanin" w:hAnsi="IRNazanin" w:eastAsia="IRNazanin"/>
          <w:color w:val="111111"/>
          <w:sz w:val="28"/>
          <w:sz w:val="28"/>
          <w:szCs w:val="28"/>
          <w:rtl w:val="true"/>
          <w:lang w:bidi="fa-IR"/>
        </w:rPr>
        <w:t>الإتمام لو أعوز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فضل منه ما لا یبلغ مدّاً أو مدّین دفعه إلی مسکین آخر وإن قلّ</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صیام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یقدر علی الفضّ، لعدمه أو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عدم الفرق بین بلوغ القیمة علی تقدیر إمکان الفضّ الستّین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p>
    <w:p>
      <w:pPr>
        <w:pStyle w:val="BookText"/>
        <w:rPr/>
      </w:pPr>
      <w:r>
        <w:rPr>
          <w:rFonts w:ascii="IRNazanin" w:hAnsi="IRNazanin" w:eastAsia="IRNazanin"/>
          <w:color w:val="111111"/>
          <w:sz w:val="28"/>
          <w:sz w:val="28"/>
          <w:szCs w:val="28"/>
          <w:rtl w:val="true"/>
          <w:lang w:bidi="fa-IR"/>
        </w:rPr>
        <w:t xml:space="preserve">نسب ذلک إلی قولٍ </w:t>
      </w:r>
      <w:r>
        <w:rPr>
          <w:rStyle w:val="FootnoteAnchor"/>
          <w:rtl w:val="true"/>
        </w:rPr>
        <w:footnoteReference w:id="2289"/>
      </w:r>
      <w:r>
        <w:rPr>
          <w:rFonts w:ascii="IRNazanin" w:hAnsi="IRNazanin" w:eastAsia="IRNazanin"/>
          <w:color w:val="111111"/>
          <w:sz w:val="28"/>
          <w:sz w:val="28"/>
          <w:szCs w:val="28"/>
          <w:rtl w:val="true"/>
          <w:lang w:bidi="fa-IR"/>
        </w:rPr>
        <w:t>مشعراً بتمریضه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جواز الاقتصار علی صیام قدر ما وسعت من الإطعام، ولو زاد ما لا یبلغ القدر صام عنه یوماً کاملاً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صیام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عجز عن صوم الستّین وما فی معناها </w:t>
      </w:r>
      <w:r>
        <w:rPr>
          <w:rStyle w:val="FootnoteAnchor"/>
          <w:rtl w:val="true"/>
        </w:rPr>
        <w:footnoteReference w:id="2290"/>
      </w:r>
      <w:r>
        <w:rPr>
          <w:rFonts w:ascii="IRNazanin" w:hAnsi="IRNazanin" w:eastAsia="IRNazanin"/>
          <w:color w:val="111111"/>
          <w:sz w:val="28"/>
          <w:sz w:val="28"/>
          <w:szCs w:val="28"/>
          <w:rtl w:val="true"/>
          <w:lang w:bidi="fa-IR"/>
        </w:rPr>
        <w:t>وإن قدر علی صوم أزید من الثمانیة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عجز عن صومها وجب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ورود النصّ بوجوب الثمانیة عشر </w:t>
      </w:r>
      <w:r>
        <w:rPr>
          <w:rStyle w:val="FootnoteAnchor"/>
          <w:rtl w:val="true"/>
        </w:rPr>
        <w:footnoteReference w:id="2291"/>
      </w:r>
      <w:r>
        <w:rPr>
          <w:rFonts w:ascii="IRNazanin" w:hAnsi="IRNazanin" w:eastAsia="IRNazanin"/>
          <w:color w:val="111111"/>
          <w:sz w:val="28"/>
          <w:sz w:val="28"/>
          <w:szCs w:val="28"/>
          <w:rtl w:val="true"/>
          <w:lang w:bidi="fa-IR"/>
        </w:rPr>
        <w:t xml:space="preserve">لمن عجز عن الستّین </w:t>
      </w:r>
      <w:r>
        <w:rPr>
          <w:rStyle w:val="FootnoteAnchor"/>
          <w:rtl w:val="true"/>
        </w:rPr>
        <w:footnoteReference w:id="2292"/>
      </w:r>
      <w:r>
        <w:rPr>
          <w:rFonts w:ascii="IRNazanin" w:hAnsi="IRNazanin" w:eastAsia="IRNazanin"/>
          <w:color w:val="111111"/>
          <w:sz w:val="28"/>
          <w:sz w:val="28"/>
          <w:szCs w:val="28"/>
          <w:rtl w:val="true"/>
          <w:lang w:bidi="fa-IR"/>
        </w:rPr>
        <w:t>الشامل لمن قدر علی الأزید،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المقدور من الثمانیة عشر فیدخل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Style w:val="FootnoteAnchor"/>
          <w:rtl w:val="true"/>
        </w:rPr>
        <w:footnoteReference w:id="2293"/>
      </w:r>
      <w:r>
        <w:rPr>
          <w:rFonts w:ascii="IRNazanin" w:hAnsi="IRNazanin" w:eastAsia="IRNazanin"/>
          <w:color w:val="111111"/>
          <w:sz w:val="28"/>
          <w:sz w:val="28"/>
          <w:szCs w:val="28"/>
          <w:rtl w:val="true"/>
          <w:lang w:bidi="fa-IR"/>
        </w:rPr>
        <w:t>لعدم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شرع فی صوم الستّین قادراً علیها فتجدّد عجزه بعد تجاوز الثمانیة عشر اقتصر علی ما فعل وإن کان شهراً، مع احتمال وجوب تسعة حینئذٍ؛ لأنّها بدل عن الشهر المعجوز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والمدفوع إلی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مدّان فی المشهور،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Style w:val="FootnoteAnchor"/>
          <w:rtl w:val="true"/>
        </w:rPr>
        <w:footnoteReference w:id="2294"/>
      </w:r>
      <w:r>
        <w:rPr>
          <w:rFonts w:ascii="Amiri" w:hAnsi="Amiri" w:eastAsia="Amiri" w:cs="Amiri"/>
          <w:color w:val="111111"/>
          <w:sz w:val="28"/>
          <w:sz w:val="28"/>
          <w:szCs w:val="28"/>
          <w:rtl w:val="true"/>
          <w:lang w:bidi="ar-SA"/>
        </w:rPr>
        <w:t>وفیه 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بقرة الوحش وحماره بقرة 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مسنّة فصاعداً، إلّاأن ینقص سنّ المقتول عن سنّها فیکفی مماثله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للقیمة علی البرّ لو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الإطعام والصیام مع باقی الأحکام، فیطعم ثلاثین، ثم یصوم ثلاثین، ومع العجز تسعة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الظبی والثعلب والأرنب شاة، ثمّ الفضّ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لو تعذّرت</w:t>
      </w:r>
    </w:p>
    <w:p>
      <w:pPr>
        <w:pStyle w:val="BookText"/>
        <w:rPr/>
      </w:pPr>
      <w:r>
        <w:rPr>
          <w:rFonts w:ascii="IRNazanin" w:hAnsi="IRNazanin" w:eastAsia="IRNazanin"/>
          <w:color w:val="111111"/>
          <w:sz w:val="28"/>
          <w:sz w:val="28"/>
          <w:szCs w:val="28"/>
          <w:rtl w:val="true"/>
          <w:lang w:bidi="fa-IR"/>
        </w:rPr>
        <w:t xml:space="preserve">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وسدس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فیطعم عشرة، ثم یصوم عشرة، ثم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تساویها فی الفضّ والصوم أنّ قیمتها لو نقصت عن عشرة لم یجب الإکمال، ویتبعها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یتمّ فی الظبی خاصّة؛ للنصّ </w:t>
      </w:r>
      <w:r>
        <w:rPr>
          <w:rStyle w:val="FootnoteAnchor"/>
          <w:rtl w:val="true"/>
        </w:rPr>
        <w:footnoteReference w:id="2295"/>
      </w:r>
      <w:r>
        <w:rPr>
          <w:rFonts w:ascii="Amiri" w:hAnsi="Amiri" w:eastAsia="Amiri" w:cs="Amiri"/>
          <w:color w:val="111111"/>
          <w:sz w:val="28"/>
          <w:sz w:val="28"/>
          <w:szCs w:val="28"/>
          <w:rtl w:val="true"/>
          <w:lang w:bidi="ar-SA"/>
        </w:rPr>
        <w:t xml:space="preserve">أمّا الآخران فألحقهما به جماعة </w:t>
      </w:r>
      <w:r>
        <w:rPr>
          <w:rStyle w:val="FootnoteAnchor"/>
          <w:rtl w:val="true"/>
        </w:rPr>
        <w:footnoteReference w:id="2296"/>
      </w:r>
      <w:r>
        <w:rPr>
          <w:rFonts w:ascii="Amiri" w:hAnsi="Amiri" w:eastAsia="Amiri" w:cs="Amiri"/>
          <w:color w:val="111111"/>
          <w:sz w:val="28"/>
          <w:sz w:val="28"/>
          <w:szCs w:val="28"/>
          <w:rtl w:val="true"/>
          <w:lang w:bidi="ar-SA"/>
        </w:rPr>
        <w:t xml:space="preserve">تبعاً للشیخ </w:t>
      </w:r>
      <w:r>
        <w:rPr>
          <w:rStyle w:val="FootnoteAnchor"/>
          <w:rtl w:val="true"/>
        </w:rPr>
        <w:footnoteReference w:id="2297"/>
      </w:r>
      <w:r>
        <w:rPr>
          <w:rFonts w:ascii="IRNazanin" w:hAnsi="IRNazanin" w:eastAsia="IRNazanin"/>
          <w:color w:val="111111"/>
          <w:sz w:val="28"/>
          <w:sz w:val="28"/>
          <w:szCs w:val="28"/>
          <w:rtl w:val="true"/>
          <w:lang w:bidi="fa-IR"/>
        </w:rPr>
        <w:t>ولا سند له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فیهما شاة </w:t>
      </w:r>
      <w:r>
        <w:rPr>
          <w:rStyle w:val="FootnoteAnchor"/>
          <w:rtl w:val="true"/>
        </w:rPr>
        <w:footnoteReference w:id="2298"/>
      </w:r>
      <w:r>
        <w:rPr>
          <w:rFonts w:ascii="IRNazanin" w:hAnsi="IRNazanin" w:eastAsia="IRNazanin"/>
          <w:color w:val="111111"/>
          <w:sz w:val="28"/>
          <w:sz w:val="28"/>
          <w:szCs w:val="28"/>
          <w:rtl w:val="true"/>
          <w:lang w:bidi="fa-IR"/>
        </w:rPr>
        <w:t xml:space="preserve">فمع العجز عنها یرجع إلی الروایة العامّة با طعام عشرة مساکین لمن عجز عنها ثمّ صیام ثلاثة </w:t>
      </w:r>
      <w:r>
        <w:rPr>
          <w:rStyle w:val="FootnoteAnchor"/>
          <w:rtl w:val="true"/>
        </w:rPr>
        <w:footnoteReference w:id="2299"/>
      </w:r>
      <w:r>
        <w:rPr>
          <w:rFonts w:ascii="IRNazanin" w:hAnsi="IRNazanin" w:eastAsia="IRNazanin"/>
          <w:color w:val="111111"/>
          <w:sz w:val="28"/>
          <w:sz w:val="28"/>
          <w:szCs w:val="28"/>
          <w:rtl w:val="true"/>
          <w:lang w:bidi="fa-IR"/>
        </w:rPr>
        <w:t>، وهذا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نسب مشارکتهما له إلی الثلاثة </w:t>
      </w:r>
      <w:r>
        <w:rPr>
          <w:rStyle w:val="FootnoteAnchor"/>
          <w:rtl w:val="true"/>
        </w:rPr>
        <w:footnoteReference w:id="2300"/>
      </w:r>
      <w:r>
        <w:rPr>
          <w:rFonts w:ascii="IRNazanin" w:hAnsi="IRNazanin" w:eastAsia="IRNazanin"/>
          <w:color w:val="111111"/>
          <w:sz w:val="28"/>
          <w:sz w:val="28"/>
          <w:szCs w:val="28"/>
          <w:rtl w:val="true"/>
          <w:lang w:bidi="fa-IR"/>
        </w:rPr>
        <w:t>وهو مشعر بالضعف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فائدة القولین فی وجوب إکمال إطعام العشرة وإن لم تبلغها القیمة علی الثانی، والاقتصار فی الإطعام علی مُدّ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کسر بیض النعام لکلّ بیضة بَکْرَة من الإ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الفتیّة منها، بنت المخاض فصاعداً مع صدق اسم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إجزاء البَکر؛ لأنّ مورد النصّ البکارة </w:t>
      </w:r>
      <w:r>
        <w:rPr>
          <w:rStyle w:val="FootnoteAnchor"/>
          <w:rtl w:val="true"/>
        </w:rPr>
        <w:footnoteReference w:id="2301"/>
      </w:r>
      <w:r>
        <w:rPr>
          <w:rFonts w:ascii="IRNazanin" w:hAnsi="IRNazanin" w:eastAsia="IRNazanin"/>
          <w:color w:val="111111"/>
          <w:sz w:val="28"/>
          <w:sz w:val="28"/>
          <w:szCs w:val="28"/>
          <w:rtl w:val="true"/>
          <w:lang w:bidi="fa-IR"/>
        </w:rPr>
        <w:t xml:space="preserve">وهی جمع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تحرّک الفرخ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فحولة الإ بل فی 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البیض، فالناتج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الکعبة، لا کغیره من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الاُنثی صلاحیّة الحمل، ومشاهدة الطَرْق وکفایة الفحل للاُناث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کسر البیضة بنفسه ودابّته،</w:t>
      </w:r>
    </w:p>
    <w:p>
      <w:pPr>
        <w:pStyle w:val="BookText"/>
        <w:rPr/>
      </w:pPr>
      <w:r>
        <w:rPr>
          <w:rFonts w:ascii="IRNazanin" w:hAnsi="IRNazanin" w:eastAsia="IRNazanin"/>
          <w:color w:val="111111"/>
          <w:sz w:val="28"/>
          <w:sz w:val="28"/>
          <w:szCs w:val="28"/>
          <w:rtl w:val="true"/>
          <w:lang w:bidi="fa-IR"/>
        </w:rPr>
        <w:t>ولو ظهرت فاسدةً أو الفرخ میّتاً 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تربیة الناتج بل یجوز صرفه من حینه، ویتخیّر بین صرفه فی مصالح الکعبة ومعونة الحاجّ، کغیره من مال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فشاة عن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العجز عن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مسکین مُدّ، وإنّما أطلق؛ لأنّ ذلک ضابطه حیث لا نصّ علی الزائد، ومصرف الشاة والصدقة کغیرهما </w:t>
      </w:r>
      <w:r>
        <w:rPr>
          <w:rStyle w:val="FootnoteAnchor"/>
          <w:rtl w:val="true"/>
        </w:rPr>
        <w:footnoteReference w:id="2302"/>
      </w:r>
      <w:r>
        <w:rPr>
          <w:rFonts w:ascii="IRNazanin" w:hAnsi="IRNazanin" w:eastAsia="IRNazanin"/>
          <w:color w:val="111111"/>
          <w:sz w:val="28"/>
          <w:sz w:val="28"/>
          <w:szCs w:val="28"/>
          <w:rtl w:val="true"/>
          <w:lang w:bidi="fa-IR"/>
        </w:rPr>
        <w:t xml:space="preserve">لا کالمبدل </w:t>
      </w:r>
      <w:r>
        <w:rPr>
          <w:rStyle w:val="FootnoteAnchor"/>
          <w:rtl w:val="true"/>
        </w:rPr>
        <w:footnoteReference w:id="2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صیام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لو عجز عن الإطعام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کسر کلّ بیضة من القطا والقَبج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الحَجَل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والدرّاج من صغار الغنم إن تحرّک الفرخ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أطلق المصنّف هنا وجماعة </w:t>
      </w:r>
      <w:r>
        <w:rPr>
          <w:rStyle w:val="FootnoteAnchor"/>
          <w:rtl w:val="true"/>
        </w:rPr>
        <w:footnoteReference w:id="2304"/>
      </w:r>
      <w:r>
        <w:rPr>
          <w:rFonts w:ascii="IRNazanin" w:hAnsi="IRNazanin" w:eastAsia="IRNazanin"/>
          <w:color w:val="111111"/>
          <w:sz w:val="28"/>
          <w:sz w:val="28"/>
          <w:szCs w:val="28"/>
          <w:rtl w:val="true"/>
          <w:lang w:bidi="fa-IR"/>
        </w:rPr>
        <w:t xml:space="preserve">وفی الدروس جعل فی الأوّلین مخاضاً من الغنم </w:t>
      </w:r>
      <w:r>
        <w:rPr>
          <w:rStyle w:val="FootnoteAnchor"/>
          <w:rtl w:val="true"/>
        </w:rPr>
        <w:footnoteReference w:id="2305"/>
      </w:r>
      <w:r>
        <w:rPr>
          <w:rFonts w:ascii="IRNazanin" w:hAnsi="IRNazanin" w:eastAsia="IRNazanin"/>
          <w:color w:val="111111"/>
          <w:sz w:val="28"/>
          <w:sz w:val="28"/>
          <w:szCs w:val="28"/>
          <w:rtl w:val="true"/>
          <w:lang w:bidi="fa-IR"/>
        </w:rPr>
        <w:t>أی من شأنها الحمل، ولم یذکر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خالیة عن ذکر الصغیر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والموجود فی الصحیح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بیض القطاة بکارة من الغنم </w:t>
      </w:r>
      <w:r>
        <w:rPr>
          <w:rStyle w:val="FootnoteAnchor"/>
          <w:rtl w:val="true"/>
        </w:rPr>
        <w:footnoteReference w:id="2306"/>
      </w:r>
      <w:r>
        <w:rPr>
          <w:rFonts w:ascii="IRNazanin" w:hAnsi="IRNazanin" w:eastAsia="IRNazanin"/>
          <w:color w:val="111111"/>
          <w:sz w:val="28"/>
          <w:sz w:val="28"/>
          <w:szCs w:val="28"/>
          <w:rtl w:val="true"/>
          <w:lang w:bidi="fa-IR"/>
        </w:rPr>
        <w:t xml:space="preserve">وأمّا المخاض فمذکور فی مقطوعة </w:t>
      </w:r>
      <w:r>
        <w:rPr>
          <w:rStyle w:val="FootnoteAnchor"/>
          <w:rtl w:val="true"/>
        </w:rPr>
        <w:footnoteReference w:id="2307"/>
      </w:r>
      <w:r>
        <w:rPr>
          <w:rFonts w:ascii="IRNazanin" w:hAnsi="IRNazanin" w:eastAsia="IRNazanin"/>
          <w:color w:val="111111"/>
          <w:sz w:val="28"/>
          <w:sz w:val="28"/>
          <w:szCs w:val="28"/>
          <w:rtl w:val="true"/>
          <w:lang w:bidi="fa-IR"/>
        </w:rPr>
        <w:t>والعمل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المراد بالبکر الفتیّ، وسیأتی أنّ فی قتل القطا والقَبْج والدرّاج حمل مفطوم </w:t>
      </w:r>
      <w:r>
        <w:rPr>
          <w:rStyle w:val="FootnoteAnchor"/>
          <w:rtl w:val="true"/>
        </w:rPr>
        <w:footnoteReference w:id="2308"/>
      </w:r>
      <w:r>
        <w:rPr>
          <w:rFonts w:ascii="IRNazanin" w:hAnsi="IRNazanin" w:eastAsia="IRNazanin"/>
          <w:color w:val="111111"/>
          <w:sz w:val="28"/>
          <w:sz w:val="28"/>
          <w:szCs w:val="28"/>
          <w:rtl w:val="true"/>
          <w:lang w:bidi="fa-IR"/>
        </w:rPr>
        <w:t>والفتیّ أعظم منه،</w:t>
      </w:r>
    </w:p>
    <w:p>
      <w:pPr>
        <w:pStyle w:val="BookText"/>
        <w:rPr/>
      </w:pPr>
      <w:r>
        <w:rPr>
          <w:rFonts w:ascii="IRNazanin" w:hAnsi="IRNazanin" w:eastAsia="IRNazanin"/>
          <w:color w:val="111111"/>
          <w:sz w:val="28"/>
          <w:sz w:val="28"/>
          <w:szCs w:val="28"/>
          <w:rtl w:val="true"/>
          <w:lang w:bidi="fa-IR"/>
        </w:rPr>
        <w:t>فیلزم وجوب الفداء للبیض أزید ممّا یجب فی الأصل، إلّاأن یحمل الفتیّ علی الحمل فصاعداً، وغایته حینئذٍ تساویهما فی الفداء، وهو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بیض القبج والدرّاج فخالٍ عن النصّ، ومن ثَمّ اختلفت العبارات فیها، ففی بعضها </w:t>
      </w:r>
      <w:r>
        <w:rPr>
          <w:rStyle w:val="FootnoteAnchor"/>
          <w:rtl w:val="true"/>
        </w:rPr>
        <w:footnoteReference w:id="2309"/>
      </w:r>
      <w:r>
        <w:rPr>
          <w:rFonts w:ascii="IRNazanin" w:hAnsi="IRNazanin" w:eastAsia="IRNazanin"/>
          <w:color w:val="111111"/>
          <w:sz w:val="28"/>
          <w:sz w:val="28"/>
          <w:szCs w:val="28"/>
          <w:rtl w:val="true"/>
          <w:lang w:bidi="fa-IR"/>
        </w:rPr>
        <w:t xml:space="preserve">اختصاص موضع النصّ وهو بیض القطا، وفی بعض </w:t>
      </w:r>
      <w:r>
        <w:rPr>
          <w:rStyle w:val="FootnoteAnchor"/>
          <w:rtl w:val="true"/>
        </w:rPr>
        <w:footnoteReference w:id="2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 الدروس </w:t>
      </w:r>
      <w:r>
        <w:rPr>
          <w:rStyle w:val="FootnoteAnchor"/>
          <w:rtl w:val="true"/>
        </w:rPr>
        <w:footnoteReference w:id="2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إلحاق القبج، وفی ثالثٍ </w:t>
      </w:r>
      <w:r>
        <w:rPr>
          <w:rStyle w:val="FootnoteAnchor"/>
          <w:rtl w:val="true"/>
        </w:rPr>
        <w:footnoteReference w:id="2312"/>
      </w:r>
      <w:r>
        <w:rPr>
          <w:rFonts w:ascii="IRNazanin" w:hAnsi="IRNazanin" w:eastAsia="IRNazanin"/>
          <w:color w:val="111111"/>
          <w:sz w:val="28"/>
          <w:sz w:val="28"/>
          <w:szCs w:val="28"/>
          <w:rtl w:val="true"/>
          <w:lang w:bidi="fa-IR"/>
        </w:rPr>
        <w:t>إلحاق الدرّاج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إلحاق القبج بالحمام فی البیض؛ لأنّه صنف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الفرخ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فی الغنم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النعام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فکبیض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أطلق الشیخ </w:t>
      </w:r>
      <w:r>
        <w:rPr>
          <w:rStyle w:val="FootnoteAnchor"/>
          <w:rtl w:val="true"/>
        </w:rPr>
        <w:footnoteReference w:id="2313"/>
      </w:r>
      <w:r>
        <w:rPr>
          <w:rFonts w:ascii="IRNazanin" w:hAnsi="IRNazanin" w:eastAsia="IRNazanin"/>
          <w:color w:val="111111"/>
          <w:sz w:val="28"/>
          <w:sz w:val="28"/>
          <w:szCs w:val="28"/>
          <w:rtl w:val="true"/>
          <w:lang w:bidi="fa-IR"/>
        </w:rPr>
        <w:t xml:space="preserve">تبعاً لظاهر الروایة </w:t>
      </w:r>
      <w:r>
        <w:rPr>
          <w:rStyle w:val="FootnoteAnchor"/>
          <w:rtl w:val="true"/>
        </w:rPr>
        <w:footnoteReference w:id="2314"/>
      </w:r>
      <w:r>
        <w:rPr>
          <w:rFonts w:ascii="Amiri" w:hAnsi="Amiri" w:eastAsia="Amiri" w:cs="Amiri"/>
          <w:color w:val="111111"/>
          <w:sz w:val="28"/>
          <w:sz w:val="28"/>
          <w:szCs w:val="28"/>
          <w:rtl w:val="true"/>
          <w:lang w:bidi="ar-SA"/>
        </w:rPr>
        <w:t xml:space="preserve">وتبعه الجماعة </w:t>
      </w:r>
      <w:r>
        <w:rPr>
          <w:rStyle w:val="FootnoteAnchor"/>
          <w:rtl w:val="true"/>
        </w:rPr>
        <w:footnoteReference w:id="2315"/>
      </w:r>
      <w:r>
        <w:rPr>
          <w:rFonts w:ascii="IRNazanin" w:hAnsi="IRNazanin" w:eastAsia="IRNazanin"/>
          <w:color w:val="111111"/>
          <w:sz w:val="28"/>
          <w:sz w:val="28"/>
          <w:szCs w:val="28"/>
          <w:rtl w:val="true"/>
          <w:lang w:bidi="fa-IR"/>
        </w:rPr>
        <w:t>وظاهره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 بیضة شاة، فإن عجز أطعم عشرة مساکین، فإن عجز صام ثلاثة أیّام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بأنّ الشاة لا تجب فی البیضة ابتداءً، بل إنّما یجب نتاجها حین</w:t>
      </w:r>
    </w:p>
    <w:p>
      <w:pPr>
        <w:pStyle w:val="BookText"/>
        <w:rPr/>
      </w:pPr>
      <w:r>
        <w:rPr>
          <w:rFonts w:ascii="IRNazanin" w:hAnsi="IRNazanin" w:eastAsia="IRNazanin"/>
          <w:color w:val="111111"/>
          <w:sz w:val="28"/>
          <w:sz w:val="28"/>
          <w:szCs w:val="28"/>
          <w:rtl w:val="true"/>
          <w:lang w:bidi="fa-IR"/>
        </w:rPr>
        <w:t>تولد علی تقدیر حصوله، وهو أقلّ من الشاة بکثیر، فکیف یجب مع العجز؟</w:t>
      </w:r>
    </w:p>
    <w:p>
      <w:pPr>
        <w:pStyle w:val="BookText"/>
        <w:rPr/>
      </w:pPr>
      <w:r>
        <w:rPr>
          <w:rFonts w:ascii="IRNazanin" w:hAnsi="IRNazanin" w:eastAsia="IRNazanin"/>
          <w:color w:val="111111"/>
          <w:sz w:val="28"/>
          <w:sz w:val="28"/>
          <w:szCs w:val="28"/>
          <w:rtl w:val="true"/>
          <w:lang w:bidi="fa-IR"/>
        </w:rPr>
        <w:t xml:space="preserve">وفسّره جماعة من المتأخّرین </w:t>
      </w:r>
      <w:r>
        <w:rPr>
          <w:rStyle w:val="FootnoteAnchor"/>
          <w:rtl w:val="true"/>
        </w:rPr>
        <w:footnoteReference w:id="2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المصنّف </w:t>
      </w:r>
      <w:r>
        <w:rPr>
          <w:rStyle w:val="FootnoteAnchor"/>
          <w:rtl w:val="true"/>
        </w:rPr>
        <w:footnoteReference w:id="2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وجوب الأمرین الأخیرین </w:t>
      </w:r>
      <w:r>
        <w:rPr>
          <w:rStyle w:val="FootnoteAnchor"/>
          <w:rtl w:val="true"/>
        </w:rPr>
        <w:footnoteReference w:id="2318"/>
      </w:r>
      <w:r>
        <w:rPr>
          <w:rFonts w:ascii="Amiri" w:hAnsi="Amiri" w:eastAsia="Amiri" w:cs="Amiri"/>
          <w:color w:val="111111"/>
          <w:sz w:val="28"/>
          <w:sz w:val="28"/>
          <w:szCs w:val="28"/>
          <w:rtl w:val="true"/>
          <w:lang w:bidi="ar-SA"/>
        </w:rPr>
        <w:t>دون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الحکم هو الأجود، لا لما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کون الشاة أشقّ من الإرسال، بل هی أسهل علی أکثر الناس؛ لتوقّفه علی تحصیل الإناث والذکور، وتحرّی زمن الحمل ومراجعتها إلی حین النتاج، وصرفه هدیاً للکعبة، وهذه اُمور تعسر علی الحاجّ غالباً أضعاف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الشاة یجب أن تکون مجزئة هنا بطریق أولی؛ لأ نّها أعلی قیمة وأکثر منفعة من النتاج، فیکون کبعض أفراد الواجب، والإرسال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تعذّر الواجب انتقل إلی بدله، وهو هنا الأمران الآخران </w:t>
      </w:r>
      <w:r>
        <w:rPr>
          <w:rStyle w:val="FootnoteAnchor"/>
          <w:rtl w:val="true"/>
        </w:rPr>
        <w:footnoteReference w:id="2319"/>
      </w:r>
      <w:r>
        <w:rPr>
          <w:rFonts w:ascii="IRNazanin" w:hAnsi="IRNazanin" w:eastAsia="IRNazanin"/>
          <w:color w:val="111111"/>
          <w:sz w:val="28"/>
          <w:sz w:val="28"/>
          <w:szCs w:val="28"/>
          <w:rtl w:val="true"/>
          <w:lang w:bidi="fa-IR"/>
        </w:rPr>
        <w:t>من حیث البدل العامّ لا الخاصّ، لقصوره عن الدلالة؛ لأنّ بدلیّتهما عن الشاة یقتضی بدلیتهما عما هو دونها قیمةً بطریقٍ 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الحمامة وهی المطوَّقة أو ما تَعُبُّ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أی تشربه من غیر مصّ کما تَعُبُّ الدوابّ ولا یأخذه بمنقاره قطرة قطرة کالدجاج والعصافیر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یمکن کونُه للتقسیم بمعنی کون کلّ واحد من النوعین حماماً، وکونُه للتردید، لاختلاف الفقهاء وأهل اللغة فی اختیار کلّ منهما، والمصنّف فی الدروس اختار الأوّل خاصّة </w:t>
      </w:r>
      <w:r>
        <w:rPr>
          <w:rStyle w:val="FootnoteAnchor"/>
          <w:rtl w:val="true"/>
        </w:rPr>
        <w:footnoteReference w:id="2320"/>
      </w:r>
      <w:r>
        <w:rPr>
          <w:rFonts w:ascii="IRNazanin" w:hAnsi="IRNazanin" w:eastAsia="IRNazanin"/>
          <w:color w:val="111111"/>
          <w:sz w:val="28"/>
          <w:sz w:val="28"/>
          <w:szCs w:val="28"/>
          <w:rtl w:val="true"/>
          <w:lang w:bidi="fa-IR"/>
        </w:rPr>
        <w:t xml:space="preserve">واختار المحقّق والعلّامة الثانی خاصّة </w:t>
      </w:r>
      <w:r>
        <w:rPr>
          <w:rStyle w:val="FootnoteAnchor"/>
          <w:rtl w:val="true"/>
        </w:rPr>
        <w:footnoteReference w:id="2321"/>
      </w:r>
      <w:r>
        <w:rPr>
          <w:rFonts w:ascii="IRNazanin" w:hAnsi="IRNazanin" w:eastAsia="IRNazanin"/>
          <w:color w:val="111111"/>
          <w:sz w:val="28"/>
          <w:sz w:val="28"/>
          <w:szCs w:val="28"/>
          <w:rtl w:val="true"/>
          <w:lang w:bidi="fa-IR"/>
        </w:rPr>
        <w:t>والظاهر</w:t>
      </w:r>
    </w:p>
    <w:p>
      <w:pPr>
        <w:pStyle w:val="BookText"/>
        <w:rPr/>
      </w:pPr>
      <w:r>
        <w:rPr>
          <w:rFonts w:ascii="IRNazanin" w:hAnsi="IRNazanin" w:eastAsia="IRNazanin"/>
          <w:color w:val="111111"/>
          <w:sz w:val="28"/>
          <w:sz w:val="28"/>
          <w:szCs w:val="28"/>
          <w:rtl w:val="true"/>
          <w:lang w:bidi="fa-IR"/>
        </w:rPr>
        <w:t>أنّ التفاوت بینهما قلیل، أو منتفٍ، وهو یصلح لجعل المصنِّف کلّاً منهما معرِّفاً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تقدیر فلا بدّ من إخراج القطا والحَجَل من التعریف؛ لأنّ لهما کفّارة معیّنة غیر کفّارة الحمام، مع مشارکتهما له فی التعریف، کما صرّح به جماعة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وکفّارة الحمام بأیّ معنی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علی المحرم فی الحلّ، ودرهم علی المحلّ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علیه فیه القیمة </w:t>
      </w:r>
      <w:r>
        <w:rPr>
          <w:rStyle w:val="FootnoteAnchor"/>
          <w:rtl w:val="true"/>
        </w:rPr>
        <w:footnoteReference w:id="2323"/>
      </w:r>
      <w:r>
        <w:rPr>
          <w:rFonts w:ascii="IRNazanin" w:hAnsi="IRNazanin" w:eastAsia="IRNazanin"/>
          <w:color w:val="111111"/>
          <w:sz w:val="28"/>
          <w:sz w:val="28"/>
          <w:szCs w:val="28"/>
          <w:rtl w:val="true"/>
          <w:lang w:bidi="fa-IR"/>
        </w:rPr>
        <w:t xml:space="preserve">وربّما قیل بوجوب أکثر الأمرین من الدرهم والقیمة </w:t>
      </w:r>
      <w:r>
        <w:rPr>
          <w:rStyle w:val="FootnoteAnchor"/>
          <w:rtl w:val="true"/>
        </w:rPr>
        <w:footnoteReference w:id="2324"/>
      </w:r>
      <w:r>
        <w:rPr>
          <w:rFonts w:ascii="Amiri" w:hAnsi="Amiri" w:eastAsia="Amiri" w:cs="Amiri"/>
          <w:color w:val="111111"/>
          <w:sz w:val="28"/>
          <w:sz w:val="28"/>
          <w:szCs w:val="28"/>
          <w:rtl w:val="true"/>
          <w:lang w:bidi="ar-SA"/>
        </w:rPr>
        <w:t xml:space="preserve">أمّا الدرهم فللنصّ </w:t>
      </w:r>
      <w:r>
        <w:rPr>
          <w:rStyle w:val="FootnoteAnchor"/>
          <w:rtl w:val="true"/>
        </w:rPr>
        <w:footnoteReference w:id="2325"/>
      </w:r>
      <w:r>
        <w:rPr>
          <w:rFonts w:ascii="IRNazanin" w:hAnsi="IRNazanin" w:eastAsia="IRNazanin"/>
          <w:color w:val="111111"/>
          <w:sz w:val="28"/>
          <w:sz w:val="28"/>
          <w:szCs w:val="28"/>
          <w:rtl w:val="true"/>
          <w:lang w:bidi="fa-IR"/>
        </w:rPr>
        <w:t>وأمّا القیمة فله أو لأنّها تجب للمملوک فی غیر الحرم، ففیه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وجوب الدرهم مطلقاً فی غیر الحمام المملوک، وفیه الأمران معاً، الدرهم للّٰه‌والقیمة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کلّ مملوک بالنسبة إلی فدائه وقیمته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والدرهم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المحرم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لکونه محرماً، والثانی لکونه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 التداخل، خصوصاً مع اختلاف حقیقة الواجب</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فرخها حَمَلٌ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الضأن ما سنّه أربعة أشهر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 درهم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المحرم فی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ویتوزّعان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الأوّل علی المحرم فی الحلّ، والثانی علی المحلّ فی الحرم</w:t>
      </w:r>
    </w:p>
    <w:p>
      <w:pPr>
        <w:pStyle w:val="BookText"/>
        <w:rPr/>
      </w:pPr>
      <w:r>
        <w:rPr>
          <w:rFonts w:ascii="Amiri" w:hAnsi="Amiri" w:eastAsia="Amiri" w:cs="Amiri"/>
          <w:color w:val="111111"/>
          <w:sz w:val="28"/>
          <w:sz w:val="28"/>
          <w:szCs w:val="28"/>
          <w:rtl w:val="true"/>
          <w:lang w:bidi="ar-SA"/>
        </w:rPr>
        <w:t>بقرینة ما تقدّم ترتیباً وواجباً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بیضها درهم وربع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المحرم فی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ویتوزّعان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Style w:val="FootnoteAnchor"/>
          <w:rtl w:val="true"/>
        </w:rPr>
        <w:footnoteReference w:id="2326"/>
      </w:r>
      <w:r>
        <w:rPr>
          <w:rFonts w:ascii="IRNazanin" w:hAnsi="IRNazanin" w:eastAsia="IRNazanin"/>
          <w:color w:val="111111"/>
          <w:sz w:val="28"/>
          <w:sz w:val="28"/>
          <w:szCs w:val="28"/>
          <w:rtl w:val="true"/>
          <w:lang w:bidi="fa-IR"/>
        </w:rPr>
        <w:t>أی الفاعلین أو الحالتین، فیجب درهم علی المحرم فی الحلّ وربعٌ علی المحلّ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یُفرِّق فی البیض بین کونه قبل تحرّک الفرخ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الأوّل، أمّا الثانی فحکمه حکم الفرخ کما صرّح به فی الدروس </w:t>
      </w:r>
      <w:r>
        <w:rPr>
          <w:rStyle w:val="FootnoteAnchor"/>
          <w:rtl w:val="true"/>
        </w:rPr>
        <w:footnoteReference w:id="2327"/>
      </w:r>
      <w:r>
        <w:rPr>
          <w:rFonts w:ascii="IRNazanin" w:hAnsi="IRNazanin" w:eastAsia="IRNazanin"/>
          <w:color w:val="111111"/>
          <w:sz w:val="28"/>
          <w:sz w:val="28"/>
          <w:szCs w:val="28"/>
          <w:rtl w:val="true"/>
          <w:lang w:bidi="fa-IR"/>
        </w:rPr>
        <w:t>وإن کان إلحاقه به مع الإطلاق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لم یُفرِّق بین الحمام المملوک وغیره، ولا بین الحرمی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ثبوت الفرق کما صرّح به فی الدروس </w:t>
      </w:r>
      <w:r>
        <w:rPr>
          <w:rStyle w:val="FootnoteAnchor"/>
          <w:rtl w:val="true"/>
        </w:rPr>
        <w:footnoteReference w:id="2328"/>
      </w:r>
      <w:r>
        <w:rPr>
          <w:rFonts w:ascii="IRNazanin" w:hAnsi="IRNazanin" w:eastAsia="IRNazanin"/>
          <w:color w:val="111111"/>
          <w:sz w:val="28"/>
          <w:sz w:val="28"/>
          <w:szCs w:val="28"/>
          <w:rtl w:val="true"/>
          <w:lang w:bidi="fa-IR"/>
        </w:rPr>
        <w:t xml:space="preserve">وغیره </w:t>
      </w:r>
      <w:r>
        <w:rPr>
          <w:rStyle w:val="FootnoteAnchor"/>
          <w:rtl w:val="true"/>
        </w:rPr>
        <w:footnoteReference w:id="2329"/>
      </w:r>
      <w:r>
        <w:rPr>
          <w:rFonts w:ascii="IRNazanin" w:hAnsi="IRNazanin" w:eastAsia="IRNazanin"/>
          <w:color w:val="111111"/>
          <w:sz w:val="28"/>
          <w:sz w:val="28"/>
          <w:szCs w:val="28"/>
          <w:rtl w:val="true"/>
          <w:lang w:bidi="fa-IR"/>
        </w:rPr>
        <w:t>فغیر المملوک حکمه ذلک، والحرمی منه یشتری 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الشاملة للفداء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علفاً لحمامه، ولیکن قمحاً؛ للروایة </w:t>
      </w:r>
      <w:r>
        <w:rPr>
          <w:rStyle w:val="FootnoteAnchor"/>
          <w:rtl w:val="true"/>
        </w:rPr>
        <w:footnoteReference w:id="2330"/>
      </w:r>
      <w:r>
        <w:rPr>
          <w:rFonts w:ascii="IRNazanin" w:hAnsi="IRNazanin" w:eastAsia="IRNazanin"/>
          <w:color w:val="111111"/>
          <w:sz w:val="28"/>
          <w:sz w:val="28"/>
          <w:szCs w:val="28"/>
          <w:rtl w:val="true"/>
          <w:lang w:bidi="fa-IR"/>
        </w:rPr>
        <w:t>والمملوک کذلک مع إذن المالک أو کونه المتلف، وإلّا وجب ما ذکر للّٰه‌وقیمته السوقیّة للمالک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کلّ واحد من القطا والحَجَل والدرّاج حَمَل مفطوم رعی </w:t>
      </w:r>
      <w:r>
        <w:rPr>
          <w:rStyle w:val="FootnoteAnchor"/>
          <w:rtl w:val="true"/>
        </w:rPr>
        <w:footnoteReference w:id="2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کمل سنّه أربعة أشهر، وهو قریب من صغیر الغنم فی فرخها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بُعد فی تساوی فداء الصغیر والکبیر، کما ذکرناه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أولی من حمل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اختاره ثَمّ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p>
    <w:p>
      <w:pPr>
        <w:pStyle w:val="BookText"/>
        <w:rPr/>
      </w:pPr>
      <w:r>
        <w:rPr>
          <w:rFonts w:ascii="IRNazanin" w:hAnsi="IRNazanin" w:eastAsia="IRNazanin"/>
          <w:color w:val="111111"/>
          <w:sz w:val="28"/>
          <w:sz w:val="28"/>
          <w:szCs w:val="28"/>
          <w:rtl w:val="true"/>
          <w:lang w:bidi="fa-IR"/>
        </w:rPr>
        <w:t>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أنّ فیها هنا مخاضاً بطریق أولی؛ للإجماع علی انتفاء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مبنی شرعنا علی اختلاف المتّفقات واتّفاق المختلفات </w:t>
      </w:r>
      <w:r>
        <w:rPr>
          <w:rStyle w:val="FootnoteAnchor"/>
          <w:rtl w:val="true"/>
        </w:rPr>
        <w:footnoteReference w:id="2333"/>
      </w:r>
      <w:r>
        <w:rPr>
          <w:rFonts w:ascii="IRNazanin" w:hAnsi="IRNazanin" w:eastAsia="IRNazanin"/>
          <w:color w:val="111111"/>
          <w:sz w:val="28"/>
          <w:sz w:val="28"/>
          <w:szCs w:val="28"/>
          <w:rtl w:val="true"/>
          <w:lang w:bidi="fa-IR"/>
        </w:rPr>
        <w:t>فجاز أن یثبت فی الصغیر زیادة 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ما ذکرناه؛ لعدم التنافی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تقدیر اختیار صغیر الغنم فی الصغیر کما اختاره المصنّف </w:t>
      </w:r>
      <w:r>
        <w:rPr>
          <w:rStyle w:val="FootnoteAnchor"/>
          <w:rtl w:val="true"/>
        </w:rPr>
        <w:footnoteReference w:id="2334"/>
      </w:r>
      <w:r>
        <w:rPr>
          <w:rFonts w:ascii="IRNazanin" w:hAnsi="IRNazanin" w:eastAsia="IRNazanin"/>
          <w:color w:val="111111"/>
          <w:sz w:val="28"/>
          <w:sz w:val="28"/>
          <w:szCs w:val="28"/>
          <w:rtl w:val="true"/>
          <w:lang w:bidi="fa-IR"/>
        </w:rPr>
        <w:t xml:space="preserve">أو علی وجوب الفتیّ کما اخترناه </w:t>
      </w:r>
      <w:r>
        <w:rPr>
          <w:rStyle w:val="FootnoteAnchor"/>
          <w:rtl w:val="true"/>
        </w:rPr>
        <w:footnoteReference w:id="2335"/>
      </w:r>
      <w:r>
        <w:rPr>
          <w:rFonts w:ascii="Amiri" w:hAnsi="Amiri" w:eastAsia="Amiri" w:cs="Amiri"/>
          <w:color w:val="111111"/>
          <w:sz w:val="28"/>
          <w:sz w:val="28"/>
          <w:szCs w:val="28"/>
          <w:rtl w:val="true"/>
          <w:lang w:bidi="ar-SA"/>
        </w:rPr>
        <w:t>وحَمْلِه علی الحَمَل، وإلّا بقی الإشکال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من القنفذ والضبّ والیربوع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فطیم </w:t>
      </w:r>
      <w:r>
        <w:rPr>
          <w:rStyle w:val="FootnoteAnchor"/>
          <w:rtl w:val="true"/>
        </w:rPr>
        <w:footnoteReference w:id="2336"/>
      </w:r>
      <w:r>
        <w:rPr>
          <w:rFonts w:ascii="Amiri" w:hAnsi="Amiri" w:eastAsia="Amiri" w:cs="Amiri"/>
          <w:color w:val="111111"/>
          <w:sz w:val="28"/>
          <w:sz w:val="28"/>
          <w:szCs w:val="28"/>
          <w:rtl w:val="true"/>
          <w:lang w:bidi="ar-SA"/>
        </w:rPr>
        <w:t xml:space="preserve">والمرویّ الأوّل </w:t>
      </w:r>
      <w:r>
        <w:rPr>
          <w:rStyle w:val="FootnoteAnchor"/>
          <w:rtl w:val="true"/>
        </w:rPr>
        <w:footnoteReference w:id="2337"/>
      </w:r>
      <w:r>
        <w:rPr>
          <w:rFonts w:ascii="IRNazanin" w:hAnsi="IRNazanin" w:eastAsia="IRNazanin"/>
          <w:color w:val="111111"/>
          <w:sz w:val="28"/>
          <w:sz w:val="28"/>
          <w:szCs w:val="28"/>
          <w:rtl w:val="true"/>
          <w:lang w:bidi="fa-IR"/>
        </w:rPr>
        <w:t>وإن کان الثانی مجزئاً بطریق أولی، ولعلّ القائل فسّر به الجدی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من القُبّرة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المضمومة ثم الباء المشدّدة بغیر نون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عصفور صغیر له ذنب طویل یرمح به </w:t>
      </w:r>
      <w:r>
        <w:rPr>
          <w:rStyle w:val="FootnoteAnchor"/>
          <w:rtl w:val="true"/>
        </w:rPr>
        <w:footnoteReference w:id="2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وهو ما دون الحمامة، فیشمل الآخرین </w:t>
      </w:r>
      <w:r>
        <w:rPr>
          <w:rStyle w:val="FootnoteAnchor"/>
          <w:rtl w:val="true"/>
        </w:rPr>
        <w:footnoteReference w:id="2339"/>
      </w:r>
      <w:r>
        <w:rPr>
          <w:rFonts w:ascii="Amiri" w:hAnsi="Amiri" w:eastAsia="Amiri" w:cs="Amiri"/>
          <w:color w:val="111111"/>
          <w:sz w:val="28"/>
          <w:sz w:val="28"/>
          <w:szCs w:val="28"/>
          <w:rtl w:val="true"/>
          <w:lang w:bidi="ar-SA"/>
        </w:rPr>
        <w:t xml:space="preserve">وإنّما جمعها تبعاً للنصّ </w:t>
      </w:r>
      <w:r>
        <w:rPr>
          <w:rStyle w:val="FootnoteAnchor"/>
          <w:rtl w:val="true"/>
        </w:rPr>
        <w:footnoteReference w:id="2340"/>
      </w:r>
      <w:r>
        <w:rPr>
          <w:rFonts w:ascii="IRNazanin" w:hAnsi="IRNazanin" w:eastAsia="IRNazanin"/>
          <w:color w:val="111111"/>
          <w:sz w:val="28"/>
          <w:sz w:val="28"/>
          <w:szCs w:val="28"/>
          <w:rtl w:val="true"/>
          <w:lang w:bidi="fa-IR"/>
        </w:rPr>
        <w:t>ویمکن أن یرید به العصفور الأهلی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تفسیره به فی الأطعمة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فیغایرهما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w:t>
      </w:r>
      <w:r>
        <w:rPr>
          <w:rStyle w:val="FootnoteAnchor"/>
          <w:rtl w:val="true"/>
        </w:rPr>
        <w:footnoteReference w:id="2341"/>
      </w:r>
      <w:r>
        <w:rPr>
          <w:rFonts w:ascii="IRNazanin" w:hAnsi="IRNazanin" w:eastAsia="IRNazanin"/>
          <w:color w:val="111111"/>
          <w:sz w:val="28"/>
          <w:sz w:val="28"/>
          <w:szCs w:val="28"/>
          <w:rtl w:val="true"/>
          <w:lang w:bidi="fa-IR"/>
        </w:rPr>
        <w:t>ما یؤکل من الحبوب وفروعها والتمر والزبیب وشبهها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الجرادة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وتمرة خیر من جرادة </w:t>
      </w:r>
      <w:r>
        <w:rPr>
          <w:rStyle w:val="FootnoteAnchor"/>
          <w:rtl w:val="true"/>
        </w:rPr>
        <w:footnoteReference w:id="2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من طعام </w:t>
      </w:r>
      <w:r>
        <w:rPr>
          <w:rStyle w:val="FootnoteAnchor"/>
          <w:rtl w:val="true"/>
        </w:rPr>
        <w:footnoteReference w:id="2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مرویّ أیضاً </w:t>
      </w:r>
      <w:r>
        <w:rPr>
          <w:rStyle w:val="FootnoteAnchor"/>
          <w:rtl w:val="true"/>
        </w:rPr>
        <w:footnoteReference w:id="2344"/>
      </w:r>
      <w:r>
        <w:rPr>
          <w:rFonts w:ascii="IRNazanin" w:hAnsi="IRNazanin" w:eastAsia="IRNazanin"/>
          <w:color w:val="111111"/>
          <w:sz w:val="28"/>
          <w:sz w:val="28"/>
          <w:szCs w:val="28"/>
          <w:rtl w:val="true"/>
          <w:lang w:bidi="fa-IR"/>
        </w:rPr>
        <w:t xml:space="preserve">فیتخیّر بینهما جمعاً، واختاره فی الدروس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کثیر الجراد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فی الکثرة إلی العرف، ویحتمل اللغة فیکون الثلاثة کثیراً، ویجب لما دونه فی کلّ واحدة تمرة أو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یمکن التحرّز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قتله، بأن کان علی طریقه بحیث لا یمکن التحرّز منه إلّابمشقّة کثیرة لا تتحمّل عادة، لا الإمکان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یلقیها عن ثوبه أو بدنه وما أشبههما أو یقتلها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فی البرغوث وإن منعنا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ما ذکر حکم المحرم فی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المحلّ فی الحرم فعلیه القیمة فیما لم ینصّ علی غیرها، ویجتمعان علی المحرم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قیمة فکفّارته الاستغفار</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نفَّر حمام الحرم وعاد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کلّ واحدة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ومستنده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الحکم</w:t>
      </w:r>
    </w:p>
    <w:p>
      <w:pPr>
        <w:pStyle w:val="BookText"/>
        <w:rPr/>
      </w:pPr>
      <w:r>
        <w:rPr>
          <w:rFonts w:ascii="IRNazanin" w:hAnsi="IRNazanin" w:eastAsia="IRNazanin"/>
          <w:color w:val="111111"/>
          <w:sz w:val="28"/>
          <w:sz w:val="28"/>
          <w:szCs w:val="28"/>
          <w:rtl w:val="true"/>
          <w:lang w:bidi="fa-IR"/>
        </w:rPr>
        <w:t>یشتمل مطلق التنفیر وإن لم یخرج من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المصنّف فی بعض تحقیقاته </w:t>
      </w:r>
      <w:r>
        <w:rPr>
          <w:rStyle w:val="FootnoteAnchor"/>
          <w:rtl w:val="true"/>
        </w:rPr>
        <w:footnoteReference w:id="2346"/>
      </w:r>
      <w:r>
        <w:rPr>
          <w:rFonts w:ascii="IRNazanin" w:hAnsi="IRNazanin" w:eastAsia="IRNazanin"/>
          <w:color w:val="111111"/>
          <w:sz w:val="28"/>
          <w:sz w:val="28"/>
          <w:szCs w:val="28"/>
          <w:rtl w:val="true"/>
          <w:lang w:bidi="fa-IR"/>
        </w:rPr>
        <w:t>بما لو تجاوز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وظاهرهم أنّ هذا حکم المحرم فی الحرم، فلو کان محلّاً فمقتضی القواعد وجوب القیمة إن لم یعد، تنزیلاً له منزلة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حکمه مع العود، وکذا حکم المحرم لو فعل ذلک فی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المُنفَّر واحدة ففی وجوب الشاة مع عودها وعدمه تَساوی الحالتین،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عدم وجوب شیءٍ مع العود وقوفاً فیما خالف الأصل علی موضع الیقین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نجعله اسم جنس یقع علی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الإشکال لو عاد البعض خاصّة وکان کلّ من الذاهب والعائد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الإشکال فی العائد وإن کثر؛ لعدم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المنفِّر جماعة ففی تعدّد الفداء علیهم أو اشتراکهم فیه، خصوصاً مع کون فعل کلّ واحد لا یوجب النفور،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إلحاق غیر الحمام به، وحیث لا نصّ ظاهراً ینبغی القطع بعدم اللحوق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عاد فلا شیء، ولو لم یعد ففی إلحاقه بالإتلاف نظر، لاختلاف الحقیقتین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العدد بنی علی الأقلّ، وفی العود علی عدمه، عملاً بالأصل فیهما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أغلق علی حمام وفراخ وبیض فکالإتلاف مع جهل الحال أو علم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فیضمن المحرمُ فی الحلّ کلَّ حمامة بشاة، والفرخَ بحمل، والبیضةَ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والمحلُّ فی الحرم الحمامةَ بدرهم، والفرخَ بنصفه، والبیضة بربعه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ویجتمعان علی من جمع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حمام الحرم وغیره إلّاعلی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باشر الإتلاف جماعة أو تسبّبوا أو باشر بعض وتسبّب 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 من الفعلین موجب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باشر واحد اُموراً متعدّدة یجب لکلّ </w:t>
      </w:r>
      <w:r>
        <w:rPr>
          <w:rStyle w:val="FootnoteAnchor"/>
          <w:rtl w:val="true"/>
        </w:rPr>
        <w:footnoteReference w:id="2347"/>
      </w:r>
      <w:r>
        <w:rPr>
          <w:rFonts w:ascii="IRNazanin" w:hAnsi="IRNazanin" w:eastAsia="IRNazanin"/>
          <w:color w:val="111111"/>
          <w:sz w:val="28"/>
          <w:sz w:val="28"/>
          <w:szCs w:val="28"/>
          <w:rtl w:val="true"/>
          <w:lang w:bidi="fa-IR"/>
        </w:rPr>
        <w:t>منها الفداء، کما لو اصطاد وذبح وأکل، أو کسر البیض وأکل، أو دلّ علی الصید وأکل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کونهم محرمین ومحلّین فی الحرم والتفریق، فیلزم کلّاً حکمه، فیجتمع علی المحرم منهم فی الحرم الأمران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کسر قرنی الغزال نصف قیمته، وفی عینیه أو یدیه أو رجلیه القیمة، والواحد بالحساب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نصف القیمة، ولو جمع بینه وبین آخر من اثنین فتمام القیمة، 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ضعیف </w:t>
      </w:r>
      <w:r>
        <w:rPr>
          <w:rStyle w:val="FootnoteAnchor"/>
          <w:rtl w:val="true"/>
        </w:rPr>
        <w:footnoteReference w:id="2348"/>
      </w:r>
      <w:r>
        <w:rPr>
          <w:rFonts w:ascii="IRNazanin" w:hAnsi="IRNazanin" w:eastAsia="IRNazanin"/>
          <w:color w:val="111111"/>
          <w:sz w:val="28"/>
          <w:sz w:val="28"/>
          <w:szCs w:val="28"/>
          <w:rtl w:val="true"/>
          <w:lang w:bidi="fa-IR"/>
        </w:rPr>
        <w:t>وزعموا أنّ ضعفه منجبر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جزم بالحکم فی العینین، ونسبه فی الیدین والرجلین إلی القیل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وجوب الأرش فی الجمیع؛ لأنّه نقص حدث علی الصید، فیجب أرشه حیث لا معیِّن یعتمد علیه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یدخل الصید فی ملک المحرم بحیازة ولا عقد ولا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غیرها من الأسباب المملِّکة کنذره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عنده، أمّا النائی فالأقوی دخوله فی ملکه ابتداءً اختیاراً کالشراء وغیره کالإرث، وعدم خروجه بالإحرام، والمرجع فیه إلی العرف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نتف ریشة من حمام الحرم فعلیه صدقة بتلک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الجانیة، ولیس فی العبارة أ نّه نتفها بالید حتی یشیر إلیها، بل هی أعمّ، لجواز نتفها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وردت بأ نّه یتصدّق بالید الجانیة </w:t>
      </w:r>
      <w:r>
        <w:rPr>
          <w:rStyle w:val="FootnoteAnchor"/>
          <w:rtl w:val="true"/>
        </w:rPr>
        <w:footnoteReference w:id="2350"/>
      </w:r>
      <w:r>
        <w:rPr>
          <w:rFonts w:ascii="IRNazanin" w:hAnsi="IRNazanin" w:eastAsia="IRNazanin"/>
          <w:color w:val="111111"/>
          <w:sz w:val="28"/>
          <w:sz w:val="28"/>
          <w:szCs w:val="28"/>
          <w:rtl w:val="true"/>
          <w:lang w:bidi="fa-IR"/>
        </w:rPr>
        <w:t>وهی سالمة من الإ 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 النتف بغیر الید جازت الصدقة کیف شاء ویجزئ مسمّاها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تسقط بنبات الریش، ولا تجزئ بغیر الید الجانیة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نتف أکثر من ریشة ففی الرجوع إلی الأرش عملاً بالقاعدة أو تعدّد الصدقة بتعدّده؟ وجهان، اختار ثانیهما المصنّف فی الدروس </w:t>
      </w:r>
      <w:r>
        <w:rPr>
          <w:rStyle w:val="FootnoteAnchor"/>
          <w:rtl w:val="true"/>
        </w:rPr>
        <w:footnoteReference w:id="2351"/>
      </w:r>
      <w:r>
        <w:rPr>
          <w:rFonts w:ascii="IRNazanin" w:hAnsi="IRNazanin" w:eastAsia="IRNazanin"/>
          <w:color w:val="111111"/>
          <w:sz w:val="28"/>
          <w:sz w:val="28"/>
          <w:szCs w:val="28"/>
          <w:rtl w:val="true"/>
          <w:lang w:bidi="fa-IR"/>
        </w:rPr>
        <w:t>وهو حسن إن وقع النتف علی التعاقب، وإلّا فالأوّل أحسن إن أوجب أرشاً، وإلّا تصدّق بشیءٍ، لثبوته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نتف غیر الحمامة أو غیر الریش فالأرش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أحدث ما لا یوجب الأرش نقصاً ضمن أرشه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تسلیمه بالید الجانیة؛ للأصل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جزاء الصید مطلقاً یجب 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إحرام الحجّ، وبمکة فی إحرام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افتقر إلی الذبح وجب فیهما أیضاً کالصدقة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تجزئ الصدقة قبل الذبح، ومستحقّه الفقراء والمساکین بالحرم فعلاً أو قوّة کوکیلهم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الأکل منه إلّابعد انتقاله إلی المستحقّ بإذنه، ویجوز فی الإطعام التملیک والأکل</w:t>
      </w:r>
      <w:r>
        <w:rPr>
          <w:rFonts w:eastAsia="IRNazanin" w:cs="IRNazanin"/>
          <w:color w:val="111111"/>
          <w:sz w:val="28"/>
          <w:szCs w:val="28"/>
          <w:rtl w:val="true"/>
          <w:lang w:bidi="fa-IR"/>
        </w:rPr>
        <w:t>.</w:t>
      </w:r>
      <w:bookmarkStart w:id="641" w:name="pg19806_203788"/>
    </w:p>
    <w:p>
      <w:pPr>
        <w:pStyle w:val="Heading4"/>
        <w:numPr>
          <w:ilvl w:val="3"/>
          <w:numId w:val="1"/>
        </w:numPr>
        <w:rPr/>
      </w:pPr>
      <w:bookmarkStart w:id="642" w:name="__RefHeading___Toc2028177_2314609296"/>
      <w:bookmarkStart w:id="643" w:name="_Toc236"/>
      <w:bookmarkEnd w:id="641"/>
      <w:bookmarkEnd w:id="642"/>
      <w:r>
        <w:rPr>
          <w:rtl w:val="true"/>
        </w:rPr>
        <w:t>«</w:t>
      </w:r>
      <w:r>
        <w:rPr>
          <w:rtl w:val="true"/>
        </w:rPr>
        <w:t>البحث الثانی</w:t>
      </w:r>
      <w:r>
        <w:rPr>
          <w:rtl w:val="true"/>
        </w:rPr>
        <w:t>» «</w:t>
      </w:r>
      <w:r>
        <w:rPr>
          <w:rtl w:val="true"/>
        </w:rPr>
        <w:t>فی</w:t>
      </w:r>
      <w:r>
        <w:rPr>
          <w:rtl w:val="true"/>
        </w:rPr>
        <w:t xml:space="preserve">» </w:t>
      </w:r>
      <w:r>
        <w:rPr>
          <w:rtl w:val="true"/>
        </w:rPr>
        <w:t xml:space="preserve">کفّارة </w:t>
      </w:r>
      <w:r>
        <w:rPr>
          <w:rtl w:val="true"/>
        </w:rPr>
        <w:t>«</w:t>
      </w:r>
      <w:r>
        <w:rPr>
          <w:rtl w:val="true"/>
        </w:rPr>
        <w:t>باقی المحرّمات</w:t>
      </w:r>
      <w:r>
        <w:rPr>
          <w:rtl w:val="true"/>
        </w:rPr>
        <w:t>»</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عامداً عالماً 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أو دبراً قبل المشعر وإن وقف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بدنة، ویتمّ حجه ویأتی به من قابل </w:t>
      </w:r>
      <w:r>
        <w:rPr>
          <w:rStyle w:val="FootnoteAnchor"/>
          <w:rtl w:val="true"/>
        </w:rPr>
        <w:footnoteReference w:id="2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فوریّاً إن کان الأصل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الحجّ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الزوجة والأجنبیّة، ولا بین الحرّة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ووطء الغلام کذلک فی أصحّ القولین </w:t>
      </w:r>
      <w:r>
        <w:rPr>
          <w:rStyle w:val="FootnoteAnchor"/>
          <w:rtl w:val="true"/>
        </w:rPr>
        <w:footnoteReference w:id="2353"/>
      </w:r>
      <w:r>
        <w:rPr>
          <w:rFonts w:ascii="IRNazanin" w:hAnsi="IRNazanin" w:eastAsia="IRNazanin"/>
          <w:color w:val="111111"/>
          <w:sz w:val="28"/>
          <w:sz w:val="28"/>
          <w:szCs w:val="28"/>
          <w:rtl w:val="true"/>
          <w:lang w:bidi="fa-IR"/>
        </w:rPr>
        <w:t>دون الدابّة فی الأشهر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الاُولی فرضه والثانیة عقوبة، أو بالعکس؟ قولان </w:t>
      </w:r>
      <w:r>
        <w:rPr>
          <w:rStyle w:val="FootnoteAnchor"/>
          <w:rtl w:val="true"/>
        </w:rPr>
        <w:footnoteReference w:id="2354"/>
      </w:r>
      <w:r>
        <w:rPr>
          <w:rFonts w:ascii="Amiri" w:hAnsi="Amiri" w:eastAsia="Amiri" w:cs="Amiri"/>
          <w:color w:val="111111"/>
          <w:sz w:val="28"/>
          <w:sz w:val="28"/>
          <w:szCs w:val="28"/>
          <w:rtl w:val="true"/>
          <w:lang w:bidi="ar-SA"/>
        </w:rPr>
        <w:t xml:space="preserve">والمرویّ الأوّل، إلّا أنّ الروایة مقطوعة </w:t>
      </w:r>
      <w:r>
        <w:rPr>
          <w:rStyle w:val="FootnoteAnchor"/>
          <w:rtl w:val="true"/>
        </w:rPr>
        <w:footnoteReference w:id="2355"/>
      </w:r>
      <w:r>
        <w:rPr>
          <w:rFonts w:ascii="Amiri" w:hAnsi="Amiri" w:eastAsia="Amiri" w:cs="Amiri"/>
          <w:color w:val="111111"/>
          <w:sz w:val="28"/>
          <w:sz w:val="28"/>
          <w:szCs w:val="28"/>
          <w:rtl w:val="true"/>
          <w:lang w:bidi="ar-SA"/>
        </w:rPr>
        <w:t xml:space="preserve">وقد تقدّم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وتظهر الفائدة فی الأجیر لتلک السنة، أو مطلقاً، وفی کفّارة خلف النذر وشبهه لو عیّنه بتلک السنّة، وفی المفسد المصدود </w:t>
      </w:r>
      <w:r>
        <w:rPr>
          <w:rStyle w:val="FootnoteAnchor"/>
          <w:rtl w:val="true"/>
        </w:rPr>
        <w:footnoteReference w:id="2357"/>
      </w:r>
      <w:r>
        <w:rPr>
          <w:rFonts w:ascii="IRNazanin" w:hAnsi="IRNazanin" w:eastAsia="IRNazanin"/>
          <w:color w:val="111111"/>
          <w:sz w:val="28"/>
          <w:sz w:val="28"/>
          <w:szCs w:val="28"/>
          <w:rtl w:val="true"/>
          <w:lang w:bidi="fa-IR"/>
        </w:rPr>
        <w:t>إذا تحلّل ثم قدر علی الحجّ لسنته أو 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وعلیها مطاوعةً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وقضاء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واحترزنا بالعالم العامد عن الناسی ولو للحکم، والجاهل، فلا شیء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تقییده وإن امکن إخراج الناسی من حیث عدم کونه محرّماً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الجاهل فآثم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ویفترقان إذا بلغا موضع الخطیئة بمصاحبة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المناسک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الفاسد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 الخطیئة إلی تمام مناسکه </w:t>
      </w:r>
      <w:r>
        <w:rPr>
          <w:rStyle w:val="FootnoteAnchor"/>
          <w:rtl w:val="true"/>
        </w:rPr>
        <w:footnoteReference w:id="2358"/>
      </w:r>
      <w:r>
        <w:rPr>
          <w:rFonts w:ascii="Amiri" w:hAnsi="Amiri" w:eastAsia="Amiri" w:cs="Amiri"/>
          <w:color w:val="111111"/>
          <w:sz w:val="28"/>
          <w:sz w:val="28"/>
          <w:szCs w:val="28"/>
          <w:rtl w:val="true"/>
          <w:lang w:bidi="ar-SA"/>
        </w:rPr>
        <w:t xml:space="preserve">وهو قویّ مرویّ </w:t>
      </w:r>
      <w:r>
        <w:rPr>
          <w:rStyle w:val="FootnoteAnchor"/>
          <w:rtl w:val="true"/>
        </w:rPr>
        <w:footnoteReference w:id="2359"/>
      </w:r>
      <w:r>
        <w:rPr>
          <w:rFonts w:ascii="IRNazanin" w:hAnsi="IRNazanin" w:eastAsia="IRNazanin"/>
          <w:color w:val="111111"/>
          <w:sz w:val="28"/>
          <w:sz w:val="28"/>
          <w:szCs w:val="28"/>
          <w:rtl w:val="true"/>
          <w:lang w:bidi="fa-IR"/>
        </w:rPr>
        <w:t xml:space="preserve">وبه قطع المصنّف فی الدروس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حجّا فی القابل علی غیر تلک الطریق فلا تفریق وإن وصل </w:t>
      </w:r>
      <w:r>
        <w:rPr>
          <w:rStyle w:val="FootnoteAnchor"/>
          <w:rtl w:val="true"/>
        </w:rPr>
        <w:footnoteReference w:id="2361"/>
      </w:r>
      <w:r>
        <w:rPr>
          <w:rFonts w:ascii="IRNazanin" w:hAnsi="IRNazanin" w:eastAsia="IRNazanin"/>
          <w:color w:val="111111"/>
          <w:sz w:val="28"/>
          <w:sz w:val="28"/>
          <w:szCs w:val="28"/>
          <w:rtl w:val="true"/>
          <w:lang w:bidi="fa-IR"/>
        </w:rPr>
        <w:t>إلی موضع یتّفق فیه الطریقان کعرفة، مع احتمال وجوب التفریق فی المتّفق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توقّفت مصاحبة الثالث علی اُجرة أو نفقة وجبت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مکرهاً لها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یجب علیه القضاء عنها، لعدم فساد حجّها بالإکراه، کما لا یفسد حجّه لو أکرهته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تحمّلها عنه البدنة وتحمّل الأجنبیّ لو أکرههما وجهان، أقربهما العدم؛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الجماع بعد الإفساد تکرّرت البدنة لا غیر، سواء کفَّر عن الأوّل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جامع فی القضاء لزمه ما لزمه أوّلاً، سواء جعلناها فرضه أم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قضاء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الإفساد بالجماع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المشعر إلی أربعة أشواط من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تمام الخمسة، أمّا بعدها فلا خلاف فی عدم وجوب البدنة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الحکمَ أولی یدلّ علی اکتفائه بالأربعة فی 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قطع باعتبار الخمسة ونسب اعتبار الأربعة إلی الشیخ والروایة </w:t>
      </w:r>
      <w:r>
        <w:rPr>
          <w:rStyle w:val="FootnoteAnchor"/>
          <w:rtl w:val="true"/>
        </w:rPr>
        <w:footnoteReference w:id="2362"/>
      </w:r>
      <w:r>
        <w:rPr>
          <w:rFonts w:ascii="IRNazanin" w:hAnsi="IRNazanin" w:eastAsia="IRNazanin"/>
          <w:color w:val="111111"/>
          <w:sz w:val="28"/>
          <w:sz w:val="28"/>
          <w:szCs w:val="28"/>
          <w:rtl w:val="true"/>
          <w:lang w:bidi="fa-IR"/>
        </w:rPr>
        <w:t xml:space="preserve">وهی ضعیفة </w:t>
      </w:r>
      <w:r>
        <w:rPr>
          <w:rStyle w:val="FootnoteAnchor"/>
          <w:rtl w:val="true"/>
        </w:rPr>
        <w:footnoteReference w:id="2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الأربعة فی البناء علیه وإن وجبت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قبل إکمال الأربعة فلا خلاف فی وجوبها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لو کان قبل طواف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إکماله وإن بقی منه خطوة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وعجز عن البدنة تخیّر بینها وبین بقرة أو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للتخییر بین البدنة</w:t>
      </w:r>
    </w:p>
    <w:p>
      <w:pPr>
        <w:pStyle w:val="BookText"/>
        <w:rPr/>
      </w:pPr>
      <w:r>
        <w:rPr>
          <w:rFonts w:ascii="IRNazanin" w:hAnsi="IRNazanin" w:eastAsia="IRNazanin"/>
          <w:color w:val="111111"/>
          <w:sz w:val="28"/>
          <w:sz w:val="28"/>
          <w:szCs w:val="28"/>
          <w:rtl w:val="true"/>
          <w:lang w:bidi="fa-IR"/>
        </w:rPr>
        <w:t>وغیرها بعد العجز عنها، فکان الأولی أ نّه مع العجز عنها یجب بقرة أو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أوجب فیه بدنة، فإن عجز فبقرة، فإن عجز فشاة </w:t>
      </w:r>
      <w:r>
        <w:rPr>
          <w:rStyle w:val="FootnoteAnchor"/>
          <w:rtl w:val="true"/>
        </w:rPr>
        <w:footnoteReference w:id="2364"/>
      </w:r>
      <w:r>
        <w:rPr>
          <w:rFonts w:ascii="IRNazanin" w:hAnsi="IRNazanin" w:eastAsia="IRNazanin"/>
          <w:color w:val="111111"/>
          <w:sz w:val="28"/>
          <w:sz w:val="28"/>
          <w:szCs w:val="28"/>
          <w:rtl w:val="true"/>
          <w:lang w:bidi="fa-IR"/>
        </w:rPr>
        <w:t xml:space="preserve">وغیره خیّر بین البقرة والشاة </w:t>
      </w:r>
      <w:r>
        <w:rPr>
          <w:rStyle w:val="FootnoteAnchor"/>
          <w:rtl w:val="true"/>
        </w:rPr>
        <w:footnoteReference w:id="2365"/>
      </w:r>
      <w:r>
        <w:rPr>
          <w:rFonts w:ascii="IRNazanin" w:hAnsi="IRNazanin" w:eastAsia="IRNazanin"/>
          <w:color w:val="111111"/>
          <w:sz w:val="28"/>
          <w:sz w:val="28"/>
          <w:szCs w:val="28"/>
          <w:rtl w:val="true"/>
          <w:lang w:bidi="fa-IR"/>
        </w:rPr>
        <w:t>والنصوص خالیة عن هذا التفصیل، لکنّه مشهور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ترتیبه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اُطلق فی بعضها الجزور </w:t>
      </w:r>
      <w:r>
        <w:rPr>
          <w:rStyle w:val="FootnoteAnchor"/>
          <w:rtl w:val="true"/>
        </w:rPr>
        <w:footnoteReference w:id="2366"/>
      </w:r>
      <w:r>
        <w:rPr>
          <w:rFonts w:ascii="IRNazanin" w:hAnsi="IRNazanin" w:eastAsia="IRNazanin"/>
          <w:color w:val="111111"/>
          <w:sz w:val="28"/>
          <w:sz w:val="28"/>
          <w:szCs w:val="28"/>
          <w:rtl w:val="true"/>
          <w:lang w:bidi="fa-IR"/>
        </w:rPr>
        <w:t xml:space="preserve">وفی بعضها الشاة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جامع أمته المحرمة بإذنه محلّاً فعلیه بدنة أو بقرة أو شاة، فإن عجز عن البدنة والبقرة فشاة أو صیام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هکذا وردت الروایة </w:t>
      </w:r>
      <w:r>
        <w:rPr>
          <w:rStyle w:val="FootnoteAnchor"/>
          <w:rtl w:val="true"/>
        </w:rPr>
        <w:footnoteReference w:id="2368"/>
      </w:r>
      <w:r>
        <w:rPr>
          <w:rFonts w:ascii="IRNazanin" w:hAnsi="IRNazanin" w:eastAsia="IRNazanin"/>
          <w:color w:val="111111"/>
          <w:sz w:val="28"/>
          <w:sz w:val="28"/>
          <w:szCs w:val="28"/>
          <w:rtl w:val="true"/>
          <w:lang w:bidi="fa-IR"/>
        </w:rPr>
        <w:t xml:space="preserve">وأفتی بها الأصحاب </w:t>
      </w:r>
      <w:r>
        <w:rPr>
          <w:rStyle w:val="FootnoteAnchor"/>
          <w:rtl w:val="true"/>
        </w:rPr>
        <w:footnoteReference w:id="2369"/>
      </w:r>
      <w:r>
        <w:rPr>
          <w:rFonts w:ascii="IRNazanin" w:hAnsi="IRNazanin" w:eastAsia="IRNazanin"/>
          <w:color w:val="111111"/>
          <w:sz w:val="28"/>
          <w:sz w:val="28"/>
          <w:szCs w:val="28"/>
          <w:rtl w:val="true"/>
          <w:lang w:bidi="fa-IR"/>
        </w:rPr>
        <w:t xml:space="preserve">وهی شاملة بإطلاقها ما لو أکرهها أو طاوعته </w:t>
      </w:r>
      <w:r>
        <w:rPr>
          <w:rStyle w:val="FootnoteAnchor"/>
          <w:rtl w:val="true"/>
        </w:rPr>
        <w:footnoteReference w:id="2370"/>
      </w:r>
      <w:r>
        <w:rPr>
          <w:rFonts w:ascii="IRNazanin" w:hAnsi="IRNazanin" w:eastAsia="IRNazanin"/>
          <w:color w:val="111111"/>
          <w:sz w:val="28"/>
          <w:sz w:val="28"/>
          <w:szCs w:val="28"/>
          <w:rtl w:val="true"/>
          <w:lang w:bidi="fa-IR"/>
        </w:rPr>
        <w:t>لکن مع مطاوعتها یجب علیها الکفّارة أیضاً بدنة، وصامت عوضها ثمانیة عشر یوماً مع علمها بالتحریم، وإلّا فلا شیء علیها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بإعساره الموجب للشاة أو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إعساره عن البدنة والبقرة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یقیَّد فی الروایة والفتوی الجماعُ بوقت، فیشمل سائر أوقات إحرامها التی یحرم الجماع بالنسبة إلیه، أمّا بالنسبة إلیها فیختلف الحکم کالسابق، فلو کان قبل الوقوف بالمشعر فسد حجّها مع المطاوعة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بالمحرمة بإذنه عمّا لو فعلته بغیره، فإنّه یلغو فلا شیء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یلحق بها الغلام المحرم بإذنه وإن کان أفحش، لعدم النصّ، وجواز اختصاص الفاحش بعدم الکفّارة عقوبةً، کسقوطها عن معاود الصید عمداً للانتقام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نظر إلی أجنبیّة فأمنی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قصد له ولا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فبدنة للموسر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وبقرة للمتوسّط، وشاة للمعسر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المفهومات الثلاثة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ذلک علی الترتیب، فتجب البدنة علی القادر علیها فإن عجز عنها فالبقرة، فإن عجز عنها فالشاة </w:t>
      </w:r>
      <w:r>
        <w:rPr>
          <w:rStyle w:val="FootnoteAnchor"/>
          <w:rtl w:val="true"/>
        </w:rPr>
        <w:footnoteReference w:id="2372"/>
      </w:r>
      <w:r>
        <w:rPr>
          <w:rFonts w:ascii="IRNazanin" w:hAnsi="IRNazanin" w:eastAsia="IRNazanin"/>
          <w:color w:val="111111"/>
          <w:sz w:val="28"/>
          <w:sz w:val="28"/>
          <w:szCs w:val="28"/>
          <w:rtl w:val="true"/>
          <w:lang w:bidi="fa-IR"/>
        </w:rPr>
        <w:t xml:space="preserve">وبه قطع فی الدروس </w:t>
      </w:r>
      <w:r>
        <w:rPr>
          <w:rStyle w:val="FootnoteAnchor"/>
          <w:rtl w:val="true"/>
        </w:rPr>
        <w:footnoteReference w:id="2373"/>
      </w:r>
      <w:r>
        <w:rPr>
          <w:rFonts w:ascii="IRNazanin" w:hAnsi="IRNazanin" w:eastAsia="IRNazanin"/>
          <w:color w:val="111111"/>
          <w:sz w:val="28"/>
          <w:sz w:val="28"/>
          <w:szCs w:val="28"/>
          <w:rtl w:val="true"/>
          <w:lang w:bidi="fa-IR"/>
        </w:rPr>
        <w:t xml:space="preserve">والروایة تدلّ علی الأوّل، وفیها أنّ الکفارة للنظر لا للإمناء </w:t>
      </w:r>
      <w:r>
        <w:rPr>
          <w:rStyle w:val="FootnoteAnchor"/>
          <w:rtl w:val="true"/>
        </w:rPr>
        <w:footnoteReference w:id="2374"/>
      </w:r>
      <w:r>
        <w:rPr>
          <w:rFonts w:ascii="IRNazanin" w:hAnsi="IRNazanin" w:eastAsia="IRNazanin"/>
          <w:color w:val="111111"/>
          <w:sz w:val="28"/>
          <w:sz w:val="28"/>
          <w:szCs w:val="28"/>
          <w:rtl w:val="true"/>
          <w:lang w:bidi="fa-IR"/>
        </w:rPr>
        <w:t>ولو قصده أو کان من عادته فکالمستمنی، وسیأتی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نظر إلی زوجته بشهوة فأمنی فبدنة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جزور </w:t>
      </w:r>
      <w:r>
        <w:rPr>
          <w:rStyle w:val="FootnoteAnchor"/>
          <w:rtl w:val="true"/>
        </w:rPr>
        <w:footnoteReference w:id="2375"/>
      </w:r>
      <w:r>
        <w:rPr>
          <w:rFonts w:ascii="IRNazanin" w:hAnsi="IRNazanin" w:eastAsia="IRNazanin"/>
          <w:color w:val="111111"/>
          <w:sz w:val="28"/>
          <w:sz w:val="28"/>
          <w:szCs w:val="28"/>
          <w:rtl w:val="true"/>
          <w:lang w:bidi="fa-IR"/>
        </w:rPr>
        <w:t>والظاهر اجزاؤهما، وبغیر شهوة لا شیء وإن أمنی ما لم یقصده أو یعتده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مسّها فشاة إن کان بشهوة وإن لم یمن، وبغیر شهوة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أمنی ما لم یحصل أحد الوصفین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تقبیلها بشهوة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أم لا، ولو طاوعته فعلیها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بغیر 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أم لا مع عدم الوصفین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أمنی بالاستمناء أو بغیره من الأسباب التی تصدر عنه فبدنة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وهل یفسد به الحجّ مع تعمّده والعلم بتحریمه؟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377"/>
      </w:r>
      <w:r>
        <w:rPr>
          <w:rFonts w:ascii="Amiri" w:hAnsi="Amiri" w:eastAsia="Amiri" w:cs="Amiri"/>
          <w:color w:val="111111"/>
          <w:sz w:val="28"/>
          <w:sz w:val="28"/>
          <w:szCs w:val="28"/>
          <w:rtl w:val="true"/>
          <w:lang w:bidi="ar-SA"/>
        </w:rPr>
        <w:t xml:space="preserve">وهو المرویّ </w:t>
      </w:r>
      <w:r>
        <w:rPr>
          <w:rStyle w:val="FootnoteAnchor"/>
          <w:rtl w:val="true"/>
        </w:rPr>
        <w:footnoteReference w:id="2378"/>
      </w:r>
      <w:r>
        <w:rPr>
          <w:rFonts w:ascii="IRNazanin" w:hAnsi="IRNazanin" w:eastAsia="IRNazanin"/>
          <w:color w:val="111111"/>
          <w:sz w:val="28"/>
          <w:sz w:val="28"/>
          <w:szCs w:val="28"/>
          <w:rtl w:val="true"/>
          <w:lang w:bidi="fa-IR"/>
        </w:rPr>
        <w:t>من غیر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تقییده بموضع یُفسِده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الأسباب التی عمّمها ما تقدّم من المواضع التی لا توجب البدنة بالإمناء، وهی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عقد المحرم أو المحلّ لمحرم علی امرأة فدخل، فعلی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العاقد والمحرم المعقود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بذلک مشهور، بل کثیر منهم لا ینقل فیه خلافاً، ومستنده روایة سماعة </w:t>
      </w:r>
      <w:r>
        <w:rPr>
          <w:rStyle w:val="FootnoteAnchor"/>
          <w:rtl w:val="true"/>
        </w:rPr>
        <w:footnoteReference w:id="2379"/>
      </w:r>
      <w:r>
        <w:rPr>
          <w:rFonts w:ascii="IRNazanin" w:hAnsi="IRNazanin" w:eastAsia="IRNazanin"/>
          <w:color w:val="111111"/>
          <w:sz w:val="28"/>
          <w:sz w:val="28"/>
          <w:szCs w:val="28"/>
          <w:rtl w:val="true"/>
          <w:lang w:bidi="fa-IR"/>
        </w:rPr>
        <w:t>وموضع الشکّ وجوبها علی العاقد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وتضمّنت أیضاً وجوب الکفّارة علی المرأة المحلّة مع علمها بإحرام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إشکال، لکن هنا قطع المصنّف فی الدروس بعدم الوجوب علیها </w:t>
      </w:r>
      <w:r>
        <w:rPr>
          <w:rStyle w:val="FootnoteAnchor"/>
          <w:rtl w:val="true"/>
        </w:rPr>
        <w:footnoteReference w:id="2380"/>
      </w:r>
      <w:r>
        <w:rPr>
          <w:rFonts w:ascii="IRNazanin" w:hAnsi="IRNazanin" w:eastAsia="IRNazanin"/>
          <w:color w:val="111111"/>
          <w:sz w:val="28"/>
          <w:sz w:val="28"/>
          <w:szCs w:val="28"/>
          <w:rtl w:val="true"/>
          <w:lang w:bidi="fa-IR"/>
        </w:rPr>
        <w:t>وفی الفرق نظر</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جماعة إلی عدم وجوب شیء علی المحلّ فیهما سوی الإثم استناداً إلی الأصل وضعف مستند الوجوب </w:t>
      </w:r>
      <w:r>
        <w:rPr>
          <w:rStyle w:val="FootnoteAnchor"/>
          <w:rtl w:val="true"/>
        </w:rPr>
        <w:footnoteReference w:id="2381"/>
      </w:r>
      <w:r>
        <w:rPr>
          <w:rFonts w:ascii="IRNazanin" w:hAnsi="IRNazanin" w:eastAsia="IRNazanin"/>
          <w:color w:val="111111"/>
          <w:sz w:val="28"/>
          <w:sz w:val="28"/>
          <w:szCs w:val="28"/>
          <w:rtl w:val="true"/>
          <w:lang w:bidi="fa-IR"/>
        </w:rPr>
        <w:t xml:space="preserve">أو بحمله علی الاستحباب </w:t>
      </w:r>
      <w:r>
        <w:rPr>
          <w:rStyle w:val="FootnoteAnchor"/>
          <w:rtl w:val="true"/>
        </w:rPr>
        <w:footnoteReference w:id="2382"/>
      </w:r>
      <w:r>
        <w:rPr>
          <w:rFonts w:ascii="IRNazanin" w:hAnsi="IRNazanin" w:eastAsia="IRNazanin"/>
          <w:color w:val="111111"/>
          <w:sz w:val="28"/>
          <w:sz w:val="28"/>
          <w:szCs w:val="28"/>
          <w:rtl w:val="true"/>
          <w:lang w:bidi="fa-IR"/>
        </w:rPr>
        <w:t>والعمل بالمشهور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الثلاثة محرمین وجبت علی الجمیع، ولو کان العاقد والمرأة محرمین خاصّة وجبت الکفّارة علی المرأة مع الدخول والعلم بسببه، لا بسبب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وجوبها علی العاقد الإشکال، وکذا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والعمرة المفردة إذا أفسدها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بالجماع قبل إکمال سعیها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 فی الشهر الداخل، بناءً علی أ نّه الزمان بین العمرتین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جعلناه عشرة أیّام اعتبر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الأقوی من عدم تحدید وقت بینهما یجوز قضاؤها معجّلاً بعد إتمامها وإن کان الأفضل التأخیر، وسیأتی ترجیح المصنّف عدم التحدید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لُبس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اضطرّ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الشاة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الشین وکسر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الطیب، أو حلق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 مع صدق اسمه، وکذا إزالته بنتف ونورة وغیرهما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قصّ </w:t>
      </w:r>
      <w:r>
        <w:rPr>
          <w:rStyle w:val="FootnoteAnchor"/>
          <w:rtl w:val="true"/>
        </w:rPr>
        <w:footnoteReference w:id="2383"/>
      </w:r>
      <w:r>
        <w:rPr>
          <w:rFonts w:ascii="IRNazanin" w:hAnsi="IRNazanin" w:eastAsia="IRNazanin"/>
          <w:color w:val="111111"/>
          <w:sz w:val="28"/>
          <w:sz w:val="28"/>
          <w:szCs w:val="28"/>
          <w:rtl w:val="true"/>
          <w:lang w:bidi="fa-IR"/>
        </w:rPr>
        <w:t>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أظفار یدیه ورجلیه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أو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فعن کلّ ظفر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کفّر لما لا یبلغ الشاة ثم أکمل الیدین أو الرجلین لم یجب الشاة، کما أ نّه لو کفَّر بشاة لأحدهما ثم أکمل الباقی فی المجلس تعدّدت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بعض الظفر کالکلّ، إلّاأن یقصّه فی دفعات مع اتّحاد الوقت عرفاً فلا یتعدّد فدیته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قلع </w:t>
      </w:r>
      <w:r>
        <w:rPr>
          <w:rStyle w:val="FootnoteAnchor"/>
          <w:rtl w:val="true"/>
        </w:rPr>
        <w:footnoteReference w:id="2384"/>
      </w:r>
      <w:r>
        <w:rPr>
          <w:rFonts w:ascii="IRNazanin" w:hAnsi="IRNazanin" w:eastAsia="IRNazanin"/>
          <w:color w:val="111111"/>
          <w:sz w:val="28"/>
          <w:sz w:val="28"/>
          <w:szCs w:val="28"/>
          <w:rtl w:val="true"/>
          <w:lang w:bidi="fa-IR"/>
        </w:rPr>
        <w:t>شجرةٍ من الحرم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استثنی </w:t>
      </w:r>
      <w:r>
        <w:rPr>
          <w:rStyle w:val="FootnoteAnchor"/>
          <w:rtl w:val="true"/>
        </w:rPr>
        <w:footnoteReference w:id="2385"/>
      </w:r>
      <w:r>
        <w:rPr>
          <w:rFonts w:ascii="IRNazanin" w:hAnsi="IRNazanin" w:eastAsia="IRNazanin"/>
          <w:color w:val="111111"/>
          <w:sz w:val="28"/>
          <w:sz w:val="28"/>
          <w:szCs w:val="28"/>
          <w:rtl w:val="true"/>
          <w:lang w:bidi="fa-IR"/>
        </w:rPr>
        <w:t>ولا فرق هنا بین المحرم والمحلّ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معنی قلعها قطعها 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الصغیرة والکبیرة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بوجوب شیء للشجرة مطلقاً هو المشهور، ومستنده روایة مرسلة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ادّهن بمطیّب </w:t>
      </w:r>
      <w:r>
        <w:rPr>
          <w:rStyle w:val="FootnoteAnchor"/>
          <w:rtl w:val="true"/>
        </w:rPr>
        <w:footnoteReference w:id="2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غیرالمطیّب فلا شیء فیه وإن أثم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قلع ضرسه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الحاجة إلیه فی المشهور، والروایة به مقطوعة </w:t>
      </w:r>
      <w:r>
        <w:rPr>
          <w:rStyle w:val="FootnoteAnchor"/>
          <w:rtl w:val="true"/>
        </w:rPr>
        <w:footnoteReference w:id="2388"/>
      </w:r>
      <w:r>
        <w:rPr>
          <w:rFonts w:ascii="IRNazanin" w:hAnsi="IRNazanin" w:eastAsia="IRNazanin"/>
          <w:color w:val="111111"/>
          <w:sz w:val="28"/>
          <w:sz w:val="28"/>
          <w:szCs w:val="28"/>
          <w:rtl w:val="true"/>
          <w:lang w:bidi="fa-IR"/>
        </w:rPr>
        <w:t>وفی إلحاق السنّ به وجه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بالوجوب لو قلع متعدّداً فعن کلّ واحد شاة وإن اتّحد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نتف إبطیه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حلقهما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أحدهما إطعام ثلاثة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نتف بعض کلّ منهما فأصالة البراءة تقتضی عدم وجوب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مستثنی من عموم إزالة الشعر الموجب للشاة؛ لعدم وجوبها لمجموعه، فالبعض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أفتی بتقلیم الظفر فأدمی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 نّه لا یشترط کون المفتی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النصّ </w:t>
      </w:r>
      <w:r>
        <w:rPr>
          <w:rStyle w:val="FootnoteAnchor"/>
          <w:rtl w:val="true"/>
        </w:rPr>
        <w:footnoteReference w:id="2389"/>
      </w:r>
      <w:r>
        <w:rPr>
          <w:rFonts w:ascii="IRNazanin" w:hAnsi="IRNazanin" w:eastAsia="IRNazanin"/>
          <w:color w:val="111111"/>
          <w:sz w:val="28"/>
          <w:sz w:val="28"/>
          <w:szCs w:val="28"/>
          <w:rtl w:val="true"/>
          <w:lang w:bidi="fa-IR"/>
        </w:rPr>
        <w:t>ولا کونه مجتهداً، نعم یشترط صلاحیّته للإفتاء بزعم المستفتی لیتحقّق الوصف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تعمّد المستفتی الإدماء فلا شیء علی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قبول قوله فی حقّه نظر، وقرَّب المصنّف فی الدروس القبول </w:t>
      </w:r>
      <w:r>
        <w:rPr>
          <w:rStyle w:val="FootnoteAnchor"/>
          <w:rtl w:val="true"/>
        </w:rPr>
        <w:footnoteReference w:id="2390"/>
      </w:r>
      <w:r>
        <w:rPr>
          <w:rFonts w:ascii="IRNazanin" w:hAnsi="IRNazanin" w:eastAsia="IRNazanin"/>
          <w:color w:val="111111"/>
          <w:sz w:val="28"/>
          <w:sz w:val="28"/>
          <w:szCs w:val="28"/>
          <w:rtl w:val="true"/>
          <w:lang w:bidi="fa-IR"/>
        </w:rPr>
        <w:t>ولا شیء علی المفتی فی غیر ذلک، للأصل، مع احتماله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حلف بإحدی الصیغتین </w:t>
      </w:r>
      <w:r>
        <w:rPr>
          <w:rStyle w:val="FootnoteAnchor"/>
          <w:rtl w:val="true"/>
        </w:rPr>
        <w:footnoteReference w:id="2391"/>
      </w:r>
      <w:r>
        <w:rPr>
          <w:rFonts w:ascii="IRNazanin" w:hAnsi="IRNazanin" w:eastAsia="IRNazanin"/>
          <w:color w:val="111111"/>
          <w:sz w:val="28"/>
          <w:sz w:val="28"/>
          <w:szCs w:val="28"/>
          <w:rtl w:val="true"/>
          <w:lang w:bidi="fa-IR"/>
        </w:rPr>
        <w:t xml:space="preserve">أو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ضرورة إلیه، کإثبات حقّ أو دفع باطل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 الصادق عن ثلاث ولم یتخلّل التکفیر فواحدة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تخلّله فلکلّ ثلاث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واحدة کاذباً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اثنتین کاذباً </w:t>
      </w:r>
      <w:r>
        <w:rPr>
          <w:rStyle w:val="FootnoteAnchor"/>
          <w:rtl w:val="true"/>
        </w:rPr>
        <w:footnoteReference w:id="2392"/>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یکفِّر عن السابق، فلو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2393"/>
      </w:r>
      <w:r>
        <w:rPr>
          <w:rFonts w:ascii="IRNazanin" w:hAnsi="IRNazanin" w:eastAsia="IRNazanin"/>
          <w:color w:val="111111"/>
          <w:sz w:val="28"/>
          <w:sz w:val="28"/>
          <w:szCs w:val="28"/>
          <w:rtl w:val="true"/>
          <w:lang w:bidi="fa-IR"/>
        </w:rPr>
        <w:t>کلّ واحدة فالشاة، أو اثنتین فالبقرة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اعتبار العدد السابق ابتداءً أو بعد التکفیر، فللواحدة شاة، وللاثنتین بقرة، وللثلاث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الشجرة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فیها وفی الصغیرة کون شیءٍ منها فی الحرم، سواء کان أصلها أم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فی قلع الحشیش وإن أثم فی غیر الإذخر وما أنبته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التحریم فیهما </w:t>
      </w:r>
      <w:r>
        <w:rPr>
          <w:rStyle w:val="FootnoteAnchor"/>
          <w:rtl w:val="true"/>
        </w:rPr>
        <w:footnoteReference w:id="2394"/>
      </w:r>
      <w:r>
        <w:rPr>
          <w:rFonts w:ascii="IRNazanin" w:hAnsi="IRNazanin" w:eastAsia="IRNazanin"/>
          <w:color w:val="111111"/>
          <w:sz w:val="28"/>
          <w:sz w:val="28"/>
          <w:szCs w:val="28"/>
          <w:rtl w:val="true"/>
          <w:lang w:bidi="fa-IR"/>
        </w:rPr>
        <w:t>الأخضر، أما الیابس فیجوز قطعه مطلقاً لا قلعه إن کان أصله ثابتاً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عجز عن الشاة </w:t>
      </w:r>
      <w:r>
        <w:rPr>
          <w:rStyle w:val="FootnoteAnchor"/>
          <w:rtl w:val="true"/>
        </w:rPr>
        <w:footnoteReference w:id="2395"/>
      </w:r>
      <w:r>
        <w:rPr>
          <w:rFonts w:ascii="IRNazanin" w:hAnsi="IRNazanin" w:eastAsia="IRNazanin"/>
          <w:color w:val="111111"/>
          <w:sz w:val="28"/>
          <w:sz w:val="28"/>
          <w:szCs w:val="28"/>
          <w:rtl w:val="true"/>
          <w:lang w:bidi="fa-IR"/>
        </w:rPr>
        <w:t>فی کفّارة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نصّ علی بدلها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إطعام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مسکین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صام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الروایة التی هی مستند الحکم تقیید بالصید </w:t>
      </w:r>
      <w:r>
        <w:rPr>
          <w:rStyle w:val="FootnoteAnchor"/>
          <w:rtl w:val="true"/>
        </w:rPr>
        <w:footnoteReference w:id="2396"/>
      </w:r>
      <w:r>
        <w:rPr>
          <w:rFonts w:ascii="IRNazanin" w:hAnsi="IRNazanin" w:eastAsia="IRNazanin"/>
          <w:color w:val="111111"/>
          <w:sz w:val="28"/>
          <w:sz w:val="28"/>
          <w:szCs w:val="28"/>
          <w:rtl w:val="true"/>
          <w:lang w:bidi="fa-IR"/>
        </w:rPr>
        <w:t>فتدخل الشاة الواجبة بغیره من المحرمات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ویتخیّر بین شاة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إطعام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مدّ، أو صیام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غیرها فلا ینتقل إلیهما إلّامع العجز عنها، إلّافی شاة وطء الأمة، فیتخیّر بینها وبین الصیام کما مرّ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شعر سقط من لحیته أو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أم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بمسّه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أم مندوباً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 المصنّف فی الدروس الغسل </w:t>
      </w:r>
      <w:r>
        <w:rPr>
          <w:rStyle w:val="FootnoteAnchor"/>
          <w:rtl w:val="true"/>
        </w:rPr>
        <w:footnoteReference w:id="2398"/>
      </w:r>
      <w:r>
        <w:rPr>
          <w:rFonts w:ascii="IRNazanin" w:hAnsi="IRNazanin" w:eastAsia="IRNazanin"/>
          <w:color w:val="111111"/>
          <w:sz w:val="28"/>
          <w:sz w:val="28"/>
          <w:szCs w:val="28"/>
          <w:rtl w:val="true"/>
          <w:lang w:bidi="fa-IR"/>
        </w:rPr>
        <w:t xml:space="preserve">وهو خارج عن مورد النصّ </w:t>
      </w:r>
      <w:r>
        <w:rPr>
          <w:rStyle w:val="FootnoteAnchor"/>
          <w:rtl w:val="true"/>
        </w:rPr>
        <w:footnoteReference w:id="2399"/>
      </w:r>
      <w:r>
        <w:rPr>
          <w:rFonts w:ascii="IRNazanin" w:hAnsi="IRNazanin" w:eastAsia="IRNazanin"/>
          <w:color w:val="111111"/>
          <w:sz w:val="28"/>
          <w:sz w:val="28"/>
          <w:szCs w:val="28"/>
          <w:rtl w:val="true"/>
          <w:lang w:bidi="fa-IR"/>
        </w:rPr>
        <w:t xml:space="preserve">والتعلیل بأ نّه فعل واجب فلا یتعقّبه فدیة یوجب إلحاق التیمّم وإزالة النجاسة بهما </w:t>
      </w:r>
      <w:r>
        <w:rPr>
          <w:rStyle w:val="FootnoteAnchor"/>
          <w:rtl w:val="true"/>
        </w:rPr>
        <w:footnoteReference w:id="2400"/>
      </w:r>
      <w:r>
        <w:rPr>
          <w:rFonts w:ascii="IRNazanin" w:hAnsi="IRNazanin" w:eastAsia="IRNazanin"/>
          <w:color w:val="111111"/>
          <w:sz w:val="28"/>
          <w:sz w:val="28"/>
          <w:szCs w:val="28"/>
          <w:rtl w:val="true"/>
          <w:lang w:bidi="fa-IR"/>
        </w:rPr>
        <w:t>ولا یقول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وتتکرّر الکفّارة بتکرّر الصید عمداً 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السهو فموضع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تکرّره عمداً فوجهه صدق اسمه الموجب له، والانتقام منه </w:t>
      </w:r>
      <w:r>
        <w:rPr>
          <w:rStyle w:val="FootnoteAnchor"/>
          <w:rtl w:val="true"/>
        </w:rPr>
        <w:footnoteReference w:id="2401"/>
      </w:r>
      <w:r>
        <w:rPr>
          <w:rFonts w:ascii="IRNazanin" w:hAnsi="IRNazanin" w:eastAsia="IRNazanin"/>
          <w:color w:val="111111"/>
          <w:sz w:val="28"/>
          <w:sz w:val="28"/>
          <w:szCs w:val="28"/>
          <w:rtl w:val="true"/>
          <w:lang w:bidi="fa-IR"/>
        </w:rPr>
        <w:t>غیر منافٍ لها؛ لإمکان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عدمه، واختاره المصنّف فی الشرح </w:t>
      </w:r>
      <w:r>
        <w:rPr>
          <w:rStyle w:val="FootnoteAnchor"/>
          <w:rtl w:val="true"/>
        </w:rPr>
        <w:footnoteReference w:id="2402"/>
      </w:r>
      <w:r>
        <w:rPr>
          <w:rFonts w:ascii="IRNazanin" w:hAnsi="IRNazanin" w:eastAsia="IRNazanin"/>
          <w:color w:val="111111"/>
          <w:sz w:val="28"/>
          <w:sz w:val="28"/>
          <w:szCs w:val="28"/>
          <w:rtl w:val="true"/>
          <w:lang w:bidi="fa-IR"/>
        </w:rPr>
        <w:t xml:space="preserve">للنصّ علیه صریحاً فی صحیحة ابن أبی عمیر </w:t>
      </w:r>
      <w:r>
        <w:rPr>
          <w:rStyle w:val="FootnoteAnchor"/>
          <w:rtl w:val="true"/>
        </w:rPr>
        <w:footnoteReference w:id="2403"/>
      </w:r>
      <w:r>
        <w:rPr>
          <w:rFonts w:ascii="IRNazanin" w:hAnsi="IRNazanin" w:eastAsia="IRNazanin"/>
          <w:color w:val="111111"/>
          <w:sz w:val="28"/>
          <w:sz w:val="28"/>
          <w:szCs w:val="28"/>
          <w:rtl w:val="true"/>
          <w:lang w:bidi="fa-IR"/>
        </w:rPr>
        <w:t>مفسِّراً به الآیة، وإن کان القول بالتکرار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الخلاف العمد بعد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الخطأ أو بالعکس فیتکرّر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کونه فی إحرام واحد أو فی التمتع مطلقاً، أمّا لو تعدّد فی غیره تکرّرت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وبتکرّر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اتّحد المجلس لم یتکرّر، اتّحد جنس الملبوس أم اختلف، لبسها دفعةً أم علی التعاقب، طال المجلس أم قصر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 فی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متکثّرة عرفاً وإن اتّحد المجلس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الدروس جعل ضابط تکرّرها فی الحلق واللُبس والطیب والقُبلة تعدّدَ الوقت، ونقل ما هنا عن المحقّق </w:t>
      </w:r>
      <w:r>
        <w:rPr>
          <w:rStyle w:val="FootnoteAnchor"/>
          <w:rtl w:val="true"/>
        </w:rPr>
        <w:footnoteReference w:id="2404"/>
      </w:r>
      <w:r>
        <w:rPr>
          <w:rFonts w:ascii="IRNazanin" w:hAnsi="IRNazanin" w:eastAsia="IRNazanin"/>
          <w:color w:val="111111"/>
          <w:sz w:val="28"/>
          <w:sz w:val="28"/>
          <w:szCs w:val="28"/>
          <w:rtl w:val="true"/>
          <w:lang w:bidi="fa-IR"/>
        </w:rPr>
        <w:t>ولم یتعرّض لتکرّر ستر ظهر القدم والرأس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فی ذلک کلّه تکرّرها بتکّرره مطلقاً مع تعاقب الاستعمال لُبساً وطیباً وستراً وحلقاً وتغطیةً وإن اتّحد الوقت والمجلس، وعدمه مع إیقاعها دفعة بأن جمع من الثیاب جملة ووضعها علی بدنه وإن اختلفت أصنافها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کفّارة علی الجاهلِ والناسی فی غیر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فیه فتجب مطلقاً حتی علی غیر المکلَّف، بمعنی اللزوم فی ماله أو علی الولیّ</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تخلیة الإ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للرعی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یحرم مباشرة قطعه علی المکلّف محرماً وغیره</w:t>
      </w:r>
      <w:r>
        <w:rPr>
          <w:rFonts w:eastAsia="IRNazanin" w:cs="IRNazanin"/>
          <w:color w:val="111111"/>
          <w:sz w:val="28"/>
          <w:szCs w:val="28"/>
          <w:rtl w:val="true"/>
          <w:lang w:bidi="fa-IR"/>
        </w:rPr>
        <w:t>.</w:t>
      </w:r>
      <w:bookmarkStart w:id="644" w:name="pg19806_203799"/>
    </w:p>
    <w:p>
      <w:pPr>
        <w:pStyle w:val="Heading3"/>
        <w:numPr>
          <w:ilvl w:val="2"/>
          <w:numId w:val="1"/>
        </w:numPr>
        <w:rPr/>
      </w:pPr>
      <w:bookmarkStart w:id="645" w:name="__RefHeading___Toc2028179_2314609296"/>
      <w:bookmarkStart w:id="646" w:name="_Toc237"/>
      <w:bookmarkEnd w:id="644"/>
      <w:bookmarkEnd w:id="645"/>
      <w:r>
        <w:rPr>
          <w:rtl w:val="true"/>
        </w:rPr>
        <w:t>«</w:t>
      </w:r>
      <w:r>
        <w:rPr>
          <w:rtl w:val="true"/>
        </w:rPr>
        <w:t>الفصل السابع</w:t>
      </w:r>
      <w:r>
        <w:rPr>
          <w:rtl w:val="true"/>
        </w:rPr>
        <w:t>» «</w:t>
      </w:r>
      <w:r>
        <w:rPr>
          <w:rtl w:val="true"/>
        </w:rPr>
        <w:t>فی الإحصار والصدّ</w:t>
      </w:r>
      <w:r>
        <w:rPr>
          <w:rtl w:val="true"/>
        </w:rPr>
        <w:t>»</w:t>
      </w:r>
      <w:bookmarkEnd w:id="646"/>
    </w:p>
    <w:p>
      <w:pPr>
        <w:pStyle w:val="BookText"/>
        <w:rPr/>
      </w:pPr>
      <w:r>
        <w:rPr>
          <w:rFonts w:ascii="IRNazanin" w:hAnsi="IRNazanin" w:eastAsia="IRNazanin"/>
          <w:color w:val="111111"/>
          <w:sz w:val="28"/>
          <w:sz w:val="28"/>
          <w:szCs w:val="28"/>
          <w:rtl w:val="true"/>
          <w:lang w:bidi="fa-IR"/>
        </w:rPr>
        <w:t>أصل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الناسک بالمرض عن نسک یفوت الحجّ أو العمرة بفواته مطلقاً کالموقفین، أو عن النسک المحلِّل علی تفصیل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بالعدوّ وما فی معناه مع قدرة الناسک بحسب ذاته علی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مشترکان </w:t>
      </w:r>
      <w:r>
        <w:rPr>
          <w:rStyle w:val="FootnoteAnchor"/>
          <w:rtl w:val="true"/>
        </w:rPr>
        <w:footnoteReference w:id="2405"/>
      </w:r>
      <w:r>
        <w:rPr>
          <w:rFonts w:ascii="IRNazanin" w:hAnsi="IRNazanin" w:eastAsia="IRNazanin"/>
          <w:color w:val="111111"/>
          <w:sz w:val="28"/>
          <w:sz w:val="28"/>
          <w:szCs w:val="28"/>
          <w:rtl w:val="true"/>
          <w:lang w:bidi="fa-IR"/>
        </w:rPr>
        <w:t>فی ثبوت أصل التحلّل بهما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التحلّل، فإنّ المصدود یحلّ له بالمحلِّل کلّ ما حرّمه الإحرام والمحصَر ما عدا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مکان ذبح هدی التحلّل، فالمصدود یذبحه أو ینحره حیث وُجد المانع، والمحصَر یبعثه إلی محلّه بمکّة 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إفادة الاشتراط تعجیل التحلّل للمحصَر دون المصدود؛ لجوازه بدون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یجتمعان علی المکلَّف بإن یمرض ویصدّه العدوّ، فیتخیّر فی أخذ حکم ما شاء منهما وأخذ الأخفّ من أحکامهما؛ لصدق الوصفین الموجب للأخذ بالحکم، سواء عرضا دفعةً أم متعاقبین</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بالمرض عن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أو عن أحدهما مع فوات الآخر أو عن المشعر مع إدراک اضطراری عرفة خاصّة دون العکس،</w:t>
      </w:r>
    </w:p>
    <w:p>
      <w:pPr>
        <w:pStyle w:val="BookText"/>
        <w:rPr/>
      </w:pPr>
      <w:r>
        <w:rPr>
          <w:rFonts w:ascii="IRNazanin" w:hAnsi="IRNazanin" w:eastAsia="IRNazanin"/>
          <w:color w:val="111111"/>
          <w:sz w:val="28"/>
          <w:sz w:val="28"/>
          <w:szCs w:val="28"/>
          <w:rtl w:val="true"/>
          <w:lang w:bidi="fa-IR"/>
        </w:rPr>
        <w:t xml:space="preserve">وبالجملة متی اُحصر عمّا یفوت بفواته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اُحصر المعتمر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الأفعال بها وإن 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قد ساق 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 أو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والاجتزاء بالمسوق مطلقاً هو المشهور؛ لأنّه هدی مستیسر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التداخل إن کان السیاق واجباً ولو بالإشعار أو التقلید، لاختلاف الأسباب المقتضیة لتعدّد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یتعیّن ذبحه کفی، إلّاأنّ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علیه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بعث واعَدَ نائبه وقتاً معیّناً لذبحه أو نحره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الهدیُ محلّه، وهی منی إن کان حاجّاً، ومکّة إن کان معتمراً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المواعدة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أو قصّر وتحلّل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إلّامن النساء حتی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القابل، أو یعتمر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النسک الذی دخل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یطاف عنه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وجوب طوافهنّ فی ذلک النسک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واجباً غیر مستقرّ بأن استطاع له فی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یسقط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یتحلّل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الإحرام أن یحلّه حیث حبسه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تعجیل التحلّل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الاشتراط من غیر انتظار بلوغ الهدی محلّه، وهذه فائدة الاشتراط فیه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فائدته فی المصدود فمنتفیة، لجواز تعجیله التحلّل بدون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سقوط الهدی </w:t>
      </w:r>
      <w:r>
        <w:rPr>
          <w:rStyle w:val="FootnoteAnchor"/>
          <w:rtl w:val="true"/>
        </w:rPr>
        <w:footnoteReference w:id="2407"/>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القضاء علی تقدیر وجوبه بدونه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 نّه تعبّد شرعی ودعاء مندوب؛ إذ لا دلیل علی ما ذکروه من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یبطل تحلّله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أوقعه بالمواعدة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عدم ذبح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المواعدة ولا بعده، لامتثاله المأمور المقتضی لوقوعه مجزیاً یترتّب علیه أثره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ویبعثه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لفوات وقته فی عام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الإمساک عند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یُمسکه المحرم إلی أن یبلغ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الإحرام بالتحلّل السابق، والإمساک تابع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وجوبه؛ لصحیحة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من قابل ویمسک أیضاً</w:t>
      </w:r>
      <w:r>
        <w:rPr>
          <w:rFonts w:eastAsia="IRNazanin" w:cs="IRNazanin"/>
          <w:color w:val="111111"/>
          <w:sz w:val="28"/>
          <w:szCs w:val="28"/>
          <w:rtl w:val="true"/>
          <w:lang w:bidi="fa-IR"/>
        </w:rPr>
        <w:t xml:space="preserve">» </w:t>
      </w:r>
      <w:r>
        <w:rPr>
          <w:rStyle w:val="FootnoteAnchor"/>
          <w:rtl w:val="true"/>
        </w:rPr>
        <w:footnoteReference w:id="2409"/>
      </w:r>
      <w:r>
        <w:rPr>
          <w:rFonts w:ascii="IRNazanin" w:hAnsi="IRNazanin" w:eastAsia="IRNazanin"/>
          <w:color w:val="111111"/>
          <w:sz w:val="28"/>
          <w:sz w:val="28"/>
          <w:szCs w:val="28"/>
          <w:rtl w:val="true"/>
          <w:lang w:bidi="fa-IR"/>
        </w:rPr>
        <w:t xml:space="preserve">وفی الدروس اقتصر علی المشهور </w:t>
      </w:r>
      <w:r>
        <w:rPr>
          <w:rStyle w:val="FootnoteAnchor"/>
          <w:rtl w:val="true"/>
        </w:rPr>
        <w:footnoteReference w:id="2410"/>
      </w:r>
      <w:r>
        <w:rPr>
          <w:rFonts w:ascii="IRNazanin" w:hAnsi="IRNazanin" w:eastAsia="IRNazanin"/>
          <w:color w:val="111111"/>
          <w:sz w:val="28"/>
          <w:sz w:val="28"/>
          <w:szCs w:val="28"/>
          <w:rtl w:val="true"/>
          <w:lang w:bidi="fa-IR"/>
        </w:rPr>
        <w:t>ویمکن حمل الروایة علی الاستحباب، کإمساک باعث هدیه من الآفاق تبرّعاً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زال عذره التحق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وإن بعث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 وإلّا تحلّل بعمرة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ذُبح أو نحر هدیُه علی الأقوی؛ لأنّ التحلّل بالهدی مشروط بعدم التمکّن من العمرة، فإذا حصل انحصر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بکونه محلَّلاً قبل التمکّن، وامتثال الأمر المقتضی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صُدّ بالعدوّ عمّا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الموقفین ومکّة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طریق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المصدود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طریق آخر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تبلغه ولم یَرجُ زوال المانع قبل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المسوق أو غیره کما تقرّر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 أو حلق وتحلّل حیث صُدّ حتی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تربّص ولا انتظار طوافهنّ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اُحصر عن عمرة التمتّع فتحلّل فالظاهر حلّ النساء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طواف لهنّ بها حتی یتوقّف حلّهن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التوقّف علیه إطلاق الأخبار بتوقّف حلّهنّ علیه </w:t>
      </w:r>
      <w:r>
        <w:rPr>
          <w:rStyle w:val="FootnoteAnchor"/>
          <w:rtl w:val="true"/>
        </w:rPr>
        <w:footnoteReference w:id="2411"/>
      </w:r>
      <w:r>
        <w:rPr>
          <w:rFonts w:ascii="IRNazanin" w:hAnsi="IRNazanin" w:eastAsia="IRNazanin"/>
          <w:color w:val="111111"/>
          <w:sz w:val="28"/>
          <w:sz w:val="28"/>
          <w:szCs w:val="28"/>
          <w:rtl w:val="true"/>
          <w:lang w:bidi="fa-IR"/>
        </w:rPr>
        <w:t>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المصنّف وغیره أطلقوا القول بتحقّق الصدّ والحصر بفوات الموقفین ومکّة فی الحجّ والعمرة، وأطبقوا علی عدم تحقّقه بالمنع عن المبیت بمنی ورمی الجمار، بل یستنیب فی الرمی فی وقته إن أمکن وإلّا قضاه فی القابل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الحاجّ عن مناسک منی یوم النحر إذا لم یُمکنه الاستنابة فی الرمی والذبح، وفی تحقّقهما به </w:t>
      </w:r>
      <w:r>
        <w:rPr>
          <w:rStyle w:val="FootnoteAnchor"/>
          <w:rtl w:val="true"/>
        </w:rPr>
        <w:footnoteReference w:id="2412"/>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النص </w:t>
      </w:r>
      <w:r>
        <w:rPr>
          <w:rStyle w:val="FootnoteAnchor"/>
          <w:rtl w:val="true"/>
        </w:rPr>
        <w:footnoteReference w:id="2413"/>
      </w:r>
      <w:r>
        <w:rPr>
          <w:rFonts w:ascii="IRNazanin" w:hAnsi="IRNazanin" w:eastAsia="IRNazanin"/>
          <w:color w:val="111111"/>
          <w:sz w:val="28"/>
          <w:sz w:val="28"/>
          <w:szCs w:val="28"/>
          <w:rtl w:val="true"/>
          <w:lang w:bidi="fa-IR"/>
        </w:rPr>
        <w:t>وأصالة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أمکنه الاستنابة فیهما فعل وحلق، أو قصّر مکانه وتحلّل وأتمّ باقی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مکّة وأفعال منی معاً، وأولی بالجواز هنا لو قیل به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تحقّقه هنا؛ للعموم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مکّة خاصّة بعد التحلّل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تحقّقه، فیبقی علی إحرامه بالنسبة إلی الصید والطیب والنساء إلی أن یأتی ببقیّة الأفعال، أو یستنیب فیها حیث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مع خروج ذی الحجّة التحلّل بالهدی، لما فی التأخیر إلی القابل من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المعتمر عن أفعال مکّة بعد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أسلفنا أنّ حکمه حکم المنع عن مکّة لانتفاء الغایة بمجرّد الدخول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 عن الطواف خاصّة فیها وفی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 نّه یستنیب فیه کالمریض مع الإمکان، وإلّا بقی علی إحرامه بالنسبة إلی ما یحلّله إلی أن یقدر</w:t>
      </w:r>
    </w:p>
    <w:p>
      <w:pPr>
        <w:pStyle w:val="BookText"/>
        <w:rPr/>
      </w:pPr>
      <w:r>
        <w:rPr>
          <w:rFonts w:ascii="IRNazanin" w:hAnsi="IRNazanin" w:eastAsia="IRNazanin"/>
          <w:color w:val="111111"/>
          <w:sz w:val="28"/>
          <w:sz w:val="28"/>
          <w:szCs w:val="28"/>
          <w:rtl w:val="true"/>
          <w:lang w:bidi="fa-IR"/>
        </w:rPr>
        <w:t>علیه أو علی الاستنابة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عن السعی خاصّة، فإنّه محلِّل فی العمرة مطلقاً، وفی الحجّ علی بعض الوجوه وقد تقدّم </w:t>
      </w:r>
      <w:r>
        <w:rPr>
          <w:rStyle w:val="FootnoteAnchor"/>
          <w:rtl w:val="true"/>
        </w:rPr>
        <w:footnoteReference w:id="2415"/>
      </w:r>
      <w:r>
        <w:rPr>
          <w:rFonts w:ascii="IRNazanin" w:hAnsi="IRNazanin" w:eastAsia="IRNazanin"/>
          <w:color w:val="111111"/>
          <w:sz w:val="28"/>
          <w:sz w:val="28"/>
          <w:szCs w:val="28"/>
          <w:rtl w:val="true"/>
          <w:lang w:bidi="fa-IR"/>
        </w:rPr>
        <w:t>وحکمه کالطواف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فی الدروس التحلّل منه فی العمرة </w:t>
      </w:r>
      <w:r>
        <w:rPr>
          <w:rStyle w:val="FootnoteAnchor"/>
          <w:rtl w:val="true"/>
        </w:rPr>
        <w:footnoteReference w:id="2416"/>
      </w:r>
      <w:r>
        <w:rPr>
          <w:rFonts w:ascii="IRNazanin" w:hAnsi="IRNazanin" w:eastAsia="IRNazanin"/>
          <w:color w:val="111111"/>
          <w:sz w:val="28"/>
          <w:sz w:val="28"/>
          <w:szCs w:val="28"/>
          <w:rtl w:val="true"/>
          <w:lang w:bidi="fa-IR"/>
        </w:rPr>
        <w:t>لعدم إفادة الطواف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عمرة الإفراد لو صُدّ عن طواف النساء، والاستنابة فیه أقوی من التحلّل</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الفروض یمکن فی الحصر مطلقاً، وفی الصدّ إذا کان خاصّاً </w:t>
      </w:r>
      <w:r>
        <w:rPr>
          <w:rStyle w:val="FootnoteAnchor"/>
          <w:rtl w:val="true"/>
        </w:rPr>
        <w:footnoteReference w:id="2417"/>
      </w:r>
      <w:r>
        <w:rPr>
          <w:rFonts w:ascii="IRNazanin" w:hAnsi="IRNazanin" w:eastAsia="IRNazanin"/>
          <w:color w:val="111111"/>
          <w:sz w:val="28"/>
          <w:sz w:val="28"/>
          <w:szCs w:val="28"/>
          <w:rtl w:val="true"/>
          <w:lang w:bidi="fa-IR"/>
        </w:rPr>
        <w:t>إذ لا فرق فیه بین العامّ والخاصّ بالنسبة إلی المصدود، کما لو حبس بعض الحاجّ ولو بحقّ یعجز عنه، أو اتّفق له فی تلک المشاعر من یخافه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بجواز الاستنابة فی کلّ فعل یقبل النیابة حینئذٍ کالطواف والسعی والرمی والذبح والصلاة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یستثنی منه ما اتّفقوا علی تحقّق الصدّ والحصر به، کهذه الأفعال </w:t>
      </w:r>
      <w:r>
        <w:rPr>
          <w:rStyle w:val="FootnoteAnchor"/>
          <w:rtl w:val="true"/>
        </w:rPr>
        <w:footnoteReference w:id="2418"/>
      </w:r>
      <w:r>
        <w:rPr>
          <w:rFonts w:ascii="IRNazanin" w:hAnsi="IRNazanin" w:eastAsia="IRNazanin"/>
          <w:color w:val="111111"/>
          <w:sz w:val="28"/>
          <w:sz w:val="28"/>
          <w:szCs w:val="28"/>
          <w:rtl w:val="true"/>
          <w:lang w:bidi="fa-IR"/>
        </w:rPr>
        <w:t>للمعتمر</w:t>
      </w:r>
      <w:r>
        <w:rPr>
          <w:rFonts w:eastAsia="IRNazanin" w:cs="IRNazanin"/>
          <w:color w:val="111111"/>
          <w:sz w:val="28"/>
          <w:szCs w:val="28"/>
          <w:rtl w:val="true"/>
          <w:lang w:bidi="fa-IR"/>
        </w:rPr>
        <w:t>.</w:t>
      </w:r>
      <w:bookmarkStart w:id="647" w:name="pg19806_203804"/>
    </w:p>
    <w:p>
      <w:pPr>
        <w:pStyle w:val="Heading3"/>
        <w:numPr>
          <w:ilvl w:val="2"/>
          <w:numId w:val="1"/>
        </w:numPr>
        <w:rPr/>
      </w:pPr>
      <w:bookmarkStart w:id="648" w:name="__RefHeading___Toc2028181_2314609296"/>
      <w:bookmarkStart w:id="649" w:name="_Toc238"/>
      <w:bookmarkEnd w:id="647"/>
      <w:bookmarkEnd w:id="648"/>
      <w:r>
        <w:rPr>
          <w:rtl w:val="true"/>
        </w:rPr>
        <w:t>«</w:t>
      </w:r>
      <w:r>
        <w:rPr>
          <w:rtl w:val="true"/>
        </w:rPr>
        <w:t xml:space="preserve">خاتمة </w:t>
      </w:r>
      <w:r>
        <w:rPr>
          <w:rtl w:val="true"/>
        </w:rPr>
        <w:t>[</w:t>
      </w:r>
      <w:r>
        <w:rPr>
          <w:rtl w:val="true"/>
        </w:rPr>
        <w:t>موارد وجوب العمرة و استحبابها</w:t>
      </w:r>
      <w:r>
        <w:rPr>
          <w:rtl w:val="true"/>
        </w:rPr>
        <w:t>] »</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المستطیع إلیها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استطاع إلیها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أن تکون عمرة تمتّع فیشترط فی وجوبها الاستطاعة لهما معاً، لارتباط کلّ منهما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أیضاً بأسبابه الموجبة له لو اتّفقت لها کالنذر وشبهه والاستئجار والإفساد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وتزید عنه بفوات الحجّ بعد الإحرام </w:t>
      </w:r>
      <w:r>
        <w:rPr>
          <w:rStyle w:val="FootnoteAnchor"/>
          <w:rtl w:val="true"/>
        </w:rPr>
        <w:footnoteReference w:id="2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ویشترکان أیضاً فی وجوب أحدهما تخییراً لدخول مکّة لغیر المتکرّر، والداخل لقتالٍ، والداخل عقیب إحلال من إحرام ولمّا یمض شهر منذ الإحلال، لا الإهلال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ویؤخّرها القارن والمفرد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 مبادراً بها علی الفور وجوباً کالحجّ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تأخیرها إلی استقبال المحرَّم ولیس منافیاً للفور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بالأصالة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ومندوبة، وإن وجب الفور بالواجبة علی بعض الوجوه، إلّاأنّ ذلک لیس تعییناً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یتعیّن زمانها بنذر وشبهه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مستحبّة مع قضاء الفریضة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الروایات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للمدّة بین العمرتین </w:t>
      </w:r>
      <w:r>
        <w:rPr>
          <w:rStyle w:val="FootnoteAnchor"/>
          <w:rtl w:val="true"/>
        </w:rPr>
        <w:footnoteReference w:id="2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فیه جمعاً</w:t>
      </w:r>
    </w:p>
    <w:p>
      <w:pPr>
        <w:pStyle w:val="BookText"/>
        <w:rPr/>
      </w:pPr>
      <w:r>
        <w:rPr>
          <w:rFonts w:ascii="IRNazanin" w:hAnsi="IRNazanin" w:eastAsia="IRNazanin"/>
          <w:color w:val="111111"/>
          <w:sz w:val="28"/>
          <w:sz w:val="28"/>
          <w:szCs w:val="28"/>
          <w:rtl w:val="true"/>
          <w:lang w:bidi="fa-IR"/>
        </w:rPr>
        <w:t xml:space="preserve">بین الأخبار الدالّ بعضها علی الشهر </w:t>
      </w:r>
      <w:r>
        <w:rPr>
          <w:rStyle w:val="FootnoteAnchor"/>
          <w:rtl w:val="true"/>
        </w:rPr>
        <w:footnoteReference w:id="2423"/>
      </w:r>
      <w:r>
        <w:rPr>
          <w:rFonts w:ascii="IRNazanin" w:hAnsi="IRNazanin" w:eastAsia="IRNazanin"/>
          <w:color w:val="111111"/>
          <w:sz w:val="28"/>
          <w:sz w:val="28"/>
          <w:szCs w:val="28"/>
          <w:rtl w:val="true"/>
          <w:lang w:bidi="fa-IR"/>
        </w:rPr>
        <w:t xml:space="preserve">، وبعض </w:t>
      </w:r>
      <w:r>
        <w:rPr>
          <w:rStyle w:val="FootnoteAnchor"/>
          <w:rtl w:val="true"/>
        </w:rPr>
        <w:footnoteReference w:id="2424"/>
      </w:r>
      <w:r>
        <w:rPr>
          <w:rFonts w:ascii="IRNazanin" w:hAnsi="IRNazanin" w:eastAsia="IRNazanin"/>
          <w:color w:val="111111"/>
          <w:sz w:val="28"/>
          <w:sz w:val="28"/>
          <w:szCs w:val="28"/>
          <w:rtl w:val="true"/>
          <w:lang w:bidi="fa-IR"/>
        </w:rPr>
        <w:t xml:space="preserve">علی السنة </w:t>
      </w:r>
      <w:r>
        <w:rPr>
          <w:rStyle w:val="FootnoteAnchor"/>
          <w:rtl w:val="true"/>
        </w:rPr>
        <w:footnoteReference w:id="2425"/>
      </w:r>
      <w:r>
        <w:rPr>
          <w:rFonts w:ascii="IRNazanin" w:hAnsi="IRNazanin" w:eastAsia="IRNazanin"/>
          <w:color w:val="111111"/>
          <w:sz w:val="28"/>
          <w:sz w:val="28"/>
          <w:szCs w:val="28"/>
          <w:rtl w:val="true"/>
          <w:lang w:bidi="fa-IR"/>
        </w:rPr>
        <w:t xml:space="preserve">، وبعض علی عشرة أیّام </w:t>
      </w:r>
      <w:r>
        <w:rPr>
          <w:rStyle w:val="FootnoteAnchor"/>
          <w:rtl w:val="true"/>
        </w:rPr>
        <w:footnoteReference w:id="2426"/>
      </w:r>
      <w:r>
        <w:rPr>
          <w:rFonts w:ascii="IRNazanin" w:hAnsi="IRNazanin" w:eastAsia="IRNazanin"/>
          <w:color w:val="111111"/>
          <w:sz w:val="28"/>
          <w:sz w:val="28"/>
          <w:szCs w:val="28"/>
          <w:rtl w:val="true"/>
          <w:lang w:bidi="fa-IR"/>
        </w:rPr>
        <w:t>بتنزیل ذلک علی مراتب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فالأفضل الفصل بینهما بعشرة أیّام، وأکمل منه بشهر، وأکثر ما ینبغی أن یکون بینهما السنة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التقیید بقضاء الفریضة إشارة إلی عدم جوازها ندباً مع تعلّقها بذمّته وجوباً؛ لأنّ الاستطاعة للمفردة ندباً یقتضی الاستطاعة وجوباً غالباً، ومع ذلک یمکن تخلّفه لمتکلّفها حیث یفتقر إلی مؤونة لقطع المسافة وهی 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استطاع إلیها وإلی حجّها </w:t>
      </w:r>
      <w:r>
        <w:rPr>
          <w:rStyle w:val="FootnoteAnchor"/>
          <w:rtl w:val="true"/>
        </w:rPr>
        <w:footnoteReference w:id="2427"/>
      </w:r>
      <w:r>
        <w:rPr>
          <w:rFonts w:ascii="IRNazanin" w:hAnsi="IRNazanin" w:eastAsia="IRNazanin"/>
          <w:color w:val="111111"/>
          <w:sz w:val="28"/>
          <w:sz w:val="28"/>
          <w:szCs w:val="28"/>
          <w:rtl w:val="true"/>
          <w:lang w:bidi="fa-IR"/>
        </w:rPr>
        <w:t>ولم تدخل أشهر الحجّ، فإنّه لا یخاطب حینئذٍ بالواجب فکیف یمنع من المندوب؟ إذ لا یمکن فعلها واجباً إلّابعد فعل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کلّه فی المفردة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فی نسبه،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مکّی بن محمّد بن حامد، کما جاء فی إجازة شیخه فخر الدین الحلّی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محمّد بن محمّد بن حامد بن مکّی، کما جاء فی إجازة الشهید نفسه لابن الخازن الحائری، أو محمّد بن محمّد بن حامد، کما قال ولده، یراجع البحار </w:t>
      </w:r>
      <w:r>
        <w:rPr>
          <w:rFonts w:eastAsia="IRNazanin" w:cs="IRNazanin"/>
          <w:b w:val="false"/>
          <w:bCs w:val="false"/>
          <w:i w:val="false"/>
          <w:iCs w:val="false"/>
          <w:color w:val="333333"/>
          <w:sz w:val="20"/>
          <w:szCs w:val="20"/>
        </w:rPr>
        <w:t>107:178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للتمییز بینه وبین الشهید الثانی، وإذا اُطلق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فیراد به الشهید الأوّل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عند من ترجمه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107:178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الشهید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107:187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عندما کان یقیم فی دمشق تحت رقابة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غریب ما نقلوه عنه، أ نّه کان یکتم تألیفه عمّن کان یزوره، وکان بیته ملتقی رجال العلم والسیاسة آنذاک، فلم یزره مدّة تألیفه أحدٌ ممّن کان یتّقی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تألیفه هو أ نّه لمّا تأسّست الحکومة السربداریّة الشیعیّة فی خراسان، أرسل حاکمها علیّ بن مؤیّد بید وزیره الشیخ محمّد الآوی کتاباً إلی الشهید وطلب منه الرحیل إلیهم لیکون مرشداً للدولة الفتیّة وللناس، لکنّ الشهید رفض طلبه لعدم سماح الأوضاع فی دمشق بذلک، وأجاب الدعوة بتألیف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مرجعاً لهم یعملون طبقه، فکتبه ودفعه إلی الوزیر الآوی، وأوصاه بالکتمان والإسراع به إلی الحاکم؛ فلذلک لم یسمح الآوی لأحد باستنساخه إلّالبعض الطلبة، فاستنسخه وهو فی ید الآوی حرصاً علیه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نقلاً عن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تلمیذه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العودی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نقلاً عن رسالة ابن العودی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لمّا مرّ بالمحلّ الذی استشهد فیه عند سفره إلی القسطنطینیّة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یوشک أن یُقتل فی هذا الموضع رجل له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قریباً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وانظر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علی حفید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التفصیل تراجع الذریعة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ومقدمه‌ای بر فقه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قدس سره بهذه العبارة إلی أنّ هذا الکتاب شرح 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جری دیدن المؤلّفین علی أن یشیروا فی مقدّمة مؤلّفاتهم إلی أهمّ الکتب المدوّنة فی ذلک الفنّ أو المطالب المبحوث عنها فی الکتاب رعایةً لبراعة الاستهلال؛ ولذا فقد أشار فی هذه الخطبة إلی أکثر الکتب المدوّنة فی الفقه إلی عصره، وهی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فی الفقه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فی الفقه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الشرعیّة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 الشیعة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المطلب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للشیخ الطوسی، أو نهایة الإحکام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المراد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الأحکام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الأحکام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المدارک أو مدارک الأحکام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الفقه للقاضی 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 لیحیی بن سعید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لابن إدریس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 للشیخ الطوسی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البَدْل والبَدَل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 الشریف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الفطن العاقل،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بالشیء المجرّب، بمعنی أ نّه ینحر العلم نحراً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 روحه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المستقرّ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کان متعلّقه عامّاً واجب الحذف، کالواقع خبراً أو صفة أو صلة أو حالاً، سُمّی بذلک لاستقرار الضمیر فیه،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تخفیفاً، أو لتعلّقه بالاستقرار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واللغو ما کان متعلّقه خاصّاً سواء ذُکر أم حُذف، سُمّی بذلک لکونه فارغاً من الضمیر فهو لغو؛ کذا ذکره جماعة من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یظهر الفرق بین جعل الباء للملابسة والاستعانة؛ لأنّ متعلَّق الأوّل عامّ واجب الحذف، لکونه حالاً، والثانی خاصّ غیر متعیّن للحالیّة، کما فی مثال الکتابة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الحدیث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أمرٍ ذی بال لم یذکر فیه بسم اللّٰه 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76:305</w:t>
      </w:r>
      <w:r>
        <w:rPr>
          <w:rFonts w:ascii="IRNazanin" w:hAnsi="IRNazanin" w:eastAsia="IRNazanin"/>
          <w:b w:val="false"/>
          <w:b w:val="false"/>
          <w:bCs w:val="false"/>
          <w:i w:val="false"/>
          <w:i w:val="false"/>
          <w:iCs w:val="false"/>
          <w:color w:val="333333"/>
          <w:sz w:val="20"/>
          <w:sz w:val="20"/>
          <w:szCs w:val="20"/>
          <w:rtl w:val="true"/>
        </w:rPr>
        <w:t>، باب الافتتاح بالتسمیة، الحدیث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رأس الشکر، ما شکر اللّٰه عبدٌ لم یحمده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خطبته علیه السلام بعد انصرافه من صفّین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لمحة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کَفَرْتُمْ إِنَّ عَذٰابِی لَشَدِیدٌ</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الغزالی بتعدّد الخبر واللفظ فی إحیاء العلوم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وکأنّ المؤلّف قدس سره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البحار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مصباح الشریعة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 الحمد یا إلهی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ملء السماوات وملء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کتاب الدعاء،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95:268</w:t>
      </w:r>
      <w:r>
        <w:rPr>
          <w:rFonts w:ascii="IRNazanin" w:hAnsi="IRNazanin" w:eastAsia="IRNazanin"/>
          <w:b w:val="false"/>
          <w:b w:val="false"/>
          <w:bCs w:val="false"/>
          <w:i w:val="false"/>
          <w:i w:val="false"/>
          <w:iCs w:val="false"/>
          <w:color w:val="333333"/>
          <w:sz w:val="20"/>
          <w:sz w:val="20"/>
          <w:szCs w:val="20"/>
          <w:rtl w:val="true"/>
        </w:rPr>
        <w:t xml:space="preserve">، باب الأدعیة والأحراز،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 الحدیث الأوّل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یرجع الناس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والقلب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بالإمکان ولا بالفعل؛ لجواز وجود إله غیره تعالی لا یستحقّ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الزمخشری علی ما نقله عنه ابن هشام فی مغنی اللبیب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السیرة الحلبیّة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قالته المعتزلة، راجع التفسیر الکبیر للفخر الرازی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الزمخشری فی الکشّاف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الحمد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الراغب إلی الإمام جعفر بن محمّد علیه السلام، 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الشریفة المتقدّمة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وقد ورد متواتراً فی کتب الفریقین باختلاف فی بعض الألفاظ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ینطق</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ظرف زمان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الأرض ذات الکلأ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فی قرب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علیّ بن المؤیّد هو آخر حاکم تزعّم السربداریّین فی سنة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وفی سنة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تیمورلنک السفّاک التتری مدینة سبزوار منتصراً، وقد استقبله علیّ المؤیّد، فأبقاه تیمور فی بلاطه وأکرمه واعترف بسلطانه، ولکن لم یسمح له بالعودة إلی سبزوار، إلی أن أمر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مستدرک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وإلیک نصّ المکاتبة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سلامٌ کَنشْرِ العَنْبَرِ المتَضَوِّع یُخَلِّفُ رِیحَ المِسْکِ فی کُلِّ موضعِ سلامٌ یُباهِی البَدْرَ فی کُلِّ منزلٍ سلامٌ یُضاهِی الشَمْسَ‌فی کُلِّ مَطْلَعِ علی شمس دِینِ الحقِّ دام ظلالُه بجدّ سعیدٍ فی نعیم مُمَتِّعِ أدام اللّٰه مجلسَ المولی الإمام، العالِم العامل، الفاضل الکامِل، السالِکِ الناسِک، رضیّ الأخلاقِ، وفیّ الأعراقِ، علّامة العالَم، مُرشِد طوائف الاُمم، قُدْوة العلماء الراسخین، اُسْوة الفضلاء المحقِّقین، مُفتی الفِرَق، الفاروق بالحقّ، حاوی فُنون الفضائل والمعالی، حائز قَصَبِ السَبْقِ فی حَلْبَةِ الأعاظم والأعالی، وارث علومِ الأنبیاء المرسلین، مُحیی مَراسِم الأئمة الطاهرین، سرّ اللّٰهِ فی الأرضین، مولانا شمس الملّة والحقّ والدین، مَدَّ اللّٰه أطنابَ ظِلالِهِ بمحمّدٍ وآله فی دولةٍ راسیةِ الأوْتادِ، ونعمةٍ متّصلةِ الاْمدادِ إلی یَوْم التَنادِ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فالمحبُّ المشتاقُ مُشتاقٌ إلی کریم لِقائه غایةَ الاشتیاقِ، وأنْ یتشرّف بُعد البعاد بقُربِ التلاق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الطرفُ من مَحْیاک لکنْ حَظِیَ القلبُ من حُمَیّاک رَیّا یُنْهِی إلی ذلک الجناب، لا زالَ مَرْجِعاً لاُولی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شیعةَ خراسانَ صانَها اللّٰه تعالی عن الحَدثانِ، مُتَعطِّشون إلی زلالِ وِصاله، والاغتراف من بحار فضله وإفضاله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وأفاضلُ هذه الدیار قد مَزَّقَتْ شَمْلَهم أیدی الأدوار، وفَرَّقَتْ جُلّهم بل کلَّهم صُنوفُ صُروفِ اللیل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أمیر المؤمنین علیه سلام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ثلْمة الدین موت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لا نجدُ فینا من یُوثَقُ بعلمه فی فُتیاه، أو یَهْتَدِی الناسُ برُشْده وهُداه، فیسألون اللّٰه تعالی شرفَ حضورِه، والاستضاءة بأشعَّة نوره، والاقتداءَ بعلومه الشریفة والاهتداءَ بِرسُومه المنیفة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والیقینُ بکرمه العمیم وفضله الجسیم أنْ لا یُخَیِّبَ رجاءَهم ولا یَرُدَّ دعاءهم، ویُسْعِف مسؤولَهم، ویُنْجِحَ مأمولَهم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الدعاءُ لَِمحْضِ خیرٍ علی یَدَیِ الکریم فلا یُرَدُّ امتثالاً لما قاله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یَصِلُونَ مٰا أَمَرَ اَللّٰهُ بِهِ أَنْ یُوصَلَ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شکّ أنّ أوْلَی الأرحام بالصلةِ الرَحِمُ الإسلامیةُ الروحانیةُ، وأحْرَی القَراباتِ بالرعایة القَرابة الإ یمانیةُ ثم الجسمانیةُ، فهما عُقْدتانِ لا تَحُلُّهما الأدوار والأطوارُ، بل شُعْبتانِ لا یَهْدمُهما إعصار الأعصار، ونحن نخافُ غَضَبَ اللّٰهِ علی هذه البلاد، لِفِقدان المرشِدِ وعدمِ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والمسؤول من إنعامه العامِّ، وإکرامه التامّ أنْ یَتَفَضَّلَ علینا، ویَتَوَجَّه إلینا، مُتوکِّلاً علی اللّٰه القدیر، غیر مُتَعَلِّلٍ بنوع من المعاذیر؛ فإنّا بحمد اللّٰه نَعْرِفُ قَدْرَه، ونَسْتَعْظِمُ أمرَه، إنْ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والمتوقّعُ مِن مَکارِمِ صفاته ومَحاسِنِ ذاته إسْبال ذَیْل العفوِ علی هذا الهَفْوِ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علی أهل الإسلام المحبُّ المشتاقُ علیّ بن مؤیِّد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شمس الدین الزابلی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الشرح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أجازه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تلمیذ ابن عصفور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وجماعة، اُنظر مغنی اللبیب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التی استدلّوا بها 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بَشِّرِ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البقرة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بَشِّرِ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الصفّ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ذلک ابن هشام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ونقله عن ابن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جاءنی زید ومَن عمرو العاقلان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یکون العاقلان خبراً 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شِفائی عَبرةٌ مُهراقَةٌ وهل عند رسمٍ دارسٍ مِن معوَّلِ؟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تُناغی غزالاً عند باب ابن عامر وکَحِّلْ أماقَیک الحِسانَ بإثْمِد واستدلّ الصفّار أیضاً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وقائلةٍ خولانُ فانکح فتاتَهم، فإنّ تقدیره عند 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من ذلک دلالة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أَعْطَیْنٰاکَ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لِرَبِّکَ وَ اِنْحَرْ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وناهیک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حَسْبُنَا اَللّٰهُ وَ نِعْمَ 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التأویل من الجانبین متّسع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التیمّم یشرع بدلاً من الغسل المندوب مطلقاً، ومن الوضوء المندوب وإن لم یرفع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للطهور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النجاسات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رواه الأکثر کما ذکره المصنّف ولا یطابق ما أسلفه من جعل أحد الطهورین هو التراب؛ لأنّ الأرض أعمّ منه لشمولها الحجر والرمل وغیرهما من أصنافها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فزاد بعض الرواة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وترابها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الأولی للمصنّف ذکره کذلک لیوافق مطلوبه، أو تبدیل التراب أوّلاً بالأرض لیطابق ما رواه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یأتی فی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الصبیّ والنائم والسکران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ضمّ العین فیهما ککرم یکرُم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علیه فی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المتنجّس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المرتضی فی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ولم نقف علی غیرهما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الدلیل النقلی عموم الأدلّة الدالّة علی اعتبار الکریّة، اُنظر روض الجنان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انفعاله</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انفعاله بمجرّد الملاقاة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اعتبر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وفی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الممازجة، وفیهما وفی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المطهّر أو مساواته، اُنظر الدروس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واعتبر الدفعة أیضاً فی غایة المراد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العراقی وقدره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المشهور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 نّه بالمدنی وهو مئة وخمسة وتسعون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العراقی مئة وثمانیة وعشرون درهماً وأربعة أسباع درهم، وقد اختاره العلّامة 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تقدیر نصاب زکاة الغلّة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فی الفقیه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الجوهری فی الصحاح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سائلة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ضعفه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یرد فیه مدح ولا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وفیهما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السیّد العاملی فی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أو صریح المعتبر وکشف الالتباس والمهذّب والمقتصر والذکری والروض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البغل موجود فیها، بل هو ظاهر الذکری جزماً، ونصّ الفاضل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البغل موجود فی موضع من التهذیب، والاُستاذ فی شرح المفاتیح وحاشیة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فی بعض نسخ التهذیب ذکر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النسخة، مفتاح الکرامة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ینجبر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یلحق بالدماء الثلاثة فی تغلیظ حکمه، حیث لا یعفی عن قلیله ولا کثیره فی الصلاة، فإذا استثنی الدماء الثلاثة هنا من مطلق الدم لقوّة نجاستها استثنی منها دم نجس العین؛ لما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منع کلّ من الحکمین؛ فإنّ الدم فی النصّ مطلق، وإخراج الدماء الثلاثة أیضاً فی محلّ النظر حیث لا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فإلحاق غیرها بها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فإنّهم لم یلحقوه بها فی نزح الجمیع مع وجود العلّة، فالأولی أن لا یلحق هنا، والقول بإلحاقه بها 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قال المصنّف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فی 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آنفاً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المستندة بالموت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إسناده الحکم إلی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علیّ بن أبی حمزة عن الصادق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علیّ بن أبی حمزة أیضاً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به فی المسالک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راجع 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کالجمع بین الشاة والخنزیر فی الحکم مع اختلافهما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وتفریق المتّفق، کالتفریق بین الخنزیر والکافر مع اتّفاقهما فی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وکشف الالتباس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للصدوق فی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بأنّ العشرة أکثر عدد یضاف إلی هذا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یدلّ علی أ نّه جمع قلّة، والنظر فی الأمرین معاً، أمّا الجمع فظاهر أ نّه جمع کثرة کما هو معلوم من قواعد العربیّة، وأمّا الحمل علی أکثره علی تقدیر تسلّمه فمنعه ظاهر، فإنّ إطلاق الحکم بالجمع محمول علی الاجتزاء بأقلّه کما هو معلوم من حال الشارع فی جمیع أبواب الفقه فحمله علی الاجتزاء بالأقلّ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بأ نّه جمع کثرة والاجتزاء بالعشرة العلّامة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أصاب فی الجمع دون مدلوله، فإنّ أقلّ جمع الکثرة أحد عشر بلا خلاف، فحمله علی العشرة التی هی أکثر جمع القلّة لیس بسدید، ومع ذلک لا یخفی أنّ الفرق بین الجمعین اصطلاح خاصّ یأباه العرف، والحکم الشرعی منوط به کما یعلم ذلک فی أبواب الأقاریر والوصایا وغیرها وبذلک یظهر وجه النظر فی القولین بل فسادهما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أبی سعید المکاری، اُنظر روض الجنان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ذیل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سعید المکاری ملعون، اُنظر المسالک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الحیّة علی المشهور إحالةً علی الفأرة، وهو مأخذ ضعیف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المحقّق فی المعتبر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 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الشاهد للحیّة، وفی الذکری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النصّ صریحاً فی العقرب، واستشهد فیها للوزغة بقول الصادق علیه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القواعد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ألحق العصفورَ ببول الرضیع، راجع الذکری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فی المتن، وزیدت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إدریس فی السرائر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وأمّا القول الأوّل فلم نقف علی قائله فی خصوص ما لم یکن له مقدّر، نعم قال المفید وجماعة بکفایة مزیل التغیّر فی مطلق تغیّر ماء البئر، اُنظر روض الجنان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رواه محمّد بن عیسی عن یونس عن أبی الحسن علیه السلام، قال الشیخ 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الخبر شاذّ شدید الشذوذ وإن تکرّر فی الکتب والاُصول فإنّما أصله یونس عن أبی الحسن علیه السلام ولم یروه غیره وقد أجمعت العصابة علی ترک العمل بظاهره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الذکری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العلّامة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تبعیّته للحیوان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الوسائل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بتنجیسه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الذکری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وظاهر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انقطاعه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الضرورة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روایة أبی بصیر، وقد استدلّ قدس سره بها فی روض الجنان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2:1028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فی روض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البغلی بإسکان الغین وتخفیف اللام منسوب إلی رأس البغل، ضربه للثانی فی ولایته بسکةٍ کسرویّة فاشتهر به، وقیل بفتحها وتشدید اللام منسوب إلی قریة بالجامعین کان یوجد بها دراهم تقرب سعتها من أخمص الراحة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بذلک ابن ادریس فی السرائر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وأخمص الراحة هو المنخفض منها الذی لا یصل إلی الأرض إذا وضعت علیها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بذلک ابن الجنید، اُنظر المعتبر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قدّره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والمصنّف 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والصیمری فی کشف الالتباس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عفو، کما فی المبسوط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إزالته، کما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إزالته إلّاأن یتفاحش ویکثر، کما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الثانی فی جامع المقاصد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والقول الآخر وهو عدم الانضمام لابن فهد الحلّی فی المهذّب البارع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عدّة أخبار، اُنظر الوسائل </w:t>
      </w:r>
      <w:r>
        <w:rPr>
          <w:rFonts w:eastAsia="IRNazanin" w:cs="IRNazanin"/>
          <w:b w:val="false"/>
          <w:bCs w:val="false"/>
          <w:i w:val="false"/>
          <w:iCs w:val="false"/>
          <w:color w:val="333333"/>
          <w:sz w:val="20"/>
          <w:szCs w:val="20"/>
        </w:rPr>
        <w:t>2:1001</w:t>
      </w:r>
      <w:r>
        <w:rPr>
          <w:rFonts w:ascii="IRNazanin" w:hAnsi="IRNazanin" w:eastAsia="IRNazanin"/>
          <w:b w:val="false"/>
          <w:b w:val="false"/>
          <w:bCs w:val="false"/>
          <w:i w:val="false"/>
          <w:i w:val="false"/>
          <w:iCs w:val="false"/>
          <w:color w:val="333333"/>
          <w:sz w:val="20"/>
          <w:sz w:val="20"/>
          <w:szCs w:val="20"/>
          <w:rtl w:val="true"/>
        </w:rPr>
        <w:t>، الباب الأوّل والثانی من أبواب النجاسات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وفی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مسحة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الجنید علی ما حکاه عنه فی المسالک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 من البابین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صحیحة علیّ بن جعفر عن أخیه موسی علیه السلام علی ما فی روض الجنان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وقد تقدّمت الإشارة إلیها فی التخریج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جماعة، منهم 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والفاضل الآبی فی کشف الرموز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اختیار الشیخ فی المبسوط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وابن ادریس فی السرائر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اختیار الشیخ فی الخلاف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یتغیّر أو یصب،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یتغیّر أو یصبه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 عشرة یحتمل أن یکون بعدّ الأرض والتراب واحداً، وکذا نقص البئر وذهاب ثلثی العصیر لکون کلٍّ منهما نقصاً، ویکون العاشر زوال العین من البواطن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العاشر هو الإسلام ویکون قد عدّ نقص البئر وذهاب ثلثی العصیر مطهّرین، أو عدّ الأرض والتراب مطهّرین ولا یکون عدّ الزوال من المطهّرات کما فعله فی الدروس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اتّفقت کلمة المصنّف هنا وفی الدروس والبیان فی جعل المطهّرات عشرة واختلفت فی تعیینها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وراجع الدروس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2:1046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الصیقل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النباتات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وفتحها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بتضعیف الخاء وتخفیفها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وسکونها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یطهر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الغسل أو التیمّم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فها هنا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التقرّب والوجوب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کنز العرفان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وابن فهد فی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الماتن قدس سره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والمحقّق الثانی فی جامع المقاصد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یجوز استقبال الشعر فیه علی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الرجلین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یجزی النکس علی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والألفیّة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ولکن 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بعدم الإجزاء احتیاطاً لو خالف الترتیب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بمجموع ما ذکر،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للمصنّف فی هذه المسألة ثلاثة 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الخلاف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استحباب الغَسل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وابن ادریس فی السرائر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والعلّامة فی قواعد الأحکام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بظهر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وظاهر المصنّف فی الذکری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الحکم فی المقامین،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الوسائل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فی المعتبر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متکافئ</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المتجدّد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العلّامة فی المختلف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وظاهر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المصادر الحدیثیّة من العامّة والخاصّة، ورواه فی الوسائل عن الشهید الثانی فی شرح النفلیّة، اُنظر الوسائل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والفوائد الملیّة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مطهِّر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تستقبل الریح ولا تستدبرها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شاملة لهما، راجع الوسائل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لکن أطلقه فی الذکری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کما هنا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روض الجنان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بشدّة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وانظر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فی روض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لتضمّنه مهانة النفس، ولفحوی ما روی عن الباقر علیه السلام أ نّه وجد لقمة فی القذر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سند له ظاهراً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للعاطس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العلّامة فی نهایة الإحکام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اختیار المحقّق الثانی أیضاً فی جامع المقاصد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والمصنّف فی الذکری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المنتهی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هو جواز مسّ اسم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کراهیة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منقوشاً علی الدراهم والقلائد، ذهب إلیه ابن فهد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الأکمل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الوضوء،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الوضوء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الذکری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یغسلهما إلی المرفقین أو إلی نصفهما</w:t>
      </w:r>
      <w:r>
        <w:rPr>
          <w:rFonts w:eastAsia="IRNazanin" w:cs="IRNazanin"/>
          <w:b w:val="false"/>
          <w:bCs w:val="false"/>
          <w:i w:val="false"/>
          <w:iCs w:val="false"/>
          <w:color w:val="333333"/>
          <w:sz w:val="20"/>
          <w:szCs w:val="20"/>
          <w:rtl w:val="true"/>
        </w:rPr>
        <w:t>. . .»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کالصدوقین والشیخ والکیدری وابن سعید والعلّامة والفاضل المقداد، اُنظر الفقیه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القاضی فی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حکاه عنه فی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والمحقّق وتلمیذه الفاضل الآبی، اُنظر المعتبر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وکشف الرموز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الشهید الثانی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التمیّز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لعلم الهدی وأبی الصلاح وابنی الجنید وإدریس والفاضلین فی المعتبر والتذکرة، وجعله فی القواعد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فی جامع المقاصد هذا الإطلاق إلی المحقّق فی المعتبر، اُنظر المعتبر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قارنها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هذا الکتاب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وأکملت إحدی،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وأکملته إحدی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أزید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الجنب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تُعلَّق به القِدْر ونحوها،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السیف والقوس والسوط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الجنب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کالغائب الذی یمکنه استعلام حالها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الحدیث، اُنظر البحار </w:t>
      </w:r>
      <w:r>
        <w:rPr>
          <w:rFonts w:eastAsia="IRNazanin" w:cs="IRNazanin"/>
          <w:b w:val="false"/>
          <w:bCs w:val="false"/>
          <w:i w:val="false"/>
          <w:iCs w:val="false"/>
          <w:color w:val="333333"/>
          <w:sz w:val="20"/>
          <w:szCs w:val="20"/>
        </w:rPr>
        <w:t>77:215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متن اللمعة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اقتصر فی الکتابین علی الجواز مع ظنّ الحیض فی المضطربة خاصّة، اُنظر الدروس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المجوّزة والمانعة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روض الجنان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یَسْئَلُونَکَ عَنِ اَلْمَحِیضِ قُلْ هُوَ أَذیً فَاعْتَزِلُوا اَلنِّسٰاءَ فِی اَلْمَحِیضِ وَ لاٰ تَقْرَبُوهُنَّ حَتّٰی یَطْهُرْنَ فَإِذٰا تَطَهَّرْنَ فَأْتُوهُنَّ مِنْ حَیْثُ أَمَرَکُمُ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تغیّرها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للعشاءین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فهد فی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شاهد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خلاف المصنّف فی الاستدلال بخبر الصحّاف فإنّه استدلّ به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اعتبار أوقات الصلاة، ونحن اعتبرناه فوجدناه دالّاً علی عدم اعتبارها صریحاً فتأمّله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النفاس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ذلک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یتعیّن فیه نیّة الاستباحة، ذهب إلیه ابن إدریس فی السرائر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بوجوب الغَسل مطلقاً، کالعلّامة فی القواعد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والشهید 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والصیمری فی کشف الالتباس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بعدم وجوب الغَسل إلّامع الرطوبة، کالشیخ فی المبسوط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الذکری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وفی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ریب أنّ الوجوب أحوط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عوده إلی القول وإلی الدوران؛ لأنّه دلیل ضعیف، کما حقّق فی الاُصول، ویلزم منه ضعف القول وهو لطیف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بالاثنی عشر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الحدیث، اُنظر الوسائل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ضعفه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فی طریقه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النبیّ صلی الله علیه و آله سُجّی بحبرة، وغطّی الصادق علیه السلام ابنه إسماعیل بملحفة، راجع الوسائل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الروایات، راجع الوسائل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فی نهایة الإحکام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الخالی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قصور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عدّة الوفاة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قال فی ضعف المستند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الحدیثین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فی الأوّل کلّه فطحیّة، والثانی رجاله زیدیّة، وحدیثهم مطرَّح بین الأصحاب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بسبب القتال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بذلک إلی ما ذکره الشیخان من اعتبار القتل بین یدی النبیّ والإمام علیهم السلام وما أفاده المحقّق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هذا الشرط زیادة لم تُعلم من النصّ، راجع روض الجنان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81:244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أظفاره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استثفر الرجل بثوبه، إذا لوّی بطرفه بین رجلیه إلی حُجزته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الاستثفار أن یُدخل إزاره بین فخذیه ملوّیاً</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حقواه وفخذاه، وقراءة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المجهول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ذکرها فی الذکری والدروس، اُنظر الذکری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ترقوته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وبهذا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فی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فهنا کماتری، ونحوه فی الذکری والبیان والمبسوط والنهایة والوسیلة، وزاد فی الدروس اللفافة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وأسقط الصدوق وسلّار والفاضلان فی غیر التحریر العمامة، وأسقط فی التحریر الجریدتین دون العمامة، وفی الاقتصاد والمصباح ومختصره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یکتب علی الأکفان والجریدتین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وأسقط المفید الإزار والعمامة، وابن زهرة وصاحب الإشارة الحبرة والعمامة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الروایات الآمرة والناهیة فی الوسائل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یوجد فیها ما یدلّ علی استحباب جعل الکافور فی بصر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موجود فی عبارة الفقیه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کونه معطوفاً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رأس المیّت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أو علی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حکم هنا باشتمال النیّة علیه، ویظهر منه فی بحث نیّة الوضوء المیل إلی عدم اعتباره، اُنظر الذکری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نسختی المتن، ولکن فی نسخ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الحدیث الأوّل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المُثلة هنا تعفّن الجسد وتقطّعه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متیمّماً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والعلّامة فی بعض کتبه کالإرشاد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لقول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فلیقض ما بقی متتابعاً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الحدیث الأوّل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بعض کتبه مثل التذکرة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ابنی بابویه وأبی عقیل علی ما حکاه عنهما فی المختلف، واختاره فی المختلف أیضاً فیما إذا لم یصلّ علی المیّت أصلاً، اُنظر المختلف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فی المختلف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المانعة والمجوّزة، راجع الوسائل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نهایة الإحکام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کتبه کالتذکرة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کالصدوق فی الفقیه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والحلّی فی السرائر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أبواب صلاة الجنازة، الحدیث الأوّل، مع اختلاف یسیر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التکبیرات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ترجّع واسترجع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للنووی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الحدیث الأوّل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الحدیث، راجع المستدرک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الحدیث أیضاً، راجع المستدرک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الإجماع علی أنّ الحجر من جملة الأرض، وقال 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الصعید هو وجه الأرض فیدخل الحجر، وفسّره بعض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بالتراب فلا یدخل، لکنّ المثبت للزیادة مقدّم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أبیض رخو،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والبِرام جمع 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الحجارة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حکاه فی المعتبر والمختلف عن ابن الجنید، اُنظر المعتبر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وراجع روض الجنان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باسم المحلّ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فی کثیر من کتبهم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البعض الآخر ورد کلا التعبیرین، کالمبسوط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وقواعد الأحکام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فی روض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 الصدوق مسح الحاجبین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وانظر الفقیه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وفیهما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الثانی، اُنظر جامع المقاصد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الدروس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رجاء زوال العذر وعدمه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والعلّامة وولده فخر الدین وابن فهد والصیمری والمحقّق الثانی، اُنظر المعتبر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الأحکام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وإ یضاح الفوائد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وکشف الالتباس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ادّعاء الإجماع فی کتبه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حیث لم یذکر التأخیر فیهما، ولکن قال قدس سره فی المقنع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 نّه لا یتیمّم الرجل حتّی یکون فی آخر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خبر زرارة وخبر معاویة بن میسرة اللذین ذکرهما فی روض الجنان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ونقلهما فی الوسائل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روض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قول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یحدث أو یصب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2:989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 وکذا سائر أخبار الباب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عبّروا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یشترطوا استمراره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محمّد بن حمران عن أبی عبد اللّٰه علیه السلام، اُنظر روض الجنان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تُبْطِلُوا أَعْمٰالَکُمْ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الصدوق والسیّد المرتضی والشیخ، 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التهذیب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وهو ظاهر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ابن عاصم، اُنظر روض الجنان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وراه محمّد بن حمران عن أبی عبد اللّٰه علیه السلام، اُنظر روض الجنان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بالنذر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مَن صنع ذلک، وعبارة الفاضلین هکذا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والکسوف، والزلزلة، والآیات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4:1003</w:t>
      </w:r>
      <w:r>
        <w:rPr>
          <w:rFonts w:ascii="IRNazanin" w:hAnsi="IRNazanin" w:eastAsia="IRNazanin"/>
          <w:b w:val="false"/>
          <w:b w:val="false"/>
          <w:bCs w:val="false"/>
          <w:i w:val="false"/>
          <w:i w:val="false"/>
          <w:iCs w:val="false"/>
          <w:color w:val="333333"/>
          <w:sz w:val="20"/>
          <w:sz w:val="20"/>
          <w:szCs w:val="20"/>
          <w:rtl w:val="true"/>
        </w:rPr>
        <w:t>، الباب الأوّل من أبواب التسلیم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التصریح بالاستحسان فی کتبه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یمکن أن یستفاد ذلک من عبارة الذکری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والملتزمة بسببٍ من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الاحتیاط والقضاء بسبب منه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 أو الإضافة، اُنظر تفصیل ذلک فی الفوائد الملیّة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الخبر، راجع مستدرک الوسائل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الاستخدام؛ لأنّ ضمیر ضعفها یعود إلی الیومیّة، والمراد بها الفریضة الیومیّة، وبالاُولی المظهرة، النافلة الیومیّة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والنفلیّة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ثمانی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روایة مصرّحة بنقص النوافل أربعاً، نعم یستفاد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وعشرون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عن الرضا علیه السلام من عدّه مجموع الفرائض والنوافل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وأربعون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الروایات بنقص خصوص العصریّة أربعاً أو ستّاً، والموجود فی الروایات نقص العصریّة أربعاً والمغرب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فی التعلیق السابق بعدم العثور بما یصرّح بنقص العصریّة أربعاً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علیه السلام أ 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لیلة الجمعة إحدی عشر رکعة بتسلیمة واحدة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قدس سره فی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المجلّد الأوّل من التتّمات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صلاتین بین العشاءین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أربع رکعات وثانیتهما عشر رکعات، لم یُصرّح فیهما بکیفیّة التسلیم، والظاهر أ نّهما تُفعلان بتسلیمٍ واحد، راجع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بعض من الصلوات المذکورة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فی شرح الوجیز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الماتن قدس سره فی الدروس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علیهم فیما بأیدینا من کتبهم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الروضة، لکن فی نسختی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وقال العلاّمة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اختیار ابن أبی عقیل وسلّار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عدم الامتداد اختیاراً، ولکن هذا القول متشعّب إلی قول المفید بالامتداد إلی أن یتغیّر لون الشمس للاصفرار اختیاراً والغروب اضطراراً، وقول الشیخ فی المبسوط والجمل والخلاف بالامتداد إلی المثلین اختیاراً وإلی الغروب اضطراراً، وقول علم الهدی رضی الله عنه بالامتداد إلی ستّة أسباع الشاخص ونصف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امتدّ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اعتذر المصنّف فی بعض تحقیقاته عن هذا الاعتراض حین أورد علیه بأنّ إطلاق الامتداد إلی الغروب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ذکرناه أجود فی تحقیق المقام، ومثله القول فی امتداد العشاءین إلی نصف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والعصر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صحیحة زرارة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بناءً علی کون المراد بالذراع القامة،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المشهور امتداد وقت جمیع النوافل الراتبة بامتداد الفریضة وبه روایة، لکنّها معارضة بما هو أصحّ منها وأشهر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واللیل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الخبر، راجع الوسائل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غلبة الظنّ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والمراد به هو العمل المرتّب فی کلّ یوم مثلاً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کتجاوب الدیکة،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ویقابله القول بعدم الإجزاء، ذهب إلیه ابن أبی عقیل وابن الجنید والسیّد المرتضی، راجع المختلف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کالأعمی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کالشیخین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اُنظر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أهل اللغة أ نّه مکبَّر، وقد یصغّر لیتمیّز عن البرج، وهو نجمٌ مضیءٌ معروف یدور مع الفرقدین حول القطب الشمالی کلّ یوم ولیلة دورة کاملة، وغایة ارتفاعه أن یکون علی جهة السماء والفرقدان إلی الأرض، وغایة انخفاضه عکسه، الحواشی للمحقّق الخوانساری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النصوص التصریح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للکوفة وما ناسبها، کما وأنّ بیانها فی کیفیّة الوضع متفاوت، ففی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 الجدی فی قفاک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 علی یمینک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 نّه أشار بذلک إلی ما 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محراب مسجد الکوفة نصبه أمیر المؤمنین صلوات اللّٰه علیه ولم یتغیّر عن وضعه إلی الآن وأ نّه موافق لجعل الجدی خلف المنکب، الحواشی للمحقّق الخوانساری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النصّ الوارد فی جعل الجدی خلف المنکب الأیمن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تخصیصها</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کقرطُبة وزَویلة وتونس وقیروان وطرابلس الغرب،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تأنیث الثروان الّذی هو کثیر المال، سُمّی به لکثرة کواکبه، المصدر السابق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نجمٌ أحمر مُضیء فی طرف المجرّة یتلو الثریّا ویبعد عنها إلی جهة الشمال، المصدر السابق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المناسب لها فَعَدن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المجهولین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یحسن الأمارات یجب علیه التعلم فإن تعذر قلّد، وفی الدروس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العاجز عن الاجتهاد وعن التعلم کالمکفوف فیقلّد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الأعمی ومن لا یعرف أمارات القبلة یجب علیهما أن یصلّیا إلی أربع جهات مع الاختیار ولا یجوز لهما التقلید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رواه الشیخ بطریقین عن إسماعیل بن عباد عن خراش عن بعض أصحابنا عن أبی عبد اللّٰه علیه السلام،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صلّی عن اجتهاد أو تقلید أو أخطأ نسیاناً أو کان متحیّراً،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للصلاة، 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تذکیره للتنبیه علی أنّ المراد بالصلاة الفعل المخصوص بالفتح لا الفعل بالکسر، فإنّه حینئذٍ بالمعنی المصدری ولا اعتبار بتأنیث المصدر،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لتحصل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تخریجه فی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بذلک هو روایة عمّار الساباطی، إلّاأ نّها فی شأن من تبیّن له الخطاء وهو فی الصلاة، وهو غیر موضع النزاع، راجع نفس المصدر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وضعفها لوجود الفطحیّین فی السند مثل عمّار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الثالث التستّر، یجب ستر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المشهور قول ابن البرّاج وأبی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السُرّة إلی الرکبة، وقال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یمکن ذلک فی الصلاة إلّابساتر من السرّة إلی نصف الساق لیصحّ سترها فی حال الرکوع والسجود، راجع المهذّب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بشرطیه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2:1004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 وراجع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 نّه الیوم مجهولةٌ أو مغیّرة الاسم أو موهومةٌ، وقد کانت فی مبدأ الإسلام إلی وسطه کثیرة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السراویل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واستندوا فی ذلک إلی فعل النبیّ صلی الله علیه و آله والصحابة والتابعین والأئمّة الصالحین، فإنّهم لم یصلّوا فی هذا النوع ولا نقله عنهم ناقل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أحادیث الباب التقیید بالعربیّة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الغصبیّة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وهکذا فی الذکری المطبوعة بالحجریّة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الموجود فی طبعة مؤسّسة آل البیت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إلّاوهو محزَّم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 نّها زیادة من المصحّح بالنظر إلی مصادر العامّة، ففی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یصلّی الرجل إلّاوهو محتزم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سنن أبی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نهی رسول اللّٰه صلّی اللّٰه علیه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وأن یصلّی الرجل بغیر حزام</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ناسی الأصل ففی البیان، وأمّا ناسی الحکم فلم أظفر فیه للمصنّف قولاً بصحّة صلاته، بل صرّح فی الذکری والبیان ببطلان صلاته،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المشهور قول الشیخ فی المبسوط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صلّی فی مکان مغصوب مع الاختیار لم تجز الصلاة فیه، فلا فرق بین أن یکون هو الغاصب أو غیره ممّن أذن له فی الصلاة فیه؛ لأنّه إذا کان الأصل مغصوباً لم تجز الصلاة فیه، المبسوط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التعلّق بالمتن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طاهر المسجَد من کلّ نجاسة متعدّیة أو غیرها معفوّاً عنها أو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أیّ مذهبٍ کان من المذهبین اللذین سیُذکران إن شاء اللّٰه تعالی،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بأحجارٍ مسجداً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بکسر المیم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یتطهّر فیه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بالصورة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القملة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الصانع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40:277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ودلّ علیها، ونَشَد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 وسأل عنها وطلبها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الثانی فی جامع المقاصد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الخبر، راجع الوسائل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 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موقد نار الحمّام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لاتینیّة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 غیر التنّور مُعدّ لأن یُخبز فیه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مرابط</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نفی البأس فی أخبارنا أیضاً من دون تعلیل، راجع الوسائل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للنصاری، والکنیسة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متعبّد الیهود، وتطلق أیضاً علی متعبّد النصاری، معرَّبة،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 صلاتیهما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القول بالبطلان مطلقاً فهو ظاهر کلام الشیخین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بطلان المتأخّرة فقد مال إلیه الشهید فی الذکری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وقوّاه ابن فهد الحلّی فی المهذّب البارع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موقفهما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3:600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وضمّها، نباتٌ ینتج لیفاً صالحاً لصنع الحبال والخیطان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3:600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حکمهما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فی أحکام النجاسات، وأحکام الطهارات الثلاث</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الخلاف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 الشیء 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الإحکام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زینب زوجة أبی العاص بن ربیعة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البخاری فی صحیحه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والنسائی فی سننه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لاُمور الدنیا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هو أنّ الأصل فی کلّ مبطل الإطلاق ما لم یدلّ دلیل علی التقیید، ذکره الفاضل فی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4:1250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به فی کتبه، نعم عدّ من منافیات الأفضلیّة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یمیناً وشمالاً وإن کان بوجهه ما لم یرَ ما وراءه، راجع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ازدرد 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الصیام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الکلام والقهقهة والأکل والشرب،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کُلّف فی بعض المواضع باستدراکه ثانیاً، الحواشی للمحقّق الخونساری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فواتح الرحموت المطبوع ضمن المستصفی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یفرِّق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ویتأکّد لسبع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المصادر الحدیثیّة، 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مرسلاً عن النبیّ صلی الله علیه و آله،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من مقدّر، أی لأن کلّ عبادة فهی مفتقرة فی الثواب علیها إلی النیّة إلّاما شذّ، وهو النظر فی معرفة اللّٰه تعالی، کما عرفت سالفاً، فإنّ النیّة لا یمکن قبل المعرفة،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المحقّق الخوانساری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کالنیّة، فإنّها عبادة لا تحتاج إلی النیّة، وإلّا لتسلسل،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مثنی مثنی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نخرجه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یأثم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الطباعة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الشیخ، اُنظر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یجوز نصب الصلاة الاُولی والثانیة علی حذف العامل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ورفعهما علی حذف المبتدأ أو الخبر، والثالثة ساکنة لیس إلّا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الثلاثة لا عن بعضهم، وبقوله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یجبان فی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جمیع الصلوات علی الرجال والنساء،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الإطلاقیّة الاُولی لمذهب الحسن بالنسبة إلی الرجال والنساء، وقرینته تقیید المرتضی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وهی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وأضاف الأوّل الإقامة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جمیع الخَمس، بمعنی أ نّه أوجب الإقامة فی الخَمس دون الأذان، مضافاً إلی ما أوجبه فیهما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والإطلاقیّة الثالثة للمرتضی کذلک فی الخَمس، لکنّه خصّ الوجوب بالرجال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وابن ادریس فی السرائر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للمکان والوقت،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أبی علیّ عن أبی عبد اللّٰه صلوات اللّٰه علیه،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4:653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من صرّح به سوی العلّامة فی التحریر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للمسألة فی غایة المراد ولا فی الألفیّة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المصنّف فی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قدس سره صرّح فیها بعدم إطلاق اسم البدعة عندنا إلّاعلی ما هو محرَّم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فغیر المحرّم لیس من أقسام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الفروق للقرافی </w:t>
      </w:r>
      <w:r>
        <w:rPr>
          <w:rFonts w:eastAsia="IRNazanin" w:cs="IRNazanin"/>
          <w:b w:val="false"/>
          <w:bCs w:val="false"/>
          <w:i w:val="false"/>
          <w:iCs w:val="false"/>
          <w:color w:val="333333"/>
          <w:sz w:val="20"/>
          <w:szCs w:val="20"/>
        </w:rPr>
        <w:t>4:1333</w:t>
      </w:r>
      <w:r>
        <w:rPr>
          <w:rFonts w:ascii="IRNazanin" w:hAnsi="IRNazanin" w:eastAsia="IRNazanin"/>
          <w:b w:val="false"/>
          <w:b w:val="false"/>
          <w:bCs w:val="false"/>
          <w:i w:val="false"/>
          <w:i w:val="false"/>
          <w:iCs w:val="false"/>
          <w:color w:val="333333"/>
          <w:sz w:val="20"/>
          <w:sz w:val="20"/>
          <w:szCs w:val="20"/>
          <w:rtl w:val="true"/>
        </w:rPr>
        <w:t xml:space="preserve">، الفرق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مبنیّان علی الخلاف فی أنّ اللحن فیما یعتبر لفظه هل هو مبطل مطلقاً، أم لا یبطل إذا لم یخلّ بالمعنی،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لأحمد حیث استحبّ أن یلوی عنقه عند الحیّعلتین علی المنارة، ولأبی حنیفة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علی المنارة استدار بجمیع بدنه وإن کان علی الأرض لوی عنقه،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السجدة أیضاً منصوصة، راجع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السابق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بالأخیرین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تخریجها آنفاً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بالحولقة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الجملة فی نسخ الروضة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مستقبلاً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إطلاق الشرائع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اُنظر مفتاح الکرامة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المقاصد العلیّة للمؤلّف قدس سره، والظاهر عدم عثوره علی قائل به صریحاً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للفرض</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تمییز</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الاحتمال الثانی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قبل الوجوب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المراد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بحار الأنوار </w:t>
      </w:r>
      <w:r>
        <w:rPr>
          <w:rFonts w:eastAsia="IRNazanin" w:cs="IRNazanin"/>
          <w:b w:val="false"/>
          <w:bCs w:val="false"/>
          <w:i w:val="false"/>
          <w:iCs w:val="false"/>
          <w:color w:val="333333"/>
          <w:sz w:val="20"/>
          <w:szCs w:val="20"/>
        </w:rPr>
        <w:t>22:16530</w:t>
      </w:r>
      <w:r>
        <w:rPr>
          <w:rFonts w:ascii="IRNazanin" w:hAnsi="IRNazanin" w:eastAsia="IRNazanin"/>
          <w:b w:val="false"/>
          <w:b w:val="false"/>
          <w:bCs w:val="false"/>
          <w:i w:val="false"/>
          <w:i w:val="false"/>
          <w:iCs w:val="false"/>
          <w:color w:val="333333"/>
          <w:sz w:val="20"/>
          <w:sz w:val="20"/>
          <w:szCs w:val="20"/>
          <w:rtl w:val="true"/>
        </w:rPr>
        <w:t>، التقرّب، القربة و</w:t>
      </w:r>
      <w:r>
        <w:rPr>
          <w:rFonts w:eastAsia="IRNazanin" w:cs="IRNazanin"/>
          <w:b w:val="false"/>
          <w:bCs w:val="false"/>
          <w:i w:val="false"/>
          <w:iCs w:val="false"/>
          <w:color w:val="333333"/>
          <w:sz w:val="20"/>
          <w:szCs w:val="20"/>
          <w:rtl w:val="true"/>
        </w:rPr>
        <w:t>. .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کما رأیتمونی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وقال السیّد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بالواجبة المندوبة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والقول الآخر وهو عدم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فی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إلی سعد بن عبد اللّٰه، مفتاح الکرامة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الفقیه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2:322</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تعدّدت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ومن معناها التفضیل المفهوم من صیغته، فیقال بالفارسیّة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ردّ علی کثیر من العامّة حیث عبّروا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بزرگ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 ما سینقله عن المصنّف، وإلّا فعدم الفصل إجماعیُّ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الماتن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فیه ابن الجنید وسلّار والشیخ فی النهایة والمحقّق فی المعتبر، فإنّهم ذهبوا إلی استحبابها، فعندهم یجوز التبعیض کما یجوز ترکها بالکلیّة، الذکری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راجع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ابن إدریس فی مستطرفات السرائر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الوسائل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اثنی عشرة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أ نّه لم یوجد فی الکتب المتداولة نصّ دالّ علی خصوص الثالث والرابع أصلاً فضلاً عن الصحیح، وقد اعترف صاحب المدارک والمحقّق الأردبیلی وغیرهما أیضاً بعدم الوقوف علی مستند لهذا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روایة التسع صحیحة کما نقلنا، وأمّا روایة الأربع فعلی ما أشرنا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منظور الشارح أنّ نصّ الأربع یکفی الاجتزاء بالعشر والاثنتی عشرة أیضاً؛ لاشتماله علیهما مع زیادة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راجع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یؤدّی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صحیحة منصور بن حازم،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لکنّها لا تدلّ علی الأفضلیّة، راجع المصدر السابق،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ویقابله قول ابن الجنید وعلم الهدی بالاستحباب، راجع المختلف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أوّلتی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84:188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تمّ لفظه ومعناه واستقلّ ما بعده ولم یتعلّق به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تعلّق الموقوف علیه بما بعده لفظاً لا معنیً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یتعلّق الموقوف بما بعده معنیً لا لفظاً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کتب القراءات والتجوید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المعنی الأوّل الذی هو مختار المصنّف، لا هذان المعنیان، فإنّهما یجعلانه عبارة عن أحد جزئی المعنی اللغوی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فالأخیران یوافقان ما قاله الراغب وأمثاله، کما أنّ الأوّل یوافق ما قاله الجوهری والزمخشری وأضرابهما،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الدالّة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مطلق التوسّط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تعیینه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المعتبر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الخبر، راجع الوسائل </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الحدیث الأوّل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المراد من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ظهریها وجمعتها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الجمعة، ومرجع الضمیرین سورة الجمعة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فی الفقیه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بینها وبین صحیحة علیّ بن یقطین ونحوها، راجع الوسائل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الجواز، وهو ظاهر کلام الإسکافی، حکاه عنه المحقّق فی المعتبر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الثانی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خ 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ابن إدریس فی السرائر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وادّعی علیه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هو الاستحباب للسامع، قاله فی الخلاف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وقال فی الذکری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شکّ عندنا فی استحبابه علی تقدیر عدم الوجوب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النهایة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العیدین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التعویض منها فلم نظفر به، ونسبه فی جامع المقاصد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الجنان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التذکرة، ولکن لم نعثر علیه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احتمله العلّامة فی النهایة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بالتعویض منه فاختاره العلّامة فی النهایة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نهایة الإحکام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لأمر النبیّ صلی الله علیه و آله الأعرابی الجاهل بالقرآن بذلک، راجع سنن أبی داود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علیه أیضاً ما رواه فی الوسائل </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الحدیث الأوّل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التذکرة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 علی خلافه فی الاجتزاء بأحدهما فی الفریضة، بل علی ما نذکره بعدُ من أ نّهما سورتان وإن وجبتا معاً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إدریس فی السرائر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والقول الآخر عدم الوجوب، اختاره الشیخ فی الاستبصار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والتبیان </w:t>
      </w:r>
      <w:r>
        <w:rPr>
          <w:rFonts w:eastAsia="IRNazanin" w:cs="IRNazanin"/>
          <w:b w:val="false"/>
          <w:bCs w:val="false"/>
          <w:i w:val="false"/>
          <w:iCs w:val="false"/>
          <w:color w:val="333333"/>
          <w:sz w:val="20"/>
          <w:szCs w:val="20"/>
        </w:rPr>
        <w:t>10:371</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النقطة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الانقباض</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ادریس فی السرائر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الحدیث الأوّل 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للطمأنینة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4:926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 الحدیث الأوّل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 الحدیث الأوّل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هذا التأویل عن أمیر المؤمنین علیه السلام، راجع الوسائل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بالیمنی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للدعاء تتمّة، راجع الوسائل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روایة عمّار 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الرجل یُدخِل یدیه تحت ثوبه؟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علیه ثوب آخر إزار أو سراویل فلا بأس، وإن لم یکن فلا یجوز له ذلک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فلیس نصّاً فی کون الحکم حین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یجب أن یسجد سجدتین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الحدیث الأوّل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روایة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وابن أبی عقیل علی ما نقل عنه فی المختلف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والقول الآخر الاستحباب وهو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والحلّی فی السرائر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الدروس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تخریجهما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تخریجه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وابن فهد فی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روایة البزنطی، راجع روض الجنان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4:1009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ونقله عنهما فی الذکری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4:990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بالتضاعیف ما هو بحسب کلام المصنّف فیکون کلّ ما فی الفصل الثالث داخلاً فیها، حتی الأذان والإقامة وإن ذُکرا فی أوّله ویکون ما قبلها منصرفاً إلی ما قبل ذلک الفصل لاستحباب الصلاة أوّل الوقت إلّافیما استُثنی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المراد به ما هو فی الحقیقة کذلک، فلا یدخل فیها إلّاما ذکر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یجب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الأذان والإقامة ممّا قبلها،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ویکون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عنه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ویحتمل أن یکون مرجعه التکبیر والظرف متعلّقاً بالوجوب وخبر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بمعنی زاید متجاوز عن الحدّ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والفاضلان، راجع المبسوط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قولان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یکون کماله بعد قرار الیدین مرفوعتین، والآخر أن یبتدئ به عند الابتداء بالإرسال،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الإحرام، الحدیث الأوّل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الإحرام، الحدیث الأوّل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ابن طاووس قدس سره فی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استفاد ذلک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ورد الدعاء عقیب السادسة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محسن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راجع الذکری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الإحرام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وَرِکیه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النظر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الأخیران کما فی سائر کتبه وکتب غیره من الأصحاب، فإنّهم اعترفوا بأ نّه لا نصّ فیهما، ونحن لم نعثر علیه فی شیءٍ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منصوص فی فقه الرضا علیه السلام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التشهّد علی فخذیه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نهایة الإحکام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جلوسه إلی حجره</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لرفع الإ بهام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ذلک من کلام المحقّق قدس سره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ومحلّه الأفضل قبل الرکوع، المعتبر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4:1030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 الحدیث الأوّل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نّه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زیادة من الشارح لدفع إیهام العموم، أفضلیّته من ألف رکعة معقَّبة بالتسبیح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 الحدیث الأوّل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لتعقیب الصلاة، لا بخصوصیّة البعدیّة للتسبیح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سجدتی الشکر،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4:1070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سجدتی الشکر،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4:1077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سجدتی الشکر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یأتی من قول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ویکره الالتفات</w:t>
      </w:r>
      <w:r>
        <w:rPr>
          <w:rFonts w:eastAsia="IRNazanin" w:cs="IRNazanin"/>
          <w:b w:val="false"/>
          <w:bCs w:val="false"/>
          <w:i w:val="false"/>
          <w:iCs w:val="false"/>
          <w:color w:val="333333"/>
          <w:sz w:val="20"/>
          <w:szCs w:val="20"/>
          <w:rtl w:val="true"/>
        </w:rPr>
        <w:t>. .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الثانی 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النهی یرجع إلی الأفعال الخارجة عن الصلاة، فیبطل منها ما تضمّن حرفین فصاعداً کما سلف، وهو المشهور فی ضابط الخارج القولی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الفعلی فالمعتبر فی المفسد منه الکثرة، ومن ثَمّ اختُلف فی الإبطال بالتکفیر، من حیث إنّه من الأفعال ولا یوصف بالکثرة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المقتضی للفساد فی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النهی المتعارف المتعلّق بنفس العبادة، فإنّه وإن دلّ علی الفساد، إلّاأنّ هذا لیس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 هذا المعنی أشار بقوله فیما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والإبطال فی الفعل لاشتماله علی الکلام المنهیّ عنه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والعلّامة فی نهایة الإحکام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الآبی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بالتحریم مذهب الثلاثة وأتباعهم، وما أعرف فیه مخالفاً إلّاما حکی شیخنا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الدرس عن أبی الصلاح الکراهیة، وما وجدته فی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قصد الدعاء، والثانی قصد القرآن، فإذا لم یقصد الدعاء انتفت فائدة التأمین، وإذا لم یقصد القرآن بل محض الدعاء انتفی القرآن، فبطلت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خلاصة تقریر علّة البطلان بالتأمین علی ما ادّعاه الشیخ رحمه الله فی 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ضعیفة، لما أشار إلیه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قصد الدعاء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فسّر التروک بما یجب ترکه وأدرج هنا فیها ترک الواجب، کان ترک الواجب ممّا یجب ترکه، ولمّا کان الترک أمراً عدمیّاً کان ترکه وجودیّاً، وهو إیجاد ضدّه، وهو فعل الواجب، علی نحو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التکلیف بترک الفعل یراد به فعل الضدّ هرباً من تعلّق التکلیف بالمعدوم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بفوات إحداهما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 نّه إذا اعترف بکون الرکن هو المهیّة المرکّبة ولا شک أ نّها ینتفی بانتفاء جزئها، فیلزم انتفاء الرکن، فکیف لا یکون مؤثّراً؟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للمنافی، أی سواء کان المنافی منافیاً للصلاة عمداً وسهواً معاً کالحدث، أو لم یکن منافیاً إلّاعمداً کالکلام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فی ذلک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الرکنیّة، والشرطیّة، وکونها متردّدة بینهما مع کونه بالشرط أشبه،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للشیخ فی المبسوط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للمحقّق فی المعتبر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للمحقّق الثانی فی جامع المقاصد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نسبه إلی کلّ علماء الإسلام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 فی الوجه الأوّل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المعرّفین له</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جماعة من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الکلینی والشیخ وعلم الهدی والمصنّف فی الذکری والدروس وأبو الصلاح وابن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ذهبوا إلی أنّ من شکّ فی الرکوع وهو فی محلّه فرکع ثم ذکر وهو فی الرکوع أ نّه قد فعله أرسل نفسه إلی السجود ولا یرفع رأسه، فلا یبطل صلاته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للشیخین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المتیمّم إذا أحدث فی الصلاة ناسیاً ثمّ وجد الماء تطهّر وبنی علی ما مضی من الصلاة، 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تُبْطِلُوا أَعْمٰالَکُمْ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سورة الجمعة والمنافقین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4:1269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7:505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19987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84:259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ثأب</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 الروضة،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شبر أو 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بشبر أو 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الإ بهام وطرف السبّابة بالتفریج المعتاد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هیئتی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یدلّ علی أنّ أوّل وقتها الزوال فلا یحصی کثرةً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ما یدلّ علی امتداده بامتداد وقت الظهر فلعلّه الروایات الواردة فی وقت الظهر، فإنّها لم یفرّق بین یوم الجمعة وغیره، وصلاة الجمعة لیست إلّاصلاة الظهر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فی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 قال أکثر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فی المنتهی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مذهب علمائنا أجمع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أوجب الثناء کما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یُنسب إلیهم علیهم السلام ما یقتضی عُلوَّ شأنهم وسُموَّ مقامهم من الفضائل والمناقب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التأسّی بأمیر المؤمنین علیه السلام، راجع المستدرک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الحدیث الأوّل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إسماع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اختاره الشیخ فی المبسوط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الآخر وهو عدم اشتراط الطهارة فقد قاله ابن إدریس فی السرائر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الخطیب والسامعین الداخلین فی العدد وغیرهم من المأمومین وغیر السامعین منهم لبُعدٍ أو صممٍ أو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التأسّی برسول اللّٰه صلی الله علیه و آله، راجع سنن البیهقی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الرسول صلی الله علیه و آله، راجع سنن البیهقی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وهو ظاهر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المختلف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ونسباه إلی المشهور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المرتضی فی مسائل المیّافارقیّات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والفاضل الآبی فی کشف الرموز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صحیحة عمر بن یزید عن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یجمّع القوم یوم الجمعة إذا کانوا خمسة فما زاد، والجمعة واجبة علی کلّ أحد، لا یعذر الناس فیها إلّاخمسة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والمملوک والمسافر والمریض والصبیّ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معناها أخبار کثیرة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الراوی فی هذه الصحیحة عن الصادق علیه السلام هو منصور بن حازم، راجع التهذیب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الأوّل من الأبواب،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العلّامة فی التحریر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ادّعاه صریحاً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ونسبه إلی علمائنا الإمامیّة رضوان اللّٰه علیهم طبقةً بعد طبقة من عصر أئمّتنا علیهم السلام إلی عصرنا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الکرکی فی رسالة صلاة الجمعة، رسائل المحقّق الکرکی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بالحثّ والتحریض، راجع الوسائل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عدم وجوبها زمن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بالمتن، لا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روایة منصور عن الصادق علیه السلام، الوسائل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 هی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المهایاة فی کسب العبد أن یقسمان الزمان بحسب ما یتّفقان علیه، ویکون کسبه فی کلّ وقتٍ لمن ظهر له بالقسمة، مجمع البحرین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هیا</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اُمّ ولد</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یراد بالإمام هنا من تجب الجمعة معه عیناً أو 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اختصّ الإمام بأحد الأقوام المتفرّقین، ووجوب حضور غیرهم عندهم حینئذٍ ظاهرٌ؛ لإمکان إقامة مَن عندهم الإمام الجمعة دون غیرهم، فیجب علی غیرهم الحضور عندهم؛ لوجوب الجمعة علیهم ولا یتمّ إلّابه، فیجب من باب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تعدّد الإمام مع الجمیع وجب الاجتماع علیهم جمیعاً کفایةً کما ذکر؛ لإمکان إقامة الجمیع الصلاة عندهم من تلک الجهة، لکن لمّا لم تنعقد فی أقلّ من الفرسخ إلّاواحدة وجب علیهم کفایةً السعی علی وجه یحصل معه صحّة الصلاة، وهو الاجتماع علی جمعة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أنّ الإمام لم یجتمع عنده من یکمل به الجمعة وجب علیه الاجتماع مع من یکمل به کفایةً ثمّ تسقط عنهم ویجب علی غیرهم الاجتماع عیناً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یعید المشتبهة الحال ظهراً مع العلم باللحوق، لا بالسبق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بالمعتبر من المسافة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جاز السفر مع إمکانها فی الطریق صار طاعة، فیجب القصر فتسقط فیلزم تفویتها به فیحرم، فیجب إتمام صلاته، فلا تفوت فلا یحرم فتقصّر فتفوت، وهو 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إلّاما نقله فی البحار </w:t>
      </w:r>
      <w:r>
        <w:rPr>
          <w:rFonts w:eastAsia="IRNazanin" w:cs="IRNazanin"/>
          <w:b w:val="false"/>
          <w:bCs w:val="false"/>
          <w:i w:val="false"/>
          <w:iCs w:val="false"/>
          <w:color w:val="333333"/>
          <w:sz w:val="20"/>
          <w:szCs w:val="20"/>
        </w:rPr>
        <w:t>86:214</w:t>
      </w:r>
      <w:r>
        <w:rPr>
          <w:rFonts w:ascii="IRNazanin" w:hAnsi="IRNazanin" w:eastAsia="IRNazanin"/>
          <w:b w:val="false"/>
          <w:b w:val="false"/>
          <w:bCs w:val="false"/>
          <w:i w:val="false"/>
          <w:i w:val="false"/>
          <w:iCs w:val="false"/>
          <w:color w:val="333333"/>
          <w:sz w:val="20"/>
          <w:sz w:val="20"/>
          <w:szCs w:val="20"/>
          <w:rtl w:val="true"/>
        </w:rPr>
        <w:t xml:space="preserve">، عن رسالة الجمعة المنسوبة إلی المؤلّف قدس سره، راجع رسائل الشهید الثانی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کلّها للجمعة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الجمعة، لا صلاتها، وإلّا لأشعر بعدم استحباب الأربع إذا لم یصلّ الجمعة، ولیس،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القید وإن لم یکن به حاجة، إلّاأنّ ذکره یفید أنّ کونها للیوم مخصوص بهذا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مفرَّقة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وراجع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لابن الجنید، فإنّه جعل التکبیر فی الاُولی قبلها وفی الثانیة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ولعلیّ 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نُقل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جعلها فیهما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والسیّد المرتضی فی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والشیخ فی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أبو الصلاح بقبح الجمع فیها حین الاختلال، 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هو صحیح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یصلّ مع الإمام فی جماعة یوم العید فلا صلاة له ولا قضاء علیه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القائل غیر معلوم لنا إلّاابن إدریس علی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لکن نسبه الشهید إلی ابن إدریس باتّاً، راجع الذکری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الجنید، کما عنه فی المختلف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علیّ بن بابویه، راجع المصدر السابق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أی القول بالأربع مفصولة أو موصولة ضعیف المأخذ سنداً ودلالة، فإنّه روایة أبی البختری عن جعفر عن أبیه عن علیّ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اتّباعاً لرسول اللّٰه صلی الله علیه و آله، راجع الوسائل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اتّباعاً لمولانا أمیر المؤمنین علیه السلام، راجع الوسائل </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اتّباعاً للنبیّ الکریم صلی الله علیه و آله، راجع مستدرک الوسائل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 الحدیث الأوّل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بالخصوص علی أنّ قبلها ربما کره بوجه آخر، ککونه بعد الطلوع قبل ذهاب الشعاع أو بعد الارتفاع، وکذا بعدها، وذلک وجه آخر للکراهة غیر ما ذکر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اتّباعاً لنبیّنا محمّد صلی الله علیه و آله، راجع الوسائل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وحکاه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الجنید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لِتُکْمِلُوا اَلْعِدَّةَ وَ لِتُکَبِّرُوا اَللّٰهَ عَلیٰ مٰا هَدٰاکُمْ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الظهر یوم النحر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للّٰه‌الحمد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حضرهما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سمّاهما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 والآیات، الحدیث الأوّل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الصلاح، لکنّه لم ینصّ علی الاختصاص، بل لم یتعرّض لغیرهما، 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مزدوج</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متعلّق بخاصّة أو بالتسمیع أو به وبالتکبیر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والأوسط أضعف من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کونها ثنائیّة أو عشاریّة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فی روایات کثیرة أ 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رکعات وأربع سجدات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 علیه السلام صلّی فی کسوف الشمس رکعتین فی أربع سجدات وأربع رکعات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 والآیات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ویقابله قول العلّامة باستحباب الإسرار فی کسوف الشمس، راجع التذکرة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به المفید فی احتراق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إطلاق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المرتضی فی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والشیخ فی التهذیب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 یعاب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فاتته فریضة، فلیقضها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لیالی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الحکم باستحباب الغسل فی یوم المبعث مشهور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نقله فی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رابع عشرین من ذی الحجّة،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رابع والعشرون من ذی الحجّة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المعتبر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الإطلاق فی مقابلة خصوص هذه المادّة، وأن یکون بمعنی التسویة بین اتّفاقها واختلافها، وأن یکون بمعنی التسویة بین اتّفاقها فی الإ یجاب والندب واختلافها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المعلوم والضمیر عائد إلی المصنّف، وحینئذٍ ففی التنبیه نظر ظاهر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وغایة ما یمکن فی توجیهه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 ویکون المنبِّه نفسه حیث عمّم الذنب، ویکون هو المراد بالتسویة أی التسویة بین أفراد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کصلاة الکسوف أو الاستسقاء فی غیر وقتهما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فی القواعد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ویقابله القول بکون شرطها شرط المندوبة، ولم نعثر علی قائله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بحمل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قضاء الصلوات، الفصل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یلزم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روی أ نّه صلی الله علیه و آله فعل ذلک، راجع الوسائل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بانقلاب الجَدَب خصباً، کما ورد فی الخبر، راجع 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الحدیث الأوّل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تُلبس وقت العمل، خلاف لباس التجمّل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هنا،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کلّ یوم جمعة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نطق به أمیر المؤمنین علیه السلام،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قصار الحکم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عن الرسول الأمین صلی الله علیه و آله، الوسائل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 عزوباً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وغاب وخفی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لترکٍ،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لترکه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نسخ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للإخلال،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یبطل الإخلال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ما سلف فی الفصل الخامس فی التروک،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أحد الأرکان الخمسة ولو 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أصحّ الأقوال علی وجهٍ، فإنّ الکلینی وعلم الهدی والمصنّف فی الذکری والدروس وأبا الصلاح وابن إدریس ذهبوا إلی أ نّه یرسل نفسه إلی السجود ولا یبطل صلاته، وذهب فی النهایة إلی أ نّه إن استوفی واجب الرکوع بطلت الصلاة وإلّا أرسل نفسه، فإن کان مراده بواجب الرکوع الطمأنینة کان قولاً ثالثاً، وإن کان مراده ما یجب فیه من الانحناء کان موافقاً لمختار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الرکوع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بجاعله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 آخر بالقول الأصحّ، والقول الآخر هو وجوب القضاء، ذهب إلیه العلّامة فی التذکرة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إدریس فی السرائر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ما یُقضی کلّه یُقضی جزؤه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به فی المتن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ابن بابویه عملاً بروایة الحلبی،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عندی، التحریر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أوجبهما لمن لم یدرِ أو نقص، راجع الفقیه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کعلیّ بن بابویه والمرتضی والشیخ وابنی زهرة وإدریس وسلّار وأبی الصلاح وابن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بعد السجدتین اتّفاقاً وقبلهما بعد الرکوع علی أصح القولین وکذا بینهما، وأمّا قبل الرکوع فینقلب إلی الشک بین الثلاث والأربع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 نّه أطلق ولم یقیّد بصورة تعدّده، لا أنّه قیّد بالإطلاق،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 نّه لم یتعرّض له فی موضعٍ یجب التعرّض له لو کان واجباً، لا أ نّه تعرّض لعدمه، وهذا إنّما یتمّ فی عبارة الألفیّة فإنّه تعرّض لکیفیّة 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السجدتین، أو فی الذکری وغیرها، والأوّل أولی؛ لأنّه لم یتعرّض فی الذکری والدروس لاعتبارها ولا لعدمه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الروایة المشتملة علی الذکر، راجع التهذیب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Pr>
        <w:t>6:415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ذکر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وتجب فیهما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جنسها؛ إذ لیس هنا روایة واحدة دالّة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بعدم اشتراط ما یشترط فی سجود الصلاة، والقول بعدم وجوب الذکر مطلقاً، والقول بوجوبه مطلقاً، لا مخصوصاً بما ذکر، والقول بعدم وجوب التشهّد، والقول بعدم وجوب التسلیم المعهود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مفتاح الکرامة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بإکمال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وقوّاه الماتن فی الذکری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عنهم فی المختلف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خبر ابن أبی عمیر المتقدّم ذکره آنفاً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لتردّده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الحدیث الأوّل،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أعاد الصلاة فقیه قطُّ، یحتال لها</w:t>
      </w:r>
      <w:r>
        <w:rPr>
          <w:rFonts w:eastAsia="IRNazanin" w:cs="IRNazanin"/>
          <w:b w:val="false"/>
          <w:bCs w:val="false"/>
          <w:i w:val="false"/>
          <w:iCs w:val="false"/>
          <w:color w:val="333333"/>
          <w:sz w:val="20"/>
          <w:szCs w:val="20"/>
          <w:rtl w:val="true"/>
        </w:rPr>
        <w:t>. .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صلاة منفردة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أبی یعفور الدالّة علی وجوب سجدتی السهو بالتکلّم قبل الاحتیاط،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الظاهرة فی وجوب الفوریّة کروایة أبی بصیر وصحیحة زرارة، راجع الوسائل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بتلک الروایات الفاضل فی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یحتمل ذلک والبدلیّة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صورة الشکّ بین الاثنتین والثلاث والأربع</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الحکم المذکور فی المتن، لا الدلیل، ولا الحکم مع الدلیل؛ إذ یأتی عنه ما یأتی من التفصیل بین صورتی المطابقة والمخالفة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فتوی المصنّف وغیره، أو غیره حسبُ، وهو أولی؛ لما سنذکره من أنّ فتوی المصنّف علی المعنی الّذی فهمه الشارح من کلامه لا یشمل هذه الصورة،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 سابقاً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للامتثال المقتضی للإجزاء</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الأسهلیّة أنّ الجلوس فی التشهّد لیس برکنٍ إجماعاً، وما تحصل به الزیادة فی الاحتیاط علی کلّ حال من النیّة والتکبیر أعظم من الجلوس، فاغتفار الأرکان یوجب اغتفار الفعل الذی لیس برکن إجماعاً بطریق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ذلک إلی مقنعه، وما رأیناه من عبارة المقنع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تدرِ واحدةً صلّیت أم اثنتین فأعد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بروایة صرّح فیها بذهاب الظنّ إلی الثالثة وبالرکعتین من جلوس، ومفاد روایة عمّار الاحتیاط برکعة قائماً، راجع الوسائل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احتیاط</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الحدیث الأوّل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عموم الأخبار الدالّة علی البناء علی الأکثر والاحتیاط بما یحتمل فواته، کروایة عمّار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الالتفات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المراد بالسهو الشکّ أو ما یشمله، فإنّه لا یجوز أن یرید بالسهو هنا إلّاالشکّ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لا حکم لسهو الإمام مع حفظ المأموم، ولا شکّ أ نّه لیس بصحیح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العکس وهو أن لا حکم لسهو المأموم مع حفظ الإمام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إسحاق بن عمّار فطحیّ، وفی طریقها محمّد بن یحیی المعاذی وهو مضعَّف، ومحمّد بن خالد الطیالسی ولا نصّ علیه بمدح، وسیف بن عمیرة وقد ضعّفه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المسالک </w:t>
      </w:r>
      <w:r>
        <w:rPr>
          <w:rFonts w:eastAsia="IRNazanin" w:cs="IRNazanin"/>
          <w:b w:val="false"/>
          <w:bCs w:val="false"/>
          <w:i w:val="false"/>
          <w:iCs w:val="false"/>
          <w:color w:val="333333"/>
          <w:sz w:val="20"/>
          <w:szCs w:val="20"/>
        </w:rPr>
        <w:t>15:452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بالتخفیف وفاعله ضمیر المکلّف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للابتداء، أی الکفر الّذی خرج المکلّف لأجله وبسببه عن فرق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یکون بالتشدید وفاعله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للتبعیض أی ما اُخرج عن الکفر من فرق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ثلاثة احتمالات اُخری، 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بسقوط الترتیب للعلّامة فی التذکرة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بوجوب الترتیب لبعض مشایخ الوزیر السعید مؤیّد الدین ابن العلقمی کما قاله الشهید فی الذکری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للشیخین والمرتضی وأکثر المتقدّمین، حیث أوجبوا تقدیم الفائتة مع سعة وقت الحاضرة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الحدیث، راجع عوالی اللآلئ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الإرشاد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تقدیری الحضر والسفر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النواصب والغلاة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ملّیّاً أو فطریّاً رجلاً أو امرأة فی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للأمر بقضاء الفائت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 الباب الأوّل من أبواب قضاء الصلوات، الحدیث الأوّل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المفید فی رسالته إلی ولده کما فی المختلف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واختاره المحقّق فی المعتبر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وأکثر کتبه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ولروایة زرارة عن الباقر 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وغیرها من الأخبار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لوقوع الفطحیّین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عداد الفرائض،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تفاوتٍ فی اللفظ</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صیام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واختاره الشهید فی الدروس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وحکاه العلّامة فی المختلف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الجنید وابنی بابویه وابن البرّاج</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الشهید قدس سره إلی ظاهر الشیخین وابن أبی عقیل وابن البرّاج وابن حمزة والعلّامة فی أکثر کتبه، راجع الذکری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الشهید فی الذکری القول بعدم اشتراط کمال الولی إلی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یتیقّن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للعلّامة فی نهایة الإحکام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کان منفرداً فأراد إدراک الجماعة،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نسی الإقامة أو إیّاها مع الأذان،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صلّی الجمعة أو إحدی الظهرین فی الجمعة ولم یقرأ الجمعة وتجاوز محلّ العدول،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نذر صلاةً بسورة ونسی أن یقرأ السورة وتجاوز محلّ العدول، 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 المجموعة الثالثة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الماء قبل التیمّم مع الطمع فی وجوده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واجب علی کلّ أحد إلی آخر الوقت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 وقع الیقین بفوته إلی آخر الوقت ممّا غلب الظنّ کان تیمّمه وصلاته فی أوّل الوقت أحبّ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عنه فی المختلف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نسبوا إلیه، ولم أظفر بما یدلّ علیه من کلامه، وقد ظفرت بما ربّما یدلّ علی وجوب التأخیر فی المبسوط،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والمتوحّل والغریق والحائض والسابح إذا تضیّق علیهم وقت الصلاة ولا یتمکّنون من موضع یصلّون علیه أو فیه صلّوا إیماءً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لِدُلُوکِ اَلشَّمْسِ إِلیٰ غَسَقِ اَللَّیْلِ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حصول القدرة علی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الفاضل الإصفهانی فیه احتمالین، 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4:1242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قواطع الصلاة،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فی التذکرة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الثانی فی جامع المقاصد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4:1240</w:t>
      </w:r>
      <w:r>
        <w:rPr>
          <w:rFonts w:ascii="IRNazanin" w:hAnsi="IRNazanin" w:eastAsia="IRNazanin"/>
          <w:b w:val="false"/>
          <w:b w:val="false"/>
          <w:bCs w:val="false"/>
          <w:i w:val="false"/>
          <w:i w:val="false"/>
          <w:iCs w:val="false"/>
          <w:color w:val="333333"/>
          <w:sz w:val="20"/>
          <w:sz w:val="20"/>
          <w:szCs w:val="20"/>
          <w:rtl w:val="true"/>
        </w:rPr>
        <w:t>، الباب الأوّل من أبواب قواطع الصلاة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فإنّه صرّح فی المختلف بصحّة روایة الصدوق عن محمّد بن مسلم مع أنّ فی طریقها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أحمد بن عبد اللّٰه بن أحمد بن أبی عبد اللّٰه،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غیر مذکورین فی کتب الرجال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وصرّح فی المنتهی فی فصل تروک الصلاة بصحّة روایة الشیخ عن الفضیل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أوّله بذلک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استلزام نقض الطهارة نقضَ الصلاة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جماعة من المتقدّمین، تقدّم ذکرهم فی الصفحة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غیر المبطون، مثل ما رواه فی الوسائل </w:t>
      </w:r>
      <w:r>
        <w:rPr>
          <w:rFonts w:eastAsia="IRNazanin" w:cs="IRNazanin"/>
          <w:b w:val="false"/>
          <w:bCs w:val="false"/>
          <w:i w:val="false"/>
          <w:iCs w:val="false"/>
          <w:color w:val="333333"/>
          <w:sz w:val="20"/>
          <w:szCs w:val="20"/>
        </w:rPr>
        <w:t>4:1244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الحدیث الأوّل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الأکثر من القدماء، راجع المختلف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بها السیّد المرتضی فی جوابات المسائل الرسّیّة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إدریس الحلّی المتوفّی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وأبو الحسین ورّام بن أبی فراس المتوفّی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والسیّد ابن طاووس المتوفی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راجع الذریعة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الباب الأوّل 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رواه فی الوسائل </w:t>
      </w:r>
      <w:r>
        <w:rPr>
          <w:rFonts w:eastAsia="IRNazanin" w:cs="IRNazanin"/>
          <w:b w:val="false"/>
          <w:bCs w:val="false"/>
          <w:i w:val="false"/>
          <w:iCs w:val="false"/>
          <w:color w:val="333333"/>
          <w:sz w:val="20"/>
          <w:szCs w:val="20"/>
        </w:rPr>
        <w:t>5:358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وما رواه البحار </w:t>
      </w:r>
      <w:r>
        <w:rPr>
          <w:rFonts w:eastAsia="IRNazanin" w:cs="IRNazanin"/>
          <w:b w:val="false"/>
          <w:bCs w:val="false"/>
          <w:i w:val="false"/>
          <w:iCs w:val="false"/>
          <w:color w:val="333333"/>
          <w:sz w:val="20"/>
          <w:szCs w:val="20"/>
        </w:rPr>
        <w:t>88:327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الَّذِی جَعَلَ اللَّیْلَ وَالنَّهَارَ خِلْفَةً لِمَنْ أَرَادَ أَنْ یَذَّکَّرَ أَوْ أَرَادَ شُکُوراً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الجنید، وفی الذکری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فی الأرکان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الأفضل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الجواز المحقّق الثانی فی جامع المقاصد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وذهب إلی عدم الجواز العلّامة فی التذکرة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اذلباب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Pr>
        <w:t>6:433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صحیح زرارة عن الباقر علیه السلام کما صرّح به فی روض الجنان </w:t>
      </w:r>
      <w:r>
        <w:rPr>
          <w:rFonts w:eastAsia="IRNazanin" w:cs="IRNazanin"/>
          <w:b w:val="false"/>
          <w:bCs w:val="false"/>
          <w:i w:val="false"/>
          <w:iCs w:val="false"/>
          <w:color w:val="333333"/>
          <w:sz w:val="20"/>
          <w:szCs w:val="20"/>
        </w:rPr>
        <w:t>2:1012</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الباب الأوّل من أبواب صلاة الخوف والمطاردة، الحدیث الأوّل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الخوف والسفر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المشهور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والمطاردة، الحدیث الأوّل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أشهرها ثلاثة وأشهرها صلاة ذات الرقاع، والثانی صلاة بطن النخل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والثالث صلاة 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علی تسمیة باقی الأنواع، ولا علی مأخذ عدّها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یستفاد بعضها ممّا أورده صاحب الوسائل فی شتات أبواب صلاة الخوف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نقله الفاضل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اشترطه المحقّق فی الشرائع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والماتن فی الذکری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جُدّة بمعنی العلامة والطریقة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المقابلة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بمصرّحٍ به، إلّاأنّ عبارة ابن إدریس والمحقّق قریب من التصریح، راجع السرائر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روایاتنا أ نّه لم تکن صلاتهم فی تلک اللیلة إلّاالتکبیر والتهلیل والتسبیح والتحمید والدعاء،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صلاة القوم یومئذٍ إلّاتکبیراً،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صلّی کثیر من الناس إلّاإیماءً، راجع الوسائل </w:t>
      </w:r>
      <w:r>
        <w:rPr>
          <w:rFonts w:eastAsia="IRNazanin" w:cs="IRNazanin"/>
          <w:b w:val="false"/>
          <w:bCs w:val="false"/>
          <w:i w:val="false"/>
          <w:iCs w:val="false"/>
          <w:color w:val="333333"/>
          <w:sz w:val="20"/>
          <w:szCs w:val="20"/>
        </w:rPr>
        <w:t>5:486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والمطاردة، ومستدرک الوسائل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ووقعة صفّین لنصر بن مزاحم المنقری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إیثار الاُولی بالرکعتین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لْیَأْخُذُوا أَسْلِحَتَهُمْ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بحث الرکوع والسجود،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تغییر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للوحل والغرق</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فهد فی المهذّب البارع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الموحّدة وفتح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الترکی من الخیل، والجمع البراذین، وخلافها العِراب، کذا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فی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خطّة البلد، أی من آخر جدرانه، فإنّ الخطّة فی الأصل موضع الحیّ، والمراد جدران دوره، لا المزارع والبساتین ونحو ذلک، کما صرّح به الفاضل فی التذکرة والنهایة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بالتقیید الذی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أحد وجهی الشیخ فی التهذیب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قال صاحب المدارک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وحکاه بعض مشایخنا المعاصرین عن جدّی فی الفتاوی ومال إلیه فی روض الجنان حتّی أ نّه استوجه کون القصر أفضل من الإتمام، ولا ریب فی قوّة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أفتی به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إلیه السیّد المرتضی وابن إدریس والأکثر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الحدیث الأوّل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خرج بقصد المسافة أم لا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ما دون حدّ الترخّص للمسافر، کما نصّ علیه فی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أحد القواطع الثلاثة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ویستمرّ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الحنطة والشعیر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یُداس</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الحواشی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بابویه أیضاً فی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التقصیر للاشتقان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بالشین المعجمة والتاء المنقّطة من فوقها بنقطتین والقاف والنون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سماعنا علی من لقیناه وسمعنا علیه من الرواة ولم یبیّنوا لنا ما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الجدران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الحدیث الأوّل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وراجع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فیهما،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وحکاه الفاضل الإصفهانی عن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 نجده فی الوسیلة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قاله الشیخ فی المبسوط والنهایة فی أوّل الوجهین، واختاره المحقّق فی الشرائع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فی التهذیب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الشیخ هو الظاهر من الروایات، الذکری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قول بوجوب القصر مطلقاً، ولم نظفر بقائله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بین من تقدّم الفاضل، الذی علیه الصدوق والمرتضی والمفید وابن إدریس والمحقّق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التقیید بالمقصورة، راجع الوسائل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الحدیث الأوّل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4:1031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الإطلاق یصیّر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وواجبة فی الجمعة والعیدین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الاستثناء، ولا مساغ لعدم التقیید به، فإنّها مع عدمه ینصرف إلی الیومیّة فلا یناسب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متأکّدة فی الیومیّة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عدد المسجد فی عدد الجماعة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صاحب الوسائل عن هذا الکتاب، والظاهر أ نّه لم یظفر به فی کتب الأحادیث، راجع الوسائل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فیها دعوی الإ جماع، راجع الذکری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نعم ادّعاه فی إمامة الجمعة،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 قال السیّد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جماعة عن بعضٍ القول بتقدیره بشبر، مفتاح الکرامة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بالاستحباب العلّامة فی المختلف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وأفتی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باستحباب ترک القراءة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قُرِئَ اَلْقُرْآنُ فَاسْتَمِعُوا لَهُ وَ أَنْصِتُوا لَعَلَّکُمْ 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مصرّحٍ به، اُنظر السرائر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 نّه لم یختر فی شیء من کتبه شیئاً من الأقوال إلّاهنا وفی البیان، وفی النفلیّة لم یتعرّض لحال القراءة فی الإخفاتیّة، نعم فی الدروس نسبه إلی الشهرة، ولعلّه مشعر بوجه ما بنوع من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والألفیّة والنفلیّة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إدریس فی السرائر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الذکری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واحتمله العلّامة فی التذکرة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الفقه المنسوب إلی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وإتمامها حسن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استمرّ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البطلان یظهر من التذکرة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ومال إلیه الشهید فی الذکری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بالبطلان فلم نعثر علیه فی من تقدّم علی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ذهب إلی ذلک السیّد السند فی المدارک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نحو الرکوع ممّا یکون الانتظار فیه سبباً لإدراک الرکعة، أو کان عدم الانتظار مفوّتاً لإدراک الجماعة رأساً، کالسجود والتشهّد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یُنبّهه علی ما سها ویُذکّره بما نسیه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یقدّم المأمومون من یتمّ الصلاة بهم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فی المختلف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عن السیّد المرتضی وابن الجنید من غیر تقیید بالوقت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کالحرکة والسکون والمدّ والقصر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عن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 قوماً وفیهم أعلم منه لم یزل أمرهم إلی السفال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یحیی بن سعید واختاره الشیخ إبراهیم القطیفی فی شرحه علی النافع، اُنظر مفتاح الکرامة </w:t>
      </w:r>
      <w:r>
        <w:rPr>
          <w:rFonts w:eastAsia="IRNazanin" w:cs="IRNazanin"/>
          <w:b w:val="false"/>
          <w:bCs w:val="false"/>
          <w:i w:val="false"/>
          <w:iCs w:val="false"/>
          <w:color w:val="333333"/>
          <w:sz w:val="20"/>
          <w:szCs w:val="20"/>
        </w:rPr>
        <w:t>3:480</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الکرکی، علی ما نقله عنه تلمیذه، اُنظر مفتاح الکرامة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ذلک عن النبیّ صلی الله علیه و آله راجع الکافی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الشهید فی الذکری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بالتشدید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هم المکثرون من الإبل وبأهل القری والبوادی، ویُقرأ بتخفیفه وهو جمع فدّان وهی بقر الحرث أی فی أصحاب الفداءین لبعدهم عن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الشیخ نجیب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فی زماننا التقدم فی التعلم قبل الآخر</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ونهایة الإحکام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ذلک فی الخبر، راجع الوسائل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زادها العلّامة فی التذکرة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ذلک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وابن ادریس فی السرائر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ذهب إلیه جماعة، 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فی نهایة الإحکام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لغیبته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الإبل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الیاء وتخفیفها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بُختی واحد البُخت، وهی الإبل الخراسانیّة من عربیّة وفالج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فلا ینحصر الإبل فی القسمین، فذکرهما علی التمثیل،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یحضرنی الآن حدیثٌ قدّمت فیه الأنعام علی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الأخبار المتضمّنة لذکر الأنعام قدّمت الإ بل فیها علی غیرها،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الزکاة،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ففیه قدّمت الأنعام علی غیرها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الحنطة تکون حبّتان فی قشر واحد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السُّلت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الشعیر لیس له قشر کأ نّه حنطة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أفتی به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والسیّد فی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مخیّرٌ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والسیّد فی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الحدیث الأوّل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لفخر الدین فی الإ یضاح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وابن فهد فی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وثانیهما للعلّامة فی نهایة الإحکام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والمصنّف فی الدروس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للأوّل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عن الشیخ وابن الجنید وأتباعهما، اُنظر المختلف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زرارة عن الباقر علیه السلام فی الصحیح بطریق الکافی، والضعیف بطریق کتابی الشیخ، وردّها فی المختلف؛ لضعفها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مردود بما ذکرناه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فی المبسوط عن ابن الأعرابی، اُنظر المبسوط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وراجع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یقیّد ما نقص بالحاجة ولا بعدمها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الدانَق والدانِق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الفارسیّة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واختاره المحقّق فی الشرائع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وحکاه العلّامة عن ابن الجنید فی المختلف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وعن والده فی المنتهی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علّقت بالأسماء الأربعة وهی لا تصدق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 وما تستحبّ فیه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 الحدیث الأوّل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الإرشاد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فیأثم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التذکرة والبیان عن الشیخین، ولکنّ الموجود فی المقنعة خلاف ذلک، اُنظر المبسوط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تُقدّم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المختلف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نسبه إلی ابنی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التقدیم بنیّة الزکاة، وهو قول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واستشعره فی المختلف من عبارة ابن أبی عقیل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فتحتسب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فی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بثبوت الإثم فقد اختاره الشیخ فی الخلاف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فعلاً أو قوّةً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الشیخ فی الجمل والمبسوط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الفقیر أسوأ، واختاره ابن البرّاج وابن حمزة وابن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المسکین أسوأ، وهو اختیار المفید وسلّار، اُنظر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قائله، کما لم یظفر به الفاضل الإصفهانی قدس سره،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سنداً، راجع الوسائل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سنده سماعة وزرعة والأوّل ضعیف والثانی واقفی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11:469</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بالفرق بین المکتسب القاصر الکسب وغیر المکتسب، فلم یجوّز إعطاء الأوّل زیادة علی التتمّة، وجوّز إعطاء الثانی زیادة علی مؤونة السنة، ولو أضعافاً، ولم نظفر بالقائل، وکذا لم یظفر به السیّد العمید، کما نصّ علیه 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إدریس فی السرائر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وانظر 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نوجب البسط ونجعل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ادریس فی السرائر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الأخذ</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کما حکی ذلک عنه أیضاً فی المسالک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وجزم به فی الخلاف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الصدقات، 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واختاره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وأبو المجد فی إشارة السبق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فی جمیع سبل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6:146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المستحقّین للزکاة،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أفتی بالانحصار، قال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جاءت روایة أ نّهم الأضیاف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القائلین بعدم اشتراطها المحقّق فی المعتبر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واشترط سلّار الولایة ولم یذکر العدالة، وکذا الصدوق، 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الجنید فی المختلف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العدالة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أسمع بهذه اللفظة مصدراً ولا اسم مصدر، ولا رأیت لها ذکراً فی کتاب یعتمد علیه، ومراد الشارح بها إمّا المصدر أو اسمه أو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الحدیث، اُنظر الوسائل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الثانی فی حواشی الشرائع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وحاشیة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أظفر بقائلٍ بذلک، وبقید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طلبها بنفسه أو وکیله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عثرت علی القول الآتی من وجوب الدفع إلیه أو وکیله فی الغیبة ابتداءً،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من المفید، ولم یرد فی کافی الحلبی</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للواحد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کلام جماعة، وصریح آخرین، 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المنقول عن النبیّ صلی الله علیه و آله فی صحاح العامّة الدعاء لهم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سنن أبی داود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بقائل علی القطع، نعم احتمله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فی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ونحوه فی التنقیح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مؤلّف</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زکاة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المستحیین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المستحی</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فی الخلاف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استحبابها علی المولی إذا لم یعله، حکاه 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بالشرط</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موافق وملائم،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إدام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یجعل مع الخبز فیطیّبه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الواجب فی اللبن ستّة أرطال عراقیّة للشیخ فی المبسوط والمصباح ومختصره والاقتصاد، ووافقه ابنا حمزة وإدریس والعلّامة فی التذکرة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 الواجب فیه أربعة عراقیّة للشیخ فی الجمل والنهایة، وکتابی الأخبار ظاهراً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صریح الفاضلین فی الشرائع والنافع والقواعد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النصّ مشترک بین الجمیع، اُنظر الوسائل </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الخدیعة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الثانی فی الفصل الرابع من کتاب الجهاد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الغنیمة بالمعنی المشهور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المؤونة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النافی</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الزکاة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سنداً؛ لأنّ فی طریقه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مجهول، کما فی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اُنظر الوسائل </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الغوص والکنز والمعدن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5:428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فی شیء من کتبه بما یوافقه، ولا سمعت نقله عنه من أحد، وإنّما وجدت نصّه فی المنتهی والتذکرة والتحریر علی عدم اعتباره فی المعدن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ولم یتعرّض فی الکنز والغوص بإثبات ولا نفی،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وراجع 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5:428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النیّة، اُنظر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قوله تعالی وَ اِعْلَمُوا أَنَّمٰا غَنِمْتُمْ مِنْ شَیْءٍ فَأَنَّ لِلّٰهِ خُمُسَهُ وَ لِلرَّسُولِ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وعموم مثل خبر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الخمس،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کلّ ما أفاد الناس من قلیل أو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صرّح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أوجب الحلبی فی الهبة الخمس، واحتجّ له العلّامة بأ نّه نوع اکتساب، راجع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أوجب إخراجَ المفید للغنیمة من العموم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جنس الروایة، اُنظر الوسائل </w:t>
      </w:r>
      <w:r>
        <w:rPr>
          <w:rFonts w:eastAsia="IRNazanin" w:cs="IRNazanin"/>
          <w:b w:val="false"/>
          <w:bCs w:val="false"/>
          <w:i w:val="false"/>
          <w:iCs w:val="false"/>
          <w:color w:val="333333"/>
          <w:sz w:val="20"/>
          <w:szCs w:val="20"/>
        </w:rPr>
        <w:t>6:355</w:t>
      </w:r>
      <w:r>
        <w:rPr>
          <w:rFonts w:ascii="IRNazanin" w:hAnsi="IRNazanin" w:eastAsia="IRNazanin"/>
          <w:b w:val="false"/>
          <w:b w:val="false"/>
          <w:bCs w:val="false"/>
          <w:i w:val="false"/>
          <w:i w:val="false"/>
          <w:iCs w:val="false"/>
          <w:color w:val="333333"/>
          <w:sz w:val="20"/>
          <w:sz w:val="20"/>
          <w:szCs w:val="20"/>
          <w:rtl w:val="true"/>
        </w:rPr>
        <w:t>، الباب الأوّل من أبواب قسمة الخمس</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وابن فهد فی المهذّب البارع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إخراج شیء منها، لا حصّة الإمام ولا سائر الحصص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سواء کانت بأجمعها للإمام أو خمسها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أی فی حضور الإمام وغیبته،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وحکاه العلّامة عن ابن الجنید فی المختلف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وسیأتی خلاف السیّد المرتضی فی المنتسب بالاُمّ، والمفید وابن الجنید فی المطّلبی</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6:358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قسمة الخمس،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سائر أحادیث الباب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علیّ بن الحسن بن فضّال، الوسائل </w:t>
      </w:r>
      <w:r>
        <w:rPr>
          <w:rFonts w:eastAsia="IRNazanin" w:cs="IRNazanin"/>
          <w:b w:val="false"/>
          <w:bCs w:val="false"/>
          <w:i w:val="false"/>
          <w:iCs w:val="false"/>
          <w:color w:val="333333"/>
          <w:sz w:val="20"/>
          <w:szCs w:val="20"/>
        </w:rPr>
        <w:t>6:191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وضعفها بابن فضّال، فإنّه فطحی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استند إلیه فی مسألة من مسائل الإرث، راجع رسائل الشریف المرتضی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وأمّا فی خصوص الخمس فلم نقف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حکی عنه الحکم المذکور المحقّق فی المعتبر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تسلّمت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ما رواه الشیخان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17:554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والإمامة،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جماعة، 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وابن فهد فی المهذّب البارع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یختصّ بالفقراء، بل یصحّ التصرّف فیه مطلقاً کغیره من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علی قائله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کالمصنّف هنا وفی الدروس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إلیه الشیخ فی المبسوط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به المحقّق فی المعتبر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فی التنقیح الرائع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وذهب ابن إدریس والعلّامة والمحقّق إلی عدم إفساد الصوم بوطء البهیمة مع عدم الإنزال، اُنظر السرائر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الأکثر، کالمبسوط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الشیخ فی التهذیب بثلاث روایات تضمّنت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أجنب لیلاً وأصبح بها فعلیه الکفّارة، وفی بعضها تصریح ببقائه علی الجنابة متعمّداً، ولیس فیها إشعار بتعدّد النوم أصلاً؛ ومع ذلک ففی طریقها ضعف، وحملُ ما لم یصرّح منها بالتعمّد علیه لو احتیج إلیه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حملها علی من نام ثالثاً، نظراً منه إلی أ نّه جمع بین الروایات، وتبعه الجماعة إلّاالمحقّق فی الشرائع، فإنّه نسب الحکم فیها إلی قولٍ مقتصراً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أحسن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مشهور لا أصل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والأصحّ أ نّه لا کفّارة علیه؛ لروایة زرارة وأبی بصیر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الأکثر، کالشیخ فی المبسوط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ویقتضیه إطلاق کلام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والسیّد فی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جزئه، وهو رمس الرأس، قاله فی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قال فی المناهج السویّة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وعبارة الدروس لیس صریحة فیما ذکره ولکنّه نسب القضاء فی الثانی إلی الشهرة ویفهم عدمه فی الأوّل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صحیحة زرارة عن الباقر علیه السلام وأخبار اُخر، اُنظر المسالک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الکفّارة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وجوب القضاء علی المفطر للظلمة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إدریس فی السرائر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والفاضلین، اُنظر المبسوط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فیظهر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ملاعبة، وفی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ملاعبته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نهیٍ مختصٍّ بالصائم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المراد النهی العامّ عن النظر إلی المحرّم، فلا یقاس بمثل الارتماس والحقنة، کما لا یخفی</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الشیخ فی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الأصحاب، واختاره المحقّق الثانی فی حاشیته علی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التکرار فی بعضٍ دون بعض</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العرف</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بالإطلاق علی خلاف الشیخ حیث أوجب القضاء علی المضروبة دون المجبورة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حیث نفی الصحّة ولازمه نفی الشرعیّة، اُنظر الحاشیة علی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صحیحة علیّ بن مهزیار، الوسائل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وراجع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العبارة هناک لا تفی بالمقصود، وراجع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وراجع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من یصحّ منه الصوم، والصفحة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وانظر الفقیه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التخییر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یتحمّل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کان منکم مریضاً أو علی سفرٍ فعدّة من أیّام اُخر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7:156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نیّة الوضوء والصلاة فی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وحکاه العلّامة عن ابن أبی عقیل فی المختلف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السیّد المرتضی وبنو زهرة وحمزة وإدریس وفهد، 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کالشیخین وسلّار والحلبی،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یوافقهم فیه، بل قرّب المنع، راجع المختلف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المجوّز، والماتن قدس سره صرّح بإمکان الصحّة فی بعض صور التفریق، راجع الذکری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للتعیّن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فیه خلاف ذلک، نعم ألحق بصوم رمضان الندبَ المعیَّن، راجع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وابنی زهرة وحمزة، اُنظر المبسوط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کبس البئرَ والنهرَ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طمّهما بالتراب وذلک التراب کبْسٌ ورأسه فی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أخفاه وأدخله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والسنة الکبیسة التی یُسترق منها یوم، وذلک فی کلّ أربع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xml:space="preserve">، وابن فهد فی المهذّب البارع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یستر شیئاً، والمراد هنا ستر الاُفق بالغمام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أن یرجع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اعتبار الخمسة فی الجملة؛ إذ لو رجع إلی اعتبارها مطلقاً لم یوافق العادة، إلّاأن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فیه کون غیر الکبیسیّة أکثر من الکبیسیّة، ولو رجع إلی اعتبارها فی غیر الکبیسیّة واعتبار ستّة فی الکبیسیّة لم تکن به روایات، إذ لم نقف إلّاعلی هذه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السیّاری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الشیخ فی کتابی الأخبار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ورواه الصدوق فی الفقیه والمقنع، فظاهره المیل إلیه،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التهذیب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اللیلة الثانیة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هو وجوب القضاء فیما إذا اُغمی علیه قبل استهلال الشهر ومن دون سبق نیّة الصوم، ذهب إلی ذلک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والسیّد المرتضی فی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یلائمه کلام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الحدیثان الأوّل والثانی</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عامّة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تحتاً، وقد صحّحه سلطان العلماء بالنون، وهو وإن کان ظاهر المعنی، إلّاأ نّه لا یظهر فرق حینئذٍ بین 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الأوّل من حصول الجنابة؛ ومع هذا لا یخلو عن الإشکال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قدس سره فی المسالک عن الحلبی، راجع المسالک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تُبْطِلُوا أَعْمٰالَکُمْ فی 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لکن شُطب علیها فی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الإصفهانی قدس سره معلّقاً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 الأقوال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یحتمل التعلّق بالنذر والعهد، فإنّ فیهما قولاً بأنّ کفّارتهما کفّارة الإفطار فی رمضان، وآخر بأ نّها کفّارة یمین، وآخر بأ نّها کفّارة الظهار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راجع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أبی عقیل فی المختلف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الصدوق فی الفقیه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 یضاح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فی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قول الأکثر حیث أطلقوا القول بالتخییر ولم یفصّلوا بین الإفطار بالمحلّل والمحرّم، راجع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ماذا یمسک عنه الصائم،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أخبار، اُنظر الوسائل </w:t>
      </w:r>
      <w:r>
        <w:rPr>
          <w:rFonts w:eastAsia="IRNazanin" w:cs="IRNazanin"/>
          <w:b w:val="false"/>
          <w:bCs w:val="false"/>
          <w:i w:val="false"/>
          <w:iCs w:val="false"/>
          <w:color w:val="333333"/>
          <w:sz w:val="20"/>
          <w:szCs w:val="20"/>
        </w:rPr>
        <w:t>7:244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المنتهی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ابن بابویه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عن ابن الجنید فی الدروس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کخبر زرارة ومحمّد بن مسلم وغیرهما، راجع الوسائل </w:t>
      </w:r>
      <w:r>
        <w:rPr>
          <w:rFonts w:eastAsia="IRNazanin" w:cs="IRNazanin"/>
          <w:b w:val="false"/>
          <w:bCs w:val="false"/>
          <w:i w:val="false"/>
          <w:iCs w:val="false"/>
          <w:color w:val="333333"/>
          <w:sz w:val="20"/>
          <w:szCs w:val="20"/>
        </w:rPr>
        <w:t>7:244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مِنْکُمْ مَرِیضاً أَوْ عَلیٰ سَفَرٍ فَعِدَّةٌ مِنْ أَیّٰامٍ أُخَرَ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الوجوب المحقّق الثانی فی حاشیة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واختار عدم الوجوب الشهید فی الذکری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والمفید، 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وابن بابویه وابن الجنید، نقل عنهما العلّامة فی المختلف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التهذیب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وابن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وهو ظاهر إطلاق الصدوق، 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 نّی لم أظفر بخبر یکون شاملاً للمرأة بإطلاقه، بل الأخبار بین مختصٍّ بالمرأة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ومختصّ بالرجل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استشکل فی القضاء عنهما العلّامة فی القواعد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والتزم بعدم القضاء عن المرأة ابن إدریس فی السرائر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وقوّی عدم القضاء عن العبد فخر المحقّقین فی الإیضاح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وفیه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 سندها بسهل بن زیاد، اُنظر المسالک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ففی الأوّل حکم بعدم جواز الإفطار لمن کان سفره أربعة فراسخ ولا یرید الرجوع من یومه، وخیّره فی التقصیر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الثانی ذهب إلی وجوب التمام فی الصلاة والتقصیر فی الصوم لمن کان صیده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ابن حمزة ففرّق بینهما فی المسألة الاُولی، 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سلطان العلماء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أصحّ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بأصل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فیه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اختاره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التبییت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القصر مطلقاً ولو خرج قبل الغروب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صحیح الحلبی، راجع الوسائل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ویعیدان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هذه لا إخلال بالفدیة ولا بالقضاء</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یُفطران ویفدیان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المستفاد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تُبْطِلُوا أَعْمٰالَکُمْ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أو الإجماع المدّعی</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عامّی، اُنظر المسالک </w:t>
      </w:r>
      <w:r>
        <w:rPr>
          <w:rFonts w:eastAsia="IRNazanin" w:cs="IRNazanin"/>
          <w:b w:val="false"/>
          <w:bCs w:val="false"/>
          <w:i w:val="false"/>
          <w:iCs w:val="false"/>
          <w:color w:val="333333"/>
          <w:sz w:val="20"/>
          <w:szCs w:val="20"/>
        </w:rPr>
        <w:t>11:482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وحکی عنه وعن ابن أبی عقیل العلّامة فی المختلف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وفی طریقها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یُنصّ علی توثیقه فی کتب الرجال،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وکسر الباء، ولا یسکن إلّافی ضرورة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الدواء المرّ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اُنظر المختلف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الصلاح وسلّار،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وأوجب ابنا زهرة والبرّاج القضاء والکفّارة فیه،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لکنّهم لم ینصّوا جمیعاً علی حکم الخنثی</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الحدیث الأوّل، نقلاً بالمعنی</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8:569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24213</w:t>
      </w:r>
      <w:r>
        <w:rPr>
          <w:rFonts w:ascii="IRNazanin" w:hAnsi="IRNazanin" w:eastAsia="IRNazanin"/>
          <w:b w:val="false"/>
          <w:b w:val="false"/>
          <w:bCs w:val="false"/>
          <w:i w:val="false"/>
          <w:i w:val="false"/>
          <w:iCs w:val="false"/>
          <w:color w:val="333333"/>
          <w:sz w:val="20"/>
          <w:sz w:val="20"/>
          <w:szCs w:val="20"/>
          <w:rtl w:val="true"/>
        </w:rPr>
        <w:t xml:space="preserve">، وورد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أبی أیّوب الأنصاری، راجع السنن الکبری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وشعبان کلّها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والمکروه،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والمکروه، الحدیث الأوّل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بذکره إلّافی المنتهی</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والمکروه،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والمکروه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وأجزأ عن رمضان،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وأجزأ عن رمضان لو وافقه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بالإجزاء للشیخ فی الخلاف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بعدم الإجزاء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والفاضلین فی الشرائع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فی الدروس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روایة إسماعیل بن سهل، والثانیة روایة الحسن بن بسّام، راجع الوسائل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الباب الأوّل من أبواب من یصح منه الصوم، وغیره من الأبواب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7:179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بینهم أنّ حدّ بلوغ المرأة تسع سنین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عمّا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الحواشی بعد 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 رحمه الله، وفی النسخة المقروّة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7:397</w:t>
      </w:r>
      <w:r>
        <w:rPr>
          <w:rFonts w:ascii="IRNazanin" w:hAnsi="IRNazanin" w:eastAsia="IRNazanin"/>
          <w:b w:val="false"/>
          <w:b w:val="false"/>
          <w:bCs w:val="false"/>
          <w:i w:val="false"/>
          <w:i w:val="false"/>
          <w:iCs w:val="false"/>
          <w:color w:val="333333"/>
          <w:sz w:val="20"/>
          <w:sz w:val="20"/>
          <w:szCs w:val="20"/>
          <w:rtl w:val="true"/>
        </w:rPr>
        <w:t>، الباب الأوّل من کتاب الاعتکاف، الحدیث الأوّل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العلّامة وجماعة، اُنظر المختلف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یشهدون الجمعة أو الجماعة،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یجتمع</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الشیخ فی المبسوط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والسیّد المرتضی فی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وأبی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علیّ بن بابویه، کما فی المختلف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فیهما مطلق سواء، ففی روایة الحلبی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یخرج فی شیء إلّالجنازة أو یعود مریضاً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جواز الخروج لتشییع المؤمن فذکره المصنّف والعلّامة، ولم أقف علی روایة تدلّ علیه، فالأولی ترکه، المدارک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فیهما مطلق سواء، ففی روایة الحلبی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یخرج فی شیء إلّالجنازة أو یعود مریضاً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جواز الخروج لتشییع المؤمن فذکره المصنّف والعلّامة، ولم أقف علی روایة تدلّ علیه، فالأولی ترکه، المدارک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داود بن سرحان، راجع الوسائل </w:t>
      </w:r>
      <w:r>
        <w:rPr>
          <w:rFonts w:eastAsia="IRNazanin" w:cs="IRNazanin"/>
          <w:b w:val="false"/>
          <w:bCs w:val="false"/>
          <w:i w:val="false"/>
          <w:iCs w:val="false"/>
          <w:color w:val="333333"/>
          <w:sz w:val="20"/>
          <w:szCs w:val="20"/>
        </w:rPr>
        <w:t>7:408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الاعتکاف،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الاعتکاف،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تجب النیابة کما هو مذهب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وظاهر العلامة فی المختلف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 قضاء الاعتکاف لا یجب علی الولیّ فلا یجب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النیابة والاستئجار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الاعتکاف،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عمید الدین علی ما نقل فی المسالک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تلمیذه الشهید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الفاضل المقداد إلی ظاهر الشریف المرتضی،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بعیداً من الصواب، اُنظر التنقیح الرائع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مستنده روایة محمّد بن مسلم وأبی عبیدة، المشار إلیهما فی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وضعفهما بوقوع ابن فضّال فی طریقهما فی إسناد الشیخ، راجع التهذیب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السیّد المرتضی وابن إدریس، والمحقّق، والعلّامة، اُنظر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والعلّامة، اُنظر الشرائع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اُنظر المناهج السویّة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الأشهر یتعدّی إلی کلّ ثالث</w:t>
      </w:r>
      <w:r>
        <w:rPr>
          <w:rFonts w:eastAsia="IRNazanin" w:cs="IRNazanin"/>
          <w:b w:val="false"/>
          <w:bCs w:val="false"/>
          <w:i w:val="false"/>
          <w:iCs w:val="false"/>
          <w:color w:val="333333"/>
          <w:sz w:val="20"/>
          <w:szCs w:val="20"/>
          <w:rtl w:val="true"/>
        </w:rPr>
        <w:t>»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الاعتکاف</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الشهید فی الدروس إلی الأکثر واستقربه، اُنظر الدروس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الأکثر وحکی علیه الإجماع فی الغنیة،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الشیخ فی المبسوط، وهو ظاهر الصدوق؛ لاقتصاره علی روایته، المناهج السویّة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الاعتکاف، الحدیث الأوّل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وانظر المعتبر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الحدیث الأوّل</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بباقی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 فی من تقدّم علی المؤلف قدس سره، لکن قال سبطه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وینبغی القطع بعدم اعتبار الاستطاعة هنا مطلقاً؛ لإطلاق النصّ خصوصاً السابقة، اُنظر المدارک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الممکنة الوقوع</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المدارک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التذکرة، ولیس فیها ممّا ذکره عین ولا أثر، کما نبّه به فی الحدائق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وابن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لِلّٰهِ عَلَی اَلنّٰاسِ حِجُّ اَلْبَیْتِ مَنِ اِسْتَطٰاعَ إِلَیْهِ سَبِیلاً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الحدیث الأوّل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علی عقد النکاح وعلی الجماع وعلی الفرج،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المدح والذمّ من الإنسان سواء کان فی نفسه أو سلفه أو من یلزمه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ما ورد فی عدّة 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کانت مأمونة تحجّ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وتتحقّق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بالخوف علی البُضع، الدروس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وجه عدم الیمین 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 مّا وجه عدم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أفید أ نّه کونها أعرف بحالها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ماشیاً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المناقب</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میثم فی شرح نهج البلاغة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کما حکاه عنه السیّد العاملی فی المدارک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دخول الحرم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خبر أحمد بن أبی نصر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لو ظهر من القرائن إرادته الحجّ من البلد، أو صرّح به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نُضِیعُ أَجْرَ مَنْ أَحْسَنَ عَمَلاً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یَعْمَلْ مِثْقٰالَ ذَرَّةٍ خَیْراً یَرَهُ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حکم بعدم وجوب الإعادة، ولم یستدل بآیة الإحباط، بل استدلّ بالدلیل الثانی</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الاشتراط من الآیة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الجمع بین الحجّ والعمرة بنیّة واحدة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حجّ من فرضه التمتّع إفراداً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 العلّامة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الشهید 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الأوّل، والباقون حکموا بعدم وجوب الإعادة من غیر تعرّض لوجهه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روایة سلیمان بن خالد، وموضع السؤال فیها الصلاة، راجع الوسائل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 ابن الجنید فی المختلف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والقاضی فی المهذّب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عدم مشروعیّة الحِفاء ونحوه، لکنّ المراد المرجوحیّة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المشی علی أربع، أو المشی علی رِجل واحدة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رفاعة عن الصادق علیه السلام، راجع التهذیب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الوسائل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علی ذلک العلّامة فی المختلف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والعهد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الدروس</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کتاب النذر من القواعد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روی فی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 عن إسماعیل بن همام عن الرضا علیه الصلاة والسلام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فی الذی علیه المشی 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رمی الجمار زار البیت راکباً ولیس علیه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یحتمل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إرادة زیارة البیت لطواف الحجّ؛ لأنّه هو المعروف بطواف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یخالف القولین معاً فیلزم اطراحها علی القولین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أن یحمل رمی الجمار علی الجمع فیکون کما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ویؤیّده أنّ الجمار إن اُرید بها موضع الرمی فالجمع لا یصدق إلّابإتمامها؛ لأنّ زیارة البیت لطواف الحجّ لا یکون إلّابعد رمی جمرة العقبة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اُرید بها الحصی المرمیّة، فقد وقعت جمعاً معرّفاً فیفید العموم فلا یصدق الإتمام، ویحمل زیارة البیت علی معناه اللغوی أو علی طواف الوداع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الأظهر فیکون الخبر الصحیح دلیلاً علی ما اخترناه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والفاضل السیوری فی التنقیح الرائع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وابن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روایة السکونی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الحلبی الدالّة علی الوجوب وروایة عنبسة الدالّة علی عدمه، راجع الوسائل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بروایة دالة علی المنع عن الحجّ عن المخالف مطلقاً؛ ولذا قال قدس سره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دلّت علیه روایة وهب بن عبد ربّه عن الصادق علیه السلام المنع من الحجّ عن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ادریس فی السرائر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صورة الإجارة علی فعل الحجّ فقط وصورة الإطلاق</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صورة الإجارة علی الذهاب وفعل الحج وصورة الإجارة علی الحجّ والذهاب والإیاب</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ولم نظفر بالإطلاق فی غیره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2:770</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إذا عدل إلی غیر المعیَّن فی النوع مع عدم جوازه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8:417</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بنی هذا الحکم علی أنّ الاُولی فرضه والثانیة عقوبة؛ لأنّه أطلق الحکم فی الأجیر المفسد وأ نّه یستحقّ الاُجرة مع قضائه، وهو شامل بإطلاقه الأجیر المعیّن بسنة مخصوصة والمطلق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الحکم لا یتمّ فی المعیّن إلّابالتعلیل المذکور؛ لأنّا إن جعلنا الاُولی هی العقوبة لا یستحقّ لها اُجرة قطعاً ولا قضاءً؛ لعدم کونها المستأجر علیها، بخلاف المطلق فإنّه یمکن تعلیله لکون الثانیة هی فرضه ویستحقّ لها الاُجرة بخلاف ما حکیناه عن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بناءً علی منع اقتضاء الإطلاق الفوریّة أو علی أ نّه وإن دلّ علیها لکنّ التأخیر إنّما أوجب الإثم خاصّة والإجارة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وجب علیه الحجّ ثانیاً حتّی عند المصنّف فی الدروس مع إیجابه عدم استحقاقه الاُجرة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والأجود فی هذه المسألة علی تقدیر ردّ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یحکم بکون الثانیة فرضه وأ نّه مع التعیین لا یستحقّ اُجرةً وإن وجب علیه القضاء؛ لأنّها غیر المستأجر علیه، ومع الإطلاق یجب علیه القضاء ویکون الثانیة فرضه ویستحقّ الاُجرة علیها لا علی الاُولی؛ لأنّ الفاسد غیر مستأجر علیه والإجارة لم تبطل فیبرأ بالثانیة ویستحقّ الاُجرة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نصّ الموصی المنوب عنه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الاستبصار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فعلها تفضیلاً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أجزأه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عام مرّتین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نائبین اثنین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یستأجر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إخراج الجمیع</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الحدیث الأوّل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ووسع الحجّ خاصّة أو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الحصّة وسعت أحدهما من کلّ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قصر عنهما ووسع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قصرت الحصّة الحاصلة من التحاصّ عن إخراج حجّة أو عمرة لکلّ منهما، ولکن وسع المجموع لإخراج حجّة کاملة مشتملة علی العمرة لإحداهما خاصّة ففیه الأوجه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وسع الحجّ خاصّة أو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وسع المجموع لإحدی الحجّتین خاصّة أو إحدی العمرتین خاصّة ففیه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 الحدیث الأوّل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إدریس فی السرائر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فیختصّ</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بالتلبیة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 ابن أبی عقیل فی المختلف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الأخبار سیّما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لمن لم یکن أهله حاضری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نحو الخوف، مثل تضیّق الوقت للطواف والسعی</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فی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المرتضی فی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وحکاه العلّامة فی المختلف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عقیل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أَشْهُرٌ مَعْلُومٰاتٌ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عبارته اعتبارها فی القران والإفراد، راجع المبسوط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الحدیث الأوّل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لحجّه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عدوّ</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ویظهر من سلّار أ نّها نیّة الخروج إلی مکّة، راجع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نیّة الإحرام، راجع الدروس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کان محاذیاً لأحد المواقیت</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وسنن النسائی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بمصرّح بجواز العدول، نعم یمکن أن یستفاد ذلک من إطلاق کلام الشیخ فی المبسوط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وابن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فی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المتقدّمة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علی الماتن حیث قال فی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لمن تعیّن علیه نوعٌ العدول إلی غیره علی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وقوّی هنا جواز العدول فی الأثناء</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وأتمّوا الحجّ والعمرة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الفاضل المقداد إلی العلّامة وتلامیذه، راجع التنقیح الرائع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لکن ظاهر إطلاق العلّامة عدم الاختصاص، راجع المنتهی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إدریس، اُنظر السرائر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تقدیم الطواف ورکعتیه خاصّة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السنة الثالثة وقبلها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عکسه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تجدّدت الاستطاعة فی زمن الإقامة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بالإطلاق هو إطلاق النصوص الواردة فی حکم من أقام بمکّة سنتین، راجع الوسائل </w:t>
      </w:r>
      <w:r>
        <w:rPr>
          <w:rFonts w:eastAsia="IRNazanin" w:cs="IRNazanin"/>
          <w:b w:val="false"/>
          <w:bCs w:val="false"/>
          <w:i w:val="false"/>
          <w:iCs w:val="false"/>
          <w:color w:val="333333"/>
          <w:sz w:val="20"/>
          <w:szCs w:val="20"/>
        </w:rPr>
        <w:t>8:191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أحرم المتمتّع بالحجّ من مکّة ومضی إلی المیقات ومنه إلی عرفات کان ذلک صحیحاً، ویکون الاعتداد بالإحرام من عند المیقات ولا یلزمه دم، المبسوط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بنهی صریح، راجع الوسائل </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فی المنتهی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هی ما رواها الشیخ فی التهذیب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صرّح به فی المسالک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الحلبی، اُنظر المصدر السابق، الحدیث الأوّل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منعه ناقلاً فی جوازه روایتین ضعیفتین ولم یذکر الصحّة، وفی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اختاره استناداً إلی الروایة الصحیحة وهذا غریب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الخبر، الوسائل </w:t>
      </w:r>
      <w:r>
        <w:rPr>
          <w:rFonts w:eastAsia="IRNazanin" w:cs="IRNazanin"/>
          <w:b w:val="false"/>
          <w:bCs w:val="false"/>
          <w:i w:val="false"/>
          <w:iCs w:val="false"/>
          <w:color w:val="333333"/>
          <w:sz w:val="20"/>
          <w:szCs w:val="20"/>
        </w:rPr>
        <w:t>10:241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للراوندی، فإنّه أوجب تجدید الإحرام عند المیقات،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من حیث أمکن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المحدّث النوری عن بعض نسخ فقه الرضا علیه السلام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 لأهلنّ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أوّله، 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أراد الحجّ والعمرة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آخره، مستدرک الوسائل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والفاء بعد الیاء، وفی المسالک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بعد الفاء</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4:1347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فی الماء</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برسول اللّٰه صلی الله علیه و آله حیث أحرم بالحجّ من مسجد الشجرة، راجع الوسائل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ظاهر المحقّق فی الشرائع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المسلح</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السیوری فی التنقیح الرائع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متوسّطتان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فی ذلک میقاته الذی فی جهته وغیره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عمرة مفردة أم متمتّعاً بها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المفید فی 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یستفاد وجوب التوفیر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دم یهریقه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وصرّح الشیخ فی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جواز أخذ الشعر، من دون تعرّض للدم، وهو ظاهر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أبی عقیل، اُنظر المختلف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صلاة سنّة الإحرام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کالدروس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الکلام فی اشتراط مقارنتها للنیّة فشرطها الشهید رحمه الله وابن إدریس وتبعهما الشیخ علیّ وجعلوها مقارنة للنیّة کتکبیرة الإحرام للصلاة، وکلام باقی الأصحاب خال عن الاشتراط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إخلاصاً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الحمد</w:t>
      </w:r>
      <w:r>
        <w:rPr>
          <w:rFonts w:eastAsia="IRNazanin" w:cs="IRNazanin"/>
          <w:b w:val="false"/>
          <w:bCs w:val="false"/>
          <w:i w:val="false"/>
          <w:iCs w:val="false"/>
          <w:color w:val="333333"/>
          <w:sz w:val="20"/>
          <w:szCs w:val="20"/>
          <w:rtl w:val="true"/>
        </w:rPr>
        <w:t>. . .</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 علیه ثوبه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أی رقّ حتّی یُری ما خلفه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للرجل والمرأة، ویحتمل الإطلاق بالنسبة إلی الرداء والإزار، قال 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حکی الإزار العورة لم یجز، وأمّا الرداء فالأحوط أ نّه کذلک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الحریر والمخیط للنساء</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السیاق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الجملة من المتن، لکنّها لا توجد فی ما عندنا من نسخ اللمعة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معناهما فی الصفحة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وللنساء أن یحرمن فی الحریر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مصنّفات المفید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واستقربه العلّامة فی التذکرة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فی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ویجوز للمرأة لبس المخیط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ویقابل الأصحّ قول الشیخ وابن الجنید بالمنع فی الحریر، انظر التهذیب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المنع فی المخیط فقد نسبه فی المختلف إلی الشیخ فی النهایة والمبسوط، وهو فی النهایة کذلک، أمّا فی المبسوط فقد صرّح بالجواز، راجع المختلف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فقد الرداء أجزأ القباء أو القمیص منکوساً، ولا یکفی قلبه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مخصوصة بین مکة والمدینة علی میل من ذی الحلیفة نحوَ مکّة، کأ نّها من الإ بادة وهی الإهلاک، مجمع البحرین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مسیل وادی مکّة، وهو مسیل واسع فیه دقاق الحصی، أوّله عند منقطع الشِعب بین وادی منی، وآخره متّصل بالمقبرة الّتی تُسمّی بالمعلّی عندأهل مکّة، مجمع البحرین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نسخ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ولتجدّد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منفرداً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ویستحبّ</w:t>
      </w:r>
      <w:r>
        <w:rPr>
          <w:rFonts w:eastAsia="IRNazanin" w:cs="IRNazanin"/>
          <w:b w:val="false"/>
          <w:bCs w:val="false"/>
          <w:i w:val="false"/>
          <w:iCs w:val="false"/>
          <w:color w:val="333333"/>
          <w:sz w:val="20"/>
          <w:szCs w:val="20"/>
          <w:rtl w:val="true"/>
        </w:rPr>
        <w:t>. . .</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الحدیث الأوّل</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شبههما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شبههما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بالمِطْرَز</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وحُرّم علیکم صید البرّ ما دمتم 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الأبازیر، جمع البِزْر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التابل وهو ما یطیّب به الغذاء</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نبت یشبه النعناع</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التهذیب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الخلاف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العطر فی المسعی رواه هشام بن الحکم فی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فیه حدیث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یذکره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المفسدة أو بدونها، علی اللّٰه ورسوله والأئمة علیهم السلام أو علی غیرهم، والظاهر شمول الإطلاق للهزل أیضاً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 الجرح 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 بواب بقیّة کفّارات الإحرام، وفیه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أهل خراسان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الجنید وابن بابویه والعلّامة؛ اُنظر المختلف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روایته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یهریق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کَشَطَ الغطاء عن الشیء والجلد عن 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ونزعه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الإصابة إلی المشهور واعترف بخلوّ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ذلک إلی أین؟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طرف الأنف قدر ما تبصر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 الکراهة ونسب التحریم إلی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بذلک ما تقدّم عن قطع شجر الحرم وحشیشه الأخضرین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بالإلحاق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والحلّی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وقول بعدمه للشیخ أیضاً فی المبسوط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التذکرة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الجنید وابن حمزة، راجع المختلف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والوسیلة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وما یتبعها، 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نیّة الوضوء والصلاة،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عن طرق أهل السنّة أنّ رسول اللّٰه صلی الله علیه و آله استقبل الحجر، اُنظر سنن ابن ماجة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إلّابنصٍّ واحد علی نقل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الوسائل فقد ورد فیه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فتستلمها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التهذیب والکافی، راجع الوسائل </w:t>
      </w:r>
      <w:r>
        <w:rPr>
          <w:rFonts w:eastAsia="IRNazanin" w:cs="IRNazanin"/>
          <w:b w:val="false"/>
          <w:bCs w:val="false"/>
          <w:i w:val="false"/>
          <w:iCs w:val="false"/>
          <w:color w:val="333333"/>
          <w:sz w:val="20"/>
          <w:szCs w:val="20"/>
        </w:rPr>
        <w:t>9:401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الدروس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شوطه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من البیت؛ لأنّ رسول اللّٰه صلی الله علیه و آله طاف بالبیت من ورائه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الروایات الأمر بإدخال الحجر فی الطواف، وإنّما ورد الأمر بالإعادة إذا اختصر فی الحِجر، راجع الوسائل </w:t>
      </w:r>
      <w:r>
        <w:rPr>
          <w:rFonts w:eastAsia="IRNazanin" w:cs="IRNazanin"/>
          <w:b w:val="false"/>
          <w:bCs w:val="false"/>
          <w:i w:val="false"/>
          <w:iCs w:val="false"/>
          <w:color w:val="333333"/>
          <w:sz w:val="20"/>
          <w:szCs w:val="20"/>
        </w:rPr>
        <w:t>9:431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فی التذکرة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فی المصادر الروائیّة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یشرع</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القدر الباقی من الحائط خارجاً بعد عمارته أخیراً ویُسمّی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المسالک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والنفلیّة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بدون جمیع الأعذار المذکورة، أو سواء کان الشوط واحداً أو اثنین أو ثلاثاً، والأوّل 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لعذرٍ وغیره، قبل الأربعة وبعدها، راجع الدروس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الرکن العراقی الذی فیه الحجر الأسود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آخر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والخشوع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للخشوع</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والدعاء</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الأوّل، والصفحة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قراءة القرآن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ویقابله قول الشیخ بالتفصیل الآتی</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الرکن الیمانی والعراقی، من باب التغلیب، وهذا إشارة إلی خلاف بعض العامّة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یمشی بین الرکنین فی الأشواط الثلاثة، راجع المسالک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ثعلب علی ما حکی عنه العلّامة فی التذکرة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جعفر عن أبیه علیهما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لا یستلم إلّاالرکن الأسود والیمانی ثمّ یقبّلهما ویضع خدّه علیهما ورأیت أبی یفعله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9:418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عجزاً عقلیّاً أو شرعیّاً أو عرفیّاً</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یحتمل حینئذٍ بطلانها بخروجه عن مکّة ولمّا یفعله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به، کما اعترف به أیضاً صاحب الجواهر </w:t>
      </w:r>
      <w:r>
        <w:rPr>
          <w:rFonts w:eastAsia="IRNazanin" w:cs="IRNazanin"/>
          <w:b w:val="false"/>
          <w:bCs w:val="false"/>
          <w:i w:val="false"/>
          <w:iCs w:val="false"/>
          <w:color w:val="333333"/>
          <w:sz w:val="20"/>
          <w:szCs w:val="20"/>
        </w:rPr>
        <w:t>19:407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ضعفه بیزید بن خلیفة وقیل إنّه واقفی، اُنظر جامع الرواة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نقلت الروایة بسندین وضعفها فی الأوّل بالسکونی، فهارس المسالک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الثانی بأبی جهم؛ فإنّه مجهول وموسی ابن عیسی؛ فإنّه 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یقله بنفسه، 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الشرائع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الانعقاد إلی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یدلّ علی توقّفه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الرجل والمرأة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الحدیث الأوّل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زهرة فی 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ثلاثمئة وستّین طوافاً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من إغلاق، والمراد أنّ القران فی الطواف المندوب وإن کان فی أصل الشرع مکروهاً لکنّه لا ینافی الاستحباب، لصحّة العبادات المکروهة بمعنی کونها أقلّ ثواباً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مأثور، أورده فی الوسائل </w:t>
      </w:r>
      <w:r>
        <w:rPr>
          <w:rFonts w:eastAsia="IRNazanin" w:cs="IRNazanin"/>
          <w:b w:val="false"/>
          <w:bCs w:val="false"/>
          <w:i w:val="false"/>
          <w:iCs w:val="false"/>
          <w:color w:val="333333"/>
          <w:sz w:val="20"/>
          <w:szCs w:val="20"/>
        </w:rPr>
        <w:t>9:515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 الحدیث الأوّل</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طال الزمان</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یذکر حتّی أکمل الثامن</w:t>
      </w:r>
      <w:r>
        <w:rPr>
          <w:rFonts w:eastAsia="IRNazanin" w:cs="IRNazanin"/>
          <w:b w:val="false"/>
          <w:bCs w:val="false"/>
          <w:i w:val="false"/>
          <w:iCs w:val="false"/>
          <w:color w:val="333333"/>
          <w:sz w:val="20"/>
          <w:szCs w:val="20"/>
          <w:rtl w:val="true"/>
        </w:rPr>
        <w:t>» .</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الحلّی فی تردّدات الشرائع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أسقط وجوبها الشیخ فی المبسوط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لکنّه لم یذکر الاستحباب</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إدریس فی السرائر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والفاضل الآبی فی کشف الرموز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التحریر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لکنّه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روایة</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قصوره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الفاضلین، راجع التخریج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 للعمرة</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الدروس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التشبیه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صلاة سنّة الإحرام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الإحرام، الصفحة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 ذلک المحقّق الثانی فی جامع المقاصد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لتأخیر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الشیخ الفانی</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الحدیث الأوّل</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المشعر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صرّح به فی المسالک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ولازمه أن یکون المشعر موضعاً خاصّاً من المزدلفة، لکن عبارة الدروس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یطأ برجله أو بعیره المشعر الحرام قرب المنارة، والظاهر أ نّه المسجد الموجود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فمرجع الضمیر فی عبارة الدروس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المشعر الحرام قرب المنارة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المشعر مطلقاً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وعبارته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ویستحبّ للصرورة أن یطأ المشعر الحرام ولا یترکه مع الاختیار، والمشعر الحرام جبل هناک مرتفع یسمّی قزح</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بسکون المیم، لاجتماع الناس فیه، وهو أعمّ منه علی رأی الشهید الشارح، راجع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الوقوفین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للمشعر</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والظاهر أنّ المراد بها روایة عبد اللّٰه بن المغیرة، فوقع السهو فی ذکر الأب، کما نبّه علیه السیّد العاملی فی المدارک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علیه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والواجب الکون بالنیّة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الحایط</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کتاب الصلاة، مبحث مکان المصلّی،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الحدیث الأوّل</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کالفیومی فی 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والغالب علیه التذکیر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أجزأه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الدروس إلی قول</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الدروس إلی علی بن بابویه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أبرش</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غیر هذا الکتاب، کما فی الدروس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الماتن قدس سره، کالشیخ فی المبسوط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المناسب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 الحدیث الأوّل</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 الحدیث الأوّل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 .</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الأوّل، وفی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الروایة بالرضا علیه السلام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المرتضی وابن إدریس المذکورین آنفاً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 الحدیث الأوّل</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الاُخریین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المهزول وناقص الخلقة</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العبارة ممّا اشتهر بالإشکال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سلطان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لا تخلو من قصور، فتأمّل</w:t>
      </w:r>
      <w:r>
        <w:rPr>
          <w:rFonts w:eastAsia="IRNazanin" w:cs="IRNazanin"/>
          <w:b w:val="false"/>
          <w:bCs w:val="false"/>
          <w:i w:val="false"/>
          <w:iCs w:val="false"/>
          <w:color w:val="333333"/>
          <w:sz w:val="20"/>
          <w:szCs w:val="20"/>
          <w:rtl w:val="true"/>
        </w:rPr>
        <w:t>» .</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یتعلّق</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الراوندی، کما عنه فی الدروس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النیّة والذبح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النیّة والذکر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الإهداء والصدقة</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الحدیث الأوّل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اُمرتم بأمرٍ فأتوا منه بما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الکرکی فیما لو عجز عن التامّ، جامع المقاصد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الإهداء والصدقة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الأکل</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الصوم، المسألة الثامنة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المحقّق فی الشرائع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خمسةٍ وعن سبعة وعن سبعین</w:t>
      </w:r>
      <w:r>
        <w:rPr>
          <w:rFonts w:eastAsia="IRNazanin" w:cs="IRNazanin"/>
          <w:b w:val="false"/>
          <w:bCs w:val="false"/>
          <w:i w:val="false"/>
          <w:iCs w:val="false"/>
          <w:color w:val="333333"/>
          <w:sz w:val="20"/>
          <w:szCs w:val="20"/>
          <w:rtl w:val="true"/>
        </w:rPr>
        <w:t>» .</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وتجزئ بقرة عن خمسة نفر، والإ بل تجزئ عن سبعة وعن 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الصوم، الصفحة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علی الأولویّة والاحتیاط فی السرائر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والمحقّق علی الأشبه فی الشرائع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والعلّامة علی رأیٍ فی القواعد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حدّاً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فی جامع المقاصد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نستظهر ذلک من غیره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التعیّن</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مقتضی عبارة الشرائع وکلام الأکثر</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قوله فی الصفحة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ویجب ذبح هدی القران</w:t>
      </w:r>
      <w:r>
        <w:rPr>
          <w:rFonts w:eastAsia="IRNazanin" w:cs="IRNazanin"/>
          <w:b w:val="false"/>
          <w:bCs w:val="false"/>
          <w:i w:val="false"/>
          <w:iCs w:val="false"/>
          <w:color w:val="333333"/>
          <w:sz w:val="20"/>
          <w:szCs w:val="20"/>
          <w:rtl w:val="true"/>
        </w:rPr>
        <w:t>» .</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الجنید فی المختلف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الإرث والهبة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أرجعه بعض المحشّین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الشمس</w:t>
      </w:r>
      <w:r>
        <w:rPr>
          <w:rFonts w:eastAsia="IRNazanin" w:cs="IRNazanin"/>
          <w:b w:val="false"/>
          <w:bCs w:val="false"/>
          <w:i w:val="false"/>
          <w:iCs w:val="false"/>
          <w:color w:val="333333"/>
          <w:sz w:val="20"/>
          <w:szCs w:val="20"/>
          <w:rtl w:val="true"/>
        </w:rPr>
        <w:t>» .</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الضمیر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السیاق</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عن سؤال یرد علی الحکم بالصدقة بجمیع القیمة مع أ نّها لو کانت موجودة فالمستحبّ التصدّق بثلثها وإهداء ثلث أو بأکثرها علی قول، فکیف یستحبّ هنا الصدقة بالجمیع؟ والجواب أ نّه لا بُعد فی قیام مجموع القیمة مقام بعض العین للاختلاف، وعلی استحباب الصدقة بالعین أجمع لا إشکال فی الصدقة بالقیمة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الجیم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البعث والدفن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رأسه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 وتردّد الشهید فی الدروس فی وجود القائل،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وجوبه مطلقاً أو لمن حلق فی إحرام العمرة وجهان أو قولان، الدروس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القول بوجوب الإعادة فلم نعثر علی قائل به فی من تقدّم علی الشارح، وأمّا عدم وجوب الإعادة فهو ظاهر المفید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وأمّا نفی الکفّارة عن الجاهل فلا یعلم فیه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المستند </w:t>
      </w:r>
      <w:r>
        <w:rPr>
          <w:rFonts w:eastAsia="IRNazanin" w:cs="IRNazanin"/>
          <w:b w:val="false"/>
          <w:bCs w:val="false"/>
          <w:i w:val="false"/>
          <w:iCs w:val="false"/>
          <w:color w:val="333333"/>
          <w:sz w:val="20"/>
          <w:szCs w:val="20"/>
        </w:rPr>
        <w:t>12:387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فارق الجاهلُ الناسی فی الإثم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قدّم الحلق علی الرمی والذبح</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بالحلق المتقدّم علی الرمی والذبح أو المتوسّط بینهما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العلّامة فی التذکرة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الثانی فی جامع المقاصد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والماتن فی الدروس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بتحلّله به فقد ذهب إلیه الشیخ فی الخلاف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الموقفین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اضطراراً فی التمتّع، ومطلقاً فی القران والإفراد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یحلّ له النساء حتی یزور البیت ویطوف طواف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زیارة البیت،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الصید الّذی حرّمه الإحرام، لا الصید الذی حرّمه الحرم، فإنّ حرمته باقٍ ما دام فی الحرم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السرائر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المختلف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10:200</w:t>
      </w:r>
      <w:r>
        <w:rPr>
          <w:rFonts w:ascii="IRNazanin" w:hAnsi="IRNazanin" w:eastAsia="IRNazanin"/>
          <w:b w:val="false"/>
          <w:b w:val="false"/>
          <w:bCs w:val="false"/>
          <w:i w:val="false"/>
          <w:i w:val="false"/>
          <w:iCs w:val="false"/>
          <w:color w:val="333333"/>
          <w:sz w:val="20"/>
          <w:sz w:val="20"/>
          <w:szCs w:val="20"/>
          <w:rtl w:val="true"/>
        </w:rPr>
        <w:t>، الباب الأوّل من أبواب زیارة البیت</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أعمال العمرة</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10:206</w:t>
      </w:r>
      <w:r>
        <w:rPr>
          <w:rFonts w:ascii="IRNazanin" w:hAnsi="IRNazanin" w:eastAsia="IRNazanin"/>
          <w:b w:val="false"/>
          <w:b w:val="false"/>
          <w:bCs w:val="false"/>
          <w:i w:val="false"/>
          <w:i w:val="false"/>
          <w:iCs w:val="false"/>
          <w:color w:val="333333"/>
          <w:sz w:val="20"/>
          <w:sz w:val="20"/>
          <w:szCs w:val="20"/>
          <w:rtl w:val="true"/>
        </w:rPr>
        <w:t>، الباب الأوّل من أبواب العود إلی منی</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سقایة الحاجّ، سُمّیت بذلک لقصّة وردت فی شأن نزول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راجع مجمع البیان، ذیل الآیة المبارکة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الفراغ من الطواف والسعی</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خلاف الشیخ حیث جوّز الخروج بعد الانتصاف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ومنع من الخروج إلی مکّة إلی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ظاهر ومستنده غیر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المقام نهی صریح، ولذا قال فی المدارک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جیّد إن ثبت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یمکن أن یستفاد النهی من الأخبار الدالّة علی وجوب الترتیب، راجع الوسائل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إلی منی</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ثلاثاً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 وفی نسخة بدله مثل ما أثبتناه</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قلت یوم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الحدیث الأوّل</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لیلتین بمنی</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بمنی</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 بعدم وجوب المبیت</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صرّح بکامل القول، نعم فی الوسیلة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ووقت الرمی طول النهار، والفضل فی الرمی عند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إشارة السبق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ووقت الرمی فی جمیع أیّامه أوّل النهار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بالقائل بعدم اعتبار الوقت فی القضاء</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الیوم الثالث عشر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العامّة فیه قولان، راجع المجموع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إلی منی، الحدیث الأوّل</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رکنی</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راجع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العبد الصالح علیه السلام دخل الکعبة فصلّی رکعتین علی الرخامة الحمراء، ثمّ قام فاستقبل الحائط بین الرکن الیمانی والغربی فرفع یده علیه ولصق به ودعا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ظفرنا به فی الروایات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البقاع ما بین الرکن والمقام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99:230</w:t>
      </w:r>
      <w:r>
        <w:rPr>
          <w:rFonts w:ascii="IRNazanin" w:hAnsi="IRNazanin" w:eastAsia="IRNazanin"/>
          <w:b w:val="false"/>
          <w:b w:val="false"/>
          <w:bCs w:val="false"/>
          <w:i w:val="false"/>
          <w:i w:val="false"/>
          <w:iCs w:val="false"/>
          <w:color w:val="333333"/>
          <w:sz w:val="20"/>
          <w:sz w:val="20"/>
          <w:szCs w:val="20"/>
          <w:rtl w:val="true"/>
        </w:rPr>
        <w:t xml:space="preserve">، باب الحطیم وفضله،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وعلیه فهو من المتن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لما شُرب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 البحار </w:t>
      </w:r>
      <w:r>
        <w:rPr>
          <w:rFonts w:eastAsia="IRNazanin" w:cs="IRNazanin"/>
          <w:b w:val="false"/>
          <w:bCs w:val="false"/>
          <w:i w:val="false"/>
          <w:iCs w:val="false"/>
          <w:color w:val="333333"/>
          <w:sz w:val="20"/>
          <w:szCs w:val="20"/>
        </w:rPr>
        <w:t>99:245</w:t>
      </w:r>
      <w:r>
        <w:rPr>
          <w:rFonts w:ascii="IRNazanin" w:hAnsi="IRNazanin" w:eastAsia="IRNazanin"/>
          <w:b w:val="false"/>
          <w:b w:val="false"/>
          <w:bCs w:val="false"/>
          <w:i w:val="false"/>
          <w:i w:val="false"/>
          <w:iCs w:val="false"/>
          <w:color w:val="333333"/>
          <w:sz w:val="20"/>
          <w:sz w:val="20"/>
          <w:szCs w:val="20"/>
          <w:rtl w:val="true"/>
        </w:rPr>
        <w:t>، عن طبّ الأئمة مثل ما فی المتن</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ذیل الحدیث الأول</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تذکیر الضمیر، لرجوعه إلی المسجد، کما یظهر بالمراجعة إلی الروایة</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مستند الحکم هو إطلاق اسم الحرم علیهما فی بعض الأخبار، مثل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للّٰه‌حرماً وهو مکّة، وإن للرسول حرماً وهو المدینة، وإنّ لأمیر المؤمنین حرماً وهو الکوفة، وإنّ لنا حرماً وهو بلدة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60:216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التفریق والتقسیم</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نسختی اللمعة، وفی نسخ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صیام قدر ما وسعت قیمة البدنة علی تقدیر الفضّ</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وجوب ثمانیة عشر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اللآلئ</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علیّ بن بابویه وابن أبی عقیل، کما عنهما فی المختلف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وابن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والمرتضی والشیخ الطوسی، الدروس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کغیرهما من الکفّارات فتصرفان علی الفقراء والمساکین</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الصرف علی مصالح الکعبة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هی مضمرة لکن الشارح قد أطلق فی غیر مورد من کتبه المقطوعة علی المضمرة راجع المسالک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عبارة الصدوقین علی ما حکاه العلّامة عنهما فی المختلف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عبارة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کعبارة ابن إدریس فی السرائر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المدارک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الحکم ذکره الشیخ فی جملة من کتبه، وتبعه علیه المصنّف والجماعة ولم نقف له علی مستندٍ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إطعام عشرة مساکین وصیام ثلاثة أیّام</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الأخیران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المنتهی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 الأزید من الدرهم والقیمة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العبارة السابقة من المتن وهذه العبارة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یرعی</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الصفحة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وغایته حینئذٍ تساویهما فی الفداء، وهو سهل</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الکرکی قدس سره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یقال شرعنا مبنیٌّ علی الفرق بین المتماثلات، والاستبعاد لا دخل له فی الأحکام بعد ثبوت مدارکها، جامع المقاصد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فی کسر کلّ بیضة من القطا والقبج والدراج، راجع الصفحة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 الحدیث الأوّل</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یحرّکه کحرکة الرُمح</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الصعوة والقبّرة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 الحدیث الأوّل</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باب کفّارات الصید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ورد فی الخبر، راجع الوسائل </w:t>
      </w:r>
      <w:r>
        <w:rPr>
          <w:rFonts w:eastAsia="IRNazanin" w:cs="IRNazanin"/>
          <w:b w:val="false"/>
          <w:bCs w:val="false"/>
          <w:i w:val="false"/>
          <w:iCs w:val="false"/>
          <w:color w:val="333333"/>
          <w:sz w:val="20"/>
          <w:szCs w:val="20"/>
        </w:rPr>
        <w:t>9:232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بکلّ</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بأبی جمیلة المفضل بن صالح وسماعة بن مهران وأبی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المسالک </w:t>
      </w:r>
      <w:r>
        <w:rPr>
          <w:rFonts w:eastAsia="IRNazanin" w:cs="IRNazanin"/>
          <w:b w:val="false"/>
          <w:bCs w:val="false"/>
          <w:i w:val="false"/>
          <w:iCs w:val="false"/>
          <w:color w:val="333333"/>
          <w:sz w:val="20"/>
          <w:szCs w:val="20"/>
        </w:rPr>
        <w:t>16:289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المبسوط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جامع بعد وقوفه بعرفة فعلیه بدنة ولیس علیه الحجّ من قابل، 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العلّامة فی القواعد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والقول الآخر هو عدم ثبوت الحکم فی وطء الغلام، ولم نجد من صرّح به، ویمکن أن یستفاد ذلک من عدم تصریح بعضهم بشمول الحکم له، کالصدوق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وما بعدها من الصفحات</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الشیخ إلی الأوّل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وابن إدریس إلی الثانی فی السرائر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وراجع الصفحة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جعلنا الاُولی عقوبة وصُدّ عن إکمالها فتحلّل سقطت عنه العقوبة، فإن زال العذر وتمکّن من الحجّ فی تلک السنة وجب وأجزأ عن فرضه وهو حجّ یُقضی لسنته، وإن لم یتمکّن قضاه فی القابل وسقطت العقوبة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جعلنا الاُولی فرضه وصُدّ عن الإکمال لم یسقط الفرض بل یجب قضاؤه فی تلک السنة أو بعدها، ثمّ یحجّ للعقوبة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حجّ العقوبة إذا صُدّ عنه لا یُقضی کما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قلنا یُقضی فلا فرق بین القولین فی وجوب حجّة اُخری، لکن هنا یجب تقدیم حجّة الإسلام علی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الاُولی عقوبة حیث یُصدّ عنها وإن أمکن القضاء فی سنة الصدّ فیقدّم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علیّ بن بابویه فی المختلف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الطریق</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وضعفها بابن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المسالک </w:t>
      </w:r>
      <w:r>
        <w:rPr>
          <w:rFonts w:eastAsia="IRNazanin" w:cs="IRNazanin"/>
          <w:b w:val="false"/>
          <w:bCs w:val="false"/>
          <w:i w:val="false"/>
          <w:iCs w:val="false"/>
          <w:color w:val="333333"/>
          <w:sz w:val="20"/>
          <w:szCs w:val="20"/>
        </w:rPr>
        <w:t>16:292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 الحدیث الأوّل</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الموجود فی روایة معاویة بن عمّار وجوب جزور مطلقاً، وفی روایة العیص بن القاسم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المدارک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الحکم مقطوع به فی کلام الأصحاب</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وطاوعته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عٰادَ فَیَنْتَقِمُ اَللّٰهُ مِنْهُ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 الإمناء أو اعتیاده</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 الحدیث الأوّل</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 الحدیث الأوّل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تردّدات الشرائع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 یضاح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تقدّم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إلّاالإذخر وما ینبت فی ملکه وعودَی المَحالة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بطیب</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کفّارات الإحرام، الحدیث الأوّل</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کفّارات الإحرام، الحدیث الأوّل</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واللّٰه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7:393</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اثنین کذباً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الشجرة والحشیش</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بالوضوء والغسل</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عٰادَ فَیَنْتَقِمُ اَللّٰهُ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وراجع الشرائع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یشترکان</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أُحْصِرْتُمْ فَمَا اِسْتَیْسَرَ مِنَ اَلْهَدْیِ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التهذیب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 الحدیث الأوّل</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الباب الأوّل من أبواب الإحصار والصدّ</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تحقّق الصدّ والحصر بالمنع عن مناسک منی</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والمحصور والمضطرّ یذبحان بدنتیهما فی المکان الّذی یضطرّان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الإحصار والصدّ،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عموم أخبار الصدّ والحصر</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بعض المحشّین علی هذه الجملة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للعامّة، فإنّهم یقولون إذا کان الصدّ عامّاً بالنسبة إلی جمیع الحجّاج تحلّل، وإن کان خاصّاً به لا یجوز التحلّل، وعلی هذا فالکلام فی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خاصّاً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بضربٍ من التکلّف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أولی، ویؤیّده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من مسامحة، فإنّ الرمی والذبح لیسا من أفعال العمرة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تجب العمرة بفوات الحجّ بعد الإحرام للخروج عن إحرامه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المرتضی فی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وفیما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حجّتها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image" Target="media/image2.jpeg"/><Relationship Id="rId572" Type="http://schemas.openxmlformats.org/officeDocument/2006/relationships/image" Target="media/image2.jpeg"/><Relationship Id="rId573" Type="http://schemas.openxmlformats.org/officeDocument/2006/relationships/footer" Target="footer566.xml"/><Relationship Id="rId574" Type="http://schemas.openxmlformats.org/officeDocument/2006/relationships/footnotes" Target="footnotes.xml"/><Relationship Id="rId575" Type="http://schemas.openxmlformats.org/officeDocument/2006/relationships/numbering" Target="numbering.xml"/><Relationship Id="rId576" Type="http://schemas.openxmlformats.org/officeDocument/2006/relationships/fontTable" Target="fontTable.xml"/><Relationship Id="rId577" Type="http://schemas.openxmlformats.org/officeDocument/2006/relationships/settings" Target="settings.xml"/><Relationship Id="rId5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78121</Words>
  <Characters>357306</Characters>
  <CharactersWithSpaces>432618</CharactersWithSpaces>
  <Paragraphs>2810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2026-08-26T01:22:06Z</dcterms:created>
  <dc:creator>ghaemiyeh.com</dc:creator>
  <dc:description/>
  <dc:language>en-US</dc:language>
  <cp:lastModifiedBy/>
  <dcterms:modified xsi:type="dcterms:W3CDTF">2026-08-26T04:52:36Z</dcterms:modified>
  <cp:revision>1</cp:revision>
  <dc:subject/>
  <dc:title>الروضه البهیه فی شرح اللمعه الدمشقیه الطبعه الحدیثه جلد 1</dc:title>
</cp:coreProperties>
</file>

<file path=docProps/custom.xml><?xml version="1.0" encoding="utf-8"?>
<Properties xmlns="http://schemas.openxmlformats.org/officeDocument/2006/custom-properties" xmlns:vt="http://schemas.openxmlformats.org/officeDocument/2006/docPropsVTypes"/>
</file>